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918264">
      <w:pPr>
        <w:rPr>
          <w:rFonts w:hint="default" w:ascii="Times New Roman" w:hAnsi="Times New Roman" w:eastAsia="仿宋_GB2312" w:cs="Times New Roman"/>
          <w:color w:val="auto"/>
          <w:sz w:val="36"/>
          <w:szCs w:val="36"/>
        </w:rPr>
      </w:pPr>
      <w:bookmarkStart w:id="52" w:name="_GoBack"/>
      <w:bookmarkEnd w:id="52"/>
      <w:r>
        <w:rPr>
          <w:rFonts w:hint="default" w:ascii="Times New Roman" w:hAnsi="Times New Roman" w:eastAsia="仿宋_GB2312" w:cs="Times New Roman"/>
          <w:color w:val="auto"/>
          <w:sz w:val="36"/>
          <w:szCs w:val="36"/>
        </w:rPr>
        <mc:AlternateContent>
          <mc:Choice Requires="wpg">
            <w:drawing>
              <wp:anchor distT="0" distB="0" distL="114300" distR="114300" simplePos="0" relativeHeight="251661312" behindDoc="0" locked="0" layoutInCell="1" allowOverlap="1">
                <wp:simplePos x="0" y="0"/>
                <wp:positionH relativeFrom="column">
                  <wp:posOffset>4139565</wp:posOffset>
                </wp:positionH>
                <wp:positionV relativeFrom="paragraph">
                  <wp:posOffset>100330</wp:posOffset>
                </wp:positionV>
                <wp:extent cx="1333500" cy="322580"/>
                <wp:effectExtent l="0" t="0" r="0" b="1270"/>
                <wp:wrapNone/>
                <wp:docPr id="23" name="组合 2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5104765" y="1025525"/>
                          <a:ext cx="1333500" cy="322580"/>
                          <a:chOff x="0" y="0"/>
                          <a:chExt cx="2654" cy="642"/>
                        </a:xfrm>
                        <a:effectLst/>
                      </wpg:grpSpPr>
                      <pic:pic xmlns:pic="http://schemas.openxmlformats.org/drawingml/2006/picture">
                        <pic:nvPicPr>
                          <pic:cNvPr id="28" name="图片 1"/>
                          <pic:cNvPicPr>
                            <a:picLocks noChangeAspect="1"/>
                          </pic:cNvPicPr>
                        </pic:nvPicPr>
                        <pic:blipFill>
                          <a:blip r:embed="rId8"/>
                          <a:srcRect t="5536" b="38750"/>
                          <a:stretch>
                            <a:fillRect/>
                          </a:stretch>
                        </pic:blipFill>
                        <pic:spPr>
                          <a:xfrm>
                            <a:off x="0" y="0"/>
                            <a:ext cx="1255" cy="643"/>
                          </a:xfrm>
                          <a:prstGeom prst="rect">
                            <a:avLst/>
                          </a:prstGeom>
                          <a:noFill/>
                          <a:ln>
                            <a:noFill/>
                          </a:ln>
                          <a:effectLst/>
                        </pic:spPr>
                      </pic:pic>
                      <pic:pic xmlns:pic="http://schemas.openxmlformats.org/drawingml/2006/picture">
                        <pic:nvPicPr>
                          <pic:cNvPr id="38" name="图片 64" descr="IMG_256"/>
                          <pic:cNvPicPr>
                            <a:picLocks noChangeAspect="1"/>
                          </pic:cNvPicPr>
                        </pic:nvPicPr>
                        <pic:blipFill>
                          <a:blip r:embed="rId9"/>
                          <a:stretch>
                            <a:fillRect/>
                          </a:stretch>
                        </pic:blipFill>
                        <pic:spPr>
                          <a:xfrm>
                            <a:off x="1284" y="116"/>
                            <a:ext cx="1370" cy="488"/>
                          </a:xfrm>
                          <a:prstGeom prst="rect">
                            <a:avLst/>
                          </a:prstGeom>
                          <a:noFill/>
                          <a:ln>
                            <a:noFill/>
                          </a:ln>
                          <a:effectLst/>
                        </pic:spPr>
                      </pic:pic>
                    </wpg:wgp>
                  </a:graphicData>
                </a:graphic>
              </wp:anchor>
            </w:drawing>
          </mc:Choice>
          <mc:Fallback>
            <w:pict>
              <v:group id="_x0000_s1026" o:spid="_x0000_s1026" o:spt="203" style="position:absolute;left:0pt;margin-left:325.95pt;margin-top:7.9pt;height:25.4pt;width:105pt;z-index:251661312;mso-width-relative:page;mso-height-relative:page;" coordsize="2654,642" o:gfxdata="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">
                <o:lock v:ext="edit" aspectratio="t"/>
                <v:shape id="图片 1" o:spid="_x0000_s1026" o:spt="75" type="#_x0000_t75" style="position:absolute;left:0;top:0;height:643;width:1255;" filled="f" o:preferrelative="t" stroked="f" coordsize="21600,21600" o:gfxdata="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ujrw7ugAAANsA&#10;AAAPAAAAAAAAAAEAIAAAACIAAABkcnMvZG93bnJldi54bWxQSwECFAAUAAAACACHTuJAMy8FnjsA&#10;AAA5AAAAEAAAAAAAAAABACAAAAAJAQAAZHJzL3NoYXBleG1sLnhtbFBLBQYAAAAABgAGAFsBAACz&#10;AwAAAAA=&#10;">
                  <v:fill on="f" focussize="0,0"/>
                  <v:stroke on="f"/>
                  <v:imagedata r:id="rId8" croptop="3628f" cropbottom="25395f" o:title=""/>
                  <o:lock v:ext="edit" aspectratio="t"/>
                </v:shape>
                <v:shape id="图片 64" o:spid="_x0000_s1026" o:spt="75" alt="IMG_256" type="#_x0000_t75" style="position:absolute;left:1284;top:116;height:488;width:1370;" filled="f" o:preferrelative="t" stroked="f" coordsize="21600,21600" o:gfxdata="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MYawhy2AAAA2wAAAA8A&#10;AAAAAAAAAQAgAAAAIgAAAGRycy9kb3ducmV2LnhtbFBLAQIUABQAAAAIAIdO4kAzLwWeOwAAADkA&#10;AAAQAAAAAAAAAAEAIAAAAAUBAABkcnMvc2hhcGV4bWwueG1sUEsFBgAAAAAGAAYAWwEAAK8DAAAA&#10;AA==&#10;">
                  <v:fill on="f" focussize="0,0"/>
                  <v:stroke on="f"/>
                  <v:imagedata r:id="rId9" o:title=""/>
                  <o:lock v:ext="edit" aspectratio="t"/>
                </v:shape>
              </v:group>
            </w:pict>
          </mc:Fallback>
        </mc:AlternateContent>
      </w:r>
    </w:p>
    <w:p w14:paraId="0EFB9835">
      <w:pPr>
        <w:rPr>
          <w:rFonts w:hint="default" w:ascii="Times New Roman" w:hAnsi="Times New Roman" w:eastAsia="仿宋_GB2312" w:cs="Times New Roman"/>
          <w:color w:val="auto"/>
          <w:sz w:val="36"/>
          <w:szCs w:val="36"/>
        </w:rPr>
      </w:pPr>
    </w:p>
    <w:p w14:paraId="67DDA162">
      <w:pPr>
        <w:pStyle w:val="12"/>
        <w:rPr>
          <w:rFonts w:hint="default" w:ascii="Times New Roman" w:hAnsi="Times New Roman" w:eastAsia="仿宋_GB2312" w:cs="Times New Roman"/>
          <w:color w:val="auto"/>
          <w:sz w:val="36"/>
          <w:szCs w:val="36"/>
        </w:rPr>
      </w:pPr>
    </w:p>
    <w:p w14:paraId="1E7CEB29">
      <w:pPr>
        <w:rPr>
          <w:rFonts w:hint="default" w:ascii="Times New Roman" w:hAnsi="Times New Roman" w:eastAsia="仿宋_GB2312" w:cs="Times New Roman"/>
          <w:color w:val="auto"/>
          <w:sz w:val="36"/>
          <w:szCs w:val="36"/>
        </w:rPr>
      </w:pPr>
    </w:p>
    <w:p w14:paraId="12A4CFD2">
      <w:pPr>
        <w:pStyle w:val="12"/>
        <w:rPr>
          <w:rFonts w:hint="default" w:ascii="Times New Roman" w:hAnsi="Times New Roman" w:cs="Times New Roman"/>
          <w:color w:val="auto"/>
        </w:rPr>
      </w:pPr>
    </w:p>
    <w:p w14:paraId="78376C57">
      <w:pPr>
        <w:adjustRightInd w:val="0"/>
        <w:snapToGrid w:val="0"/>
        <w:jc w:val="center"/>
        <w:outlineLvl w:val="0"/>
        <w:rPr>
          <w:rFonts w:hint="default" w:ascii="Times New Roman" w:hAnsi="Times New Roman" w:eastAsia="方正小标宋_GBK" w:cs="Times New Roman"/>
          <w:bCs/>
          <w:color w:val="auto"/>
          <w:sz w:val="52"/>
          <w:szCs w:val="52"/>
          <w:highlight w:val="none"/>
        </w:rPr>
      </w:pPr>
      <w:bookmarkStart w:id="0" w:name="_Toc17456"/>
      <w:r>
        <w:rPr>
          <w:rFonts w:hint="default" w:ascii="Times New Roman" w:hAnsi="Times New Roman" w:eastAsia="方正小标宋_GBK" w:cs="Times New Roman"/>
          <w:bCs/>
          <w:color w:val="auto"/>
          <w:sz w:val="52"/>
          <w:szCs w:val="52"/>
          <w:highlight w:val="none"/>
        </w:rPr>
        <w:t>建设项目</w:t>
      </w:r>
      <w:r>
        <w:rPr>
          <w:rFonts w:hint="default" w:ascii="Times New Roman" w:hAnsi="Times New Roman" w:eastAsia="方正小标宋_GBK" w:cs="Times New Roman"/>
          <w:bCs/>
          <w:color w:val="auto"/>
          <w:sz w:val="52"/>
          <w:szCs w:val="52"/>
          <w:highlight w:val="none"/>
          <w:lang w:val="en-US" w:eastAsia="zh-CN"/>
        </w:rPr>
        <w:t>生态</w:t>
      </w:r>
      <w:r>
        <w:rPr>
          <w:rFonts w:hint="default" w:ascii="Times New Roman" w:hAnsi="Times New Roman" w:eastAsia="方正小标宋_GBK" w:cs="Times New Roman"/>
          <w:bCs/>
          <w:color w:val="auto"/>
          <w:sz w:val="52"/>
          <w:szCs w:val="52"/>
          <w:highlight w:val="none"/>
        </w:rPr>
        <w:t>环境影响报告表</w:t>
      </w:r>
      <w:bookmarkEnd w:id="0"/>
    </w:p>
    <w:p w14:paraId="2F201BA3">
      <w:pPr>
        <w:adjustRightInd w:val="0"/>
        <w:snapToGrid w:val="0"/>
        <w:spacing w:before="192" w:beforeLines="80"/>
        <w:jc w:val="center"/>
        <w:rPr>
          <w:rFonts w:hint="default" w:ascii="Times New Roman" w:hAnsi="Times New Roman" w:eastAsia="楷体_GB2312" w:cs="Times New Roman"/>
          <w:bCs/>
          <w:color w:val="auto"/>
          <w:sz w:val="44"/>
          <w:szCs w:val="44"/>
        </w:rPr>
      </w:pPr>
      <w:r>
        <w:rPr>
          <w:rFonts w:hint="default" w:ascii="Times New Roman" w:hAnsi="Times New Roman" w:eastAsia="楷体_GB2312" w:cs="Times New Roman"/>
          <w:bCs/>
          <w:color w:val="auto"/>
          <w:sz w:val="44"/>
          <w:szCs w:val="44"/>
        </w:rPr>
        <w:t>（污染影响类）</w:t>
      </w:r>
    </w:p>
    <w:p w14:paraId="3655190E">
      <w:pPr>
        <w:bidi w:val="0"/>
        <w:rPr>
          <w:rFonts w:hint="default" w:ascii="Times New Roman" w:hAnsi="Times New Roman" w:cs="Times New Roman"/>
          <w:color w:val="auto"/>
        </w:rPr>
      </w:pPr>
    </w:p>
    <w:p w14:paraId="12E0C5E7">
      <w:pPr>
        <w:rPr>
          <w:rFonts w:hint="default" w:ascii="Times New Roman" w:hAnsi="Times New Roman" w:eastAsia="仿宋" w:cs="Times New Roman"/>
          <w:color w:val="auto"/>
          <w:sz w:val="44"/>
          <w:szCs w:val="44"/>
        </w:rPr>
      </w:pPr>
    </w:p>
    <w:p w14:paraId="2055068A">
      <w:pPr>
        <w:ind w:firstLine="1040"/>
        <w:rPr>
          <w:rFonts w:hint="default" w:ascii="Times New Roman" w:hAnsi="Times New Roman" w:eastAsia="仿宋" w:cs="Times New Roman"/>
          <w:color w:val="auto"/>
          <w:sz w:val="44"/>
          <w:szCs w:val="44"/>
        </w:rPr>
      </w:pPr>
    </w:p>
    <w:p w14:paraId="12A9BF0D">
      <w:pPr>
        <w:pStyle w:val="12"/>
        <w:rPr>
          <w:rFonts w:hint="default" w:ascii="Times New Roman" w:hAnsi="Times New Roman" w:eastAsia="仿宋" w:cs="Times New Roman"/>
          <w:color w:val="auto"/>
          <w:sz w:val="44"/>
          <w:szCs w:val="44"/>
        </w:rPr>
      </w:pPr>
    </w:p>
    <w:p w14:paraId="7EAD1FDE">
      <w:pPr>
        <w:pStyle w:val="12"/>
        <w:rPr>
          <w:rFonts w:hint="default" w:ascii="Times New Roman" w:hAnsi="Times New Roman" w:eastAsia="仿宋" w:cs="Times New Roman"/>
          <w:color w:val="auto"/>
          <w:sz w:val="44"/>
          <w:szCs w:val="44"/>
        </w:rPr>
      </w:pPr>
    </w:p>
    <w:p w14:paraId="61BEBB49">
      <w:pPr>
        <w:pStyle w:val="12"/>
        <w:rPr>
          <w:rFonts w:hint="default" w:ascii="Times New Roman" w:hAnsi="Times New Roman" w:eastAsia="仿宋" w:cs="Times New Roman"/>
          <w:color w:val="auto"/>
          <w:sz w:val="44"/>
          <w:szCs w:val="44"/>
        </w:rPr>
      </w:pPr>
    </w:p>
    <w:p w14:paraId="56776FD6">
      <w:pPr>
        <w:pStyle w:val="12"/>
        <w:rPr>
          <w:rFonts w:hint="default" w:ascii="Times New Roman" w:hAnsi="Times New Roman" w:eastAsia="仿宋" w:cs="Times New Roman"/>
          <w:color w:val="auto"/>
          <w:sz w:val="44"/>
          <w:szCs w:val="44"/>
        </w:rPr>
      </w:pPr>
    </w:p>
    <w:p w14:paraId="2B5C0BC4">
      <w:pPr>
        <w:pStyle w:val="12"/>
        <w:rPr>
          <w:rFonts w:hint="default" w:ascii="Times New Roman" w:hAnsi="Times New Roman" w:eastAsia="仿宋" w:cs="Times New Roman"/>
          <w:color w:val="auto"/>
          <w:sz w:val="44"/>
          <w:szCs w:val="44"/>
        </w:rPr>
      </w:pPr>
    </w:p>
    <w:p w14:paraId="2A0AD603">
      <w:pPr>
        <w:ind w:firstLine="1040"/>
        <w:rPr>
          <w:rFonts w:hint="default" w:ascii="Times New Roman" w:hAnsi="Times New Roman" w:eastAsia="仿宋" w:cs="Times New Roman"/>
          <w:color w:val="auto"/>
          <w:sz w:val="44"/>
          <w:szCs w:val="44"/>
        </w:rPr>
      </w:pPr>
    </w:p>
    <w:p w14:paraId="284E3715">
      <w:pPr>
        <w:adjustRightInd w:val="0"/>
        <w:snapToGrid w:val="0"/>
        <w:spacing w:line="288" w:lineRule="auto"/>
        <w:ind w:firstLine="960" w:firstLineChars="300"/>
        <w:rPr>
          <w:rFonts w:hint="default" w:ascii="Times New Roman" w:hAnsi="Times New Roman" w:eastAsia="仿宋" w:cs="Times New Roman"/>
          <w:color w:val="auto"/>
          <w:sz w:val="32"/>
          <w:szCs w:val="32"/>
          <w:u w:val="single"/>
          <w:lang w:val="en-US" w:eastAsia="zh-CN"/>
        </w:rPr>
      </w:pPr>
      <w:bookmarkStart w:id="1" w:name="_Hlk57884087"/>
      <w:r>
        <w:rPr>
          <w:rFonts w:hint="default" w:ascii="Times New Roman" w:hAnsi="Times New Roman" w:eastAsia="仿宋" w:cs="Times New Roman"/>
          <w:color w:val="auto"/>
          <w:sz w:val="32"/>
          <w:szCs w:val="32"/>
        </w:rPr>
        <w:t>项目名称</w:t>
      </w:r>
      <w:r>
        <w:rPr>
          <w:rFonts w:hint="default" w:ascii="Times New Roman" w:hAnsi="Times New Roman" w:eastAsia="仿宋" w:cs="Times New Roman"/>
          <w:color w:val="auto"/>
          <w:sz w:val="32"/>
          <w:szCs w:val="32"/>
          <w:u w:val="single"/>
        </w:rPr>
        <w:t>：</w:t>
      </w:r>
      <w:r>
        <w:rPr>
          <w:rFonts w:hint="default" w:ascii="Times New Roman" w:hAnsi="Times New Roman" w:eastAsia="仿宋" w:cs="Times New Roman"/>
          <w:color w:val="auto"/>
          <w:sz w:val="32"/>
          <w:szCs w:val="32"/>
          <w:u w:val="single"/>
          <w:lang w:eastAsia="zh-CN"/>
        </w:rPr>
        <w:t>光源发电电厂45MW尾气发电项目</w:t>
      </w:r>
    </w:p>
    <w:p w14:paraId="59BBD933">
      <w:pPr>
        <w:adjustRightInd w:val="0"/>
        <w:snapToGrid w:val="0"/>
        <w:spacing w:line="288" w:lineRule="auto"/>
        <w:ind w:firstLine="1040"/>
        <w:rPr>
          <w:rFonts w:hint="default" w:ascii="Times New Roman" w:hAnsi="Times New Roman" w:eastAsia="仿宋" w:cs="Times New Roman"/>
          <w:color w:val="auto"/>
          <w:sz w:val="32"/>
          <w:szCs w:val="32"/>
          <w:u w:val="single"/>
          <w:lang w:val="en-US" w:eastAsia="zh-CN"/>
        </w:rPr>
      </w:pPr>
      <w:r>
        <w:rPr>
          <w:rFonts w:hint="default" w:ascii="Times New Roman" w:hAnsi="Times New Roman" w:eastAsia="仿宋" w:cs="Times New Roman"/>
          <w:color w:val="auto"/>
          <w:sz w:val="32"/>
          <w:szCs w:val="32"/>
        </w:rPr>
        <w:t>建设单位（盖章）：</w:t>
      </w:r>
      <w:r>
        <w:rPr>
          <w:rFonts w:hint="default" w:ascii="Times New Roman" w:hAnsi="Times New Roman" w:eastAsia="仿宋" w:cs="Times New Roman"/>
          <w:color w:val="auto"/>
          <w:sz w:val="32"/>
          <w:szCs w:val="32"/>
          <w:u w:val="single"/>
          <w:lang w:val="en-US" w:eastAsia="zh-CN"/>
        </w:rPr>
        <w:t>吉木萨尔县恒信煤炭制品</w:t>
      </w:r>
    </w:p>
    <w:p w14:paraId="18CDB5F3">
      <w:pPr>
        <w:adjustRightInd w:val="0"/>
        <w:snapToGrid w:val="0"/>
        <w:spacing w:line="288" w:lineRule="auto"/>
        <w:ind w:firstLine="1040"/>
        <w:rPr>
          <w:rFonts w:hint="default" w:ascii="Times New Roman" w:hAnsi="Times New Roman" w:eastAsia="仿宋" w:cs="Times New Roman"/>
          <w:color w:val="auto"/>
          <w:sz w:val="32"/>
          <w:szCs w:val="32"/>
          <w:u w:val="single"/>
          <w:lang w:val="en-US" w:eastAsia="zh-CN"/>
        </w:rPr>
      </w:pPr>
      <w:r>
        <w:rPr>
          <w:rFonts w:hint="default" w:ascii="Times New Roman" w:hAnsi="Times New Roman" w:eastAsia="仿宋" w:cs="Times New Roman"/>
          <w:color w:val="auto"/>
          <w:sz w:val="32"/>
          <w:szCs w:val="32"/>
          <w:u w:val="single"/>
          <w:lang w:val="en-US" w:eastAsia="zh-CN"/>
        </w:rPr>
        <w:t xml:space="preserve">工贸有限公司                            </w:t>
      </w:r>
    </w:p>
    <w:p w14:paraId="66AD30E4">
      <w:pPr>
        <w:adjustRightInd w:val="0"/>
        <w:snapToGrid w:val="0"/>
        <w:spacing w:line="288" w:lineRule="auto"/>
        <w:ind w:firstLine="1040"/>
        <w:rPr>
          <w:rFonts w:hint="default" w:ascii="Times New Roman" w:hAnsi="Times New Roman" w:eastAsia="仿宋" w:cs="Times New Roman"/>
          <w:color w:val="auto"/>
          <w:sz w:val="32"/>
          <w:szCs w:val="32"/>
          <w:u w:val="single"/>
          <w:lang w:val="en-US" w:eastAsia="zh-CN"/>
        </w:rPr>
      </w:pPr>
      <w:r>
        <w:rPr>
          <w:rFonts w:hint="default" w:ascii="Times New Roman" w:hAnsi="Times New Roman" w:eastAsia="仿宋" w:cs="Times New Roman"/>
          <w:color w:val="auto"/>
          <w:sz w:val="32"/>
          <w:szCs w:val="32"/>
        </w:rPr>
        <w:t>编制日期：</w:t>
      </w:r>
      <w:r>
        <w:rPr>
          <w:rFonts w:hint="default" w:ascii="Times New Roman" w:hAnsi="Times New Roman" w:eastAsia="仿宋" w:cs="Times New Roman"/>
          <w:color w:val="auto"/>
          <w:sz w:val="32"/>
          <w:szCs w:val="32"/>
          <w:u w:val="single"/>
          <w:lang w:val="en-US" w:eastAsia="zh-CN"/>
        </w:rPr>
        <w:t xml:space="preserve">2026年9月                   </w:t>
      </w:r>
    </w:p>
    <w:p w14:paraId="68B2A26B">
      <w:pPr>
        <w:adjustRightInd w:val="0"/>
        <w:snapToGrid w:val="0"/>
        <w:spacing w:line="288" w:lineRule="auto"/>
        <w:rPr>
          <w:rFonts w:hint="default" w:ascii="Times New Roman" w:hAnsi="Times New Roman" w:eastAsia="仿宋_GB2312" w:cs="Times New Roman"/>
          <w:color w:val="auto"/>
          <w:sz w:val="36"/>
          <w:szCs w:val="36"/>
        </w:rPr>
      </w:pPr>
    </w:p>
    <w:p w14:paraId="1F972E55">
      <w:pPr>
        <w:adjustRightInd w:val="0"/>
        <w:snapToGrid w:val="0"/>
        <w:spacing w:line="288" w:lineRule="auto"/>
        <w:ind w:firstLine="1040"/>
        <w:rPr>
          <w:rFonts w:hint="default" w:ascii="Times New Roman" w:hAnsi="Times New Roman" w:eastAsia="仿宋_GB2312" w:cs="Times New Roman"/>
          <w:color w:val="auto"/>
          <w:sz w:val="36"/>
          <w:szCs w:val="36"/>
        </w:rPr>
      </w:pPr>
    </w:p>
    <w:p w14:paraId="632A78D6">
      <w:pPr>
        <w:adjustRightInd w:val="0"/>
        <w:snapToGrid w:val="0"/>
        <w:spacing w:line="288" w:lineRule="auto"/>
        <w:ind w:firstLine="1040"/>
        <w:rPr>
          <w:rFonts w:hint="default" w:ascii="Times New Roman" w:hAnsi="Times New Roman" w:eastAsia="仿宋_GB2312" w:cs="Times New Roman"/>
          <w:color w:val="auto"/>
          <w:sz w:val="36"/>
          <w:szCs w:val="36"/>
        </w:rPr>
      </w:pPr>
    </w:p>
    <w:p w14:paraId="73FCE5D1">
      <w:pPr>
        <w:adjustRightInd w:val="0"/>
        <w:snapToGrid w:val="0"/>
        <w:spacing w:line="288" w:lineRule="auto"/>
        <w:rPr>
          <w:rFonts w:hint="default" w:ascii="Times New Roman" w:hAnsi="Times New Roman" w:eastAsia="仿宋_GB2312" w:cs="Times New Roman"/>
          <w:color w:val="auto"/>
          <w:sz w:val="36"/>
          <w:szCs w:val="36"/>
        </w:rPr>
      </w:pPr>
    </w:p>
    <w:bookmarkEnd w:id="1"/>
    <w:p w14:paraId="57A027FC">
      <w:pPr>
        <w:adjustRightInd w:val="0"/>
        <w:snapToGrid w:val="0"/>
        <w:spacing w:line="288" w:lineRule="auto"/>
        <w:jc w:val="center"/>
        <w:rPr>
          <w:rFonts w:hint="default" w:ascii="Times New Roman" w:hAnsi="Times New Roman" w:eastAsia="楷体_GB2312" w:cs="Times New Roman"/>
          <w:color w:val="auto"/>
          <w:sz w:val="36"/>
          <w:szCs w:val="36"/>
        </w:rPr>
      </w:pPr>
      <w:r>
        <w:rPr>
          <w:rFonts w:hint="default" w:ascii="Times New Roman" w:hAnsi="Times New Roman" w:eastAsia="楷体_GB2312" w:cs="Times New Roman"/>
          <w:color w:val="auto"/>
          <w:sz w:val="36"/>
          <w:szCs w:val="36"/>
        </w:rPr>
        <w:t>中华人民共和国生态环境部制</w:t>
      </w:r>
    </w:p>
    <w:p w14:paraId="5F37E06D">
      <w:pPr>
        <w:rPr>
          <w:rFonts w:hint="default" w:ascii="Times New Roman" w:hAnsi="Times New Roman" w:eastAsia="楷体_GB2312" w:cs="Times New Roman"/>
          <w:color w:val="auto"/>
          <w:sz w:val="36"/>
          <w:szCs w:val="36"/>
        </w:rPr>
      </w:pPr>
      <w:r>
        <w:rPr>
          <w:rFonts w:hint="default" w:ascii="Times New Roman" w:hAnsi="Times New Roman" w:eastAsia="楷体_GB2312" w:cs="Times New Roman"/>
          <w:color w:val="auto"/>
          <w:sz w:val="36"/>
          <w:szCs w:val="36"/>
        </w:rPr>
        <w:br w:type="page"/>
      </w:r>
    </w:p>
    <w:tbl>
      <w:tblPr>
        <w:tblStyle w:val="3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0"/>
        <w:gridCol w:w="4360"/>
      </w:tblGrid>
      <w:tr w14:paraId="7FCC6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5" w:hRule="atLeast"/>
          <w:jc w:val="center"/>
        </w:trPr>
        <w:tc>
          <w:tcPr>
            <w:tcW w:w="2593" w:type="pct"/>
            <w:noWrap w:val="0"/>
            <w:vAlign w:val="center"/>
          </w:tcPr>
          <w:p w14:paraId="35249112">
            <w:pPr>
              <w:keepNext w:val="0"/>
              <w:keepLines w:val="0"/>
              <w:pageBreakBefore w:val="0"/>
              <w:widowControl w:val="0"/>
              <w:kinsoku/>
              <w:wordWrap/>
              <w:overflowPunct/>
              <w:topLinePunct/>
              <w:autoSpaceDE/>
              <w:autoSpaceDN/>
              <w:bidi w:val="0"/>
              <w:adjustRightInd/>
              <w:snapToGrid/>
              <w:spacing w:before="79" w:beforeLines="25" w:after="79" w:afterLines="25" w:line="240" w:lineRule="auto"/>
              <w:ind w:firstLine="0" w:firstLineChars="0"/>
              <w:jc w:val="both"/>
              <w:textAlignment w:val="auto"/>
              <w:rPr>
                <w:rFonts w:hint="default" w:ascii="Times New Roman" w:hAnsi="Times New Roman" w:eastAsia="宋体" w:cs="Times New Roman"/>
                <w:b/>
                <w:snapToGrid w:val="0"/>
                <w:color w:val="auto"/>
                <w:kern w:val="0"/>
                <w:sz w:val="21"/>
                <w:szCs w:val="21"/>
                <w:lang w:eastAsia="zh-CN"/>
              </w:rPr>
            </w:pPr>
            <w:r>
              <w:rPr>
                <w:rFonts w:hint="default" w:ascii="Times New Roman" w:hAnsi="Times New Roman" w:eastAsia="宋体" w:cs="Times New Roman"/>
                <w:b/>
                <w:snapToGrid w:val="0"/>
                <w:color w:val="auto"/>
                <w:kern w:val="0"/>
                <w:sz w:val="21"/>
                <w:szCs w:val="21"/>
                <w:lang w:eastAsia="zh-CN"/>
              </w:rPr>
              <w:drawing>
                <wp:inline distT="0" distB="0" distL="114300" distR="114300">
                  <wp:extent cx="2845435" cy="3049905"/>
                  <wp:effectExtent l="0" t="0" r="12065" b="17145"/>
                  <wp:docPr id="7" name="图片 7" descr="912b0b8c977f0ff797abf7944e065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912b0b8c977f0ff797abf7944e065547"/>
                          <pic:cNvPicPr>
                            <a:picLocks noChangeAspect="1"/>
                          </pic:cNvPicPr>
                        </pic:nvPicPr>
                        <pic:blipFill>
                          <a:blip r:embed="rId10"/>
                          <a:stretch>
                            <a:fillRect/>
                          </a:stretch>
                        </pic:blipFill>
                        <pic:spPr>
                          <a:xfrm>
                            <a:off x="0" y="0"/>
                            <a:ext cx="2845435" cy="3049905"/>
                          </a:xfrm>
                          <a:prstGeom prst="rect">
                            <a:avLst/>
                          </a:prstGeom>
                        </pic:spPr>
                      </pic:pic>
                    </a:graphicData>
                  </a:graphic>
                </wp:inline>
              </w:drawing>
            </w:r>
          </w:p>
        </w:tc>
        <w:tc>
          <w:tcPr>
            <w:tcW w:w="2406" w:type="pct"/>
            <w:noWrap w:val="0"/>
            <w:vAlign w:val="center"/>
          </w:tcPr>
          <w:p w14:paraId="569AA72E">
            <w:pPr>
              <w:keepNext w:val="0"/>
              <w:keepLines w:val="0"/>
              <w:pageBreakBefore w:val="0"/>
              <w:widowControl w:val="0"/>
              <w:kinsoku/>
              <w:wordWrap/>
              <w:overflowPunct/>
              <w:topLinePunct/>
              <w:autoSpaceDE/>
              <w:autoSpaceDN/>
              <w:bidi w:val="0"/>
              <w:adjustRightInd/>
              <w:snapToGrid/>
              <w:spacing w:before="79" w:beforeLines="25" w:after="79" w:afterLines="25" w:line="240" w:lineRule="auto"/>
              <w:ind w:firstLine="0"/>
              <w:jc w:val="center"/>
              <w:textAlignment w:val="auto"/>
              <w:rPr>
                <w:rFonts w:hint="default" w:ascii="Times New Roman" w:hAnsi="Times New Roman" w:eastAsia="宋体" w:cs="Times New Roman"/>
                <w:b/>
                <w:snapToGrid w:val="0"/>
                <w:color w:val="auto"/>
                <w:kern w:val="0"/>
                <w:sz w:val="21"/>
                <w:szCs w:val="21"/>
                <w:lang w:eastAsia="zh-CN"/>
              </w:rPr>
            </w:pPr>
            <w:r>
              <w:rPr>
                <w:rFonts w:hint="default" w:ascii="Times New Roman" w:hAnsi="Times New Roman" w:eastAsia="宋体" w:cs="Times New Roman"/>
                <w:b/>
                <w:snapToGrid w:val="0"/>
                <w:color w:val="auto"/>
                <w:kern w:val="0"/>
                <w:sz w:val="21"/>
                <w:szCs w:val="21"/>
                <w:lang w:eastAsia="zh-CN"/>
              </w:rPr>
              <w:drawing>
                <wp:inline distT="0" distB="0" distL="114300" distR="114300">
                  <wp:extent cx="2642235" cy="3020060"/>
                  <wp:effectExtent l="0" t="0" r="5715" b="8890"/>
                  <wp:docPr id="15" name="图片 15" descr="721745fb5d9bbe68521a5fab895267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721745fb5d9bbe68521a5fab8952671e"/>
                          <pic:cNvPicPr>
                            <a:picLocks noChangeAspect="1"/>
                          </pic:cNvPicPr>
                        </pic:nvPicPr>
                        <pic:blipFill>
                          <a:blip r:embed="rId11"/>
                          <a:stretch>
                            <a:fillRect/>
                          </a:stretch>
                        </pic:blipFill>
                        <pic:spPr>
                          <a:xfrm>
                            <a:off x="0" y="0"/>
                            <a:ext cx="2642235" cy="3020060"/>
                          </a:xfrm>
                          <a:prstGeom prst="rect">
                            <a:avLst/>
                          </a:prstGeom>
                        </pic:spPr>
                      </pic:pic>
                    </a:graphicData>
                  </a:graphic>
                </wp:inline>
              </w:drawing>
            </w:r>
          </w:p>
        </w:tc>
      </w:tr>
      <w:tr w14:paraId="4868A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2593" w:type="pct"/>
            <w:noWrap w:val="0"/>
            <w:vAlign w:val="center"/>
          </w:tcPr>
          <w:p w14:paraId="7D633BE6">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snapToGrid w:val="0"/>
                <w:color w:val="auto"/>
                <w:kern w:val="0"/>
                <w:sz w:val="21"/>
                <w:szCs w:val="21"/>
                <w:lang w:eastAsia="zh-CN"/>
              </w:rPr>
            </w:pPr>
            <w:r>
              <w:rPr>
                <w:rFonts w:hint="default" w:ascii="Times New Roman" w:hAnsi="Times New Roman" w:eastAsia="宋体" w:cs="Times New Roman"/>
                <w:b/>
                <w:snapToGrid w:val="0"/>
                <w:color w:val="auto"/>
                <w:kern w:val="0"/>
                <w:sz w:val="21"/>
                <w:szCs w:val="21"/>
                <w:lang w:eastAsia="zh-CN"/>
              </w:rPr>
              <w:t>项目区东侧</w:t>
            </w:r>
          </w:p>
        </w:tc>
        <w:tc>
          <w:tcPr>
            <w:tcW w:w="2406" w:type="pct"/>
            <w:noWrap w:val="0"/>
            <w:vAlign w:val="center"/>
          </w:tcPr>
          <w:p w14:paraId="624E6BF8">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snapToGrid w:val="0"/>
                <w:color w:val="auto"/>
                <w:kern w:val="0"/>
                <w:sz w:val="21"/>
                <w:szCs w:val="21"/>
                <w:lang w:eastAsia="zh-CN"/>
              </w:rPr>
            </w:pPr>
            <w:r>
              <w:rPr>
                <w:rFonts w:hint="default" w:ascii="Times New Roman" w:hAnsi="Times New Roman" w:eastAsia="宋体" w:cs="Times New Roman"/>
                <w:b/>
                <w:snapToGrid w:val="0"/>
                <w:color w:val="auto"/>
                <w:kern w:val="0"/>
                <w:sz w:val="21"/>
                <w:szCs w:val="21"/>
                <w:lang w:eastAsia="zh-CN"/>
              </w:rPr>
              <w:t>项目区西侧</w:t>
            </w:r>
          </w:p>
        </w:tc>
      </w:tr>
      <w:tr w14:paraId="0D2D6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0" w:hRule="atLeast"/>
          <w:jc w:val="center"/>
        </w:trPr>
        <w:tc>
          <w:tcPr>
            <w:tcW w:w="2593" w:type="pct"/>
            <w:noWrap w:val="0"/>
            <w:vAlign w:val="center"/>
          </w:tcPr>
          <w:p w14:paraId="7694CD28">
            <w:pPr>
              <w:keepNext w:val="0"/>
              <w:keepLines w:val="0"/>
              <w:pageBreakBefore w:val="0"/>
              <w:widowControl/>
              <w:kinsoku/>
              <w:wordWrap/>
              <w:overflowPunct/>
              <w:autoSpaceDE/>
              <w:autoSpaceDN/>
              <w:bidi w:val="0"/>
              <w:adjustRightInd/>
              <w:snapToGrid/>
              <w:spacing w:before="79" w:beforeLines="25" w:after="79" w:afterLines="25" w:line="240" w:lineRule="auto"/>
              <w:ind w:firstLine="0"/>
              <w:jc w:val="center"/>
              <w:textAlignment w:val="auto"/>
              <w:rPr>
                <w:rFonts w:hint="default" w:ascii="Times New Roman" w:hAnsi="Times New Roman" w:eastAsia="宋体" w:cs="Times New Roman"/>
                <w:b/>
                <w:snapToGrid w:val="0"/>
                <w:color w:val="auto"/>
                <w:kern w:val="0"/>
                <w:sz w:val="21"/>
                <w:szCs w:val="21"/>
                <w:lang w:eastAsia="zh-CN"/>
              </w:rPr>
            </w:pPr>
            <w:r>
              <w:rPr>
                <w:rFonts w:hint="default" w:ascii="Times New Roman" w:hAnsi="Times New Roman" w:eastAsia="宋体" w:cs="Times New Roman"/>
                <w:b/>
                <w:snapToGrid w:val="0"/>
                <w:color w:val="auto"/>
                <w:kern w:val="0"/>
                <w:sz w:val="21"/>
                <w:szCs w:val="21"/>
                <w:lang w:eastAsia="zh-CN"/>
              </w:rPr>
              <w:drawing>
                <wp:inline distT="0" distB="0" distL="114300" distR="114300">
                  <wp:extent cx="2898140" cy="3132455"/>
                  <wp:effectExtent l="0" t="0" r="16510" b="10795"/>
                  <wp:docPr id="8" name="图片 8" descr="4aef46845cecae78e77955e12d3135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4aef46845cecae78e77955e12d3135f6"/>
                          <pic:cNvPicPr>
                            <a:picLocks noChangeAspect="1"/>
                          </pic:cNvPicPr>
                        </pic:nvPicPr>
                        <pic:blipFill>
                          <a:blip r:embed="rId12"/>
                          <a:stretch>
                            <a:fillRect/>
                          </a:stretch>
                        </pic:blipFill>
                        <pic:spPr>
                          <a:xfrm>
                            <a:off x="0" y="0"/>
                            <a:ext cx="2898140" cy="3132455"/>
                          </a:xfrm>
                          <a:prstGeom prst="rect">
                            <a:avLst/>
                          </a:prstGeom>
                        </pic:spPr>
                      </pic:pic>
                    </a:graphicData>
                  </a:graphic>
                </wp:inline>
              </w:drawing>
            </w:r>
          </w:p>
        </w:tc>
        <w:tc>
          <w:tcPr>
            <w:tcW w:w="2406" w:type="pct"/>
            <w:noWrap w:val="0"/>
            <w:vAlign w:val="center"/>
          </w:tcPr>
          <w:p w14:paraId="6429EA4D">
            <w:pPr>
              <w:keepNext w:val="0"/>
              <w:keepLines w:val="0"/>
              <w:pageBreakBefore w:val="0"/>
              <w:kinsoku/>
              <w:wordWrap/>
              <w:overflowPunct/>
              <w:topLinePunct/>
              <w:autoSpaceDE/>
              <w:autoSpaceDN/>
              <w:bidi w:val="0"/>
              <w:adjustRightInd/>
              <w:snapToGrid/>
              <w:spacing w:before="79" w:beforeLines="25" w:after="79" w:afterLines="25" w:line="240" w:lineRule="auto"/>
              <w:ind w:firstLine="0"/>
              <w:jc w:val="center"/>
              <w:textAlignment w:val="auto"/>
              <w:rPr>
                <w:rFonts w:hint="default" w:ascii="Times New Roman" w:hAnsi="Times New Roman" w:eastAsia="宋体" w:cs="Times New Roman"/>
                <w:b/>
                <w:snapToGrid w:val="0"/>
                <w:color w:val="auto"/>
                <w:kern w:val="0"/>
                <w:sz w:val="21"/>
                <w:szCs w:val="21"/>
                <w:lang w:eastAsia="zh-CN"/>
              </w:rPr>
            </w:pPr>
            <w:r>
              <w:rPr>
                <w:rFonts w:hint="default" w:ascii="Times New Roman" w:hAnsi="Times New Roman" w:eastAsia="宋体" w:cs="Times New Roman"/>
                <w:b/>
                <w:snapToGrid w:val="0"/>
                <w:color w:val="auto"/>
                <w:kern w:val="0"/>
                <w:sz w:val="21"/>
                <w:szCs w:val="21"/>
                <w:lang w:eastAsia="zh-CN"/>
              </w:rPr>
              <w:drawing>
                <wp:inline distT="0" distB="0" distL="114300" distR="114300">
                  <wp:extent cx="2660015" cy="3141980"/>
                  <wp:effectExtent l="0" t="0" r="6985" b="1270"/>
                  <wp:docPr id="14" name="图片 14" descr="86740f6feb80acfe1aacb80ffd8904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86740f6feb80acfe1aacb80ffd8904d7"/>
                          <pic:cNvPicPr>
                            <a:picLocks noChangeAspect="1"/>
                          </pic:cNvPicPr>
                        </pic:nvPicPr>
                        <pic:blipFill>
                          <a:blip r:embed="rId13"/>
                          <a:stretch>
                            <a:fillRect/>
                          </a:stretch>
                        </pic:blipFill>
                        <pic:spPr>
                          <a:xfrm>
                            <a:off x="0" y="0"/>
                            <a:ext cx="2660015" cy="3141980"/>
                          </a:xfrm>
                          <a:prstGeom prst="rect">
                            <a:avLst/>
                          </a:prstGeom>
                        </pic:spPr>
                      </pic:pic>
                    </a:graphicData>
                  </a:graphic>
                </wp:inline>
              </w:drawing>
            </w:r>
          </w:p>
        </w:tc>
      </w:tr>
      <w:tr w14:paraId="5FAA8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2593" w:type="pct"/>
            <w:noWrap w:val="0"/>
            <w:vAlign w:val="center"/>
          </w:tcPr>
          <w:p w14:paraId="76170FFB">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snapToGrid w:val="0"/>
                <w:color w:val="auto"/>
                <w:kern w:val="0"/>
                <w:sz w:val="21"/>
                <w:szCs w:val="21"/>
                <w:lang w:eastAsia="zh-CN"/>
              </w:rPr>
            </w:pPr>
            <w:r>
              <w:rPr>
                <w:rFonts w:hint="default" w:ascii="Times New Roman" w:hAnsi="Times New Roman" w:eastAsia="宋体" w:cs="Times New Roman"/>
                <w:b/>
                <w:snapToGrid w:val="0"/>
                <w:color w:val="auto"/>
                <w:kern w:val="0"/>
                <w:sz w:val="21"/>
                <w:szCs w:val="21"/>
                <w:lang w:val="en-US" w:eastAsia="zh-CN"/>
              </w:rPr>
              <w:t>项目区南侧</w:t>
            </w:r>
          </w:p>
        </w:tc>
        <w:tc>
          <w:tcPr>
            <w:tcW w:w="2406" w:type="pct"/>
            <w:noWrap w:val="0"/>
            <w:vAlign w:val="center"/>
          </w:tcPr>
          <w:p w14:paraId="53D21D7E">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snapToGrid w:val="0"/>
                <w:color w:val="auto"/>
                <w:kern w:val="0"/>
                <w:sz w:val="21"/>
                <w:szCs w:val="21"/>
                <w:lang w:val="en-US" w:eastAsia="zh-CN"/>
              </w:rPr>
            </w:pPr>
            <w:r>
              <w:rPr>
                <w:rFonts w:hint="default" w:ascii="Times New Roman" w:hAnsi="Times New Roman" w:eastAsia="宋体" w:cs="Times New Roman"/>
                <w:b/>
                <w:snapToGrid w:val="0"/>
                <w:color w:val="auto"/>
                <w:kern w:val="0"/>
                <w:sz w:val="21"/>
                <w:szCs w:val="21"/>
                <w:lang w:val="en-US" w:eastAsia="zh-CN"/>
              </w:rPr>
              <w:t>项目区北侧</w:t>
            </w:r>
          </w:p>
        </w:tc>
      </w:tr>
      <w:tr w14:paraId="258F9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5000" w:type="pct"/>
            <w:gridSpan w:val="2"/>
            <w:noWrap w:val="0"/>
            <w:vAlign w:val="center"/>
          </w:tcPr>
          <w:p w14:paraId="3D02C961">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snapToGrid w:val="0"/>
                <w:color w:val="auto"/>
                <w:kern w:val="0"/>
                <w:sz w:val="21"/>
                <w:szCs w:val="21"/>
                <w:lang w:val="en-US" w:eastAsia="zh-CN"/>
              </w:rPr>
            </w:pPr>
            <w:r>
              <w:rPr>
                <w:rFonts w:hint="default" w:ascii="Times New Roman" w:hAnsi="Times New Roman" w:eastAsia="宋体" w:cs="Times New Roman"/>
                <w:b/>
                <w:snapToGrid w:val="0"/>
                <w:color w:val="auto"/>
                <w:kern w:val="0"/>
                <w:sz w:val="21"/>
                <w:szCs w:val="21"/>
                <w:lang w:val="en-US" w:eastAsia="zh-CN"/>
              </w:rPr>
              <w:t>项目区四周</w:t>
            </w:r>
          </w:p>
        </w:tc>
      </w:tr>
      <w:tr w14:paraId="72A97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93" w:type="pct"/>
            <w:tcBorders>
              <w:right w:val="single" w:color="000000" w:sz="4" w:space="0"/>
            </w:tcBorders>
            <w:noWrap w:val="0"/>
            <w:vAlign w:val="center"/>
          </w:tcPr>
          <w:p w14:paraId="6A79CC3F">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snapToGrid w:val="0"/>
                <w:color w:val="auto"/>
                <w:kern w:val="0"/>
                <w:sz w:val="21"/>
                <w:szCs w:val="21"/>
                <w:lang w:val="en-US" w:eastAsia="zh-CN" w:bidi="ar-SA"/>
              </w:rPr>
            </w:pPr>
            <w:r>
              <w:rPr>
                <w:rFonts w:hint="default" w:ascii="Times New Roman" w:hAnsi="Times New Roman" w:eastAsia="宋体" w:cs="Times New Roman"/>
                <w:b/>
                <w:snapToGrid w:val="0"/>
                <w:color w:val="auto"/>
                <w:kern w:val="0"/>
                <w:sz w:val="21"/>
                <w:szCs w:val="21"/>
                <w:lang w:val="en-US" w:eastAsia="zh-CN"/>
              </w:rPr>
              <w:drawing>
                <wp:inline distT="0" distB="0" distL="114300" distR="114300">
                  <wp:extent cx="2835910" cy="3077210"/>
                  <wp:effectExtent l="0" t="0" r="2540" b="8890"/>
                  <wp:docPr id="11" name="图片 11" descr="f41723f36fc2862bb2f14159842ff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41723f36fc2862bb2f14159842ff299"/>
                          <pic:cNvPicPr>
                            <a:picLocks noChangeAspect="1"/>
                          </pic:cNvPicPr>
                        </pic:nvPicPr>
                        <pic:blipFill>
                          <a:blip r:embed="rId14"/>
                          <a:stretch>
                            <a:fillRect/>
                          </a:stretch>
                        </pic:blipFill>
                        <pic:spPr>
                          <a:xfrm>
                            <a:off x="0" y="0"/>
                            <a:ext cx="2835910" cy="3077210"/>
                          </a:xfrm>
                          <a:prstGeom prst="rect">
                            <a:avLst/>
                          </a:prstGeom>
                        </pic:spPr>
                      </pic:pic>
                    </a:graphicData>
                  </a:graphic>
                </wp:inline>
              </w:drawing>
            </w:r>
          </w:p>
        </w:tc>
        <w:tc>
          <w:tcPr>
            <w:tcW w:w="2406" w:type="pct"/>
            <w:tcBorders>
              <w:left w:val="single" w:color="000000" w:sz="4" w:space="0"/>
            </w:tcBorders>
            <w:noWrap w:val="0"/>
            <w:vAlign w:val="center"/>
          </w:tcPr>
          <w:p w14:paraId="10B78BAB">
            <w:pPr>
              <w:keepNext w:val="0"/>
              <w:keepLines w:val="0"/>
              <w:pageBreakBefore w:val="0"/>
              <w:widowControl w:val="0"/>
              <w:kinsoku/>
              <w:wordWrap/>
              <w:overflowPunct/>
              <w:topLinePunct/>
              <w:autoSpaceDE/>
              <w:autoSpaceDN/>
              <w:bidi w:val="0"/>
              <w:adjustRightInd/>
              <w:snapToGrid/>
              <w:spacing w:line="240" w:lineRule="auto"/>
              <w:ind w:firstLine="0" w:firstLineChars="0"/>
              <w:jc w:val="both"/>
              <w:textAlignment w:val="auto"/>
              <w:rPr>
                <w:rFonts w:hint="default" w:ascii="Times New Roman" w:hAnsi="Times New Roman" w:eastAsia="宋体" w:cs="Times New Roman"/>
                <w:b/>
                <w:snapToGrid w:val="0"/>
                <w:color w:val="auto"/>
                <w:kern w:val="0"/>
                <w:sz w:val="21"/>
                <w:szCs w:val="21"/>
                <w:lang w:val="en-US" w:eastAsia="zh-CN"/>
              </w:rPr>
            </w:pPr>
            <w:r>
              <w:rPr>
                <w:rFonts w:hint="default" w:ascii="Times New Roman" w:hAnsi="Times New Roman" w:cs="Times New Roman"/>
                <w:b/>
                <w:snapToGrid w:val="0"/>
                <w:color w:val="auto"/>
                <w:kern w:val="0"/>
                <w:sz w:val="21"/>
                <w:szCs w:val="21"/>
                <w:lang w:val="en-US" w:eastAsia="zh-CN" w:bidi="ar-SA"/>
              </w:rPr>
              <w:drawing>
                <wp:inline distT="0" distB="0" distL="114300" distR="114300">
                  <wp:extent cx="2845435" cy="3108325"/>
                  <wp:effectExtent l="0" t="0" r="12065" b="15875"/>
                  <wp:docPr id="16" name="图片 16" descr="b4c84cb2dbc8d92d549141204ebd76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b4c84cb2dbc8d92d549141204ebd76f8"/>
                          <pic:cNvPicPr>
                            <a:picLocks noChangeAspect="1"/>
                          </pic:cNvPicPr>
                        </pic:nvPicPr>
                        <pic:blipFill>
                          <a:blip r:embed="rId15"/>
                          <a:stretch>
                            <a:fillRect/>
                          </a:stretch>
                        </pic:blipFill>
                        <pic:spPr>
                          <a:xfrm>
                            <a:off x="0" y="0"/>
                            <a:ext cx="2845435" cy="3108325"/>
                          </a:xfrm>
                          <a:prstGeom prst="rect">
                            <a:avLst/>
                          </a:prstGeom>
                        </pic:spPr>
                      </pic:pic>
                    </a:graphicData>
                  </a:graphic>
                </wp:inline>
              </w:drawing>
            </w:r>
          </w:p>
        </w:tc>
      </w:tr>
      <w:tr w14:paraId="325A3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93" w:type="pct"/>
            <w:tcBorders>
              <w:right w:val="single" w:color="000000" w:sz="4" w:space="0"/>
            </w:tcBorders>
            <w:noWrap w:val="0"/>
            <w:vAlign w:val="center"/>
          </w:tcPr>
          <w:p w14:paraId="6BE5029B">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rPr>
                <w:rFonts w:hint="default" w:ascii="Times New Roman" w:hAnsi="Times New Roman" w:cs="Times New Roman"/>
                <w:b/>
                <w:snapToGrid w:val="0"/>
                <w:color w:val="auto"/>
                <w:kern w:val="0"/>
                <w:sz w:val="21"/>
                <w:szCs w:val="21"/>
                <w:lang w:val="en-US" w:eastAsia="zh-CN" w:bidi="ar-SA"/>
              </w:rPr>
            </w:pPr>
            <w:r>
              <w:rPr>
                <w:rFonts w:hint="default" w:ascii="Times New Roman" w:hAnsi="Times New Roman" w:cs="Times New Roman"/>
                <w:b/>
                <w:snapToGrid w:val="0"/>
                <w:color w:val="auto"/>
                <w:kern w:val="0"/>
                <w:sz w:val="21"/>
                <w:szCs w:val="21"/>
                <w:lang w:val="en-US" w:eastAsia="zh-CN" w:bidi="ar-SA"/>
              </w:rPr>
              <w:t>项目区场地现状</w:t>
            </w:r>
          </w:p>
        </w:tc>
        <w:tc>
          <w:tcPr>
            <w:tcW w:w="2406" w:type="pct"/>
            <w:tcBorders>
              <w:left w:val="single" w:color="000000" w:sz="4" w:space="0"/>
            </w:tcBorders>
            <w:noWrap w:val="0"/>
            <w:vAlign w:val="center"/>
          </w:tcPr>
          <w:p w14:paraId="0D80B42A">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rPr>
                <w:rFonts w:hint="default" w:ascii="Times New Roman" w:hAnsi="Times New Roman" w:cs="Times New Roman"/>
                <w:b/>
                <w:snapToGrid w:val="0"/>
                <w:color w:val="auto"/>
                <w:kern w:val="0"/>
                <w:sz w:val="21"/>
                <w:szCs w:val="21"/>
                <w:lang w:val="en-US" w:eastAsia="zh-CN" w:bidi="ar-SA"/>
              </w:rPr>
            </w:pPr>
            <w:r>
              <w:rPr>
                <w:rFonts w:hint="default" w:ascii="Times New Roman" w:hAnsi="Times New Roman" w:cs="Times New Roman"/>
                <w:b/>
                <w:snapToGrid w:val="0"/>
                <w:color w:val="auto"/>
                <w:kern w:val="0"/>
                <w:sz w:val="21"/>
                <w:szCs w:val="21"/>
                <w:lang w:val="en-US" w:eastAsia="zh-CN" w:bidi="ar-SA"/>
              </w:rPr>
              <w:t>吉木萨尔县恒信煤炭制品工贸有限公司120万吨煤制品深加工升级改造项目</w:t>
            </w:r>
          </w:p>
        </w:tc>
      </w:tr>
      <w:tr w14:paraId="30C9FD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93" w:type="pct"/>
            <w:tcBorders>
              <w:right w:val="single" w:color="000000" w:sz="4" w:space="0"/>
            </w:tcBorders>
            <w:noWrap w:val="0"/>
            <w:vAlign w:val="center"/>
          </w:tcPr>
          <w:p w14:paraId="1E3C0595">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rPr>
                <w:rFonts w:hint="default" w:ascii="Times New Roman" w:hAnsi="Times New Roman" w:cs="Times New Roman"/>
                <w:b/>
                <w:snapToGrid w:val="0"/>
                <w:color w:val="auto"/>
                <w:kern w:val="0"/>
                <w:sz w:val="21"/>
                <w:szCs w:val="21"/>
                <w:lang w:val="en-US" w:eastAsia="zh-CN" w:bidi="ar-SA"/>
              </w:rPr>
            </w:pPr>
            <w:bookmarkStart w:id="2" w:name="_Toc28412"/>
            <w:r>
              <w:rPr>
                <w:rFonts w:hint="default" w:ascii="Times New Roman" w:hAnsi="Times New Roman" w:cs="Times New Roman"/>
                <w:b/>
                <w:snapToGrid w:val="0"/>
                <w:color w:val="auto"/>
                <w:kern w:val="0"/>
                <w:sz w:val="21"/>
                <w:szCs w:val="21"/>
                <w:lang w:val="en-US" w:eastAsia="zh-CN" w:bidi="ar-SA"/>
              </w:rPr>
              <w:drawing>
                <wp:inline distT="0" distB="0" distL="114300" distR="114300">
                  <wp:extent cx="2845435" cy="3062605"/>
                  <wp:effectExtent l="0" t="0" r="12065" b="4445"/>
                  <wp:docPr id="17" name="图片 17" descr="41b3d87d014d9435d314f17630287c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41b3d87d014d9435d314f17630287c20"/>
                          <pic:cNvPicPr>
                            <a:picLocks noChangeAspect="1"/>
                          </pic:cNvPicPr>
                        </pic:nvPicPr>
                        <pic:blipFill>
                          <a:blip r:embed="rId16"/>
                          <a:stretch>
                            <a:fillRect/>
                          </a:stretch>
                        </pic:blipFill>
                        <pic:spPr>
                          <a:xfrm>
                            <a:off x="0" y="0"/>
                            <a:ext cx="2845435" cy="3062605"/>
                          </a:xfrm>
                          <a:prstGeom prst="rect">
                            <a:avLst/>
                          </a:prstGeom>
                        </pic:spPr>
                      </pic:pic>
                    </a:graphicData>
                  </a:graphic>
                </wp:inline>
              </w:drawing>
            </w:r>
          </w:p>
        </w:tc>
        <w:tc>
          <w:tcPr>
            <w:tcW w:w="2406" w:type="pct"/>
            <w:tcBorders>
              <w:left w:val="single" w:color="000000" w:sz="4" w:space="0"/>
            </w:tcBorders>
            <w:noWrap w:val="0"/>
            <w:vAlign w:val="center"/>
          </w:tcPr>
          <w:p w14:paraId="60CF6144">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rPr>
                <w:rFonts w:hint="default" w:ascii="Times New Roman" w:hAnsi="Times New Roman" w:cs="Times New Roman"/>
                <w:b/>
                <w:snapToGrid w:val="0"/>
                <w:color w:val="auto"/>
                <w:kern w:val="0"/>
                <w:sz w:val="21"/>
                <w:szCs w:val="21"/>
                <w:lang w:val="en-US" w:eastAsia="zh-CN" w:bidi="ar-SA"/>
              </w:rPr>
            </w:pPr>
            <w:r>
              <w:rPr>
                <w:rFonts w:hint="default" w:ascii="Times New Roman" w:hAnsi="Times New Roman" w:cs="Times New Roman"/>
                <w:b/>
                <w:snapToGrid w:val="0"/>
                <w:color w:val="auto"/>
                <w:kern w:val="0"/>
                <w:sz w:val="21"/>
                <w:szCs w:val="21"/>
                <w:lang w:val="en-US" w:eastAsia="zh-CN" w:bidi="ar-SA"/>
              </w:rPr>
              <w:drawing>
                <wp:inline distT="0" distB="0" distL="114300" distR="114300">
                  <wp:extent cx="2617470" cy="2950845"/>
                  <wp:effectExtent l="0" t="0" r="11430" b="1905"/>
                  <wp:docPr id="12" name="图片 12" descr="5eec6225922aa9a8c558ce1472dde3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5eec6225922aa9a8c558ce1472dde3ce"/>
                          <pic:cNvPicPr>
                            <a:picLocks noChangeAspect="1"/>
                          </pic:cNvPicPr>
                        </pic:nvPicPr>
                        <pic:blipFill>
                          <a:blip r:embed="rId17"/>
                          <a:stretch>
                            <a:fillRect/>
                          </a:stretch>
                        </pic:blipFill>
                        <pic:spPr>
                          <a:xfrm>
                            <a:off x="0" y="0"/>
                            <a:ext cx="2617470" cy="2950845"/>
                          </a:xfrm>
                          <a:prstGeom prst="rect">
                            <a:avLst/>
                          </a:prstGeom>
                        </pic:spPr>
                      </pic:pic>
                    </a:graphicData>
                  </a:graphic>
                </wp:inline>
              </w:drawing>
            </w:r>
          </w:p>
        </w:tc>
      </w:tr>
      <w:tr w14:paraId="7FDA5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93" w:type="pct"/>
            <w:tcBorders>
              <w:right w:val="single" w:color="000000" w:sz="4" w:space="0"/>
            </w:tcBorders>
            <w:noWrap w:val="0"/>
            <w:vAlign w:val="center"/>
          </w:tcPr>
          <w:p w14:paraId="34C3D713">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rPr>
                <w:rFonts w:hint="default" w:ascii="Times New Roman" w:hAnsi="Times New Roman" w:cs="Times New Roman"/>
                <w:b/>
                <w:snapToGrid w:val="0"/>
                <w:color w:val="auto"/>
                <w:kern w:val="0"/>
                <w:sz w:val="21"/>
                <w:szCs w:val="21"/>
                <w:lang w:val="en-US" w:eastAsia="zh-CN" w:bidi="ar-SA"/>
              </w:rPr>
            </w:pPr>
            <w:r>
              <w:rPr>
                <w:rFonts w:hint="default" w:ascii="Times New Roman" w:hAnsi="Times New Roman" w:cs="Times New Roman"/>
                <w:b/>
                <w:snapToGrid w:val="0"/>
                <w:color w:val="auto"/>
                <w:kern w:val="0"/>
                <w:sz w:val="21"/>
                <w:szCs w:val="21"/>
                <w:lang w:val="en-US" w:eastAsia="zh-CN" w:bidi="ar-SA"/>
              </w:rPr>
              <w:t>现有煤气管道</w:t>
            </w:r>
          </w:p>
        </w:tc>
        <w:tc>
          <w:tcPr>
            <w:tcW w:w="2406" w:type="pct"/>
            <w:tcBorders>
              <w:left w:val="single" w:color="000000" w:sz="4" w:space="0"/>
            </w:tcBorders>
            <w:noWrap w:val="0"/>
            <w:vAlign w:val="center"/>
          </w:tcPr>
          <w:p w14:paraId="20E3E59C">
            <w:pPr>
              <w:keepNext w:val="0"/>
              <w:keepLines w:val="0"/>
              <w:pageBreakBefore w:val="0"/>
              <w:widowControl w:val="0"/>
              <w:kinsoku/>
              <w:wordWrap/>
              <w:overflowPunct/>
              <w:topLinePunct/>
              <w:autoSpaceDE/>
              <w:autoSpaceDN/>
              <w:bidi w:val="0"/>
              <w:adjustRightInd/>
              <w:snapToGrid/>
              <w:spacing w:line="240" w:lineRule="auto"/>
              <w:ind w:firstLine="0" w:firstLineChars="0"/>
              <w:jc w:val="center"/>
              <w:textAlignment w:val="auto"/>
              <w:rPr>
                <w:rFonts w:hint="default" w:ascii="Times New Roman" w:hAnsi="Times New Roman" w:cs="Times New Roman"/>
                <w:b/>
                <w:snapToGrid w:val="0"/>
                <w:color w:val="auto"/>
                <w:kern w:val="0"/>
                <w:sz w:val="21"/>
                <w:szCs w:val="21"/>
                <w:lang w:val="en-US" w:eastAsia="zh-CN" w:bidi="ar-SA"/>
              </w:rPr>
            </w:pPr>
            <w:r>
              <w:rPr>
                <w:rFonts w:hint="default" w:ascii="Times New Roman" w:hAnsi="Times New Roman" w:cs="Times New Roman"/>
                <w:b/>
                <w:snapToGrid w:val="0"/>
                <w:color w:val="auto"/>
                <w:kern w:val="0"/>
                <w:sz w:val="21"/>
                <w:szCs w:val="21"/>
                <w:lang w:val="en-US" w:eastAsia="zh-CN" w:bidi="ar-SA"/>
              </w:rPr>
              <w:t>依托食宿区</w:t>
            </w:r>
          </w:p>
        </w:tc>
      </w:tr>
    </w:tbl>
    <w:p w14:paraId="3A12C71D">
      <w:pPr>
        <w:pStyle w:val="28"/>
        <w:keepNext w:val="0"/>
        <w:keepLines w:val="0"/>
        <w:pageBreakBefore w:val="0"/>
        <w:kinsoku/>
        <w:wordWrap/>
        <w:bidi w:val="0"/>
        <w:adjustRightInd/>
        <w:snapToGrid/>
        <w:jc w:val="center"/>
        <w:outlineLvl w:val="0"/>
        <w:rPr>
          <w:rFonts w:hint="default" w:ascii="Times New Roman" w:hAnsi="Times New Roman" w:eastAsia="宋体" w:cs="Times New Roman"/>
          <w:snapToGrid w:val="0"/>
          <w:color w:val="auto"/>
          <w:sz w:val="30"/>
          <w:szCs w:val="30"/>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r>
        <w:rPr>
          <w:rFonts w:hint="default" w:ascii="Times New Roman" w:hAnsi="Times New Roman" w:eastAsia="宋体" w:cs="Times New Roman"/>
          <w:b/>
          <w:snapToGrid w:val="0"/>
          <w:color w:val="auto"/>
          <w:kern w:val="0"/>
          <w:sz w:val="22"/>
          <w:szCs w:val="22"/>
          <w:lang w:val="en-US" w:eastAsia="zh-CN"/>
        </w:rPr>
        <w:t>项目区现状</w:t>
      </w:r>
      <w:bookmarkEnd w:id="2"/>
    </w:p>
    <w:p w14:paraId="22063B62">
      <w:pPr>
        <w:keepNext w:val="0"/>
        <w:keepLines w:val="0"/>
        <w:pageBreakBefore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黑体" w:cs="Times New Roman"/>
          <w:color w:val="auto"/>
          <w:sz w:val="28"/>
          <w:szCs w:val="28"/>
        </w:rPr>
      </w:pPr>
      <w:r>
        <w:rPr>
          <w:rFonts w:hint="default" w:ascii="Times New Roman" w:hAnsi="Times New Roman" w:eastAsia="黑体" w:cs="Times New Roman"/>
          <w:color w:val="auto"/>
          <w:sz w:val="28"/>
          <w:szCs w:val="28"/>
        </w:rPr>
        <w:t>目录</w:t>
      </w:r>
    </w:p>
    <w:p w14:paraId="0E62BF86">
      <w:pPr>
        <w:pStyle w:val="22"/>
        <w:keepNext w:val="0"/>
        <w:keepLines w:val="0"/>
        <w:pageBreakBefore w:val="0"/>
        <w:widowControl w:val="0"/>
        <w:tabs>
          <w:tab w:val="right" w:leader="dot" w:pos="8844"/>
        </w:tabs>
        <w:kinsoku/>
        <w:wordWrap/>
        <w:overflowPunct/>
        <w:topLinePunct w:val="0"/>
        <w:autoSpaceDE/>
        <w:autoSpaceDN/>
        <w:bidi w:val="0"/>
        <w:adjustRightInd/>
        <w:snapToGrid/>
        <w:spacing w:line="360" w:lineRule="auto"/>
        <w:textAlignment w:val="auto"/>
        <w:rPr>
          <w:rFonts w:hint="default" w:ascii="Times New Roman" w:hAnsi="Times New Roman" w:cs="Times New Roman"/>
          <w:color w:val="auto"/>
          <w:sz w:val="24"/>
          <w:szCs w:val="24"/>
        </w:rPr>
      </w:pPr>
      <w:r>
        <w:rPr>
          <w:rFonts w:hint="default" w:ascii="Times New Roman" w:hAnsi="Times New Roman" w:eastAsia="宋体" w:cs="Times New Roman"/>
          <w:snapToGrid w:val="0"/>
          <w:color w:val="auto"/>
          <w:sz w:val="24"/>
          <w:szCs w:val="24"/>
        </w:rPr>
        <w:fldChar w:fldCharType="begin"/>
      </w:r>
      <w:r>
        <w:rPr>
          <w:rFonts w:hint="default" w:ascii="Times New Roman" w:hAnsi="Times New Roman" w:eastAsia="宋体" w:cs="Times New Roman"/>
          <w:snapToGrid w:val="0"/>
          <w:color w:val="auto"/>
          <w:sz w:val="24"/>
          <w:szCs w:val="24"/>
        </w:rPr>
        <w:instrText xml:space="preserve">TOC \o "1-1" \h \u </w:instrText>
      </w:r>
      <w:r>
        <w:rPr>
          <w:rFonts w:hint="default" w:ascii="Times New Roman" w:hAnsi="Times New Roman" w:eastAsia="宋体" w:cs="Times New Roman"/>
          <w:snapToGrid w:val="0"/>
          <w:color w:val="auto"/>
          <w:sz w:val="24"/>
          <w:szCs w:val="24"/>
        </w:rPr>
        <w:fldChar w:fldCharType="separate"/>
      </w:r>
    </w:p>
    <w:p w14:paraId="48E66D9C">
      <w:pPr>
        <w:pStyle w:val="22"/>
        <w:keepNext w:val="0"/>
        <w:keepLines w:val="0"/>
        <w:pageBreakBefore w:val="0"/>
        <w:widowControl w:val="0"/>
        <w:tabs>
          <w:tab w:val="right" w:leader="dot" w:pos="8844"/>
        </w:tabs>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_Toc18224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snapToGrid w:val="0"/>
          <w:color w:val="auto"/>
          <w:sz w:val="24"/>
          <w:szCs w:val="24"/>
        </w:rPr>
        <w:t>一</w:t>
      </w:r>
      <w:r>
        <w:rPr>
          <w:rFonts w:hint="default" w:ascii="Times New Roman" w:hAnsi="Times New Roman" w:cs="Times New Roman" w:eastAsiaTheme="minorEastAsia"/>
          <w:snapToGrid w:val="0"/>
          <w:color w:val="auto"/>
          <w:sz w:val="24"/>
          <w:szCs w:val="24"/>
          <w:lang w:eastAsia="zh-CN"/>
        </w:rPr>
        <w:t>、</w:t>
      </w:r>
      <w:r>
        <w:rPr>
          <w:rFonts w:hint="default" w:ascii="Times New Roman" w:hAnsi="Times New Roman" w:cs="Times New Roman" w:eastAsiaTheme="minorEastAsia"/>
          <w:snapToGrid w:val="0"/>
          <w:color w:val="auto"/>
          <w:sz w:val="24"/>
          <w:szCs w:val="24"/>
        </w:rPr>
        <w:t>建设项目基本情况</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_Toc18224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1</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02810893">
      <w:pPr>
        <w:pStyle w:val="22"/>
        <w:keepNext w:val="0"/>
        <w:keepLines w:val="0"/>
        <w:pageBreakBefore w:val="0"/>
        <w:widowControl w:val="0"/>
        <w:tabs>
          <w:tab w:val="right" w:leader="dot" w:pos="8844"/>
        </w:tabs>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_Toc32761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snapToGrid w:val="0"/>
          <w:color w:val="auto"/>
          <w:sz w:val="24"/>
          <w:szCs w:val="24"/>
        </w:rPr>
        <w:t>二、建设项目工程分析</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_Toc32761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27</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17534044">
      <w:pPr>
        <w:pStyle w:val="22"/>
        <w:keepNext w:val="0"/>
        <w:keepLines w:val="0"/>
        <w:pageBreakBefore w:val="0"/>
        <w:widowControl w:val="0"/>
        <w:tabs>
          <w:tab w:val="right" w:leader="dot" w:pos="8844"/>
        </w:tabs>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_Toc28640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snapToGrid w:val="0"/>
          <w:color w:val="auto"/>
          <w:sz w:val="24"/>
          <w:szCs w:val="24"/>
        </w:rPr>
        <w:t>三、区域环境质量现状、环境保护目标及评价标准</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_Toc28640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27</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75B6A267">
      <w:pPr>
        <w:pStyle w:val="22"/>
        <w:keepNext w:val="0"/>
        <w:keepLines w:val="0"/>
        <w:pageBreakBefore w:val="0"/>
        <w:widowControl w:val="0"/>
        <w:tabs>
          <w:tab w:val="right" w:leader="dot" w:pos="8844"/>
        </w:tabs>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_Toc30231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snapToGrid w:val="0"/>
          <w:color w:val="auto"/>
          <w:sz w:val="24"/>
          <w:szCs w:val="24"/>
        </w:rPr>
        <w:t>四、主要环境影响和保护措施</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_Toc30231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63</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6B1DBCB8">
      <w:pPr>
        <w:pStyle w:val="22"/>
        <w:keepNext w:val="0"/>
        <w:keepLines w:val="0"/>
        <w:pageBreakBefore w:val="0"/>
        <w:widowControl w:val="0"/>
        <w:tabs>
          <w:tab w:val="right" w:leader="dot" w:pos="8844"/>
        </w:tabs>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_Toc13213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snapToGrid w:val="0"/>
          <w:color w:val="auto"/>
          <w:sz w:val="24"/>
          <w:szCs w:val="24"/>
        </w:rPr>
        <w:t>五、环境保护措施监督检查清单</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_Toc13213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100</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23ACBCCF">
      <w:pPr>
        <w:pStyle w:val="22"/>
        <w:keepNext w:val="0"/>
        <w:keepLines w:val="0"/>
        <w:pageBreakBefore w:val="0"/>
        <w:widowControl w:val="0"/>
        <w:tabs>
          <w:tab w:val="right" w:leader="dot" w:pos="8844"/>
        </w:tabs>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_Toc21685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snapToGrid w:val="0"/>
          <w:color w:val="auto"/>
          <w:sz w:val="24"/>
          <w:szCs w:val="24"/>
        </w:rPr>
        <w:t>六、结论</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_Toc21685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105</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08A438A3">
      <w:pPr>
        <w:pStyle w:val="22"/>
        <w:keepNext w:val="0"/>
        <w:keepLines w:val="0"/>
        <w:pageBreakBefore w:val="0"/>
        <w:widowControl w:val="0"/>
        <w:tabs>
          <w:tab w:val="right" w:leader="dot" w:pos="8844"/>
        </w:tabs>
        <w:kinsoku/>
        <w:wordWrap/>
        <w:overflowPunct/>
        <w:topLinePunct w:val="0"/>
        <w:autoSpaceDE/>
        <w:autoSpaceDN/>
        <w:bidi w:val="0"/>
        <w:adjustRightInd/>
        <w:snapToGrid/>
        <w:spacing w:line="480" w:lineRule="auto"/>
        <w:jc w:val="both"/>
        <w:textAlignment w:val="auto"/>
        <w:rPr>
          <w:rFonts w:hint="default" w:ascii="Times New Roman" w:hAnsi="Times New Roman" w:cs="Times New Roman" w:eastAsiaTheme="minorEastAsia"/>
          <w:color w:val="auto"/>
          <w:sz w:val="24"/>
          <w:szCs w:val="24"/>
        </w:rPr>
      </w:pP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HYPERLINK \l _Toc17888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snapToGrid w:val="0"/>
          <w:color w:val="auto"/>
          <w:sz w:val="24"/>
          <w:szCs w:val="24"/>
        </w:rPr>
        <w:t>附表</w:t>
      </w:r>
      <w:r>
        <w:rPr>
          <w:rFonts w:hint="default" w:ascii="Times New Roman" w:hAnsi="Times New Roman" w:cs="Times New Roman" w:eastAsiaTheme="minorEastAsia"/>
          <w:color w:val="auto"/>
          <w:sz w:val="24"/>
          <w:szCs w:val="24"/>
        </w:rPr>
        <w:tab/>
      </w:r>
      <w:r>
        <w:rPr>
          <w:rFonts w:hint="default" w:ascii="Times New Roman" w:hAnsi="Times New Roman" w:cs="Times New Roman" w:eastAsiaTheme="minorEastAsia"/>
          <w:color w:val="auto"/>
          <w:sz w:val="24"/>
          <w:szCs w:val="24"/>
        </w:rPr>
        <w:fldChar w:fldCharType="begin"/>
      </w:r>
      <w:r>
        <w:rPr>
          <w:rFonts w:hint="default" w:ascii="Times New Roman" w:hAnsi="Times New Roman" w:cs="Times New Roman" w:eastAsiaTheme="minorEastAsia"/>
          <w:color w:val="auto"/>
          <w:sz w:val="24"/>
          <w:szCs w:val="24"/>
        </w:rPr>
        <w:instrText xml:space="preserve"> PAGEREF _Toc17888 \h </w:instrText>
      </w:r>
      <w:r>
        <w:rPr>
          <w:rFonts w:hint="default" w:ascii="Times New Roman" w:hAnsi="Times New Roman" w:cs="Times New Roman" w:eastAsiaTheme="minorEastAsia"/>
          <w:color w:val="auto"/>
          <w:sz w:val="24"/>
          <w:szCs w:val="24"/>
        </w:rPr>
        <w:fldChar w:fldCharType="separate"/>
      </w:r>
      <w:r>
        <w:rPr>
          <w:rFonts w:hint="default" w:ascii="Times New Roman" w:hAnsi="Times New Roman" w:cs="Times New Roman" w:eastAsiaTheme="minorEastAsia"/>
          <w:color w:val="auto"/>
          <w:sz w:val="24"/>
          <w:szCs w:val="24"/>
        </w:rPr>
        <w:t>106</w:t>
      </w:r>
      <w:r>
        <w:rPr>
          <w:rFonts w:hint="default" w:ascii="Times New Roman" w:hAnsi="Times New Roman" w:cs="Times New Roman" w:eastAsiaTheme="minorEastAsia"/>
          <w:color w:val="auto"/>
          <w:sz w:val="24"/>
          <w:szCs w:val="24"/>
        </w:rPr>
        <w:fldChar w:fldCharType="end"/>
      </w:r>
      <w:r>
        <w:rPr>
          <w:rFonts w:hint="default" w:ascii="Times New Roman" w:hAnsi="Times New Roman" w:cs="Times New Roman" w:eastAsiaTheme="minorEastAsia"/>
          <w:color w:val="auto"/>
          <w:sz w:val="24"/>
          <w:szCs w:val="24"/>
        </w:rPr>
        <w:fldChar w:fldCharType="end"/>
      </w:r>
    </w:p>
    <w:p w14:paraId="339FBEF9">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rPr>
          <w:rFonts w:hint="default" w:ascii="Times New Roman" w:hAnsi="Times New Roman" w:eastAsia="宋体" w:cs="Times New Roman"/>
          <w:snapToGrid w:val="0"/>
          <w:color w:val="auto"/>
          <w:sz w:val="24"/>
          <w:szCs w:val="24"/>
        </w:rPr>
      </w:pPr>
      <w:r>
        <w:rPr>
          <w:rFonts w:hint="default" w:ascii="Times New Roman" w:hAnsi="Times New Roman" w:eastAsia="宋体" w:cs="Times New Roman"/>
          <w:color w:val="auto"/>
          <w:sz w:val="24"/>
          <w:szCs w:val="24"/>
        </w:rPr>
        <w:fldChar w:fldCharType="end"/>
      </w:r>
    </w:p>
    <w:p w14:paraId="4833492D">
      <w:pPr>
        <w:pStyle w:val="28"/>
        <w:keepNext w:val="0"/>
        <w:keepLines w:val="0"/>
        <w:pageBreakBefore w:val="0"/>
        <w:kinsoku/>
        <w:wordWrap/>
        <w:overflowPunct/>
        <w:topLinePunct w:val="0"/>
        <w:autoSpaceDE/>
        <w:autoSpaceDN/>
        <w:bidi w:val="0"/>
        <w:adjustRightInd/>
        <w:snapToGrid/>
        <w:spacing w:before="0" w:beforeAutospacing="0" w:after="0" w:afterAutospacing="0" w:line="480" w:lineRule="auto"/>
        <w:jc w:val="center"/>
        <w:textAlignment w:val="auto"/>
        <w:outlineLvl w:val="0"/>
        <w:rPr>
          <w:rFonts w:hint="default" w:ascii="Times New Roman" w:hAnsi="Times New Roman" w:eastAsia="宋体" w:cs="Times New Roman"/>
          <w:snapToGrid w:val="0"/>
          <w:color w:val="auto"/>
          <w:sz w:val="24"/>
          <w:szCs w:val="24"/>
        </w:rPr>
        <w:sectPr>
          <w:footerReference r:id="rId4"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2D4EF94E">
      <w:pPr>
        <w:pStyle w:val="28"/>
        <w:jc w:val="center"/>
        <w:outlineLvl w:val="0"/>
        <w:rPr>
          <w:rFonts w:hint="default" w:ascii="Times New Roman" w:hAnsi="Times New Roman" w:eastAsia="黑体" w:cs="Times New Roman"/>
          <w:snapToGrid w:val="0"/>
          <w:color w:val="auto"/>
          <w:sz w:val="30"/>
          <w:szCs w:val="30"/>
        </w:rPr>
      </w:pPr>
      <w:bookmarkStart w:id="3" w:name="_Toc18224"/>
      <w:r>
        <w:rPr>
          <w:rFonts w:hint="default" w:ascii="Times New Roman" w:hAnsi="Times New Roman" w:eastAsia="黑体" w:cs="Times New Roman"/>
          <w:snapToGrid w:val="0"/>
          <w:color w:val="auto"/>
          <w:sz w:val="30"/>
          <w:szCs w:val="30"/>
        </w:rPr>
        <w:t>一</w:t>
      </w:r>
      <w:r>
        <w:rPr>
          <w:rFonts w:hint="default" w:ascii="Times New Roman" w:hAnsi="Times New Roman" w:eastAsia="黑体" w:cs="Times New Roman"/>
          <w:snapToGrid w:val="0"/>
          <w:color w:val="auto"/>
          <w:sz w:val="30"/>
          <w:szCs w:val="30"/>
          <w:lang w:eastAsia="zh-CN"/>
        </w:rPr>
        <w:t>、</w:t>
      </w:r>
      <w:r>
        <w:rPr>
          <w:rFonts w:hint="default" w:ascii="Times New Roman" w:hAnsi="Times New Roman" w:eastAsia="黑体" w:cs="Times New Roman"/>
          <w:snapToGrid w:val="0"/>
          <w:color w:val="auto"/>
          <w:sz w:val="30"/>
          <w:szCs w:val="30"/>
        </w:rPr>
        <w:t>建设项目基本情况</w:t>
      </w:r>
      <w:bookmarkEnd w:id="3"/>
    </w:p>
    <w:tbl>
      <w:tblPr>
        <w:tblStyle w:val="32"/>
        <w:tblW w:w="5762"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57" w:type="dxa"/>
          <w:left w:w="57" w:type="dxa"/>
          <w:bottom w:w="57" w:type="dxa"/>
          <w:right w:w="57" w:type="dxa"/>
        </w:tblCellMar>
      </w:tblPr>
      <w:tblGrid>
        <w:gridCol w:w="1828"/>
        <w:gridCol w:w="2769"/>
        <w:gridCol w:w="2143"/>
        <w:gridCol w:w="3536"/>
      </w:tblGrid>
      <w:tr w14:paraId="46C1A4B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13" w:hRule="atLeast"/>
          <w:jc w:val="center"/>
        </w:trPr>
        <w:tc>
          <w:tcPr>
            <w:tcW w:w="889" w:type="pct"/>
            <w:noWrap w:val="0"/>
            <w:tcMar>
              <w:top w:w="16" w:type="dxa"/>
              <w:left w:w="16" w:type="dxa"/>
              <w:right w:w="16" w:type="dxa"/>
            </w:tcMar>
            <w:vAlign w:val="center"/>
          </w:tcPr>
          <w:p w14:paraId="17B258EC">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建设项目称</w:t>
            </w:r>
          </w:p>
        </w:tc>
        <w:tc>
          <w:tcPr>
            <w:tcW w:w="4110" w:type="pct"/>
            <w:gridSpan w:val="3"/>
            <w:noWrap w:val="0"/>
            <w:vAlign w:val="center"/>
          </w:tcPr>
          <w:p w14:paraId="405ECDA0">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cs="Times New Roman"/>
                <w:color w:val="auto"/>
                <w:spacing w:val="0"/>
                <w:sz w:val="24"/>
                <w:szCs w:val="24"/>
                <w:highlight w:val="none"/>
                <w:lang w:val="en-US" w:eastAsia="zh-CN"/>
              </w:rPr>
              <w:t>光源发电电厂45MW尾气发电项目</w:t>
            </w:r>
          </w:p>
        </w:tc>
      </w:tr>
      <w:tr w14:paraId="125E701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13" w:hRule="atLeast"/>
          <w:jc w:val="center"/>
        </w:trPr>
        <w:tc>
          <w:tcPr>
            <w:tcW w:w="889" w:type="pct"/>
            <w:noWrap w:val="0"/>
            <w:tcMar>
              <w:top w:w="16" w:type="dxa"/>
              <w:left w:w="16" w:type="dxa"/>
              <w:right w:w="16" w:type="dxa"/>
            </w:tcMar>
            <w:vAlign w:val="center"/>
          </w:tcPr>
          <w:p w14:paraId="03EE9D9D">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项目代码</w:t>
            </w:r>
          </w:p>
        </w:tc>
        <w:tc>
          <w:tcPr>
            <w:tcW w:w="4110" w:type="pct"/>
            <w:gridSpan w:val="3"/>
            <w:noWrap w:val="0"/>
            <w:vAlign w:val="center"/>
          </w:tcPr>
          <w:p w14:paraId="20C336CC">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250</w:t>
            </w:r>
            <w:r>
              <w:rPr>
                <w:rFonts w:hint="default" w:ascii="Times New Roman" w:hAnsi="Times New Roman" w:cs="Times New Roman"/>
                <w:color w:val="auto"/>
                <w:spacing w:val="0"/>
                <w:sz w:val="24"/>
                <w:szCs w:val="24"/>
                <w:highlight w:val="none"/>
                <w:lang w:val="en-US" w:eastAsia="zh-CN"/>
              </w:rPr>
              <w:t>5</w:t>
            </w:r>
            <w:r>
              <w:rPr>
                <w:rFonts w:hint="default" w:ascii="Times New Roman" w:hAnsi="Times New Roman" w:eastAsia="宋体" w:cs="Times New Roman"/>
                <w:color w:val="auto"/>
                <w:spacing w:val="0"/>
                <w:sz w:val="24"/>
                <w:szCs w:val="24"/>
                <w:highlight w:val="none"/>
                <w:lang w:val="en-US" w:eastAsia="zh-CN"/>
              </w:rPr>
              <w:t>-</w:t>
            </w:r>
            <w:r>
              <w:rPr>
                <w:rFonts w:hint="default" w:ascii="Times New Roman" w:hAnsi="Times New Roman" w:cs="Times New Roman"/>
                <w:color w:val="auto"/>
                <w:spacing w:val="0"/>
                <w:sz w:val="24"/>
                <w:szCs w:val="24"/>
                <w:highlight w:val="none"/>
                <w:lang w:val="en-US" w:eastAsia="zh-CN"/>
              </w:rPr>
              <w:t>652327</w:t>
            </w:r>
            <w:r>
              <w:rPr>
                <w:rFonts w:hint="default" w:ascii="Times New Roman" w:hAnsi="Times New Roman" w:eastAsia="宋体" w:cs="Times New Roman"/>
                <w:color w:val="auto"/>
                <w:spacing w:val="0"/>
                <w:sz w:val="24"/>
                <w:szCs w:val="24"/>
                <w:highlight w:val="none"/>
                <w:lang w:val="en-US" w:eastAsia="zh-CN"/>
              </w:rPr>
              <w:t>-</w:t>
            </w:r>
            <w:r>
              <w:rPr>
                <w:rFonts w:hint="default" w:ascii="Times New Roman" w:hAnsi="Times New Roman" w:cs="Times New Roman"/>
                <w:color w:val="auto"/>
                <w:spacing w:val="0"/>
                <w:sz w:val="24"/>
                <w:szCs w:val="24"/>
                <w:highlight w:val="none"/>
                <w:lang w:val="en-US" w:eastAsia="zh-CN"/>
              </w:rPr>
              <w:t>04</w:t>
            </w:r>
            <w:r>
              <w:rPr>
                <w:rFonts w:hint="default" w:ascii="Times New Roman" w:hAnsi="Times New Roman" w:eastAsia="宋体" w:cs="Times New Roman"/>
                <w:color w:val="auto"/>
                <w:spacing w:val="0"/>
                <w:sz w:val="24"/>
                <w:szCs w:val="24"/>
                <w:highlight w:val="none"/>
                <w:lang w:val="en-US" w:eastAsia="zh-CN"/>
              </w:rPr>
              <w:t>-0</w:t>
            </w:r>
            <w:r>
              <w:rPr>
                <w:rFonts w:hint="default" w:ascii="Times New Roman" w:hAnsi="Times New Roman" w:cs="Times New Roman"/>
                <w:color w:val="auto"/>
                <w:spacing w:val="0"/>
                <w:sz w:val="24"/>
                <w:szCs w:val="24"/>
                <w:highlight w:val="none"/>
                <w:lang w:val="en-US" w:eastAsia="zh-CN"/>
              </w:rPr>
              <w:t>1</w:t>
            </w:r>
            <w:r>
              <w:rPr>
                <w:rFonts w:hint="default" w:ascii="Times New Roman" w:hAnsi="Times New Roman" w:eastAsia="宋体" w:cs="Times New Roman"/>
                <w:color w:val="auto"/>
                <w:spacing w:val="0"/>
                <w:sz w:val="24"/>
                <w:szCs w:val="24"/>
                <w:highlight w:val="none"/>
                <w:lang w:val="en-US" w:eastAsia="zh-CN"/>
              </w:rPr>
              <w:t>-</w:t>
            </w:r>
            <w:r>
              <w:rPr>
                <w:rFonts w:hint="default" w:ascii="Times New Roman" w:hAnsi="Times New Roman" w:cs="Times New Roman"/>
                <w:color w:val="auto"/>
                <w:spacing w:val="0"/>
                <w:sz w:val="24"/>
                <w:szCs w:val="24"/>
                <w:highlight w:val="none"/>
                <w:lang w:val="en-US" w:eastAsia="zh-CN"/>
              </w:rPr>
              <w:t>960025</w:t>
            </w:r>
          </w:p>
        </w:tc>
      </w:tr>
      <w:tr w14:paraId="5CDBF0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889" w:type="pct"/>
            <w:noWrap w:val="0"/>
            <w:tcMar>
              <w:top w:w="16" w:type="dxa"/>
              <w:left w:w="16" w:type="dxa"/>
              <w:right w:w="16" w:type="dxa"/>
            </w:tcMar>
            <w:vAlign w:val="center"/>
          </w:tcPr>
          <w:p w14:paraId="1628A6B7">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建设单位</w:t>
            </w:r>
          </w:p>
          <w:p w14:paraId="651AC99D">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联系人</w:t>
            </w:r>
          </w:p>
        </w:tc>
        <w:tc>
          <w:tcPr>
            <w:tcW w:w="1347" w:type="pct"/>
            <w:noWrap w:val="0"/>
            <w:vAlign w:val="center"/>
          </w:tcPr>
          <w:p w14:paraId="7BBA7E65">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马利昂</w:t>
            </w:r>
          </w:p>
        </w:tc>
        <w:tc>
          <w:tcPr>
            <w:tcW w:w="1042" w:type="pct"/>
            <w:noWrap w:val="0"/>
            <w:vAlign w:val="center"/>
          </w:tcPr>
          <w:p w14:paraId="5FBF4C65">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联系方式</w:t>
            </w:r>
          </w:p>
        </w:tc>
        <w:tc>
          <w:tcPr>
            <w:tcW w:w="1720" w:type="pct"/>
            <w:noWrap w:val="0"/>
            <w:vAlign w:val="center"/>
          </w:tcPr>
          <w:p w14:paraId="6D0B6305">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3"/>
                <w:sz w:val="24"/>
                <w:szCs w:val="24"/>
                <w:lang w:val="en-US" w:eastAsia="zh-CN"/>
              </w:rPr>
              <w:t>18129223063</w:t>
            </w:r>
          </w:p>
        </w:tc>
      </w:tr>
      <w:tr w14:paraId="1893944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13" w:hRule="atLeast"/>
          <w:jc w:val="center"/>
        </w:trPr>
        <w:tc>
          <w:tcPr>
            <w:tcW w:w="889" w:type="pct"/>
            <w:noWrap w:val="0"/>
            <w:tcMar>
              <w:top w:w="16" w:type="dxa"/>
              <w:left w:w="16" w:type="dxa"/>
              <w:right w:w="16" w:type="dxa"/>
            </w:tcMar>
            <w:vAlign w:val="center"/>
          </w:tcPr>
          <w:p w14:paraId="0AB9F804">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建设地点</w:t>
            </w:r>
          </w:p>
        </w:tc>
        <w:tc>
          <w:tcPr>
            <w:tcW w:w="4110" w:type="pct"/>
            <w:gridSpan w:val="3"/>
            <w:noWrap w:val="0"/>
            <w:vAlign w:val="center"/>
          </w:tcPr>
          <w:p w14:paraId="23CA7197">
            <w:pPr>
              <w:pStyle w:val="8"/>
              <w:jc w:val="center"/>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rPr>
              <w:t>新疆维吾尔自</w:t>
            </w:r>
            <w:r>
              <w:rPr>
                <w:rFonts w:hint="default" w:ascii="Times New Roman" w:hAnsi="Times New Roman" w:eastAsia="宋体" w:cs="Times New Roman"/>
                <w:color w:val="auto"/>
                <w:spacing w:val="7"/>
                <w:kern w:val="2"/>
                <w:sz w:val="24"/>
                <w:szCs w:val="24"/>
                <w:lang w:val="en-US" w:eastAsia="zh-CN" w:bidi="ar-SA"/>
              </w:rPr>
              <w:t>治区昌吉回族自治州</w:t>
            </w:r>
            <w:r>
              <w:rPr>
                <w:rFonts w:hint="default" w:ascii="Times New Roman" w:hAnsi="Times New Roman" w:cs="Times New Roman"/>
                <w:color w:val="auto"/>
                <w:kern w:val="2"/>
                <w:sz w:val="24"/>
                <w:szCs w:val="24"/>
                <w:lang w:val="en-US" w:eastAsia="zh-CN" w:bidi="ar-SA"/>
              </w:rPr>
              <w:t>吉木萨尔县北三台循环经济工业园恒信煤炭制品工贸有限公司120万吨煤制品深加工升级改造项目</w:t>
            </w:r>
            <w:r>
              <w:rPr>
                <w:rFonts w:hint="default" w:ascii="Times New Roman" w:hAnsi="Times New Roman" w:eastAsia="宋体" w:cs="Times New Roman"/>
                <w:color w:val="auto"/>
                <w:spacing w:val="7"/>
                <w:kern w:val="2"/>
                <w:sz w:val="24"/>
                <w:szCs w:val="24"/>
                <w:lang w:val="en-US" w:eastAsia="zh-CN" w:bidi="ar-SA"/>
              </w:rPr>
              <w:t>厂区</w:t>
            </w:r>
            <w:r>
              <w:rPr>
                <w:rFonts w:hint="default" w:ascii="Times New Roman" w:hAnsi="Times New Roman" w:cs="Times New Roman"/>
                <w:color w:val="auto"/>
                <w:spacing w:val="7"/>
                <w:kern w:val="2"/>
                <w:sz w:val="24"/>
                <w:szCs w:val="24"/>
                <w:lang w:val="en-US" w:eastAsia="zh-CN" w:bidi="ar-SA"/>
              </w:rPr>
              <w:t>南侧</w:t>
            </w:r>
          </w:p>
        </w:tc>
      </w:tr>
      <w:tr w14:paraId="56A597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13" w:hRule="atLeast"/>
          <w:jc w:val="center"/>
        </w:trPr>
        <w:tc>
          <w:tcPr>
            <w:tcW w:w="889" w:type="pct"/>
            <w:noWrap w:val="0"/>
            <w:tcMar>
              <w:top w:w="16" w:type="dxa"/>
              <w:left w:w="16" w:type="dxa"/>
              <w:right w:w="16" w:type="dxa"/>
            </w:tcMar>
            <w:vAlign w:val="center"/>
          </w:tcPr>
          <w:p w14:paraId="7744C83C">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地理坐标</w:t>
            </w:r>
          </w:p>
        </w:tc>
        <w:tc>
          <w:tcPr>
            <w:tcW w:w="4110" w:type="pct"/>
            <w:gridSpan w:val="3"/>
            <w:noWrap w:val="0"/>
            <w:vAlign w:val="center"/>
          </w:tcPr>
          <w:p w14:paraId="011D325D">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lang w:eastAsia="zh-CN"/>
              </w:rPr>
              <w:t>东经</w:t>
            </w:r>
            <w:r>
              <w:rPr>
                <w:rFonts w:hint="default" w:ascii="Times New Roman" w:hAnsi="Times New Roman" w:eastAsia="宋体" w:cs="Times New Roman"/>
                <w:color w:val="auto"/>
                <w:spacing w:val="0"/>
                <w:sz w:val="24"/>
                <w:szCs w:val="24"/>
                <w:highlight w:val="none"/>
                <w:u w:val="none"/>
                <w:lang w:eastAsia="zh-CN"/>
              </w:rPr>
              <w:t>：</w:t>
            </w:r>
            <w:r>
              <w:rPr>
                <w:rFonts w:hint="default" w:ascii="Times New Roman" w:hAnsi="Times New Roman" w:cs="Times New Roman"/>
                <w:color w:val="auto"/>
                <w:spacing w:val="0"/>
                <w:sz w:val="24"/>
                <w:szCs w:val="24"/>
                <w:highlight w:val="none"/>
                <w:u w:val="single"/>
                <w:lang w:val="en-US" w:eastAsia="zh-CN"/>
              </w:rPr>
              <w:t>88</w:t>
            </w:r>
            <w:r>
              <w:rPr>
                <w:rFonts w:hint="default" w:ascii="Times New Roman" w:hAnsi="Times New Roman" w:eastAsia="宋体" w:cs="Times New Roman"/>
                <w:color w:val="auto"/>
                <w:spacing w:val="0"/>
                <w:sz w:val="24"/>
                <w:szCs w:val="24"/>
                <w:highlight w:val="none"/>
              </w:rPr>
              <w:t>度</w:t>
            </w:r>
            <w:r>
              <w:rPr>
                <w:rFonts w:hint="default" w:ascii="Times New Roman" w:hAnsi="Times New Roman" w:cs="Times New Roman"/>
                <w:color w:val="auto"/>
                <w:spacing w:val="0"/>
                <w:sz w:val="24"/>
                <w:szCs w:val="24"/>
                <w:highlight w:val="none"/>
                <w:u w:val="single"/>
                <w:lang w:val="en-US" w:eastAsia="zh-CN"/>
              </w:rPr>
              <w:t>58</w:t>
            </w:r>
            <w:r>
              <w:rPr>
                <w:rFonts w:hint="default" w:ascii="Times New Roman" w:hAnsi="Times New Roman" w:eastAsia="宋体" w:cs="Times New Roman"/>
                <w:color w:val="auto"/>
                <w:spacing w:val="0"/>
                <w:sz w:val="24"/>
                <w:szCs w:val="24"/>
                <w:highlight w:val="none"/>
              </w:rPr>
              <w:t>分</w:t>
            </w:r>
            <w:r>
              <w:rPr>
                <w:rFonts w:hint="default" w:ascii="Times New Roman" w:hAnsi="Times New Roman" w:cs="Times New Roman"/>
                <w:color w:val="auto"/>
                <w:spacing w:val="0"/>
                <w:sz w:val="24"/>
                <w:szCs w:val="24"/>
                <w:highlight w:val="none"/>
                <w:u w:val="single"/>
                <w:lang w:val="en-US" w:eastAsia="zh-CN"/>
              </w:rPr>
              <w:t>10.252</w:t>
            </w:r>
            <w:r>
              <w:rPr>
                <w:rFonts w:hint="default" w:ascii="Times New Roman" w:hAnsi="Times New Roman" w:eastAsia="宋体" w:cs="Times New Roman"/>
                <w:color w:val="auto"/>
                <w:spacing w:val="0"/>
                <w:sz w:val="24"/>
                <w:szCs w:val="24"/>
                <w:highlight w:val="none"/>
              </w:rPr>
              <w:t>秒，</w:t>
            </w:r>
            <w:r>
              <w:rPr>
                <w:rFonts w:hint="default" w:ascii="Times New Roman" w:hAnsi="Times New Roman" w:eastAsia="宋体" w:cs="Times New Roman"/>
                <w:color w:val="auto"/>
                <w:spacing w:val="0"/>
                <w:sz w:val="24"/>
                <w:szCs w:val="24"/>
                <w:highlight w:val="none"/>
                <w:lang w:eastAsia="zh-CN"/>
              </w:rPr>
              <w:t>北纬</w:t>
            </w:r>
            <w:r>
              <w:rPr>
                <w:rFonts w:hint="default" w:ascii="Times New Roman" w:hAnsi="Times New Roman" w:eastAsia="宋体" w:cs="Times New Roman"/>
                <w:color w:val="auto"/>
                <w:spacing w:val="0"/>
                <w:sz w:val="24"/>
                <w:szCs w:val="24"/>
                <w:highlight w:val="none"/>
                <w:u w:val="none"/>
                <w:lang w:eastAsia="zh-CN"/>
              </w:rPr>
              <w:t>：</w:t>
            </w:r>
            <w:r>
              <w:rPr>
                <w:rFonts w:hint="default" w:ascii="Times New Roman" w:hAnsi="Times New Roman" w:cs="Times New Roman"/>
                <w:color w:val="auto"/>
                <w:spacing w:val="0"/>
                <w:sz w:val="24"/>
                <w:szCs w:val="24"/>
                <w:highlight w:val="none"/>
                <w:u w:val="single"/>
                <w:lang w:val="en-US" w:eastAsia="zh-CN"/>
              </w:rPr>
              <w:t>43</w:t>
            </w:r>
            <w:r>
              <w:rPr>
                <w:rFonts w:hint="default" w:ascii="Times New Roman" w:hAnsi="Times New Roman" w:eastAsia="宋体" w:cs="Times New Roman"/>
                <w:color w:val="auto"/>
                <w:spacing w:val="0"/>
                <w:sz w:val="24"/>
                <w:szCs w:val="24"/>
                <w:highlight w:val="none"/>
              </w:rPr>
              <w:t>度</w:t>
            </w:r>
            <w:r>
              <w:rPr>
                <w:rFonts w:hint="default" w:ascii="Times New Roman" w:hAnsi="Times New Roman" w:cs="Times New Roman"/>
                <w:color w:val="auto"/>
                <w:spacing w:val="0"/>
                <w:sz w:val="24"/>
                <w:szCs w:val="24"/>
                <w:highlight w:val="none"/>
                <w:u w:val="single"/>
                <w:lang w:val="en-US" w:eastAsia="zh-CN"/>
              </w:rPr>
              <w:t>56</w:t>
            </w:r>
            <w:r>
              <w:rPr>
                <w:rFonts w:hint="default" w:ascii="Times New Roman" w:hAnsi="Times New Roman" w:eastAsia="宋体" w:cs="Times New Roman"/>
                <w:color w:val="auto"/>
                <w:spacing w:val="0"/>
                <w:sz w:val="24"/>
                <w:szCs w:val="24"/>
                <w:highlight w:val="none"/>
              </w:rPr>
              <w:t>分</w:t>
            </w:r>
            <w:r>
              <w:rPr>
                <w:rFonts w:hint="default" w:ascii="Times New Roman" w:hAnsi="Times New Roman" w:cs="Times New Roman"/>
                <w:color w:val="auto"/>
                <w:spacing w:val="0"/>
                <w:sz w:val="24"/>
                <w:szCs w:val="24"/>
                <w:highlight w:val="none"/>
                <w:u w:val="single"/>
                <w:lang w:val="en-US" w:eastAsia="zh-CN"/>
              </w:rPr>
              <w:t>0.982</w:t>
            </w:r>
            <w:r>
              <w:rPr>
                <w:rFonts w:hint="default" w:ascii="Times New Roman" w:hAnsi="Times New Roman" w:eastAsia="宋体" w:cs="Times New Roman"/>
                <w:color w:val="auto"/>
                <w:spacing w:val="0"/>
                <w:sz w:val="24"/>
                <w:szCs w:val="24"/>
                <w:highlight w:val="none"/>
              </w:rPr>
              <w:t>秒</w:t>
            </w:r>
          </w:p>
        </w:tc>
      </w:tr>
      <w:tr w14:paraId="4DBD29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13" w:hRule="atLeast"/>
          <w:jc w:val="center"/>
        </w:trPr>
        <w:tc>
          <w:tcPr>
            <w:tcW w:w="889" w:type="pct"/>
            <w:noWrap w:val="0"/>
            <w:tcMar>
              <w:top w:w="16" w:type="dxa"/>
              <w:left w:w="16" w:type="dxa"/>
              <w:right w:w="16" w:type="dxa"/>
            </w:tcMar>
            <w:vAlign w:val="center"/>
          </w:tcPr>
          <w:p w14:paraId="51355C29">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国民经济</w:t>
            </w:r>
          </w:p>
          <w:p w14:paraId="07468D7D">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行业类别</w:t>
            </w:r>
          </w:p>
        </w:tc>
        <w:tc>
          <w:tcPr>
            <w:tcW w:w="1347" w:type="pct"/>
            <w:noWrap w:val="0"/>
            <w:vAlign w:val="center"/>
          </w:tcPr>
          <w:p w14:paraId="756FCDA3">
            <w:pPr>
              <w:keepNext w:val="0"/>
              <w:keepLines w:val="0"/>
              <w:pageBreakBefore w:val="0"/>
              <w:kinsoku/>
              <w:wordWrap/>
              <w:bidi w:val="0"/>
              <w:adjustRightInd/>
              <w:snapToGrid/>
              <w:jc w:val="center"/>
              <w:rPr>
                <w:rFonts w:hint="default" w:ascii="Times New Roman" w:hAnsi="Times New Roman" w:eastAsia="宋体" w:cs="Times New Roman"/>
                <w:color w:val="auto"/>
                <w:spacing w:val="7"/>
                <w:sz w:val="24"/>
                <w:szCs w:val="24"/>
                <w:lang w:val="en-US" w:eastAsia="zh-CN"/>
              </w:rPr>
            </w:pPr>
            <w:r>
              <w:rPr>
                <w:rFonts w:hint="default" w:ascii="Times New Roman" w:hAnsi="Times New Roman" w:eastAsia="宋体" w:cs="Times New Roman"/>
                <w:color w:val="auto"/>
                <w:spacing w:val="7"/>
                <w:sz w:val="24"/>
                <w:szCs w:val="24"/>
                <w:lang w:val="en-US" w:eastAsia="zh-CN"/>
              </w:rPr>
              <w:t>D4411火力发电</w:t>
            </w:r>
          </w:p>
        </w:tc>
        <w:tc>
          <w:tcPr>
            <w:tcW w:w="1042" w:type="pct"/>
            <w:noWrap w:val="0"/>
            <w:vAlign w:val="center"/>
          </w:tcPr>
          <w:p w14:paraId="42164FF4">
            <w:pPr>
              <w:keepNext w:val="0"/>
              <w:keepLines w:val="0"/>
              <w:pageBreakBefore w:val="0"/>
              <w:kinsoku/>
              <w:wordWrap/>
              <w:bidi w:val="0"/>
              <w:adjustRightInd/>
              <w:snapToGrid/>
              <w:jc w:val="center"/>
              <w:rPr>
                <w:rFonts w:hint="default" w:ascii="Times New Roman" w:hAnsi="Times New Roman" w:eastAsia="宋体" w:cs="Times New Roman"/>
                <w:color w:val="auto"/>
                <w:spacing w:val="7"/>
                <w:sz w:val="24"/>
                <w:szCs w:val="24"/>
                <w:lang w:val="en-US" w:eastAsia="zh-CN"/>
              </w:rPr>
            </w:pPr>
            <w:bookmarkStart w:id="4" w:name="_Hlk49843745"/>
            <w:r>
              <w:rPr>
                <w:rFonts w:hint="default" w:ascii="Times New Roman" w:hAnsi="Times New Roman" w:eastAsia="宋体" w:cs="Times New Roman"/>
                <w:color w:val="auto"/>
                <w:spacing w:val="7"/>
                <w:sz w:val="24"/>
                <w:szCs w:val="24"/>
                <w:lang w:val="en-US" w:eastAsia="zh-CN"/>
              </w:rPr>
              <w:t>建设项目</w:t>
            </w:r>
          </w:p>
          <w:p w14:paraId="27570250">
            <w:pPr>
              <w:keepNext w:val="0"/>
              <w:keepLines w:val="0"/>
              <w:pageBreakBefore w:val="0"/>
              <w:kinsoku/>
              <w:wordWrap/>
              <w:bidi w:val="0"/>
              <w:adjustRightInd/>
              <w:snapToGrid/>
              <w:jc w:val="center"/>
              <w:rPr>
                <w:rFonts w:hint="default" w:ascii="Times New Roman" w:hAnsi="Times New Roman" w:eastAsia="宋体" w:cs="Times New Roman"/>
                <w:color w:val="auto"/>
                <w:spacing w:val="7"/>
                <w:sz w:val="24"/>
                <w:szCs w:val="24"/>
                <w:lang w:val="en-US" w:eastAsia="zh-CN"/>
              </w:rPr>
            </w:pPr>
            <w:r>
              <w:rPr>
                <w:rFonts w:hint="default" w:ascii="Times New Roman" w:hAnsi="Times New Roman" w:eastAsia="宋体" w:cs="Times New Roman"/>
                <w:color w:val="auto"/>
                <w:spacing w:val="7"/>
                <w:sz w:val="24"/>
                <w:szCs w:val="24"/>
                <w:lang w:val="en-US" w:eastAsia="zh-CN"/>
              </w:rPr>
              <w:t>行业类别</w:t>
            </w:r>
            <w:bookmarkEnd w:id="4"/>
          </w:p>
        </w:tc>
        <w:tc>
          <w:tcPr>
            <w:tcW w:w="1720" w:type="pct"/>
            <w:noWrap w:val="0"/>
            <w:vAlign w:val="center"/>
          </w:tcPr>
          <w:p w14:paraId="6B96FDEA">
            <w:pPr>
              <w:keepNext w:val="0"/>
              <w:keepLines w:val="0"/>
              <w:pageBreakBefore w:val="0"/>
              <w:kinsoku/>
              <w:wordWrap/>
              <w:bidi w:val="0"/>
              <w:adjustRightInd/>
              <w:snapToGrid/>
              <w:jc w:val="center"/>
              <w:rPr>
                <w:rFonts w:hint="default" w:ascii="Times New Roman" w:hAnsi="Times New Roman" w:eastAsia="宋体" w:cs="Times New Roman"/>
                <w:color w:val="auto"/>
                <w:spacing w:val="7"/>
                <w:sz w:val="24"/>
                <w:szCs w:val="24"/>
                <w:lang w:val="en-US" w:eastAsia="zh-CN"/>
              </w:rPr>
            </w:pPr>
            <w:r>
              <w:rPr>
                <w:rFonts w:hint="default" w:ascii="Times New Roman" w:hAnsi="Times New Roman" w:eastAsia="宋体" w:cs="Times New Roman"/>
                <w:color w:val="auto"/>
                <w:spacing w:val="7"/>
                <w:sz w:val="24"/>
                <w:szCs w:val="24"/>
                <w:lang w:val="en-US" w:eastAsia="zh-CN"/>
              </w:rPr>
              <w:t>四十一、电力、热力生产和供应业87、火力发电4411；—热电联产4412（4411和4412均含掺烧生活垃圾发电、掺烧污泥发电）</w:t>
            </w:r>
          </w:p>
        </w:tc>
      </w:tr>
      <w:tr w14:paraId="299321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13" w:hRule="atLeast"/>
          <w:jc w:val="center"/>
        </w:trPr>
        <w:tc>
          <w:tcPr>
            <w:tcW w:w="889" w:type="pct"/>
            <w:noWrap w:val="0"/>
            <w:tcMar>
              <w:top w:w="16" w:type="dxa"/>
              <w:left w:w="16" w:type="dxa"/>
              <w:right w:w="16" w:type="dxa"/>
            </w:tcMar>
            <w:vAlign w:val="center"/>
          </w:tcPr>
          <w:p w14:paraId="23DE4248">
            <w:pPr>
              <w:adjustRightInd w:val="0"/>
              <w:snapToGrid w:val="0"/>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z w:val="24"/>
                <w:szCs w:val="24"/>
              </w:rPr>
              <w:t>建设性质</w:t>
            </w:r>
          </w:p>
        </w:tc>
        <w:tc>
          <w:tcPr>
            <w:tcW w:w="1347" w:type="pct"/>
            <w:noWrap w:val="0"/>
            <w:vAlign w:val="center"/>
          </w:tcPr>
          <w:p w14:paraId="67853865">
            <w:pPr>
              <w:keepNext w:val="0"/>
              <w:keepLines w:val="0"/>
              <w:pageBreakBefore w:val="0"/>
              <w:kinsoku/>
              <w:wordWrap/>
              <w:bidi w:val="0"/>
              <w:adjustRightInd/>
              <w:snapToGrid/>
              <w:jc w:val="left"/>
              <w:rPr>
                <w:rFonts w:hint="default" w:ascii="Times New Roman" w:hAnsi="Times New Roman" w:eastAsia="宋体" w:cs="Times New Roman"/>
                <w:color w:val="auto"/>
                <w:spacing w:val="0"/>
                <w:sz w:val="24"/>
                <w:szCs w:val="24"/>
                <w:highlight w:val="none"/>
              </w:rPr>
            </w:pPr>
            <w:r>
              <w:rPr>
                <w:rFonts w:hint="default" w:ascii="Times New Roman" w:hAnsi="Times New Roman"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新建（迁建）</w:t>
            </w:r>
          </w:p>
          <w:p w14:paraId="6C897169">
            <w:pPr>
              <w:keepNext w:val="0"/>
              <w:keepLines w:val="0"/>
              <w:pageBreakBefore w:val="0"/>
              <w:kinsoku/>
              <w:wordWrap/>
              <w:bidi w:val="0"/>
              <w:adjustRightInd/>
              <w:snapToGrid/>
              <w:jc w:val="left"/>
              <w:rPr>
                <w:rFonts w:hint="default" w:ascii="Times New Roman" w:hAnsi="Times New Roman" w:eastAsia="宋体" w:cs="Times New Roman"/>
                <w:color w:val="auto"/>
                <w:spacing w:val="0"/>
                <w:sz w:val="24"/>
                <w:szCs w:val="24"/>
                <w:highlight w:val="none"/>
              </w:rPr>
            </w:pPr>
            <w:r>
              <w:rPr>
                <w:rFonts w:hint="default" w:ascii="Times New Roman" w:hAnsi="Times New Roman"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改建</w:t>
            </w:r>
          </w:p>
          <w:p w14:paraId="5A440D74">
            <w:pPr>
              <w:keepNext w:val="0"/>
              <w:keepLines w:val="0"/>
              <w:pageBreakBefore w:val="0"/>
              <w:kinsoku/>
              <w:wordWrap/>
              <w:bidi w:val="0"/>
              <w:adjustRightInd/>
              <w:snapToGrid/>
              <w:jc w:val="left"/>
              <w:rPr>
                <w:rFonts w:hint="default" w:ascii="Times New Roman" w:hAnsi="Times New Roman" w:eastAsia="宋体" w:cs="Times New Roman"/>
                <w:color w:val="auto"/>
                <w:spacing w:val="0"/>
                <w:sz w:val="24"/>
                <w:szCs w:val="24"/>
                <w:highlight w:val="none"/>
              </w:rPr>
            </w:pPr>
            <w:r>
              <w:rPr>
                <w:rFonts w:hint="default" w:ascii="Times New Roman" w:hAnsi="Times New Roman"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扩建</w:t>
            </w:r>
          </w:p>
          <w:p w14:paraId="45499FF7">
            <w:pPr>
              <w:keepNext w:val="0"/>
              <w:keepLines w:val="0"/>
              <w:pageBreakBefore w:val="0"/>
              <w:kinsoku/>
              <w:wordWrap/>
              <w:bidi w:val="0"/>
              <w:adjustRightInd/>
              <w:snapToGrid/>
              <w:jc w:val="left"/>
              <w:rPr>
                <w:rFonts w:hint="default" w:ascii="Times New Roman" w:hAnsi="Times New Roman" w:eastAsia="宋体" w:cs="Times New Roman"/>
                <w:color w:val="auto"/>
                <w:spacing w:val="0"/>
                <w:sz w:val="24"/>
                <w:szCs w:val="24"/>
                <w:highlight w:val="none"/>
              </w:rPr>
            </w:pPr>
            <w:r>
              <w:rPr>
                <w:rFonts w:hint="default" w:ascii="Times New Roman" w:hAnsi="Times New Roman"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技术改造</w:t>
            </w:r>
          </w:p>
        </w:tc>
        <w:tc>
          <w:tcPr>
            <w:tcW w:w="1042" w:type="pct"/>
            <w:noWrap w:val="0"/>
            <w:vAlign w:val="center"/>
          </w:tcPr>
          <w:p w14:paraId="1C0428AE">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建设项目</w:t>
            </w:r>
          </w:p>
          <w:p w14:paraId="043137E2">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申报情形</w:t>
            </w:r>
          </w:p>
        </w:tc>
        <w:tc>
          <w:tcPr>
            <w:tcW w:w="1720" w:type="pct"/>
            <w:noWrap w:val="0"/>
            <w:vAlign w:val="center"/>
          </w:tcPr>
          <w:p w14:paraId="0A21A040">
            <w:pPr>
              <w:keepNext w:val="0"/>
              <w:keepLines w:val="0"/>
              <w:pageBreakBefore w:val="0"/>
              <w:kinsoku/>
              <w:wordWrap/>
              <w:bidi w:val="0"/>
              <w:adjustRightInd/>
              <w:snapToGrid/>
              <w:jc w:val="left"/>
              <w:rPr>
                <w:rFonts w:hint="default" w:ascii="Times New Roman" w:hAnsi="Times New Roman" w:eastAsia="宋体" w:cs="Times New Roman"/>
                <w:color w:val="auto"/>
                <w:spacing w:val="0"/>
                <w:sz w:val="24"/>
                <w:szCs w:val="24"/>
                <w:highlight w:val="none"/>
                <w:lang w:eastAsia="zh-CN"/>
              </w:rPr>
            </w:pPr>
            <w:r>
              <w:rPr>
                <w:rFonts w:hint="default" w:ascii="Times New Roman" w:hAnsi="Times New Roman"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首次申报项目</w:t>
            </w:r>
          </w:p>
          <w:p w14:paraId="39430ED6">
            <w:pPr>
              <w:keepNext w:val="0"/>
              <w:keepLines w:val="0"/>
              <w:pageBreakBefore w:val="0"/>
              <w:kinsoku/>
              <w:wordWrap/>
              <w:bidi w:val="0"/>
              <w:adjustRightInd/>
              <w:snapToGrid/>
              <w:jc w:val="left"/>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□不予批准后再次申报项目</w:t>
            </w:r>
          </w:p>
          <w:p w14:paraId="3175A01D">
            <w:pPr>
              <w:keepNext w:val="0"/>
              <w:keepLines w:val="0"/>
              <w:pageBreakBefore w:val="0"/>
              <w:kinsoku/>
              <w:wordWrap/>
              <w:bidi w:val="0"/>
              <w:adjustRightInd/>
              <w:snapToGrid/>
              <w:jc w:val="left"/>
              <w:rPr>
                <w:rFonts w:hint="default" w:ascii="Times New Roman" w:hAnsi="Times New Roman" w:eastAsia="宋体" w:cs="Times New Roman"/>
                <w:color w:val="auto"/>
                <w:spacing w:val="0"/>
                <w:sz w:val="24"/>
                <w:szCs w:val="24"/>
                <w:highlight w:val="none"/>
                <w:lang w:eastAsia="zh-CN"/>
              </w:rPr>
            </w:pPr>
            <w:r>
              <w:rPr>
                <w:rFonts w:hint="default" w:ascii="Times New Roman" w:hAnsi="Times New Roman" w:eastAsia="宋体" w:cs="Times New Roman"/>
                <w:color w:val="auto"/>
                <w:spacing w:val="0"/>
                <w:sz w:val="24"/>
                <w:szCs w:val="24"/>
                <w:highlight w:val="none"/>
              </w:rPr>
              <w:t>□超五年重新审核项目</w:t>
            </w:r>
          </w:p>
          <w:p w14:paraId="41EFC7B9">
            <w:pPr>
              <w:keepNext w:val="0"/>
              <w:keepLines w:val="0"/>
              <w:pageBreakBefore w:val="0"/>
              <w:kinsoku/>
              <w:wordWrap/>
              <w:bidi w:val="0"/>
              <w:adjustRightInd/>
              <w:snapToGrid/>
              <w:jc w:val="left"/>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□重大变动重新报批项目</w:t>
            </w:r>
          </w:p>
        </w:tc>
      </w:tr>
      <w:tr w14:paraId="2091B2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889" w:type="pct"/>
            <w:noWrap w:val="0"/>
            <w:tcMar>
              <w:top w:w="16" w:type="dxa"/>
              <w:left w:w="16" w:type="dxa"/>
              <w:right w:w="16" w:type="dxa"/>
            </w:tcMar>
            <w:vAlign w:val="center"/>
          </w:tcPr>
          <w:p w14:paraId="0584DD4C">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lang w:eastAsia="zh-CN"/>
              </w:rPr>
            </w:pPr>
            <w:r>
              <w:rPr>
                <w:rFonts w:hint="default" w:ascii="Times New Roman" w:hAnsi="Times New Roman" w:eastAsia="宋体" w:cs="Times New Roman"/>
                <w:color w:val="auto"/>
                <w:spacing w:val="0"/>
                <w:sz w:val="24"/>
                <w:szCs w:val="24"/>
                <w:highlight w:val="none"/>
              </w:rPr>
              <w:t>项目审批</w:t>
            </w:r>
            <w:r>
              <w:rPr>
                <w:rFonts w:hint="default"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rPr>
              <w:t>核准/备案</w:t>
            </w:r>
            <w:r>
              <w:rPr>
                <w:rFonts w:hint="default"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rPr>
              <w:t>部门</w:t>
            </w:r>
            <w:r>
              <w:rPr>
                <w:rFonts w:hint="default"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rPr>
              <w:t>选填</w:t>
            </w:r>
            <w:r>
              <w:rPr>
                <w:rFonts w:hint="default" w:ascii="Times New Roman" w:hAnsi="Times New Roman" w:eastAsia="宋体" w:cs="Times New Roman"/>
                <w:color w:val="auto"/>
                <w:spacing w:val="0"/>
                <w:sz w:val="24"/>
                <w:szCs w:val="24"/>
                <w:highlight w:val="none"/>
                <w:lang w:val="en-US" w:eastAsia="zh-CN"/>
              </w:rPr>
              <w:t>）</w:t>
            </w:r>
          </w:p>
        </w:tc>
        <w:tc>
          <w:tcPr>
            <w:tcW w:w="1347" w:type="pct"/>
            <w:noWrap w:val="0"/>
            <w:vAlign w:val="center"/>
          </w:tcPr>
          <w:p w14:paraId="486E22E5">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cs="Times New Roman"/>
                <w:color w:val="auto"/>
                <w:spacing w:val="0"/>
                <w:sz w:val="24"/>
                <w:szCs w:val="24"/>
                <w:highlight w:val="none"/>
                <w:lang w:val="en-US" w:eastAsia="zh-CN"/>
              </w:rPr>
              <w:t>昌吉回族自治州发展和改革委员会</w:t>
            </w:r>
          </w:p>
        </w:tc>
        <w:tc>
          <w:tcPr>
            <w:tcW w:w="1042" w:type="pct"/>
            <w:noWrap w:val="0"/>
            <w:vAlign w:val="center"/>
          </w:tcPr>
          <w:p w14:paraId="52FED617">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lang w:eastAsia="zh-CN"/>
              </w:rPr>
            </w:pPr>
            <w:r>
              <w:rPr>
                <w:rFonts w:hint="default" w:ascii="Times New Roman" w:hAnsi="Times New Roman" w:eastAsia="宋体" w:cs="Times New Roman"/>
                <w:color w:val="auto"/>
                <w:spacing w:val="0"/>
                <w:sz w:val="24"/>
                <w:szCs w:val="24"/>
                <w:highlight w:val="none"/>
              </w:rPr>
              <w:t>项目审批</w:t>
            </w:r>
            <w:r>
              <w:rPr>
                <w:rFonts w:hint="default"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rPr>
              <w:t>核准/备案</w:t>
            </w:r>
            <w:r>
              <w:rPr>
                <w:rFonts w:hint="default"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rPr>
              <w:t>文号</w:t>
            </w:r>
            <w:r>
              <w:rPr>
                <w:rFonts w:hint="default" w:ascii="Times New Roman" w:hAnsi="Times New Roman" w:eastAsia="宋体" w:cs="Times New Roman"/>
                <w:color w:val="auto"/>
                <w:spacing w:val="0"/>
                <w:sz w:val="24"/>
                <w:szCs w:val="24"/>
                <w:highlight w:val="none"/>
                <w:lang w:val="en-US" w:eastAsia="zh-CN"/>
              </w:rPr>
              <w:t>（</w:t>
            </w:r>
            <w:r>
              <w:rPr>
                <w:rFonts w:hint="default" w:ascii="Times New Roman" w:hAnsi="Times New Roman" w:eastAsia="宋体" w:cs="Times New Roman"/>
                <w:color w:val="auto"/>
                <w:spacing w:val="0"/>
                <w:sz w:val="24"/>
                <w:szCs w:val="24"/>
                <w:highlight w:val="none"/>
              </w:rPr>
              <w:t>选填</w:t>
            </w:r>
            <w:r>
              <w:rPr>
                <w:rFonts w:hint="default" w:ascii="Times New Roman" w:hAnsi="Times New Roman" w:eastAsia="宋体" w:cs="Times New Roman"/>
                <w:color w:val="auto"/>
                <w:spacing w:val="0"/>
                <w:sz w:val="24"/>
                <w:szCs w:val="24"/>
                <w:highlight w:val="none"/>
                <w:lang w:val="en-US" w:eastAsia="zh-CN"/>
              </w:rPr>
              <w:t>）</w:t>
            </w:r>
          </w:p>
        </w:tc>
        <w:tc>
          <w:tcPr>
            <w:tcW w:w="1720" w:type="pct"/>
            <w:noWrap w:val="0"/>
            <w:vAlign w:val="center"/>
          </w:tcPr>
          <w:p w14:paraId="790A63BF">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cs="Times New Roman"/>
                <w:color w:val="auto"/>
                <w:spacing w:val="0"/>
                <w:sz w:val="24"/>
                <w:szCs w:val="24"/>
                <w:highlight w:val="none"/>
                <w:lang w:val="en-US" w:eastAsia="zh-CN"/>
              </w:rPr>
              <w:t>2506271918652300000206</w:t>
            </w:r>
          </w:p>
        </w:tc>
      </w:tr>
      <w:tr w14:paraId="507057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889" w:type="pct"/>
            <w:noWrap w:val="0"/>
            <w:tcMar>
              <w:top w:w="16" w:type="dxa"/>
              <w:left w:w="16" w:type="dxa"/>
              <w:right w:w="16" w:type="dxa"/>
            </w:tcMar>
            <w:vAlign w:val="center"/>
          </w:tcPr>
          <w:p w14:paraId="24FAE2BD">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总投资</w:t>
            </w:r>
          </w:p>
          <w:p w14:paraId="4E967D19">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（万元）</w:t>
            </w:r>
          </w:p>
        </w:tc>
        <w:tc>
          <w:tcPr>
            <w:tcW w:w="1347" w:type="pct"/>
            <w:noWrap w:val="0"/>
            <w:vAlign w:val="center"/>
          </w:tcPr>
          <w:p w14:paraId="4171D568">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cs="Times New Roman"/>
                <w:color w:val="auto"/>
                <w:spacing w:val="0"/>
                <w:sz w:val="24"/>
                <w:szCs w:val="24"/>
                <w:highlight w:val="none"/>
                <w:lang w:val="en-US" w:eastAsia="zh-CN"/>
              </w:rPr>
              <w:t>24640</w:t>
            </w:r>
          </w:p>
        </w:tc>
        <w:tc>
          <w:tcPr>
            <w:tcW w:w="1042" w:type="pct"/>
            <w:noWrap w:val="0"/>
            <w:tcMar>
              <w:top w:w="16" w:type="dxa"/>
              <w:left w:w="16" w:type="dxa"/>
              <w:right w:w="16" w:type="dxa"/>
            </w:tcMar>
            <w:vAlign w:val="center"/>
          </w:tcPr>
          <w:p w14:paraId="23E08A7B">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环保投资</w:t>
            </w:r>
          </w:p>
          <w:p w14:paraId="52426256">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（万元）</w:t>
            </w:r>
          </w:p>
        </w:tc>
        <w:tc>
          <w:tcPr>
            <w:tcW w:w="1720" w:type="pct"/>
            <w:noWrap w:val="0"/>
            <w:vAlign w:val="center"/>
          </w:tcPr>
          <w:p w14:paraId="52976399">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cs="Times New Roman"/>
                <w:color w:val="auto"/>
                <w:spacing w:val="0"/>
                <w:sz w:val="24"/>
                <w:szCs w:val="24"/>
                <w:highlight w:val="none"/>
                <w:lang w:val="en-US" w:eastAsia="zh-CN"/>
              </w:rPr>
              <w:t>1111.95</w:t>
            </w:r>
          </w:p>
        </w:tc>
      </w:tr>
      <w:tr w14:paraId="7D3DFF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13" w:hRule="atLeast"/>
          <w:jc w:val="center"/>
        </w:trPr>
        <w:tc>
          <w:tcPr>
            <w:tcW w:w="889" w:type="pct"/>
            <w:noWrap w:val="0"/>
            <w:tcMar>
              <w:top w:w="16" w:type="dxa"/>
              <w:left w:w="16" w:type="dxa"/>
              <w:right w:w="16" w:type="dxa"/>
            </w:tcMar>
            <w:vAlign w:val="center"/>
          </w:tcPr>
          <w:p w14:paraId="602678F2">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环保投资占比（%）</w:t>
            </w:r>
          </w:p>
        </w:tc>
        <w:tc>
          <w:tcPr>
            <w:tcW w:w="1347" w:type="pct"/>
            <w:noWrap w:val="0"/>
            <w:vAlign w:val="center"/>
          </w:tcPr>
          <w:p w14:paraId="23150E75">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cs="Times New Roman"/>
                <w:color w:val="auto"/>
                <w:spacing w:val="0"/>
                <w:sz w:val="24"/>
                <w:szCs w:val="24"/>
                <w:highlight w:val="none"/>
                <w:lang w:val="en-US" w:eastAsia="zh-CN"/>
              </w:rPr>
              <w:t>4.51</w:t>
            </w:r>
          </w:p>
        </w:tc>
        <w:tc>
          <w:tcPr>
            <w:tcW w:w="1042" w:type="pct"/>
            <w:noWrap w:val="0"/>
            <w:tcMar>
              <w:top w:w="16" w:type="dxa"/>
              <w:left w:w="16" w:type="dxa"/>
              <w:right w:w="16" w:type="dxa"/>
            </w:tcMar>
            <w:vAlign w:val="center"/>
          </w:tcPr>
          <w:p w14:paraId="549A0B2F">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val="en-US" w:eastAsia="zh-CN"/>
              </w:rPr>
              <w:t>施工工期（月）</w:t>
            </w:r>
          </w:p>
        </w:tc>
        <w:tc>
          <w:tcPr>
            <w:tcW w:w="1720" w:type="pct"/>
            <w:noWrap w:val="0"/>
            <w:vAlign w:val="center"/>
          </w:tcPr>
          <w:p w14:paraId="236FB126">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cs="Times New Roman"/>
                <w:color w:val="auto"/>
                <w:spacing w:val="0"/>
                <w:sz w:val="24"/>
                <w:szCs w:val="24"/>
                <w:highlight w:val="none"/>
                <w:lang w:val="en-US" w:eastAsia="zh-CN"/>
              </w:rPr>
              <w:t>6</w:t>
            </w:r>
          </w:p>
        </w:tc>
      </w:tr>
      <w:tr w14:paraId="3BDB8A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13" w:hRule="atLeast"/>
          <w:jc w:val="center"/>
        </w:trPr>
        <w:tc>
          <w:tcPr>
            <w:tcW w:w="889" w:type="pct"/>
            <w:noWrap w:val="0"/>
            <w:tcMar>
              <w:top w:w="16" w:type="dxa"/>
              <w:left w:w="16" w:type="dxa"/>
              <w:right w:w="16" w:type="dxa"/>
            </w:tcMar>
            <w:vAlign w:val="center"/>
          </w:tcPr>
          <w:p w14:paraId="17A4ECAB">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是否开工</w:t>
            </w:r>
          </w:p>
          <w:p w14:paraId="129AB4D1">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建设</w:t>
            </w:r>
          </w:p>
        </w:tc>
        <w:tc>
          <w:tcPr>
            <w:tcW w:w="1347" w:type="pct"/>
            <w:noWrap w:val="0"/>
            <w:vAlign w:val="center"/>
          </w:tcPr>
          <w:p w14:paraId="53756582">
            <w:pPr>
              <w:keepNext w:val="0"/>
              <w:keepLines w:val="0"/>
              <w:pageBreakBefore w:val="0"/>
              <w:kinsoku/>
              <w:wordWrap/>
              <w:bidi w:val="0"/>
              <w:adjustRightInd/>
              <w:snapToGrid/>
              <w:rPr>
                <w:rFonts w:hint="default" w:ascii="Times New Roman" w:hAnsi="Times New Roman" w:eastAsia="宋体" w:cs="Times New Roman"/>
                <w:color w:val="auto"/>
                <w:spacing w:val="0"/>
                <w:sz w:val="24"/>
                <w:szCs w:val="24"/>
                <w:highlight w:val="none"/>
              </w:rPr>
            </w:pPr>
            <w:r>
              <w:rPr>
                <w:rFonts w:hint="default" w:ascii="Times New Roman" w:hAnsi="Times New Roman"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否</w:t>
            </w:r>
          </w:p>
          <w:p w14:paraId="3718BF9F">
            <w:pPr>
              <w:keepNext w:val="0"/>
              <w:keepLines w:val="0"/>
              <w:pageBreakBefore w:val="0"/>
              <w:kinsoku/>
              <w:wordWrap/>
              <w:bidi w:val="0"/>
              <w:adjustRightInd/>
              <w:snapToGrid/>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sz w:val="24"/>
                <w:szCs w:val="24"/>
                <w:highlight w:val="none"/>
                <w:lang w:eastAsia="zh-CN"/>
              </w:rPr>
              <w:t>□</w:t>
            </w:r>
            <w:r>
              <w:rPr>
                <w:rFonts w:hint="default" w:ascii="Times New Roman" w:hAnsi="Times New Roman" w:eastAsia="宋体" w:cs="Times New Roman"/>
                <w:color w:val="auto"/>
                <w:spacing w:val="0"/>
                <w:sz w:val="24"/>
                <w:szCs w:val="24"/>
                <w:highlight w:val="none"/>
              </w:rPr>
              <w:t>是：</w:t>
            </w:r>
          </w:p>
        </w:tc>
        <w:tc>
          <w:tcPr>
            <w:tcW w:w="1042" w:type="pct"/>
            <w:noWrap w:val="0"/>
            <w:tcMar>
              <w:top w:w="16" w:type="dxa"/>
              <w:left w:w="16" w:type="dxa"/>
              <w:right w:w="16" w:type="dxa"/>
            </w:tcMar>
            <w:vAlign w:val="center"/>
          </w:tcPr>
          <w:p w14:paraId="273E1239">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rPr>
            </w:pPr>
            <w:r>
              <w:rPr>
                <w:rFonts w:hint="default" w:ascii="Times New Roman" w:hAnsi="Times New Roman" w:eastAsia="宋体" w:cs="Times New Roman"/>
                <w:color w:val="auto"/>
                <w:spacing w:val="0"/>
                <w:sz w:val="24"/>
                <w:szCs w:val="24"/>
                <w:highlight w:val="none"/>
              </w:rPr>
              <w:t>用地（用海）面积（m</w:t>
            </w:r>
            <w:r>
              <w:rPr>
                <w:rFonts w:hint="default" w:ascii="Times New Roman" w:hAnsi="Times New Roman" w:eastAsia="宋体" w:cs="Times New Roman"/>
                <w:color w:val="auto"/>
                <w:spacing w:val="0"/>
                <w:sz w:val="24"/>
                <w:szCs w:val="24"/>
                <w:highlight w:val="none"/>
                <w:vertAlign w:val="superscript"/>
              </w:rPr>
              <w:t>2</w:t>
            </w:r>
            <w:r>
              <w:rPr>
                <w:rFonts w:hint="default" w:ascii="Times New Roman" w:hAnsi="Times New Roman" w:eastAsia="宋体" w:cs="Times New Roman"/>
                <w:color w:val="auto"/>
                <w:spacing w:val="0"/>
                <w:sz w:val="24"/>
                <w:szCs w:val="24"/>
                <w:highlight w:val="none"/>
              </w:rPr>
              <w:t>）</w:t>
            </w:r>
          </w:p>
        </w:tc>
        <w:tc>
          <w:tcPr>
            <w:tcW w:w="1720" w:type="pct"/>
            <w:noWrap w:val="0"/>
            <w:vAlign w:val="center"/>
          </w:tcPr>
          <w:p w14:paraId="567A19DB">
            <w:pPr>
              <w:keepNext w:val="0"/>
              <w:keepLines w:val="0"/>
              <w:pageBreakBefore w:val="0"/>
              <w:kinsoku/>
              <w:wordWrap/>
              <w:bidi w:val="0"/>
              <w:adjustRightInd/>
              <w:snapToGrid/>
              <w:jc w:val="center"/>
              <w:rPr>
                <w:rFonts w:hint="default" w:ascii="Times New Roman" w:hAnsi="Times New Roman" w:eastAsia="宋体" w:cs="Times New Roman"/>
                <w:color w:val="auto"/>
                <w:spacing w:val="0"/>
                <w:sz w:val="24"/>
                <w:szCs w:val="24"/>
                <w:highlight w:val="none"/>
                <w:lang w:val="en-US" w:eastAsia="zh-CN"/>
              </w:rPr>
            </w:pPr>
            <w:r>
              <w:rPr>
                <w:rFonts w:hint="eastAsia" w:cs="Times New Roman"/>
                <w:color w:val="auto"/>
                <w:spacing w:val="0"/>
                <w:sz w:val="24"/>
                <w:szCs w:val="24"/>
                <w:highlight w:val="none"/>
                <w:lang w:val="en-US" w:eastAsia="zh-CN"/>
              </w:rPr>
              <w:t>12700</w:t>
            </w:r>
          </w:p>
        </w:tc>
      </w:tr>
      <w:tr w14:paraId="542FA5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13" w:hRule="atLeast"/>
          <w:jc w:val="center"/>
        </w:trPr>
        <w:tc>
          <w:tcPr>
            <w:tcW w:w="889" w:type="pct"/>
            <w:noWrap w:val="0"/>
            <w:vAlign w:val="center"/>
          </w:tcPr>
          <w:p w14:paraId="69AE79FB">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专项评价设置情况</w:t>
            </w:r>
          </w:p>
        </w:tc>
        <w:tc>
          <w:tcPr>
            <w:tcW w:w="4110" w:type="pct"/>
            <w:gridSpan w:val="3"/>
            <w:noWrap w:val="0"/>
            <w:vAlign w:val="center"/>
          </w:tcPr>
          <w:p w14:paraId="2155FCDC">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无</w:t>
            </w:r>
          </w:p>
        </w:tc>
      </w:tr>
      <w:tr w14:paraId="204512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13" w:hRule="atLeast"/>
          <w:jc w:val="center"/>
        </w:trPr>
        <w:tc>
          <w:tcPr>
            <w:tcW w:w="889" w:type="pct"/>
            <w:noWrap w:val="0"/>
            <w:vAlign w:val="center"/>
          </w:tcPr>
          <w:p w14:paraId="571AA3A1">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规划情况</w:t>
            </w:r>
          </w:p>
        </w:tc>
        <w:tc>
          <w:tcPr>
            <w:tcW w:w="4110" w:type="pct"/>
            <w:gridSpan w:val="3"/>
            <w:noWrap w:val="0"/>
            <w:vAlign w:val="center"/>
          </w:tcPr>
          <w:p w14:paraId="4B3FBFB6">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《吉木萨尔县北三台循环经济工业园区总体规划（2021-2030年）》2022年10月2日取得吉木萨尔县人民政府审查意见，（吉县政函</w:t>
            </w:r>
            <w:r>
              <w:rPr>
                <w:rFonts w:hint="default" w:ascii="Times New Roman" w:hAnsi="Times New Roman" w:cs="Times New Roman"/>
                <w:color w:val="auto"/>
                <w:sz w:val="24"/>
                <w:szCs w:val="24"/>
                <w:lang w:val="en-US" w:eastAsia="zh-CN"/>
              </w:rPr>
              <w:t>〔2022〕252号</w:t>
            </w:r>
            <w:r>
              <w:rPr>
                <w:rFonts w:hint="default" w:ascii="Times New Roman" w:hAnsi="Times New Roman" w:eastAsia="宋体" w:cs="Times New Roman"/>
                <w:color w:val="auto"/>
                <w:sz w:val="24"/>
                <w:szCs w:val="24"/>
                <w:lang w:val="en-US" w:eastAsia="zh-CN"/>
              </w:rPr>
              <w:t>）</w:t>
            </w:r>
          </w:p>
        </w:tc>
      </w:tr>
      <w:tr w14:paraId="498D77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337" w:hRule="atLeast"/>
          <w:jc w:val="center"/>
        </w:trPr>
        <w:tc>
          <w:tcPr>
            <w:tcW w:w="889" w:type="pct"/>
            <w:noWrap w:val="0"/>
            <w:vAlign w:val="center"/>
          </w:tcPr>
          <w:p w14:paraId="0D96B6FB">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color w:val="auto"/>
                <w:kern w:val="0"/>
                <w:sz w:val="24"/>
                <w:lang w:val="en-US" w:eastAsia="zh-CN"/>
              </w:rPr>
            </w:pPr>
            <w:r>
              <w:rPr>
                <w:rFonts w:hint="default" w:ascii="Times New Roman" w:hAnsi="Times New Roman" w:cs="Times New Roman"/>
                <w:color w:val="auto"/>
                <w:kern w:val="0"/>
                <w:sz w:val="24"/>
                <w:lang w:val="en-US" w:eastAsia="zh-CN"/>
              </w:rPr>
              <w:t>规划环境影响评价情况</w:t>
            </w:r>
          </w:p>
        </w:tc>
        <w:tc>
          <w:tcPr>
            <w:tcW w:w="4110" w:type="pct"/>
            <w:gridSpan w:val="3"/>
            <w:noWrap w:val="0"/>
            <w:vAlign w:val="center"/>
          </w:tcPr>
          <w:p w14:paraId="71A0C1C4">
            <w:pPr>
              <w:keepNext w:val="0"/>
              <w:keepLines w:val="0"/>
              <w:pageBreakBefore w:val="0"/>
              <w:widowControl w:val="0"/>
              <w:kinsoku/>
              <w:wordWrap/>
              <w:overflowPunct/>
              <w:topLinePunct w:val="0"/>
              <w:autoSpaceDE w:val="0"/>
              <w:autoSpaceDN w:val="0"/>
              <w:bidi w:val="0"/>
              <w:adjustRightInd/>
              <w:snapToGrid/>
              <w:spacing w:line="360" w:lineRule="auto"/>
              <w:jc w:val="center"/>
              <w:textAlignment w:val="auto"/>
              <w:rPr>
                <w:rFonts w:hint="default" w:ascii="Times New Roman" w:hAnsi="Times New Roman" w:cs="Times New Roman"/>
                <w:color w:val="auto"/>
                <w:kern w:val="0"/>
                <w:sz w:val="24"/>
                <w:lang w:val="en-US" w:eastAsia="zh-CN"/>
              </w:rPr>
            </w:pPr>
            <w:r>
              <w:rPr>
                <w:rFonts w:hint="default" w:ascii="Times New Roman" w:hAnsi="Times New Roman" w:cs="Times New Roman"/>
                <w:color w:val="auto"/>
                <w:kern w:val="0"/>
                <w:sz w:val="24"/>
              </w:rPr>
              <w:t>《吉木萨尔县北三台循环经济工业园区总体规划（2021—2030年）环境影响报告书》已通过昌吉回族自治州生态环境局审查，2022年11月5日取得审查意见（昌州环函</w:t>
            </w:r>
            <w:r>
              <w:rPr>
                <w:rFonts w:hint="default" w:ascii="Times New Roman" w:hAnsi="Times New Roman" w:cs="Times New Roman"/>
                <w:color w:val="auto"/>
                <w:kern w:val="0"/>
                <w:sz w:val="24"/>
                <w:lang w:eastAsia="zh-CN"/>
              </w:rPr>
              <w:t>〔2022〕30号</w:t>
            </w:r>
            <w:r>
              <w:rPr>
                <w:rFonts w:hint="default" w:ascii="Times New Roman" w:hAnsi="Times New Roman" w:cs="Times New Roman"/>
                <w:color w:val="auto"/>
                <w:kern w:val="0"/>
                <w:sz w:val="24"/>
              </w:rPr>
              <w:t>）</w:t>
            </w:r>
          </w:p>
        </w:tc>
      </w:tr>
      <w:tr w14:paraId="296BB4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13" w:hRule="atLeast"/>
          <w:jc w:val="center"/>
        </w:trPr>
        <w:tc>
          <w:tcPr>
            <w:tcW w:w="889" w:type="pct"/>
            <w:noWrap w:val="0"/>
            <w:vAlign w:val="center"/>
          </w:tcPr>
          <w:p w14:paraId="02F372B6">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default" w:ascii="Times New Roman" w:hAnsi="Times New Roman" w:cs="Times New Roman"/>
                <w:color w:val="auto"/>
                <w:kern w:val="0"/>
                <w:sz w:val="24"/>
                <w:lang w:val="en-US" w:eastAsia="zh-CN"/>
              </w:rPr>
            </w:pPr>
            <w:r>
              <w:rPr>
                <w:rFonts w:hint="default" w:ascii="Times New Roman" w:hAnsi="Times New Roman" w:cs="Times New Roman"/>
                <w:color w:val="auto"/>
                <w:kern w:val="0"/>
                <w:sz w:val="24"/>
                <w:lang w:val="en-US" w:eastAsia="zh-CN"/>
              </w:rPr>
              <w:t>规划及规划环境影响评价符合性分析</w:t>
            </w:r>
          </w:p>
        </w:tc>
        <w:tc>
          <w:tcPr>
            <w:tcW w:w="4110" w:type="pct"/>
            <w:gridSpan w:val="3"/>
            <w:noWrap w:val="0"/>
            <w:vAlign w:val="center"/>
          </w:tcPr>
          <w:p w14:paraId="741DD5D4">
            <w:pPr>
              <w:pStyle w:val="109"/>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jc w:val="both"/>
              <w:textAlignment w:val="auto"/>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b/>
                <w:bCs/>
                <w:color w:val="auto"/>
                <w:kern w:val="2"/>
                <w:sz w:val="24"/>
                <w:szCs w:val="24"/>
                <w:lang w:val="en-US" w:eastAsia="zh-CN" w:bidi="ar-SA"/>
              </w:rPr>
              <w:t>1.与《吉木萨尔县北三台循环经济工业园区总体规划（2021-2030年）》符合性分析</w:t>
            </w:r>
          </w:p>
          <w:p w14:paraId="6C3D14D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园区总体规划以宝明矿区“页岩油（石油）、天然气深加工、精细化工”为一个增长极，同时以三台片区的“现代铸造及装配、新型建材、新材料制造、城市矿产”等产业板块为其他增长极，以恒信片区的碳基材料生产为辅助，形成一个内通外联，上下游互补互给的多极点循环经济产业链。恒信片区产业定位：恒信片区产业定位为碳基材料加工区，恒信片区用地规划：恒信片区为三类工业用地。</w:t>
            </w:r>
          </w:p>
          <w:p w14:paraId="71CE3E0B">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本项目</w:t>
            </w:r>
            <w:r>
              <w:rPr>
                <w:rFonts w:hint="eastAsia" w:cs="Times New Roman"/>
                <w:color w:val="auto"/>
                <w:kern w:val="2"/>
                <w:sz w:val="24"/>
                <w:szCs w:val="24"/>
                <w:lang w:val="en-US" w:eastAsia="zh-CN" w:bidi="ar-SA"/>
              </w:rPr>
              <w:t>位于</w:t>
            </w:r>
            <w:r>
              <w:rPr>
                <w:rFonts w:hint="default" w:ascii="Times New Roman" w:hAnsi="Times New Roman" w:eastAsia="宋体" w:cs="Times New Roman"/>
                <w:color w:val="auto"/>
                <w:kern w:val="2"/>
                <w:sz w:val="24"/>
                <w:szCs w:val="24"/>
                <w:lang w:val="en-US" w:eastAsia="zh-CN" w:bidi="ar-SA"/>
              </w:rPr>
              <w:t>吉木萨尔县北三台循环经济工业园恒信煤炭制品工贸有限公司120万吨煤制品深加工升级改造项目厂区南侧，项目利用上游吉木萨尔县恒信煤炭制品工贸有限公司120万吨煤制品深加工升级改造项目半焦（兰炭）副产煤气余能新建煤气发电项目，装机规模为1×45MW超高温超高压煤气发电机组，项目的建设有利于减少恒信兰炭厂所产生的污染物排放，实现废弃资源综合利用</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符合“园区以恒信片区的碳基材料生产为辅助，形成一个内通外联，上下游互补互给的多极点循环经济产业链。”的总体规划要求。</w:t>
            </w:r>
          </w:p>
          <w:p w14:paraId="17BB899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本项目用地为恒信煤炭制品工贸有限公司120万吨煤制品深加工升级改造项目预留用地，现已经取得用地手续，产权编号为吉国用2006第069号和新（2025）吉木萨尔县不动产权第0003955号中的七号宗地，详见附件，用地类型为工业用地。</w:t>
            </w:r>
          </w:p>
          <w:p w14:paraId="4294462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综上，本项目符合《吉木萨尔县北三台循环经济工业园区总体规划（2021-2030年）》的相关要求</w:t>
            </w:r>
            <w:r>
              <w:rPr>
                <w:rFonts w:hint="default" w:ascii="Times New Roman" w:hAnsi="Times New Roman" w:cs="Times New Roman"/>
                <w:color w:val="auto"/>
                <w:kern w:val="2"/>
                <w:sz w:val="24"/>
                <w:szCs w:val="24"/>
                <w:lang w:val="en-US" w:eastAsia="zh-CN" w:bidi="ar-SA"/>
              </w:rPr>
              <w:t>。</w:t>
            </w:r>
          </w:p>
          <w:p w14:paraId="1D2B11BE">
            <w:pPr>
              <w:keepNext w:val="0"/>
              <w:keepLines w:val="0"/>
              <w:pageBreakBefore w:val="0"/>
              <w:widowControl w:val="0"/>
              <w:kinsoku/>
              <w:wordWrap/>
              <w:overflowPunct/>
              <w:topLinePunct w:val="0"/>
              <w:autoSpaceDE w:val="0"/>
              <w:autoSpaceDN w:val="0"/>
              <w:bidi w:val="0"/>
              <w:adjustRightInd/>
              <w:snapToGrid/>
              <w:spacing w:line="360" w:lineRule="auto"/>
              <w:ind w:firstLine="482" w:firstLineChars="200"/>
              <w:jc w:val="both"/>
              <w:textAlignment w:val="auto"/>
              <w:rPr>
                <w:rFonts w:hint="default" w:ascii="Times New Roman" w:hAnsi="Times New Roman" w:eastAsia="宋体" w:cs="Times New Roman"/>
                <w:b/>
                <w:bCs/>
                <w:color w:val="auto"/>
                <w:kern w:val="2"/>
                <w:sz w:val="24"/>
                <w:szCs w:val="24"/>
                <w:lang w:val="en-US" w:eastAsia="zh-CN" w:bidi="ar-SA"/>
              </w:rPr>
            </w:pPr>
            <w:r>
              <w:rPr>
                <w:rFonts w:hint="default" w:ascii="Times New Roman" w:hAnsi="Times New Roman" w:eastAsia="宋体" w:cs="Times New Roman"/>
                <w:b/>
                <w:bCs/>
                <w:color w:val="auto"/>
                <w:kern w:val="2"/>
                <w:sz w:val="24"/>
                <w:szCs w:val="24"/>
                <w:lang w:val="en-US" w:eastAsia="zh-CN" w:bidi="ar-SA"/>
              </w:rPr>
              <w:t>2.与《吉木萨尔县北三台工业园区总体规划（2021-2030）环境影响报告书》及其审查意见的符合性分析</w:t>
            </w:r>
          </w:p>
          <w:p w14:paraId="251AEE7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《吉木萨尔县北三台循环经济工业园区总体规划（2021-2030）环境影响报告书》及其审查意见相关要求：</w:t>
            </w:r>
          </w:p>
          <w:p w14:paraId="0253CF7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（1）恒信片区产业定位为碳基材料加工，主要是在恒信煤炭制品工贸有限公司基础上进行技改扩建等，该片区</w:t>
            </w:r>
            <w:r>
              <w:rPr>
                <w:rFonts w:hint="default" w:ascii="Times New Roman" w:hAnsi="Times New Roman" w:cs="Times New Roman"/>
                <w:color w:val="auto"/>
                <w:kern w:val="2"/>
                <w:sz w:val="24"/>
                <w:szCs w:val="24"/>
                <w:lang w:val="en-US" w:eastAsia="zh-CN" w:bidi="ar-SA"/>
              </w:rPr>
              <w:t>不再</w:t>
            </w:r>
            <w:r>
              <w:rPr>
                <w:rFonts w:hint="default" w:ascii="Times New Roman" w:hAnsi="Times New Roman" w:eastAsia="宋体" w:cs="Times New Roman"/>
                <w:color w:val="auto"/>
                <w:kern w:val="2"/>
                <w:sz w:val="24"/>
                <w:szCs w:val="24"/>
                <w:lang w:val="en-US" w:eastAsia="zh-CN" w:bidi="ar-SA"/>
              </w:rPr>
              <w:t>布局新增煤化工项目。</w:t>
            </w:r>
          </w:p>
          <w:p w14:paraId="32A44B05">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2）企业排放的废气须经处理达到相应的行业排放标准，企业建设的同时必须配套完善废气治理措施，并确保与生产同时投入使用，安装在线监测系统并定期进行污染源监测；园区建材原料、化工原料、产品严禁露天堆放，要求企业设置原料及产品仓库，煤场设置封闭式煤仓，并配套洒水抑尘装置，最大限度降低烟尘的无组织挥发。</w:t>
            </w:r>
          </w:p>
          <w:p w14:paraId="40BB772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3）各企业应按清污分流、雨污分流、污污分流原则建立完善的排水系统和事故池，确保各类生产废水得到有效收集、处理循环使用。严禁将生产废水未经处理直接外排污水处理厂和外环境。园区和企业均配套事故废水收集池，在正常、非正常以及事故工况下，确保生产、生活等各个环节污水经回收处理回用等措施实现废污水对周边水体不外排。</w:t>
            </w:r>
          </w:p>
          <w:p w14:paraId="1B6761F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（4）吉木萨尔北三台工业园区产生的一般固体废物首先实行综合利用，对不可综合利用的一般固体废物，应送往已建成的一般工业固体废物处理处置场所，进行安全填埋处置，危废按国家相关要求严格处置。</w:t>
            </w:r>
          </w:p>
          <w:p w14:paraId="60B6663E">
            <w:pPr>
              <w:pStyle w:val="10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kern w:val="2"/>
                <w:sz w:val="24"/>
                <w:szCs w:val="24"/>
                <w:lang w:val="en-US" w:eastAsia="zh-CN" w:bidi="ar-SA"/>
              </w:rPr>
              <w:t>本项目</w:t>
            </w:r>
            <w:r>
              <w:rPr>
                <w:rFonts w:hint="default" w:ascii="Times New Roman" w:hAnsi="Times New Roman" w:eastAsia="宋体" w:cs="Times New Roman"/>
                <w:color w:val="auto"/>
                <w:kern w:val="2"/>
                <w:sz w:val="24"/>
                <w:szCs w:val="24"/>
                <w:lang w:val="en-US" w:eastAsia="zh-CN" w:bidi="ar-SA"/>
              </w:rPr>
              <w:t>属于火力发电业，不属于煤化工项目。本项目利用上游吉木萨尔县恒信煤炭制品工贸有限公司120万吨煤制品深加工升级改造项目半焦（兰炭）副产</w:t>
            </w:r>
            <w:r>
              <w:rPr>
                <w:rFonts w:hint="default" w:ascii="Times New Roman" w:hAnsi="Times New Roman" w:cs="Times New Roman"/>
                <w:color w:val="auto"/>
                <w:kern w:val="2"/>
                <w:sz w:val="24"/>
                <w:szCs w:val="24"/>
                <w:lang w:val="en-US" w:eastAsia="zh-CN" w:bidi="ar-SA"/>
              </w:rPr>
              <w:t>煤气</w:t>
            </w:r>
            <w:r>
              <w:rPr>
                <w:rFonts w:hint="default" w:ascii="Times New Roman" w:hAnsi="Times New Roman" w:eastAsia="宋体" w:cs="Times New Roman"/>
                <w:color w:val="auto"/>
                <w:kern w:val="2"/>
                <w:sz w:val="24"/>
                <w:szCs w:val="24"/>
                <w:lang w:val="en-US" w:eastAsia="zh-CN" w:bidi="ar-SA"/>
              </w:rPr>
              <w:t>余能新建煤气发电项目，煤气燃烧烟气经“低氮燃烧器+SCR脱硝</w:t>
            </w:r>
            <w:r>
              <w:rPr>
                <w:rFonts w:hint="default" w:ascii="Times New Roman" w:hAnsi="Times New Roman" w:cs="Times New Roman"/>
                <w:color w:val="auto"/>
                <w:kern w:val="2"/>
                <w:sz w:val="24"/>
                <w:szCs w:val="24"/>
                <w:lang w:val="en-US" w:eastAsia="zh-CN" w:bidi="ar-SA"/>
              </w:rPr>
              <w:t>+石灰（石）-石膏湿法脱硫+高效除雾器协同除尘+湿式电除尘器</w:t>
            </w:r>
            <w:r>
              <w:rPr>
                <w:rFonts w:hint="default" w:ascii="Times New Roman" w:hAnsi="Times New Roman" w:eastAsia="宋体" w:cs="Times New Roman"/>
                <w:color w:val="auto"/>
                <w:kern w:val="2"/>
                <w:sz w:val="24"/>
                <w:szCs w:val="24"/>
                <w:lang w:val="en-US" w:eastAsia="zh-CN" w:bidi="ar-SA"/>
              </w:rPr>
              <w:t>”处理后，通过60m高排气筒（DA001）排放至大气环境中，并安装在线监测系统（CEMS）能够</w:t>
            </w:r>
            <w:r>
              <w:rPr>
                <w:rFonts w:hint="default" w:ascii="Times New Roman" w:hAnsi="Times New Roman" w:cs="Times New Roman"/>
                <w:color w:val="auto"/>
                <w:kern w:val="2"/>
                <w:sz w:val="24"/>
                <w:szCs w:val="24"/>
                <w:lang w:val="en-US" w:eastAsia="zh-CN" w:bidi="ar-SA"/>
              </w:rPr>
              <w:t>满足《火电厂大气污染物</w:t>
            </w:r>
            <w:r>
              <w:rPr>
                <w:rFonts w:hint="default" w:ascii="Times New Roman" w:hAnsi="Times New Roman" w:eastAsia="宋体" w:cs="Times New Roman"/>
                <w:color w:val="auto"/>
                <w:kern w:val="2"/>
                <w:sz w:val="24"/>
                <w:szCs w:val="24"/>
                <w:lang w:val="en-US" w:eastAsia="zh-CN" w:bidi="ar-SA"/>
              </w:rPr>
              <w:t>排放标准》（GB13223-2011）</w:t>
            </w:r>
            <w:r>
              <w:rPr>
                <w:rFonts w:hint="default" w:ascii="Times New Roman" w:hAnsi="Times New Roman" w:cs="Times New Roman"/>
                <w:color w:val="auto"/>
                <w:kern w:val="2"/>
                <w:sz w:val="24"/>
                <w:szCs w:val="24"/>
                <w:lang w:val="en-US" w:eastAsia="zh-CN" w:bidi="ar-SA"/>
              </w:rPr>
              <w:t>表2大气污染物特别排放限值和</w:t>
            </w:r>
            <w:r>
              <w:rPr>
                <w:rFonts w:hint="default" w:ascii="Times New Roman" w:hAnsi="Times New Roman" w:cs="Times New Roman"/>
                <w:snapToGrid w:val="0"/>
                <w:color w:val="auto"/>
                <w:kern w:val="0"/>
                <w:sz w:val="24"/>
                <w:szCs w:val="24"/>
                <w:highlight w:val="none"/>
                <w:lang w:val="en-US" w:eastAsia="zh-CN" w:bidi="ar-SA"/>
              </w:rPr>
              <w:t>《关于印发〈全面实施燃煤电厂超低排放和节能改造工作方案〉的通知》（环发〔2015〕164号）</w:t>
            </w:r>
            <w:r>
              <w:rPr>
                <w:rFonts w:hint="default" w:ascii="Times New Roman" w:hAnsi="Times New Roman" w:eastAsia="宋体" w:cs="Times New Roman"/>
                <w:color w:val="auto"/>
                <w:kern w:val="2"/>
                <w:sz w:val="24"/>
                <w:szCs w:val="24"/>
                <w:lang w:val="en-US" w:eastAsia="zh-CN" w:bidi="ar-SA"/>
              </w:rPr>
              <w:t>中氮氧化物浓度限值。</w:t>
            </w:r>
          </w:p>
          <w:p w14:paraId="520634B6">
            <w:pPr>
              <w:pStyle w:val="10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本项目锅炉定期排污废水排入定排坑、冷却系统排污废水、软水制备废水和中和处理后的化验室常规检验废水均排入回用水池后作为脱硫系统用水，无外排生产废水，生活废水依托吉木萨尔县恒信煤炭制品工贸有限公司120万吨煤制品深加工升级改造项目生活污水排入地埋式一体化污水处理设施，废水经处理达到出水水质满足标准后，冬储夏灌。</w:t>
            </w:r>
          </w:p>
          <w:p w14:paraId="0467155A">
            <w:pPr>
              <w:pStyle w:val="109"/>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both"/>
              <w:textAlignment w:val="auto"/>
              <w:rPr>
                <w:rFonts w:hint="default" w:ascii="Times New Roman" w:hAnsi="Times New Roman" w:eastAsia="宋体" w:cs="Times New Roman"/>
                <w:color w:val="auto"/>
                <w:spacing w:val="7"/>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项目在厂区内</w:t>
            </w:r>
            <w:r>
              <w:rPr>
                <w:rFonts w:hint="default" w:ascii="Times New Roman" w:hAnsi="Times New Roman" w:cs="Times New Roman"/>
                <w:color w:val="auto"/>
                <w:kern w:val="2"/>
                <w:sz w:val="24"/>
                <w:szCs w:val="24"/>
                <w:lang w:val="en-US" w:eastAsia="zh-CN" w:bidi="ar-SA"/>
              </w:rPr>
              <w:t>设置</w:t>
            </w:r>
            <w:r>
              <w:rPr>
                <w:rFonts w:hint="default" w:ascii="Times New Roman" w:hAnsi="Times New Roman" w:eastAsia="宋体" w:cs="Times New Roman"/>
                <w:color w:val="auto"/>
                <w:kern w:val="2"/>
                <w:sz w:val="24"/>
                <w:szCs w:val="24"/>
                <w:lang w:val="en-US" w:eastAsia="zh-CN" w:bidi="ar-SA"/>
              </w:rPr>
              <w:t>垃圾箱，及时收集清理至周边垃圾转运站，由环卫部门集中清运处置一般工业固废脱硫石膏集中收集后，暂存至</w:t>
            </w:r>
            <w:r>
              <w:rPr>
                <w:rFonts w:hint="default" w:ascii="Times New Roman" w:hAnsi="Times New Roman" w:cs="Times New Roman"/>
                <w:color w:val="auto"/>
                <w:kern w:val="2"/>
                <w:sz w:val="24"/>
                <w:szCs w:val="24"/>
                <w:lang w:val="en-US" w:eastAsia="zh-CN" w:bidi="ar-SA"/>
              </w:rPr>
              <w:t>石膏间</w:t>
            </w:r>
            <w:r>
              <w:rPr>
                <w:rFonts w:hint="default" w:ascii="Times New Roman" w:hAnsi="Times New Roman" w:eastAsia="宋体" w:cs="Times New Roman"/>
                <w:color w:val="auto"/>
                <w:kern w:val="2"/>
                <w:sz w:val="24"/>
                <w:szCs w:val="24"/>
                <w:lang w:val="en-US" w:eastAsia="zh-CN" w:bidi="ar-SA"/>
              </w:rPr>
              <w:t>定期外售至建筑材料制造企业进行综合利用；凝结水过滤废物定期外售至建筑材料制造企业进行综合</w:t>
            </w:r>
            <w:r>
              <w:rPr>
                <w:rFonts w:hint="default" w:ascii="Times New Roman" w:hAnsi="Times New Roman" w:eastAsia="宋体" w:cs="Times New Roman"/>
                <w:color w:val="auto"/>
                <w:spacing w:val="7"/>
                <w:kern w:val="2"/>
                <w:sz w:val="24"/>
                <w:szCs w:val="24"/>
                <w:lang w:val="en-US" w:eastAsia="zh-CN" w:bidi="ar-SA"/>
              </w:rPr>
              <w:t>利用；</w:t>
            </w:r>
            <w:r>
              <w:rPr>
                <w:rFonts w:hint="default" w:ascii="Times New Roman" w:hAnsi="Times New Roman" w:cs="Times New Roman"/>
                <w:color w:val="auto"/>
                <w:spacing w:val="7"/>
                <w:kern w:val="2"/>
                <w:sz w:val="24"/>
                <w:szCs w:val="24"/>
                <w:lang w:val="en-US" w:eastAsia="zh-CN" w:bidi="ar-SA"/>
              </w:rPr>
              <w:t>危险废物</w:t>
            </w:r>
            <w:r>
              <w:rPr>
                <w:rFonts w:hint="default" w:ascii="Times New Roman" w:hAnsi="Times New Roman" w:eastAsia="宋体" w:cs="Times New Roman"/>
                <w:color w:val="auto"/>
                <w:spacing w:val="7"/>
                <w:kern w:val="2"/>
                <w:sz w:val="24"/>
                <w:szCs w:val="24"/>
                <w:lang w:val="en-US" w:eastAsia="zh-CN" w:bidi="ar-SA"/>
              </w:rPr>
              <w:t>废机油、废催化剂和实验室采用专用容器收集后暂存至危废贮存点，定期委托有相关危废处理资质的单位进行处置</w:t>
            </w:r>
            <w:r>
              <w:rPr>
                <w:rFonts w:hint="default" w:ascii="Times New Roman" w:hAnsi="Times New Roman" w:cs="Times New Roman"/>
                <w:color w:val="auto"/>
                <w:spacing w:val="7"/>
                <w:kern w:val="2"/>
                <w:sz w:val="24"/>
                <w:szCs w:val="24"/>
                <w:lang w:val="en-US" w:eastAsia="zh-CN" w:bidi="ar-SA"/>
              </w:rPr>
              <w:t>。</w:t>
            </w:r>
          </w:p>
          <w:p w14:paraId="6A5E3325">
            <w:pPr>
              <w:keepNext w:val="0"/>
              <w:keepLines w:val="0"/>
              <w:pageBreakBefore w:val="0"/>
              <w:widowControl w:val="0"/>
              <w:kinsoku/>
              <w:wordWrap/>
              <w:overflowPunct/>
              <w:topLinePunct w:val="0"/>
              <w:autoSpaceDE w:val="0"/>
              <w:autoSpaceDN w:val="0"/>
              <w:bidi w:val="0"/>
              <w:adjustRightInd/>
              <w:snapToGrid/>
              <w:spacing w:line="360" w:lineRule="auto"/>
              <w:ind w:firstLine="508" w:firstLineChars="200"/>
              <w:jc w:val="both"/>
              <w:textAlignment w:val="auto"/>
              <w:rPr>
                <w:rFonts w:hint="default" w:ascii="Times New Roman" w:hAnsi="Times New Roman" w:cs="Times New Roman"/>
                <w:color w:val="auto"/>
                <w:kern w:val="0"/>
                <w:sz w:val="24"/>
                <w:lang w:val="en-US" w:eastAsia="zh-CN"/>
              </w:rPr>
            </w:pPr>
            <w:r>
              <w:rPr>
                <w:rFonts w:hint="default" w:ascii="Times New Roman" w:hAnsi="Times New Roman" w:eastAsia="宋体" w:cs="Times New Roman"/>
                <w:color w:val="auto"/>
                <w:spacing w:val="7"/>
                <w:kern w:val="2"/>
                <w:sz w:val="24"/>
                <w:szCs w:val="24"/>
                <w:lang w:val="en-US" w:eastAsia="zh-CN" w:bidi="ar-SA"/>
              </w:rPr>
              <w:t>综上，本项目</w:t>
            </w:r>
            <w:r>
              <w:rPr>
                <w:rFonts w:hint="default" w:ascii="Times New Roman" w:hAnsi="Times New Roman" w:cs="Times New Roman"/>
                <w:color w:val="auto"/>
                <w:spacing w:val="7"/>
                <w:kern w:val="2"/>
                <w:sz w:val="24"/>
                <w:szCs w:val="24"/>
                <w:lang w:val="en-US" w:eastAsia="zh-CN" w:bidi="ar-SA"/>
              </w:rPr>
              <w:t>符合</w:t>
            </w:r>
            <w:r>
              <w:rPr>
                <w:rFonts w:hint="default" w:ascii="Times New Roman" w:hAnsi="Times New Roman" w:eastAsia="宋体" w:cs="Times New Roman"/>
                <w:color w:val="auto"/>
                <w:spacing w:val="7"/>
                <w:kern w:val="2"/>
                <w:sz w:val="24"/>
                <w:szCs w:val="24"/>
                <w:lang w:val="en-US" w:eastAsia="zh-CN" w:bidi="ar-SA"/>
              </w:rPr>
              <w:t>《吉木萨尔县北三台工业园区总体规划（2021-2030）环境影响报告书》及其审查意见的相关要求。</w:t>
            </w:r>
          </w:p>
        </w:tc>
      </w:tr>
      <w:tr w14:paraId="22D1B5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13" w:hRule="atLeast"/>
          <w:jc w:val="center"/>
        </w:trPr>
        <w:tc>
          <w:tcPr>
            <w:tcW w:w="889" w:type="pct"/>
            <w:noWrap w:val="0"/>
            <w:vAlign w:val="center"/>
          </w:tcPr>
          <w:p w14:paraId="1E6BB4E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2B3B5B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E9C58B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DCF47B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1F9032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34C3E5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148ED5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715E59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35EF95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954E62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113810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087397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DBFA404">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E05037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E5F95B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76B69C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4130B9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b/>
                <w:bCs/>
                <w:color w:val="auto"/>
                <w:spacing w:val="0"/>
                <w:kern w:val="0"/>
                <w:sz w:val="24"/>
                <w:szCs w:val="24"/>
                <w:highlight w:val="none"/>
              </w:rPr>
            </w:pPr>
            <w:r>
              <w:rPr>
                <w:rFonts w:hint="default" w:ascii="Times New Roman" w:hAnsi="Times New Roman" w:eastAsia="宋体" w:cs="Times New Roman"/>
                <w:color w:val="auto"/>
                <w:spacing w:val="0"/>
                <w:kern w:val="0"/>
                <w:sz w:val="24"/>
                <w:szCs w:val="24"/>
                <w:highlight w:val="none"/>
              </w:rPr>
              <w:t>其他符合性分析</w:t>
            </w:r>
          </w:p>
          <w:p w14:paraId="72B6617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65B236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1BCBA3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D9A4A5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74CB67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B8B148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A038F2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6F0CD1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BF406A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72684B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581073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FD83CA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D837E2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9A9D06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6859BF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501AE4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022213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C93B55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6F75E42">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FF7E4D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0E11D3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EA4033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15DBA2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709F37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DAC31A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554E78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061151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0C2AE0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FDC67B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608887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0A0D02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7942B4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2AC7914">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FFC686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26705C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9935CA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E284FD4">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E7AB70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862D87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31E525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49A9F1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r>
              <w:rPr>
                <w:rFonts w:hint="default" w:ascii="Times New Roman" w:hAnsi="Times New Roman" w:eastAsia="宋体" w:cs="Times New Roman"/>
                <w:color w:val="auto"/>
                <w:spacing w:val="0"/>
                <w:kern w:val="0"/>
                <w:sz w:val="24"/>
                <w:szCs w:val="24"/>
                <w:highlight w:val="none"/>
              </w:rPr>
              <w:t>其他符合性分析</w:t>
            </w:r>
          </w:p>
          <w:p w14:paraId="28089EB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11F80D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E20E52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1482F6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C6FB27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A1506A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7C1F5A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B3C73D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235318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856179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39C5BD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E9222F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F0613F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C6692D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551E97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C8BE3F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8E90D0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DE5EAC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5AF0A6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095F7B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0F26ED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2D2536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751B0E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B80BA5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BBC1A42">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46951B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C65F1E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9AA4BB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296EB1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C323B5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5B91EB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C9D27C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AC20964">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056D5E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1A4926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8A7019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60FE152">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8EC110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C069FB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723FE5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7DF5C2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28D42B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BB3551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DC9EA7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C9771D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EECCA4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b/>
                <w:bCs/>
                <w:color w:val="auto"/>
                <w:spacing w:val="0"/>
                <w:kern w:val="0"/>
                <w:sz w:val="24"/>
                <w:szCs w:val="24"/>
                <w:highlight w:val="none"/>
              </w:rPr>
            </w:pPr>
            <w:r>
              <w:rPr>
                <w:rFonts w:hint="default" w:ascii="Times New Roman" w:hAnsi="Times New Roman" w:eastAsia="宋体" w:cs="Times New Roman"/>
                <w:color w:val="auto"/>
                <w:spacing w:val="0"/>
                <w:kern w:val="0"/>
                <w:sz w:val="24"/>
                <w:szCs w:val="24"/>
                <w:highlight w:val="none"/>
              </w:rPr>
              <w:t>其他符合性分析</w:t>
            </w:r>
          </w:p>
          <w:p w14:paraId="48CB0AE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67A082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DF83DB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4F154B4">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F5DCCF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85BEC02">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1903FE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1C3E1B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DFD8AD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66F5D1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ECBBD3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A16F48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7CE30F4">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223D9C4">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BD2704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19AD35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95132B4">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81EFDA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62E0A2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342371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CD8074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CA0992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743510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8332972">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7838724">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E2470A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00F9A3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5B40DE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3442D7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D514AB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0AA61E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0E5CD2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CB470A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31B747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06ED60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4DA6A1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E4D0ED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31ACC7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00AC97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B333A62">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DE0FE9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0B4244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77916A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1D9D45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F3EB40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38A62D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r>
              <w:rPr>
                <w:rFonts w:hint="default" w:ascii="Times New Roman" w:hAnsi="Times New Roman" w:eastAsia="宋体" w:cs="Times New Roman"/>
                <w:color w:val="auto"/>
                <w:spacing w:val="0"/>
                <w:kern w:val="0"/>
                <w:sz w:val="24"/>
                <w:szCs w:val="24"/>
                <w:highlight w:val="none"/>
              </w:rPr>
              <w:t>其他符合性分析</w:t>
            </w:r>
          </w:p>
          <w:p w14:paraId="58BCAA9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DE67D6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DB90CF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lang w:val="en-US" w:eastAsia="zh-CN"/>
              </w:rPr>
            </w:pPr>
          </w:p>
          <w:p w14:paraId="37F5570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316CBF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542653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D56ADC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A91524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E6F886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65954B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E80E9C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83E56B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133B3E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FE84FB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53ED2E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8FCAFD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2F084A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12ACAF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FCA6E0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1BC889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670617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CDF70A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49D1EB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67B7CC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2BBC5D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6AFAF6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78144F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D04E19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C612EE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67D059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6FA0EA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A39A72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AA3AFF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FDB7E5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B05424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F11A884">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3064E3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ACEE65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43C6B5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2CB229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D3B977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7CAD76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A9B7FE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253780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108754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519486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A52994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670855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16AB01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r>
              <w:rPr>
                <w:rFonts w:hint="default" w:ascii="Times New Roman" w:hAnsi="Times New Roman" w:eastAsia="宋体" w:cs="Times New Roman"/>
                <w:color w:val="auto"/>
                <w:spacing w:val="0"/>
                <w:kern w:val="0"/>
                <w:sz w:val="24"/>
                <w:szCs w:val="24"/>
                <w:highlight w:val="none"/>
              </w:rPr>
              <w:t>其他符合性分析</w:t>
            </w:r>
          </w:p>
          <w:p w14:paraId="52DFD3D2">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863FC2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264DFA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B0D8F4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454B90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641553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DA7973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140F5B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8A9AB9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DC2CFA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ECC76F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5F06FC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3AE238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6CEE52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63BE134">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929A4E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7D20D1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EDA9C9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F8DB86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872E5E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E6C264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D08127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2E9630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C84414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9DEBC9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EB5F59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DAE0022">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0E4173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B11BF2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10E0EB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r>
              <w:rPr>
                <w:rFonts w:hint="default" w:ascii="Times New Roman" w:hAnsi="Times New Roman" w:eastAsia="宋体" w:cs="Times New Roman"/>
                <w:color w:val="auto"/>
                <w:spacing w:val="0"/>
                <w:kern w:val="0"/>
                <w:sz w:val="24"/>
                <w:szCs w:val="24"/>
                <w:highlight w:val="none"/>
              </w:rPr>
              <w:t>其他符合性分析</w:t>
            </w:r>
          </w:p>
          <w:p w14:paraId="349A669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8EE5E9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AD6DD42">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ABCF36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A61D50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54A122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33019B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73CBBF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9C2072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5E9661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9B0EED2">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B3681F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E4E87D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DE84B5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0113ED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68E42E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8835F3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B90F6F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65E3FF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BE8890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C4BB37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5D54722">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BDA5B5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BD9ADA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DE24E5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839D89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r>
              <w:rPr>
                <w:rFonts w:hint="default" w:ascii="Times New Roman" w:hAnsi="Times New Roman" w:eastAsia="宋体" w:cs="Times New Roman"/>
                <w:color w:val="auto"/>
                <w:spacing w:val="0"/>
                <w:kern w:val="0"/>
                <w:sz w:val="24"/>
                <w:szCs w:val="24"/>
                <w:highlight w:val="none"/>
              </w:rPr>
              <w:t>其他符合性分析</w:t>
            </w:r>
          </w:p>
          <w:p w14:paraId="3336F68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20819E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EDD459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F0945B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F544D2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6FD3C4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F0C73D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A54420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1BB4F3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C44150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85A2E5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20DEEF4">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09C254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C8DDDA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3E04FA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3965BF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B5ABEF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AA23F2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4FE1AB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05043E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4A33E5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b/>
                <w:bCs/>
                <w:color w:val="auto"/>
                <w:spacing w:val="0"/>
                <w:kern w:val="0"/>
                <w:sz w:val="24"/>
                <w:szCs w:val="24"/>
                <w:highlight w:val="none"/>
              </w:rPr>
            </w:pPr>
          </w:p>
          <w:p w14:paraId="4AB730D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b/>
                <w:bCs/>
                <w:color w:val="auto"/>
                <w:spacing w:val="0"/>
                <w:kern w:val="0"/>
                <w:sz w:val="24"/>
                <w:szCs w:val="24"/>
                <w:highlight w:val="none"/>
              </w:rPr>
            </w:pPr>
          </w:p>
          <w:p w14:paraId="13DB4B4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FA97C8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B5939B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B49732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6DE343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0AB6DF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370D94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246165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E376B0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B7404E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1C9832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20DD45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EC8CD1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77A6C1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4F2667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7AFDDA4">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57E680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1CD55D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28FABC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E7B979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E39FA24">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B5CE34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F2C02C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r>
              <w:rPr>
                <w:rFonts w:hint="default" w:ascii="Times New Roman" w:hAnsi="Times New Roman" w:eastAsia="宋体" w:cs="Times New Roman"/>
                <w:color w:val="auto"/>
                <w:spacing w:val="0"/>
                <w:kern w:val="0"/>
                <w:sz w:val="24"/>
                <w:szCs w:val="24"/>
                <w:highlight w:val="none"/>
              </w:rPr>
              <w:t>其他符合性分析</w:t>
            </w:r>
          </w:p>
          <w:p w14:paraId="198041A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CE31DA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24EB01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2C0453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8105C1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BDA45C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9D4264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1B8AB2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A3B728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44D5FE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C46B2F2">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EA208D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F3E625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29594A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700405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AB0B68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A230C6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88877E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F15238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B9B802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E38039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4CBEAE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12DC70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810A6F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FA0609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B1D5EB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6194E4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0D40CF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8C27D1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47B250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72C93E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7E1D2A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10385D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3BE3FA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AE2200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78CCCC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F80E5A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565B99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1E59BA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C07D6D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220AF9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18D04B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B402F7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C8B46F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323203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2DA2B5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E06C14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FFFEC8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393410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FCD2C3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358631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r>
              <w:rPr>
                <w:rFonts w:hint="default" w:ascii="Times New Roman" w:hAnsi="Times New Roman" w:eastAsia="宋体" w:cs="Times New Roman"/>
                <w:color w:val="auto"/>
                <w:spacing w:val="0"/>
                <w:kern w:val="0"/>
                <w:sz w:val="24"/>
                <w:szCs w:val="24"/>
                <w:highlight w:val="none"/>
              </w:rPr>
              <w:t>其他符合性分析</w:t>
            </w:r>
          </w:p>
          <w:p w14:paraId="6FEBD23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321DBD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611C0E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9D5AE6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E569D5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201C4E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5B68B5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A18CF7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2ABC402">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B64ACB2">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00BDDC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F8609E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BB757A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A9B8C92">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24E00F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C34E7E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64B8BA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1F5302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CE4548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58B48D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C4EAFE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CA49F1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7F4CA7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FC207A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001ADA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48820D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B48068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DC0D06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648AB7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51FB7D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B4F81E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46DC83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C81689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B3638F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AE3C434">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08BD6A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5E27F6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17CCB0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4914F4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8E226C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A3BB8A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BAC31D8">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07A064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ED0C75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782FC0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D703DC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8F7F50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30296C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AC2B0B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b/>
                <w:bCs/>
                <w:color w:val="auto"/>
                <w:spacing w:val="0"/>
                <w:kern w:val="0"/>
                <w:sz w:val="24"/>
                <w:szCs w:val="24"/>
                <w:highlight w:val="none"/>
              </w:rPr>
            </w:pPr>
          </w:p>
          <w:p w14:paraId="171FA5D0">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A4848C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0E7952AD">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7746827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25CD62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C122F7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0091771">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347588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74C1716">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231E9AD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31548B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1AD3791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B07B695">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D4BC8FE">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A9C1F53">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BD5FB2F">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47CF407">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404060B4">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BA5C11A">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15FCDC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55D5223C">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3F5327D7">
            <w:pPr>
              <w:keepNext w:val="0"/>
              <w:keepLines w:val="0"/>
              <w:pageBreakBefore w:val="0"/>
              <w:kinsoku/>
              <w:wordWrap/>
              <w:autoSpaceDE w:val="0"/>
              <w:autoSpaceDN w:val="0"/>
              <w:bidi w:val="0"/>
              <w:adjustRightInd/>
              <w:snapToGrid/>
              <w:jc w:val="both"/>
              <w:rPr>
                <w:rFonts w:hint="default" w:ascii="Times New Roman" w:hAnsi="Times New Roman" w:eastAsia="宋体" w:cs="Times New Roman"/>
                <w:b/>
                <w:bCs/>
                <w:color w:val="auto"/>
                <w:spacing w:val="0"/>
                <w:kern w:val="0"/>
                <w:sz w:val="24"/>
                <w:szCs w:val="24"/>
                <w:highlight w:val="none"/>
              </w:rPr>
            </w:pPr>
          </w:p>
          <w:p w14:paraId="03DA0609">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b/>
                <w:bCs/>
                <w:color w:val="auto"/>
                <w:spacing w:val="0"/>
                <w:kern w:val="0"/>
                <w:sz w:val="24"/>
                <w:szCs w:val="24"/>
                <w:highlight w:val="none"/>
              </w:rPr>
            </w:pPr>
          </w:p>
          <w:p w14:paraId="34263ADB">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rPr>
            </w:pPr>
          </w:p>
          <w:p w14:paraId="6EC8AAD4">
            <w:pPr>
              <w:keepNext w:val="0"/>
              <w:keepLines w:val="0"/>
              <w:pageBreakBefore w:val="0"/>
              <w:kinsoku/>
              <w:wordWrap/>
              <w:autoSpaceDE w:val="0"/>
              <w:autoSpaceDN w:val="0"/>
              <w:bidi w:val="0"/>
              <w:adjustRightInd/>
              <w:snapToGrid/>
              <w:jc w:val="center"/>
              <w:rPr>
                <w:rFonts w:hint="default" w:ascii="Times New Roman" w:hAnsi="Times New Roman" w:eastAsia="宋体" w:cs="Times New Roman"/>
                <w:color w:val="auto"/>
                <w:spacing w:val="0"/>
                <w:kern w:val="0"/>
                <w:sz w:val="24"/>
                <w:szCs w:val="24"/>
                <w:highlight w:val="none"/>
                <w:lang w:val="en-US" w:eastAsia="zh-CN"/>
              </w:rPr>
            </w:pPr>
          </w:p>
        </w:tc>
        <w:tc>
          <w:tcPr>
            <w:tcW w:w="4110" w:type="pct"/>
            <w:gridSpan w:val="3"/>
            <w:noWrap w:val="0"/>
            <w:vAlign w:val="center"/>
          </w:tcPr>
          <w:p w14:paraId="0E79EEEA">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2" w:firstLineChars="200"/>
              <w:jc w:val="both"/>
              <w:textAlignment w:val="auto"/>
              <w:rPr>
                <w:rFonts w:hint="default" w:ascii="Times New Roman" w:hAnsi="Times New Roman" w:eastAsia="宋体" w:cs="Times New Roman"/>
                <w:b/>
                <w:bCs/>
                <w:color w:val="auto"/>
                <w:spacing w:val="0"/>
                <w:kern w:val="0"/>
                <w:sz w:val="24"/>
                <w:szCs w:val="24"/>
                <w:highlight w:val="none"/>
                <w:lang w:val="en-US" w:eastAsia="zh-CN"/>
              </w:rPr>
            </w:pPr>
            <w:r>
              <w:rPr>
                <w:rFonts w:hint="default" w:ascii="Times New Roman" w:hAnsi="Times New Roman" w:eastAsia="宋体" w:cs="Times New Roman"/>
                <w:b/>
                <w:bCs/>
                <w:color w:val="auto"/>
                <w:spacing w:val="0"/>
                <w:kern w:val="0"/>
                <w:sz w:val="24"/>
                <w:szCs w:val="24"/>
                <w:highlight w:val="none"/>
                <w:lang w:val="en-US" w:eastAsia="zh-CN"/>
              </w:rPr>
              <w:t>1</w:t>
            </w:r>
            <w:r>
              <w:rPr>
                <w:rFonts w:hint="default" w:ascii="Times New Roman" w:hAnsi="Times New Roman" w:cs="Times New Roman"/>
                <w:b/>
                <w:bCs/>
                <w:color w:val="auto"/>
                <w:spacing w:val="0"/>
                <w:kern w:val="0"/>
                <w:sz w:val="24"/>
                <w:szCs w:val="24"/>
                <w:highlight w:val="none"/>
                <w:lang w:val="en-US" w:eastAsia="zh-CN"/>
              </w:rPr>
              <w:t>.</w:t>
            </w:r>
            <w:r>
              <w:rPr>
                <w:rFonts w:hint="default" w:ascii="Times New Roman" w:hAnsi="Times New Roman" w:eastAsia="宋体" w:cs="Times New Roman"/>
                <w:b/>
                <w:bCs/>
                <w:color w:val="auto"/>
                <w:spacing w:val="0"/>
                <w:kern w:val="0"/>
                <w:sz w:val="24"/>
                <w:szCs w:val="24"/>
                <w:highlight w:val="none"/>
                <w:lang w:val="en-US" w:eastAsia="zh-CN"/>
              </w:rPr>
              <w:t>产业政策符合性分析</w:t>
            </w:r>
          </w:p>
          <w:p w14:paraId="1AB8563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pacing w:val="0"/>
                <w:kern w:val="0"/>
                <w:sz w:val="24"/>
                <w:szCs w:val="24"/>
                <w:highlight w:val="none"/>
                <w:lang w:val="en-US" w:eastAsia="zh-CN"/>
              </w:rPr>
              <w:t>本项目</w:t>
            </w:r>
            <w:r>
              <w:rPr>
                <w:rFonts w:hint="default" w:ascii="Times New Roman" w:hAnsi="Times New Roman" w:cs="Times New Roman"/>
                <w:color w:val="auto"/>
                <w:spacing w:val="0"/>
                <w:kern w:val="0"/>
                <w:sz w:val="24"/>
                <w:szCs w:val="24"/>
                <w:highlight w:val="none"/>
                <w:lang w:val="en-US" w:eastAsia="zh-CN"/>
              </w:rPr>
              <w:t>属于</w:t>
            </w:r>
            <w:r>
              <w:rPr>
                <w:rFonts w:hint="default" w:ascii="Times New Roman" w:hAnsi="Times New Roman" w:eastAsia="宋体" w:cs="Times New Roman"/>
                <w:color w:val="auto"/>
                <w:spacing w:val="7"/>
                <w:sz w:val="24"/>
                <w:szCs w:val="24"/>
                <w:lang w:eastAsia="zh-CN"/>
              </w:rPr>
              <w:t>火力发电业</w:t>
            </w:r>
            <w:r>
              <w:rPr>
                <w:rFonts w:hint="default" w:ascii="Times New Roman" w:hAnsi="Times New Roman" w:eastAsia="宋体" w:cs="Times New Roman"/>
                <w:color w:val="auto"/>
                <w:spacing w:val="7"/>
                <w:sz w:val="24"/>
                <w:szCs w:val="24"/>
                <w:lang w:val="en-US" w:eastAsia="zh-CN"/>
              </w:rPr>
              <w:t>，</w:t>
            </w:r>
            <w:r>
              <w:rPr>
                <w:rFonts w:hint="default" w:ascii="Times New Roman" w:hAnsi="Times New Roman" w:cs="Times New Roman"/>
                <w:color w:val="auto"/>
                <w:spacing w:val="0"/>
                <w:kern w:val="0"/>
                <w:sz w:val="24"/>
                <w:szCs w:val="24"/>
                <w:highlight w:val="none"/>
                <w:lang w:val="en-US" w:eastAsia="zh-CN"/>
              </w:rPr>
              <w:t>项目利用上游</w:t>
            </w:r>
            <w:r>
              <w:rPr>
                <w:rFonts w:hint="default" w:ascii="Times New Roman" w:hAnsi="Times New Roman" w:cs="Times New Roman"/>
                <w:color w:val="auto"/>
                <w:kern w:val="2"/>
                <w:sz w:val="24"/>
                <w:szCs w:val="24"/>
                <w:lang w:val="en-US" w:eastAsia="zh-CN" w:bidi="ar-SA"/>
              </w:rPr>
              <w:t>吉木萨尔县恒信煤炭制品工贸有限公司120万吨煤制品深加工升级改造项目</w:t>
            </w:r>
            <w:r>
              <w:rPr>
                <w:rFonts w:hint="default" w:ascii="Times New Roman" w:hAnsi="Times New Roman" w:cs="Times New Roman"/>
                <w:color w:val="auto"/>
                <w:spacing w:val="0"/>
                <w:kern w:val="0"/>
                <w:sz w:val="24"/>
                <w:szCs w:val="24"/>
                <w:highlight w:val="none"/>
                <w:lang w:val="en-US" w:eastAsia="zh-CN"/>
              </w:rPr>
              <w:t>半焦（兰炭）副产煤气余能新建煤气发电项目，设置装机规模为1×45MW超高温超高压煤气发电机</w:t>
            </w:r>
            <w:r>
              <w:rPr>
                <w:rFonts w:hint="default" w:ascii="Times New Roman" w:hAnsi="Times New Roman" w:eastAsia="宋体" w:cs="Times New Roman"/>
                <w:color w:val="auto"/>
                <w:kern w:val="2"/>
                <w:sz w:val="24"/>
                <w:szCs w:val="24"/>
                <w:lang w:val="en-US" w:eastAsia="zh-CN" w:bidi="ar-SA"/>
              </w:rPr>
              <w:t>组，属于《产业结构调整指导目录（2024年本）》鼓励类项目（四十二、环境保护与资源节约综合利用</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第11条“余热回收利用先进工艺技术与设备”），符合国家产业政策。</w:t>
            </w:r>
          </w:p>
          <w:p w14:paraId="1ACAB92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pacing w:val="0"/>
                <w:kern w:val="0"/>
                <w:sz w:val="24"/>
                <w:szCs w:val="24"/>
                <w:highlight w:val="none"/>
                <w:lang w:val="en-US" w:eastAsia="zh-CN"/>
              </w:rPr>
            </w:pPr>
            <w:r>
              <w:rPr>
                <w:rFonts w:hint="default" w:ascii="Times New Roman" w:hAnsi="Times New Roman" w:eastAsia="宋体" w:cs="Times New Roman"/>
                <w:color w:val="auto"/>
                <w:kern w:val="2"/>
                <w:sz w:val="24"/>
                <w:szCs w:val="24"/>
                <w:lang w:val="en-US" w:eastAsia="zh-CN" w:bidi="ar-SA"/>
              </w:rPr>
              <w:t>根据《市场准入负面清单》（2025年版），本项目属于负面清单中许可准入类，未获得许可，不得投资建设特定能源项目，火电站</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含自备电站</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由省级政府核准，其中燃煤燃气火电项目应在国家依据总量控制制定的建设规划内核准。</w:t>
            </w:r>
          </w:p>
          <w:p w14:paraId="0EE2FF0A">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pacing w:val="0"/>
                <w:kern w:val="0"/>
                <w:sz w:val="24"/>
                <w:szCs w:val="24"/>
                <w:highlight w:val="none"/>
                <w:lang w:val="en-US" w:eastAsia="zh-CN"/>
              </w:rPr>
            </w:pPr>
            <w:r>
              <w:rPr>
                <w:rFonts w:hint="default" w:ascii="Times New Roman" w:hAnsi="Times New Roman" w:eastAsia="宋体" w:cs="Times New Roman"/>
                <w:color w:val="auto"/>
                <w:spacing w:val="0"/>
                <w:kern w:val="0"/>
                <w:sz w:val="24"/>
                <w:szCs w:val="24"/>
                <w:highlight w:val="none"/>
                <w:lang w:val="en-US" w:eastAsia="zh-CN"/>
              </w:rPr>
              <w:t>综上，本</w:t>
            </w:r>
            <w:r>
              <w:rPr>
                <w:rFonts w:hint="default" w:ascii="Times New Roman" w:hAnsi="Times New Roman" w:cs="Times New Roman"/>
                <w:color w:val="auto"/>
                <w:spacing w:val="0"/>
                <w:kern w:val="0"/>
                <w:sz w:val="24"/>
                <w:szCs w:val="24"/>
                <w:highlight w:val="none"/>
                <w:lang w:val="en-US" w:eastAsia="zh-CN"/>
              </w:rPr>
              <w:t>项目</w:t>
            </w:r>
            <w:r>
              <w:rPr>
                <w:rFonts w:hint="default" w:ascii="Times New Roman" w:hAnsi="Times New Roman" w:eastAsia="宋体" w:cs="Times New Roman"/>
                <w:color w:val="auto"/>
                <w:spacing w:val="0"/>
                <w:kern w:val="0"/>
                <w:sz w:val="24"/>
                <w:szCs w:val="24"/>
                <w:highlight w:val="none"/>
                <w:lang w:val="en-US" w:eastAsia="zh-CN"/>
              </w:rPr>
              <w:t>的建设符合国家产业政策的要求。项目已取得由</w:t>
            </w:r>
            <w:r>
              <w:rPr>
                <w:rFonts w:hint="default" w:ascii="Times New Roman" w:hAnsi="Times New Roman" w:cs="Times New Roman"/>
                <w:color w:val="auto"/>
                <w:spacing w:val="0"/>
                <w:sz w:val="24"/>
                <w:szCs w:val="24"/>
                <w:highlight w:val="none"/>
                <w:lang w:val="en-US" w:eastAsia="zh-CN"/>
              </w:rPr>
              <w:t>昌吉回族自治州发展和改革委员会</w:t>
            </w:r>
            <w:r>
              <w:rPr>
                <w:rFonts w:hint="default" w:ascii="Times New Roman" w:hAnsi="Times New Roman" w:eastAsia="宋体" w:cs="Times New Roman"/>
                <w:color w:val="auto"/>
                <w:spacing w:val="0"/>
                <w:sz w:val="24"/>
                <w:szCs w:val="24"/>
                <w:highlight w:val="none"/>
                <w:lang w:val="en-US" w:eastAsia="zh-CN"/>
              </w:rPr>
              <w:t>出具的备案文件（备案证号：</w:t>
            </w:r>
            <w:r>
              <w:rPr>
                <w:rFonts w:hint="default" w:ascii="Times New Roman" w:hAnsi="Times New Roman" w:cs="Times New Roman"/>
                <w:color w:val="auto"/>
                <w:spacing w:val="0"/>
                <w:sz w:val="24"/>
                <w:szCs w:val="24"/>
                <w:highlight w:val="none"/>
                <w:lang w:val="en-US" w:eastAsia="zh-CN"/>
              </w:rPr>
              <w:t>2506271918652300000206</w:t>
            </w:r>
            <w:r>
              <w:rPr>
                <w:rFonts w:hint="default" w:ascii="Times New Roman" w:hAnsi="Times New Roman" w:eastAsia="宋体" w:cs="Times New Roman"/>
                <w:color w:val="auto"/>
                <w:spacing w:val="0"/>
                <w:sz w:val="24"/>
                <w:szCs w:val="24"/>
                <w:highlight w:val="none"/>
                <w:lang w:val="en-US" w:eastAsia="zh-CN"/>
              </w:rPr>
              <w:t>），项目代码为250</w:t>
            </w:r>
            <w:r>
              <w:rPr>
                <w:rFonts w:hint="default" w:ascii="Times New Roman" w:hAnsi="Times New Roman" w:cs="Times New Roman"/>
                <w:color w:val="auto"/>
                <w:spacing w:val="0"/>
                <w:sz w:val="24"/>
                <w:szCs w:val="24"/>
                <w:highlight w:val="none"/>
                <w:lang w:val="en-US" w:eastAsia="zh-CN"/>
              </w:rPr>
              <w:t>5</w:t>
            </w:r>
            <w:r>
              <w:rPr>
                <w:rFonts w:hint="default" w:ascii="Times New Roman" w:hAnsi="Times New Roman" w:eastAsia="宋体" w:cs="Times New Roman"/>
                <w:color w:val="auto"/>
                <w:spacing w:val="0"/>
                <w:sz w:val="24"/>
                <w:szCs w:val="24"/>
                <w:highlight w:val="none"/>
                <w:lang w:val="en-US" w:eastAsia="zh-CN"/>
              </w:rPr>
              <w:t>-</w:t>
            </w:r>
            <w:r>
              <w:rPr>
                <w:rFonts w:hint="default" w:ascii="Times New Roman" w:hAnsi="Times New Roman" w:cs="Times New Roman"/>
                <w:color w:val="auto"/>
                <w:spacing w:val="0"/>
                <w:sz w:val="24"/>
                <w:szCs w:val="24"/>
                <w:highlight w:val="none"/>
                <w:lang w:val="en-US" w:eastAsia="zh-CN"/>
              </w:rPr>
              <w:t>652327</w:t>
            </w:r>
            <w:r>
              <w:rPr>
                <w:rFonts w:hint="default" w:ascii="Times New Roman" w:hAnsi="Times New Roman" w:eastAsia="宋体" w:cs="Times New Roman"/>
                <w:color w:val="auto"/>
                <w:spacing w:val="0"/>
                <w:sz w:val="24"/>
                <w:szCs w:val="24"/>
                <w:highlight w:val="none"/>
                <w:lang w:val="en-US" w:eastAsia="zh-CN"/>
              </w:rPr>
              <w:t>-</w:t>
            </w:r>
            <w:r>
              <w:rPr>
                <w:rFonts w:hint="default" w:ascii="Times New Roman" w:hAnsi="Times New Roman" w:cs="Times New Roman"/>
                <w:color w:val="auto"/>
                <w:spacing w:val="0"/>
                <w:sz w:val="24"/>
                <w:szCs w:val="24"/>
                <w:highlight w:val="none"/>
                <w:lang w:val="en-US" w:eastAsia="zh-CN"/>
              </w:rPr>
              <w:t>04</w:t>
            </w:r>
            <w:r>
              <w:rPr>
                <w:rFonts w:hint="default" w:ascii="Times New Roman" w:hAnsi="Times New Roman" w:eastAsia="宋体" w:cs="Times New Roman"/>
                <w:color w:val="auto"/>
                <w:spacing w:val="0"/>
                <w:sz w:val="24"/>
                <w:szCs w:val="24"/>
                <w:highlight w:val="none"/>
                <w:lang w:val="en-US" w:eastAsia="zh-CN"/>
              </w:rPr>
              <w:t>-0</w:t>
            </w:r>
            <w:r>
              <w:rPr>
                <w:rFonts w:hint="default" w:ascii="Times New Roman" w:hAnsi="Times New Roman" w:cs="Times New Roman"/>
                <w:color w:val="auto"/>
                <w:spacing w:val="0"/>
                <w:sz w:val="24"/>
                <w:szCs w:val="24"/>
                <w:highlight w:val="none"/>
                <w:lang w:val="en-US" w:eastAsia="zh-CN"/>
              </w:rPr>
              <w:t>1</w:t>
            </w:r>
            <w:r>
              <w:rPr>
                <w:rFonts w:hint="default" w:ascii="Times New Roman" w:hAnsi="Times New Roman" w:eastAsia="宋体" w:cs="Times New Roman"/>
                <w:color w:val="auto"/>
                <w:spacing w:val="0"/>
                <w:sz w:val="24"/>
                <w:szCs w:val="24"/>
                <w:highlight w:val="none"/>
                <w:lang w:val="en-US" w:eastAsia="zh-CN"/>
              </w:rPr>
              <w:t>-</w:t>
            </w:r>
            <w:r>
              <w:rPr>
                <w:rFonts w:hint="default" w:ascii="Times New Roman" w:hAnsi="Times New Roman" w:cs="Times New Roman"/>
                <w:color w:val="auto"/>
                <w:spacing w:val="0"/>
                <w:sz w:val="24"/>
                <w:szCs w:val="24"/>
                <w:highlight w:val="none"/>
                <w:lang w:val="en-US" w:eastAsia="zh-CN"/>
              </w:rPr>
              <w:t>960025</w:t>
            </w:r>
            <w:r>
              <w:rPr>
                <w:rFonts w:hint="default" w:ascii="Times New Roman" w:hAnsi="Times New Roman" w:eastAsia="宋体" w:cs="Times New Roman"/>
                <w:color w:val="auto"/>
                <w:spacing w:val="0"/>
                <w:sz w:val="24"/>
                <w:szCs w:val="24"/>
                <w:highlight w:val="none"/>
                <w:lang w:val="en-US" w:eastAsia="zh-CN"/>
              </w:rPr>
              <w:t>。</w:t>
            </w:r>
          </w:p>
          <w:p w14:paraId="1AC85B10">
            <w:pPr>
              <w:keepNext w:val="0"/>
              <w:keepLines w:val="0"/>
              <w:pageBreakBefore w:val="0"/>
              <w:widowControl w:val="0"/>
              <w:kinsoku/>
              <w:wordWrap/>
              <w:overflowPunct/>
              <w:topLinePunct w:val="0"/>
              <w:autoSpaceDE w:val="0"/>
              <w:autoSpaceDN w:val="0"/>
              <w:bidi w:val="0"/>
              <w:adjustRightInd/>
              <w:snapToGrid/>
              <w:spacing w:line="360" w:lineRule="auto"/>
              <w:ind w:firstLine="482" w:firstLineChars="200"/>
              <w:textAlignment w:val="auto"/>
              <w:outlineLvl w:val="9"/>
              <w:rPr>
                <w:rFonts w:hint="default" w:ascii="Times New Roman" w:hAnsi="Times New Roman" w:eastAsia="宋体" w:cs="Times New Roman"/>
                <w:b/>
                <w:bCs/>
                <w:color w:val="auto"/>
                <w:spacing w:val="0"/>
                <w:kern w:val="0"/>
                <w:sz w:val="24"/>
                <w:szCs w:val="24"/>
                <w:highlight w:val="none"/>
                <w:lang w:val="en-US" w:eastAsia="zh-CN"/>
              </w:rPr>
            </w:pPr>
            <w:r>
              <w:rPr>
                <w:rFonts w:hint="default" w:ascii="Times New Roman" w:hAnsi="Times New Roman" w:eastAsia="宋体" w:cs="Times New Roman"/>
                <w:b/>
                <w:bCs/>
                <w:color w:val="auto"/>
                <w:spacing w:val="0"/>
                <w:kern w:val="0"/>
                <w:sz w:val="24"/>
                <w:szCs w:val="24"/>
                <w:highlight w:val="none"/>
                <w:lang w:val="en-US" w:eastAsia="zh-CN"/>
              </w:rPr>
              <w:t>2</w:t>
            </w:r>
            <w:r>
              <w:rPr>
                <w:rFonts w:hint="default" w:ascii="Times New Roman" w:hAnsi="Times New Roman" w:cs="Times New Roman"/>
                <w:b/>
                <w:bCs/>
                <w:color w:val="auto"/>
                <w:spacing w:val="0"/>
                <w:kern w:val="0"/>
                <w:sz w:val="24"/>
                <w:szCs w:val="24"/>
                <w:highlight w:val="none"/>
                <w:lang w:val="en-US" w:eastAsia="zh-CN"/>
              </w:rPr>
              <w:t>与</w:t>
            </w:r>
            <w:r>
              <w:rPr>
                <w:rFonts w:hint="default" w:ascii="Times New Roman" w:hAnsi="Times New Roman" w:eastAsia="宋体" w:cs="Times New Roman"/>
                <w:b/>
                <w:bCs/>
                <w:color w:val="auto"/>
                <w:spacing w:val="0"/>
                <w:kern w:val="0"/>
                <w:sz w:val="24"/>
                <w:szCs w:val="24"/>
                <w:highlight w:val="none"/>
                <w:lang w:val="en-US" w:eastAsia="zh-CN"/>
              </w:rPr>
              <w:t>生态环境分区管控</w:t>
            </w:r>
            <w:r>
              <w:rPr>
                <w:rFonts w:hint="default" w:ascii="Times New Roman" w:hAnsi="Times New Roman" w:cs="Times New Roman"/>
                <w:b/>
                <w:bCs/>
                <w:color w:val="auto"/>
                <w:spacing w:val="0"/>
                <w:kern w:val="0"/>
                <w:sz w:val="24"/>
                <w:szCs w:val="24"/>
                <w:highlight w:val="none"/>
                <w:lang w:val="en-US" w:eastAsia="zh-CN"/>
              </w:rPr>
              <w:t>要求的</w:t>
            </w:r>
            <w:r>
              <w:rPr>
                <w:rFonts w:hint="default" w:ascii="Times New Roman" w:hAnsi="Times New Roman" w:eastAsia="宋体" w:cs="Times New Roman"/>
                <w:b/>
                <w:bCs/>
                <w:color w:val="auto"/>
                <w:spacing w:val="0"/>
                <w:kern w:val="0"/>
                <w:sz w:val="24"/>
                <w:szCs w:val="24"/>
                <w:highlight w:val="none"/>
                <w:lang w:val="en-US" w:eastAsia="zh-CN"/>
              </w:rPr>
              <w:t>符合性</w:t>
            </w:r>
          </w:p>
          <w:p w14:paraId="09BF8BA9">
            <w:pPr>
              <w:keepNext w:val="0"/>
              <w:keepLines w:val="0"/>
              <w:pageBreakBefore w:val="0"/>
              <w:widowControl w:val="0"/>
              <w:kinsoku/>
              <w:wordWrap/>
              <w:overflowPunct/>
              <w:topLinePunct w:val="0"/>
              <w:autoSpaceDE w:val="0"/>
              <w:autoSpaceDN w:val="0"/>
              <w:bidi w:val="0"/>
              <w:adjustRightInd/>
              <w:snapToGrid/>
              <w:spacing w:line="360" w:lineRule="auto"/>
              <w:ind w:firstLine="482" w:firstLineChars="200"/>
              <w:textAlignment w:val="auto"/>
              <w:outlineLvl w:val="9"/>
              <w:rPr>
                <w:rFonts w:hint="default" w:ascii="Times New Roman" w:hAnsi="Times New Roman" w:eastAsia="宋体" w:cs="Times New Roman"/>
                <w:b/>
                <w:bCs/>
                <w:color w:val="auto"/>
                <w:spacing w:val="0"/>
                <w:kern w:val="0"/>
                <w:sz w:val="24"/>
                <w:szCs w:val="24"/>
                <w:highlight w:val="none"/>
                <w:lang w:val="en-US" w:eastAsia="zh-CN"/>
              </w:rPr>
            </w:pPr>
            <w:r>
              <w:rPr>
                <w:rFonts w:hint="default" w:ascii="Times New Roman" w:hAnsi="Times New Roman" w:eastAsia="宋体" w:cs="Times New Roman"/>
                <w:b/>
                <w:bCs/>
                <w:color w:val="auto"/>
                <w:spacing w:val="0"/>
                <w:kern w:val="0"/>
                <w:sz w:val="24"/>
                <w:szCs w:val="24"/>
                <w:highlight w:val="none"/>
                <w:lang w:val="en-US" w:eastAsia="zh-CN"/>
              </w:rPr>
              <w:t>2.1与《关于印发〈新疆维吾尔自治区生态环境分区管控动态更新成果〉的通知》（新环评环发〔2024〕157号）的符合性</w:t>
            </w:r>
          </w:p>
          <w:p w14:paraId="2B68678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pacing w:val="0"/>
                <w:kern w:val="0"/>
                <w:sz w:val="24"/>
                <w:szCs w:val="24"/>
                <w:highlight w:val="none"/>
                <w:lang w:val="en-US" w:eastAsia="zh-CN"/>
              </w:rPr>
            </w:pPr>
            <w:r>
              <w:rPr>
                <w:rFonts w:hint="default" w:ascii="Times New Roman" w:hAnsi="Times New Roman" w:eastAsia="宋体" w:cs="Times New Roman"/>
                <w:color w:val="auto"/>
                <w:spacing w:val="0"/>
                <w:kern w:val="0"/>
                <w:sz w:val="24"/>
                <w:szCs w:val="24"/>
                <w:highlight w:val="none"/>
                <w:lang w:val="en-US" w:eastAsia="zh-CN"/>
              </w:rPr>
              <w:t>本项目与</w:t>
            </w:r>
            <w:r>
              <w:rPr>
                <w:rFonts w:hint="default" w:ascii="Times New Roman" w:hAnsi="Times New Roman" w:eastAsia="宋体" w:cs="Times New Roman"/>
                <w:color w:val="auto"/>
                <w:spacing w:val="0"/>
                <w:kern w:val="0"/>
                <w:sz w:val="24"/>
                <w:szCs w:val="24"/>
                <w:highlight w:val="none"/>
                <w:lang w:eastAsia="zh-CN"/>
              </w:rPr>
              <w:t>《关于印发〈新疆维吾尔自治区生态环境分区管控动态更新成果〉的通知》（新环评环发〔2024〕157号）的符合性分析见表</w:t>
            </w:r>
            <w:r>
              <w:rPr>
                <w:rFonts w:hint="default" w:ascii="Times New Roman" w:hAnsi="Times New Roman" w:eastAsia="宋体" w:cs="Times New Roman"/>
                <w:color w:val="auto"/>
                <w:spacing w:val="0"/>
                <w:kern w:val="0"/>
                <w:sz w:val="24"/>
                <w:szCs w:val="24"/>
                <w:highlight w:val="none"/>
                <w:lang w:val="en-US" w:eastAsia="zh-CN"/>
              </w:rPr>
              <w:t>1-</w:t>
            </w:r>
            <w:r>
              <w:rPr>
                <w:rFonts w:hint="default" w:ascii="Times New Roman" w:hAnsi="Times New Roman" w:cs="Times New Roman"/>
                <w:color w:val="auto"/>
                <w:spacing w:val="0"/>
                <w:kern w:val="0"/>
                <w:sz w:val="24"/>
                <w:szCs w:val="24"/>
                <w:highlight w:val="none"/>
                <w:lang w:val="en-US" w:eastAsia="zh-CN"/>
              </w:rPr>
              <w:t>1</w:t>
            </w:r>
            <w:r>
              <w:rPr>
                <w:rFonts w:hint="default" w:ascii="Times New Roman" w:hAnsi="Times New Roman" w:eastAsia="宋体" w:cs="Times New Roman"/>
                <w:color w:val="auto"/>
                <w:spacing w:val="0"/>
                <w:kern w:val="0"/>
                <w:sz w:val="24"/>
                <w:szCs w:val="24"/>
                <w:highlight w:val="none"/>
                <w:lang w:val="en-US" w:eastAsia="zh-CN"/>
              </w:rPr>
              <w:t>。</w:t>
            </w:r>
          </w:p>
          <w:p w14:paraId="4A81186E">
            <w:pPr>
              <w:pStyle w:val="42"/>
              <w:keepNext w:val="0"/>
              <w:keepLines w:val="0"/>
              <w:pageBreakBefore w:val="0"/>
              <w:widowControl w:val="0"/>
              <w:tabs>
                <w:tab w:val="left" w:pos="4643"/>
                <w:tab w:val="clear" w:pos="6840"/>
              </w:tabs>
              <w:kinsoku/>
              <w:wordWrap/>
              <w:overflowPunct/>
              <w:topLinePunct/>
              <w:autoSpaceDE/>
              <w:autoSpaceDN/>
              <w:bidi w:val="0"/>
              <w:adjustRightInd w:val="0"/>
              <w:snapToGrid w:val="0"/>
              <w:spacing w:before="0" w:beforeLines="0" w:beforeAutospacing="0" w:after="0" w:afterLines="0" w:afterAutospacing="0" w:line="240" w:lineRule="auto"/>
              <w:ind w:left="0" w:leftChars="0" w:right="0" w:rightChars="0" w:firstLine="0"/>
              <w:textAlignment w:val="auto"/>
              <w:rPr>
                <w:rFonts w:hint="default" w:ascii="Times New Roman" w:hAnsi="Times New Roman" w:eastAsia="宋体" w:cs="Times New Roman"/>
                <w:b/>
                <w:bCs w:val="0"/>
                <w:color w:val="auto"/>
                <w:spacing w:val="0"/>
                <w:kern w:val="2"/>
                <w:sz w:val="21"/>
                <w:szCs w:val="21"/>
                <w:highlight w:val="none"/>
                <w:lang w:val="en-US" w:eastAsia="zh-CN" w:bidi="ar-SA"/>
              </w:rPr>
            </w:pPr>
            <w:r>
              <w:rPr>
                <w:rFonts w:hint="default" w:ascii="Times New Roman" w:hAnsi="Times New Roman" w:eastAsia="宋体" w:cs="Times New Roman"/>
                <w:b/>
                <w:bCs w:val="0"/>
                <w:color w:val="auto"/>
                <w:spacing w:val="0"/>
                <w:kern w:val="2"/>
                <w:sz w:val="21"/>
                <w:szCs w:val="21"/>
                <w:highlight w:val="none"/>
                <w:lang w:val="en-US" w:eastAsia="zh-CN" w:bidi="ar-SA"/>
              </w:rPr>
              <w:t>表1-</w:t>
            </w:r>
            <w:r>
              <w:rPr>
                <w:rFonts w:hint="default" w:ascii="Times New Roman" w:hAnsi="Times New Roman" w:cs="Times New Roman"/>
                <w:b/>
                <w:bCs w:val="0"/>
                <w:color w:val="auto"/>
                <w:spacing w:val="0"/>
                <w:kern w:val="2"/>
                <w:sz w:val="21"/>
                <w:szCs w:val="21"/>
                <w:highlight w:val="none"/>
                <w:lang w:val="en-US" w:eastAsia="zh-CN" w:bidi="ar-SA"/>
              </w:rPr>
              <w:t>1</w:t>
            </w:r>
            <w:r>
              <w:rPr>
                <w:rFonts w:hint="default" w:ascii="Times New Roman" w:hAnsi="Times New Roman" w:eastAsia="宋体" w:cs="Times New Roman"/>
                <w:b/>
                <w:bCs w:val="0"/>
                <w:color w:val="auto"/>
                <w:spacing w:val="0"/>
                <w:kern w:val="2"/>
                <w:sz w:val="21"/>
                <w:szCs w:val="21"/>
                <w:highlight w:val="none"/>
                <w:lang w:val="en-US" w:eastAsia="zh-CN" w:bidi="ar-SA"/>
              </w:rPr>
              <w:t>本项目与《关于印发〈新疆维吾尔自治区生态环境分区管控动态更新成果〉的通知》（新环评环发〔2024〕157号）符合性</w:t>
            </w:r>
          </w:p>
          <w:tbl>
            <w:tblPr>
              <w:tblStyle w:val="96"/>
              <w:tblW w:w="4997" w:type="pct"/>
              <w:tblInd w:w="-1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68" w:type="dxa"/>
                <w:bottom w:w="0" w:type="dxa"/>
                <w:right w:w="68" w:type="dxa"/>
              </w:tblCellMar>
            </w:tblPr>
            <w:tblGrid>
              <w:gridCol w:w="559"/>
              <w:gridCol w:w="712"/>
              <w:gridCol w:w="3437"/>
              <w:gridCol w:w="2941"/>
              <w:gridCol w:w="650"/>
            </w:tblGrid>
            <w:tr w14:paraId="27EF5D8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765" w:type="pct"/>
                  <w:gridSpan w:val="2"/>
                  <w:tcBorders>
                    <w:tl2br w:val="nil"/>
                    <w:tr2bl w:val="nil"/>
                  </w:tcBorders>
                  <w:noWrap w:val="0"/>
                  <w:vAlign w:val="center"/>
                </w:tcPr>
                <w:p w14:paraId="342DCB3A">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b/>
                      <w:bCs/>
                      <w:color w:val="auto"/>
                      <w:spacing w:val="-1"/>
                      <w:sz w:val="21"/>
                      <w:szCs w:val="21"/>
                    </w:rPr>
                    <w:t>管控维度</w:t>
                  </w:r>
                </w:p>
              </w:tc>
              <w:tc>
                <w:tcPr>
                  <w:tcW w:w="2071" w:type="pct"/>
                  <w:tcBorders>
                    <w:tl2br w:val="nil"/>
                    <w:tr2bl w:val="nil"/>
                  </w:tcBorders>
                  <w:noWrap w:val="0"/>
                  <w:vAlign w:val="center"/>
                </w:tcPr>
                <w:p w14:paraId="28678567">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b/>
                      <w:bCs/>
                      <w:color w:val="auto"/>
                      <w:spacing w:val="-2"/>
                      <w:sz w:val="21"/>
                      <w:szCs w:val="21"/>
                      <w:lang w:val="en-US" w:eastAsia="zh-CN"/>
                    </w:rPr>
                    <w:t>管</w:t>
                  </w:r>
                  <w:r>
                    <w:rPr>
                      <w:rFonts w:hint="default" w:ascii="Times New Roman" w:hAnsi="Times New Roman" w:cs="Times New Roman"/>
                      <w:b/>
                      <w:bCs/>
                      <w:color w:val="auto"/>
                      <w:spacing w:val="-2"/>
                      <w:sz w:val="21"/>
                      <w:szCs w:val="21"/>
                    </w:rPr>
                    <w:t>控要求</w:t>
                  </w:r>
                </w:p>
              </w:tc>
              <w:tc>
                <w:tcPr>
                  <w:tcW w:w="1771" w:type="pct"/>
                  <w:tcBorders>
                    <w:tl2br w:val="nil"/>
                    <w:tr2bl w:val="nil"/>
                  </w:tcBorders>
                  <w:noWrap w:val="0"/>
                  <w:vAlign w:val="center"/>
                </w:tcPr>
                <w:p w14:paraId="68174EDF">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pacing w:val="-2"/>
                      <w:sz w:val="21"/>
                      <w:szCs w:val="21"/>
                      <w:lang w:val="en-US" w:eastAsia="zh-CN"/>
                    </w:rPr>
                  </w:pPr>
                  <w:r>
                    <w:rPr>
                      <w:rFonts w:hint="default" w:ascii="Times New Roman" w:hAnsi="Times New Roman" w:cs="Times New Roman"/>
                      <w:b/>
                      <w:bCs/>
                      <w:color w:val="auto"/>
                      <w:spacing w:val="-2"/>
                      <w:sz w:val="21"/>
                      <w:szCs w:val="21"/>
                      <w:lang w:val="en-US" w:eastAsia="zh-CN"/>
                    </w:rPr>
                    <w:t>本项目</w:t>
                  </w:r>
                </w:p>
              </w:tc>
              <w:tc>
                <w:tcPr>
                  <w:tcW w:w="391" w:type="pct"/>
                  <w:tcBorders>
                    <w:tl2br w:val="nil"/>
                    <w:tr2bl w:val="nil"/>
                  </w:tcBorders>
                  <w:noWrap w:val="0"/>
                  <w:vAlign w:val="center"/>
                </w:tcPr>
                <w:p w14:paraId="6AA820B6">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pacing w:val="-2"/>
                      <w:sz w:val="21"/>
                      <w:szCs w:val="21"/>
                      <w:lang w:val="en-US" w:eastAsia="zh-CN"/>
                    </w:rPr>
                  </w:pPr>
                  <w:r>
                    <w:rPr>
                      <w:rFonts w:hint="default" w:ascii="Times New Roman" w:hAnsi="Times New Roman" w:cs="Times New Roman"/>
                      <w:b/>
                      <w:bCs/>
                      <w:color w:val="auto"/>
                      <w:spacing w:val="-2"/>
                      <w:sz w:val="21"/>
                      <w:szCs w:val="21"/>
                      <w:lang w:val="en-US" w:eastAsia="zh-CN"/>
                    </w:rPr>
                    <w:t>符合性</w:t>
                  </w:r>
                </w:p>
              </w:tc>
            </w:tr>
            <w:tr w14:paraId="613FC7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336" w:type="pct"/>
                  <w:vMerge w:val="restart"/>
                  <w:tcBorders>
                    <w:tl2br w:val="nil"/>
                    <w:tr2bl w:val="nil"/>
                  </w:tcBorders>
                  <w:noWrap w:val="0"/>
                  <w:vAlign w:val="center"/>
                </w:tcPr>
                <w:p w14:paraId="687C5C5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583C5EB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3EA7958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5B271CA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6BED206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67D30E6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478199D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1DA6C8A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6808629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639DCC4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656DC7F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4B1C3C3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065E1EA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0AD8452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0B64DE2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4B732C3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6263AF7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2527EEA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022D9354">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1"/>
                      <w:sz w:val="21"/>
                      <w:szCs w:val="21"/>
                    </w:rPr>
                    <w:t>A1空</w:t>
                  </w:r>
                  <w:r>
                    <w:rPr>
                      <w:rFonts w:hint="default" w:ascii="Times New Roman" w:hAnsi="Times New Roman" w:cs="Times New Roman"/>
                      <w:color w:val="auto"/>
                      <w:spacing w:val="6"/>
                      <w:sz w:val="21"/>
                      <w:szCs w:val="21"/>
                    </w:rPr>
                    <w:t>间布</w:t>
                  </w:r>
                </w:p>
                <w:p w14:paraId="76C2ADBF">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11"/>
                      <w:sz w:val="21"/>
                      <w:szCs w:val="21"/>
                    </w:rPr>
                    <w:t>局约</w:t>
                  </w:r>
                  <w:r>
                    <w:rPr>
                      <w:rFonts w:hint="default" w:ascii="Times New Roman" w:hAnsi="Times New Roman" w:cs="Times New Roman"/>
                      <w:color w:val="auto"/>
                      <w:sz w:val="21"/>
                      <w:szCs w:val="21"/>
                    </w:rPr>
                    <w:t>束</w:t>
                  </w:r>
                </w:p>
              </w:tc>
              <w:tc>
                <w:tcPr>
                  <w:tcW w:w="428" w:type="pct"/>
                  <w:vMerge w:val="restart"/>
                  <w:tcBorders>
                    <w:tl2br w:val="nil"/>
                    <w:tr2bl w:val="nil"/>
                  </w:tcBorders>
                  <w:noWrap w:val="0"/>
                  <w:vAlign w:val="center"/>
                </w:tcPr>
                <w:p w14:paraId="4B730E91">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1"/>
                      <w:sz w:val="21"/>
                      <w:szCs w:val="21"/>
                    </w:rPr>
                    <w:t>A1.1禁</w:t>
                  </w:r>
                  <w:r>
                    <w:rPr>
                      <w:rFonts w:hint="default" w:ascii="Times New Roman" w:hAnsi="Times New Roman" w:cs="Times New Roman"/>
                      <w:color w:val="auto"/>
                      <w:spacing w:val="3"/>
                      <w:sz w:val="21"/>
                      <w:szCs w:val="21"/>
                    </w:rPr>
                    <w:t>止开发</w:t>
                  </w:r>
                </w:p>
                <w:p w14:paraId="012C04A4">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建设的</w:t>
                  </w:r>
                  <w:r>
                    <w:rPr>
                      <w:rFonts w:hint="default" w:ascii="Times New Roman" w:hAnsi="Times New Roman" w:cs="Times New Roman"/>
                      <w:color w:val="auto"/>
                      <w:spacing w:val="8"/>
                      <w:sz w:val="21"/>
                      <w:szCs w:val="21"/>
                    </w:rPr>
                    <w:t>活动</w:t>
                  </w:r>
                </w:p>
              </w:tc>
              <w:tc>
                <w:tcPr>
                  <w:tcW w:w="2071" w:type="pct"/>
                  <w:tcBorders>
                    <w:tl2br w:val="nil"/>
                    <w:tr2bl w:val="nil"/>
                  </w:tcBorders>
                  <w:noWrap w:val="0"/>
                  <w:vAlign w:val="center"/>
                </w:tcPr>
                <w:p w14:paraId="72C5A5E1">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3"/>
                      <w:sz w:val="21"/>
                      <w:szCs w:val="21"/>
                    </w:rPr>
                  </w:pPr>
                  <w:r>
                    <w:rPr>
                      <w:rFonts w:hint="default" w:ascii="Times New Roman" w:hAnsi="Times New Roman" w:cs="Times New Roman"/>
                      <w:color w:val="auto"/>
                      <w:spacing w:val="-3"/>
                      <w:sz w:val="21"/>
                      <w:szCs w:val="21"/>
                    </w:rPr>
                    <w:t>〔A1.1-1〕禁止新建、扩建《产业结构调整指导目录</w:t>
                  </w:r>
                  <w:r>
                    <w:rPr>
                      <w:rFonts w:hint="default" w:ascii="Times New Roman" w:hAnsi="Times New Roman" w:cs="Times New Roman"/>
                      <w:color w:val="auto"/>
                      <w:spacing w:val="-3"/>
                      <w:sz w:val="21"/>
                      <w:szCs w:val="21"/>
                      <w:lang w:eastAsia="zh-CN"/>
                    </w:rPr>
                    <w:t>（</w:t>
                  </w:r>
                  <w:r>
                    <w:rPr>
                      <w:rFonts w:hint="default" w:ascii="Times New Roman" w:hAnsi="Times New Roman" w:cs="Times New Roman"/>
                      <w:color w:val="auto"/>
                      <w:spacing w:val="-3"/>
                      <w:sz w:val="21"/>
                      <w:szCs w:val="21"/>
                    </w:rPr>
                    <w:t>2024年本</w:t>
                  </w:r>
                  <w:r>
                    <w:rPr>
                      <w:rFonts w:hint="default" w:ascii="Times New Roman" w:hAnsi="Times New Roman" w:cs="Times New Roman"/>
                      <w:color w:val="auto"/>
                      <w:spacing w:val="-3"/>
                      <w:sz w:val="21"/>
                      <w:szCs w:val="21"/>
                      <w:lang w:eastAsia="zh-CN"/>
                    </w:rPr>
                    <w:t>）</w:t>
                  </w:r>
                  <w:r>
                    <w:rPr>
                      <w:rFonts w:hint="default" w:ascii="Times New Roman" w:hAnsi="Times New Roman" w:cs="Times New Roman"/>
                      <w:color w:val="auto"/>
                      <w:spacing w:val="-3"/>
                      <w:sz w:val="21"/>
                      <w:szCs w:val="21"/>
                    </w:rPr>
                    <w:t>》中淘汰类项目。禁止引入《市场准入负面清单</w:t>
                  </w:r>
                  <w:r>
                    <w:rPr>
                      <w:rFonts w:hint="default" w:ascii="Times New Roman" w:hAnsi="Times New Roman" w:cs="Times New Roman"/>
                      <w:color w:val="auto"/>
                      <w:spacing w:val="-3"/>
                      <w:sz w:val="21"/>
                      <w:szCs w:val="21"/>
                      <w:lang w:eastAsia="zh-CN"/>
                    </w:rPr>
                    <w:t>（</w:t>
                  </w:r>
                  <w:r>
                    <w:rPr>
                      <w:rFonts w:hint="default" w:ascii="Times New Roman" w:hAnsi="Times New Roman" w:cs="Times New Roman"/>
                      <w:color w:val="auto"/>
                      <w:spacing w:val="-3"/>
                      <w:sz w:val="21"/>
                      <w:szCs w:val="21"/>
                    </w:rPr>
                    <w:t>2022年版</w:t>
                  </w:r>
                  <w:r>
                    <w:rPr>
                      <w:rFonts w:hint="default" w:ascii="Times New Roman" w:hAnsi="Times New Roman" w:cs="Times New Roman"/>
                      <w:color w:val="auto"/>
                      <w:spacing w:val="-3"/>
                      <w:sz w:val="21"/>
                      <w:szCs w:val="21"/>
                      <w:lang w:eastAsia="zh-CN"/>
                    </w:rPr>
                    <w:t>）</w:t>
                  </w:r>
                  <w:r>
                    <w:rPr>
                      <w:rFonts w:hint="default" w:ascii="Times New Roman" w:hAnsi="Times New Roman" w:cs="Times New Roman"/>
                      <w:color w:val="auto"/>
                      <w:spacing w:val="-3"/>
                      <w:sz w:val="21"/>
                      <w:szCs w:val="21"/>
                    </w:rPr>
                    <w:t>》禁止准入类事项。</w:t>
                  </w:r>
                </w:p>
              </w:tc>
              <w:tc>
                <w:tcPr>
                  <w:tcW w:w="1771" w:type="pct"/>
                  <w:tcBorders>
                    <w:tl2br w:val="nil"/>
                    <w:tr2bl w:val="nil"/>
                  </w:tcBorders>
                  <w:noWrap w:val="0"/>
                  <w:vAlign w:val="center"/>
                </w:tcPr>
                <w:p w14:paraId="7CCF206C">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eastAsia="宋体" w:cs="Times New Roman"/>
                      <w:color w:val="auto"/>
                      <w:spacing w:val="-3"/>
                      <w:sz w:val="21"/>
                      <w:szCs w:val="21"/>
                      <w:lang w:eastAsia="zh-CN"/>
                    </w:rPr>
                  </w:pPr>
                  <w:r>
                    <w:rPr>
                      <w:rFonts w:hint="default" w:ascii="Times New Roman" w:hAnsi="Times New Roman" w:cs="Times New Roman"/>
                      <w:color w:val="auto"/>
                      <w:spacing w:val="-3"/>
                      <w:sz w:val="21"/>
                      <w:szCs w:val="21"/>
                    </w:rPr>
                    <w:t>对照</w:t>
                  </w:r>
                  <w:r>
                    <w:rPr>
                      <w:rFonts w:hint="default" w:ascii="Times New Roman" w:hAnsi="Times New Roman" w:cs="Times New Roman"/>
                      <w:color w:val="auto"/>
                      <w:spacing w:val="-3"/>
                      <w:sz w:val="21"/>
                      <w:szCs w:val="21"/>
                      <w:lang w:eastAsia="zh-CN"/>
                    </w:rPr>
                    <w:t>《产业结构调整指导目录（2024年本）》</w:t>
                  </w:r>
                  <w:r>
                    <w:rPr>
                      <w:rFonts w:hint="default" w:ascii="Times New Roman" w:hAnsi="Times New Roman" w:cs="Times New Roman"/>
                      <w:color w:val="auto"/>
                      <w:spacing w:val="-3"/>
                      <w:sz w:val="21"/>
                      <w:szCs w:val="21"/>
                      <w:lang w:val="en-US" w:eastAsia="zh-CN"/>
                    </w:rPr>
                    <w:t>本</w:t>
                  </w:r>
                  <w:r>
                    <w:rPr>
                      <w:rFonts w:hint="default" w:ascii="Times New Roman" w:hAnsi="Times New Roman" w:cs="Times New Roman"/>
                      <w:color w:val="auto"/>
                      <w:spacing w:val="-3"/>
                      <w:sz w:val="21"/>
                      <w:szCs w:val="21"/>
                    </w:rPr>
                    <w:t>项目属于</w:t>
                  </w:r>
                  <w:r>
                    <w:rPr>
                      <w:rFonts w:hint="default" w:ascii="Times New Roman" w:hAnsi="Times New Roman" w:cs="Times New Roman"/>
                      <w:color w:val="auto"/>
                      <w:spacing w:val="-3"/>
                      <w:sz w:val="21"/>
                      <w:szCs w:val="21"/>
                      <w:lang w:val="en-US" w:eastAsia="zh-CN"/>
                    </w:rPr>
                    <w:t>鼓励类</w:t>
                  </w:r>
                  <w:r>
                    <w:rPr>
                      <w:rFonts w:hint="default" w:ascii="Times New Roman" w:hAnsi="Times New Roman" w:cs="Times New Roman"/>
                      <w:color w:val="auto"/>
                      <w:spacing w:val="-3"/>
                      <w:sz w:val="21"/>
                      <w:szCs w:val="21"/>
                    </w:rPr>
                    <w:t>；对照国家发展改革委和商务部发布的《市场准入负面清单（202</w:t>
                  </w:r>
                  <w:r>
                    <w:rPr>
                      <w:rFonts w:hint="default" w:ascii="Times New Roman" w:hAnsi="Times New Roman" w:cs="Times New Roman"/>
                      <w:color w:val="auto"/>
                      <w:spacing w:val="-3"/>
                      <w:sz w:val="21"/>
                      <w:szCs w:val="21"/>
                      <w:lang w:val="en-US" w:eastAsia="zh-CN"/>
                    </w:rPr>
                    <w:t>5</w:t>
                  </w:r>
                  <w:r>
                    <w:rPr>
                      <w:rFonts w:hint="default" w:ascii="Times New Roman" w:hAnsi="Times New Roman" w:cs="Times New Roman"/>
                      <w:color w:val="auto"/>
                      <w:spacing w:val="-3"/>
                      <w:sz w:val="21"/>
                      <w:szCs w:val="21"/>
                    </w:rPr>
                    <w:t>年版）》，属于许可准入类</w:t>
                  </w:r>
                  <w:r>
                    <w:rPr>
                      <w:rFonts w:hint="default" w:ascii="Times New Roman" w:hAnsi="Times New Roman" w:cs="Times New Roman"/>
                      <w:color w:val="auto"/>
                      <w:spacing w:val="-3"/>
                      <w:sz w:val="21"/>
                      <w:szCs w:val="21"/>
                      <w:lang w:eastAsia="zh-CN"/>
                    </w:rPr>
                    <w:t>。</w:t>
                  </w:r>
                </w:p>
              </w:tc>
              <w:tc>
                <w:tcPr>
                  <w:tcW w:w="391" w:type="pct"/>
                  <w:tcBorders>
                    <w:tl2br w:val="nil"/>
                    <w:tr2bl w:val="nil"/>
                  </w:tcBorders>
                  <w:noWrap w:val="0"/>
                  <w:vAlign w:val="center"/>
                </w:tcPr>
                <w:p w14:paraId="561CD41C">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3"/>
                      <w:sz w:val="21"/>
                      <w:szCs w:val="21"/>
                      <w:lang w:val="en-US" w:eastAsia="zh-CN"/>
                    </w:rPr>
                  </w:pPr>
                  <w:r>
                    <w:rPr>
                      <w:rFonts w:hint="default" w:ascii="Times New Roman" w:hAnsi="Times New Roman" w:cs="Times New Roman"/>
                      <w:color w:val="auto"/>
                      <w:spacing w:val="-3"/>
                      <w:sz w:val="21"/>
                      <w:szCs w:val="21"/>
                      <w:lang w:val="en-US" w:eastAsia="zh-CN"/>
                    </w:rPr>
                    <w:t>符合</w:t>
                  </w:r>
                </w:p>
              </w:tc>
            </w:tr>
            <w:tr w14:paraId="6DE71D0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336" w:type="pct"/>
                  <w:vMerge w:val="continue"/>
                  <w:tcBorders>
                    <w:tl2br w:val="nil"/>
                    <w:tr2bl w:val="nil"/>
                  </w:tcBorders>
                  <w:noWrap w:val="0"/>
                  <w:vAlign w:val="center"/>
                </w:tcPr>
                <w:p w14:paraId="492C43D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428" w:type="pct"/>
                  <w:vMerge w:val="continue"/>
                  <w:tcBorders>
                    <w:tl2br w:val="nil"/>
                    <w:tr2bl w:val="nil"/>
                  </w:tcBorders>
                  <w:noWrap w:val="0"/>
                  <w:vAlign w:val="center"/>
                </w:tcPr>
                <w:p w14:paraId="384BEB2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2071" w:type="pct"/>
                  <w:tcBorders>
                    <w:tl2br w:val="nil"/>
                    <w:tr2bl w:val="nil"/>
                  </w:tcBorders>
                  <w:noWrap w:val="0"/>
                  <w:vAlign w:val="center"/>
                </w:tcPr>
                <w:p w14:paraId="42804CD9">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3"/>
                      <w:sz w:val="21"/>
                      <w:szCs w:val="21"/>
                    </w:rPr>
                  </w:pPr>
                  <w:r>
                    <w:rPr>
                      <w:rFonts w:hint="default" w:ascii="Times New Roman" w:hAnsi="Times New Roman" w:cs="Times New Roman"/>
                      <w:color w:val="auto"/>
                      <w:spacing w:val="-3"/>
                      <w:sz w:val="21"/>
                      <w:szCs w:val="21"/>
                    </w:rPr>
                    <w:t>〔A1.1-2〕禁止建设不符合国家和自治区环境保护标准的项目。</w:t>
                  </w:r>
                </w:p>
              </w:tc>
              <w:tc>
                <w:tcPr>
                  <w:tcW w:w="1771" w:type="pct"/>
                  <w:tcBorders>
                    <w:tl2br w:val="nil"/>
                    <w:tr2bl w:val="nil"/>
                  </w:tcBorders>
                  <w:noWrap w:val="0"/>
                  <w:vAlign w:val="center"/>
                </w:tcPr>
                <w:p w14:paraId="612A08D2">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3"/>
                      <w:sz w:val="21"/>
                      <w:szCs w:val="21"/>
                    </w:rPr>
                  </w:pPr>
                  <w:r>
                    <w:rPr>
                      <w:rFonts w:hint="default" w:ascii="Times New Roman" w:hAnsi="Times New Roman" w:cs="Times New Roman"/>
                      <w:color w:val="auto"/>
                      <w:spacing w:val="-3"/>
                      <w:sz w:val="21"/>
                      <w:szCs w:val="21"/>
                      <w:lang w:val="en-US" w:eastAsia="zh-CN"/>
                    </w:rPr>
                    <w:t>本项目符合</w:t>
                  </w:r>
                  <w:r>
                    <w:rPr>
                      <w:rFonts w:hint="default" w:ascii="Times New Roman" w:hAnsi="Times New Roman" w:cs="Times New Roman"/>
                      <w:color w:val="auto"/>
                      <w:spacing w:val="-3"/>
                      <w:sz w:val="21"/>
                      <w:szCs w:val="21"/>
                    </w:rPr>
                    <w:t>国家和自治区环境保护标准</w:t>
                  </w:r>
                  <w:r>
                    <w:rPr>
                      <w:rFonts w:hint="default" w:ascii="Times New Roman" w:hAnsi="Times New Roman" w:cs="Times New Roman"/>
                      <w:color w:val="auto"/>
                      <w:spacing w:val="-3"/>
                      <w:sz w:val="21"/>
                      <w:szCs w:val="21"/>
                      <w:lang w:eastAsia="zh-CN"/>
                    </w:rPr>
                    <w:t>。</w:t>
                  </w:r>
                </w:p>
              </w:tc>
              <w:tc>
                <w:tcPr>
                  <w:tcW w:w="391" w:type="pct"/>
                  <w:tcBorders>
                    <w:tl2br w:val="nil"/>
                    <w:tr2bl w:val="nil"/>
                  </w:tcBorders>
                  <w:noWrap w:val="0"/>
                  <w:vAlign w:val="center"/>
                </w:tcPr>
                <w:p w14:paraId="28C35888">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4"/>
                      <w:sz w:val="21"/>
                      <w:szCs w:val="21"/>
                      <w:lang w:val="en-US" w:eastAsia="zh-CN"/>
                    </w:rPr>
                  </w:pPr>
                  <w:r>
                    <w:rPr>
                      <w:rFonts w:hint="default" w:ascii="Times New Roman" w:hAnsi="Times New Roman" w:cs="Times New Roman"/>
                      <w:color w:val="auto"/>
                      <w:spacing w:val="4"/>
                      <w:sz w:val="21"/>
                      <w:szCs w:val="21"/>
                      <w:lang w:val="en-US" w:eastAsia="zh-CN"/>
                    </w:rPr>
                    <w:t>符合</w:t>
                  </w:r>
                </w:p>
              </w:tc>
            </w:tr>
            <w:tr w14:paraId="26BD3A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336" w:type="pct"/>
                  <w:vMerge w:val="continue"/>
                  <w:tcBorders>
                    <w:tl2br w:val="nil"/>
                    <w:tr2bl w:val="nil"/>
                  </w:tcBorders>
                  <w:noWrap w:val="0"/>
                  <w:vAlign w:val="center"/>
                </w:tcPr>
                <w:p w14:paraId="50B80AB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428" w:type="pct"/>
                  <w:vMerge w:val="continue"/>
                  <w:tcBorders>
                    <w:tl2br w:val="nil"/>
                    <w:tr2bl w:val="nil"/>
                  </w:tcBorders>
                  <w:noWrap w:val="0"/>
                  <w:vAlign w:val="center"/>
                </w:tcPr>
                <w:p w14:paraId="1A85425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2071" w:type="pct"/>
                  <w:tcBorders>
                    <w:tl2br w:val="nil"/>
                    <w:tr2bl w:val="nil"/>
                  </w:tcBorders>
                  <w:noWrap w:val="0"/>
                  <w:vAlign w:val="center"/>
                </w:tcPr>
                <w:p w14:paraId="34F5C7B8">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3"/>
                      <w:sz w:val="21"/>
                      <w:szCs w:val="21"/>
                      <w:lang w:val="en-US" w:eastAsia="zh-CN"/>
                    </w:rPr>
                  </w:pPr>
                  <w:r>
                    <w:rPr>
                      <w:rFonts w:hint="default" w:ascii="Times New Roman" w:hAnsi="Times New Roman" w:cs="Times New Roman"/>
                      <w:color w:val="auto"/>
                      <w:spacing w:val="-3"/>
                      <w:sz w:val="21"/>
                      <w:szCs w:val="21"/>
                      <w:lang w:val="en-US" w:eastAsia="zh-CN"/>
                    </w:rPr>
                    <w:t>〔A1.1-6〕禁止在自治区行政区域内引进能（水）耗不符合相关国家标准中准入值要求且污染物排放和环境风险防控不符合国家（地方）标准及有关产业准入条件的高污染（排放）、高能（水）耗、高环境风险的工业项目。</w:t>
                  </w:r>
                </w:p>
              </w:tc>
              <w:tc>
                <w:tcPr>
                  <w:tcW w:w="1771" w:type="pct"/>
                  <w:vMerge w:val="restart"/>
                  <w:tcBorders>
                    <w:tl2br w:val="nil"/>
                    <w:tr2bl w:val="nil"/>
                  </w:tcBorders>
                  <w:noWrap w:val="0"/>
                  <w:vAlign w:val="center"/>
                </w:tcPr>
                <w:p w14:paraId="3BD09FE8">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3"/>
                      <w:sz w:val="21"/>
                      <w:szCs w:val="21"/>
                      <w:lang w:val="en-US" w:eastAsia="zh-CN"/>
                    </w:rPr>
                  </w:pPr>
                  <w:r>
                    <w:rPr>
                      <w:rFonts w:hint="default" w:ascii="Times New Roman" w:hAnsi="Times New Roman" w:cs="Times New Roman"/>
                      <w:color w:val="auto"/>
                      <w:spacing w:val="-3"/>
                      <w:sz w:val="21"/>
                      <w:szCs w:val="21"/>
                      <w:lang w:val="en-US" w:eastAsia="zh-CN"/>
                    </w:rPr>
                    <w:t>本项目利用上游吉木萨尔县恒信煤炭制品工贸有限公司120万吨煤制品深加工升级改造项目半焦（兰炭）副产荒煤气余能新建煤气发电项目，煤气燃烧烟气经“低氮燃烧器+SCR脱硝+</w:t>
                  </w:r>
                  <w:r>
                    <w:rPr>
                      <w:rFonts w:hint="default" w:ascii="Times New Roman" w:hAnsi="Times New Roman" w:eastAsia="宋体" w:cs="Times New Roman"/>
                      <w:i w:val="0"/>
                      <w:iCs w:val="0"/>
                      <w:color w:val="auto"/>
                      <w:kern w:val="0"/>
                      <w:sz w:val="21"/>
                      <w:szCs w:val="21"/>
                      <w:u w:val="none"/>
                      <w:lang w:val="en-US" w:eastAsia="zh-CN" w:bidi="ar"/>
                    </w:rPr>
                    <w:t>石灰（石）-石膏湿法脱硫+高效除雾器协同除尘+湿式电除尘器</w:t>
                  </w:r>
                  <w:r>
                    <w:rPr>
                      <w:rFonts w:hint="default" w:ascii="Times New Roman" w:hAnsi="Times New Roman" w:cs="Times New Roman"/>
                      <w:color w:val="auto"/>
                      <w:spacing w:val="-3"/>
                      <w:sz w:val="21"/>
                      <w:szCs w:val="21"/>
                      <w:lang w:val="en-US" w:eastAsia="zh-CN"/>
                    </w:rPr>
                    <w:t>设施”处理后，</w:t>
                  </w:r>
                  <w:r>
                    <w:rPr>
                      <w:rFonts w:hint="eastAsia" w:ascii="Times New Roman" w:hAnsi="Times New Roman" w:cs="Times New Roman"/>
                      <w:color w:val="auto"/>
                      <w:spacing w:val="-3"/>
                      <w:sz w:val="21"/>
                      <w:szCs w:val="21"/>
                      <w:lang w:val="en-US" w:eastAsia="zh-CN"/>
                    </w:rPr>
                    <w:t>通过</w:t>
                  </w:r>
                  <w:r>
                    <w:rPr>
                      <w:rFonts w:hint="default" w:ascii="Times New Roman" w:hAnsi="Times New Roman" w:cs="Times New Roman"/>
                      <w:color w:val="auto"/>
                      <w:spacing w:val="-3"/>
                      <w:sz w:val="21"/>
                      <w:szCs w:val="21"/>
                      <w:lang w:val="en-US" w:eastAsia="zh-CN"/>
                    </w:rPr>
                    <w:t>60m高排气筒（DA001）排放至大气环境中，并安装在线监测系统（CEMS）能够满足《火电厂大气污染物排放标准》（GB13223-2011）表2大气污染物特别排放限值和《关于印发〈全面实施燃煤电厂超低排放和节能改造工作方案〉的通知》（环发〔2015〕164号）中氮氧化物浓度限值。</w:t>
                  </w:r>
                </w:p>
                <w:p w14:paraId="18A10240">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3"/>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本项目积极响应重污染天气相关行动</w:t>
                  </w:r>
                  <w:r>
                    <w:rPr>
                      <w:rFonts w:hint="default" w:ascii="Times New Roman" w:hAnsi="Times New Roman" w:cs="Times New Roman"/>
                      <w:i w:val="0"/>
                      <w:iCs w:val="0"/>
                      <w:color w:val="auto"/>
                      <w:kern w:val="0"/>
                      <w:sz w:val="21"/>
                      <w:szCs w:val="21"/>
                      <w:u w:val="none"/>
                      <w:lang w:val="en-US" w:eastAsia="zh-CN" w:bidi="ar"/>
                    </w:rPr>
                    <w:t>。</w:t>
                  </w:r>
                </w:p>
                <w:p w14:paraId="6AFCFAD3">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3"/>
                      <w:sz w:val="21"/>
                      <w:szCs w:val="21"/>
                      <w:lang w:val="en-US" w:eastAsia="zh-CN"/>
                    </w:rPr>
                  </w:pPr>
                </w:p>
              </w:tc>
              <w:tc>
                <w:tcPr>
                  <w:tcW w:w="391" w:type="pct"/>
                  <w:vMerge w:val="restart"/>
                  <w:tcBorders>
                    <w:tl2br w:val="nil"/>
                    <w:tr2bl w:val="nil"/>
                  </w:tcBorders>
                  <w:noWrap w:val="0"/>
                  <w:vAlign w:val="center"/>
                </w:tcPr>
                <w:p w14:paraId="2B091AD6">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1"/>
                      <w:sz w:val="21"/>
                      <w:szCs w:val="21"/>
                      <w:lang w:val="en-US" w:eastAsia="zh-CN"/>
                    </w:rPr>
                  </w:pPr>
                  <w:r>
                    <w:rPr>
                      <w:rFonts w:hint="default" w:ascii="Times New Roman" w:hAnsi="Times New Roman" w:cs="Times New Roman"/>
                      <w:color w:val="auto"/>
                      <w:spacing w:val="-1"/>
                      <w:sz w:val="21"/>
                      <w:szCs w:val="21"/>
                      <w:lang w:val="en-US" w:eastAsia="zh-CN"/>
                    </w:rPr>
                    <w:t>符合</w:t>
                  </w:r>
                </w:p>
              </w:tc>
            </w:tr>
            <w:tr w14:paraId="483E674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336" w:type="pct"/>
                  <w:vMerge w:val="continue"/>
                  <w:tcBorders>
                    <w:tl2br w:val="nil"/>
                    <w:tr2bl w:val="nil"/>
                  </w:tcBorders>
                  <w:noWrap w:val="0"/>
                  <w:vAlign w:val="center"/>
                </w:tcPr>
                <w:p w14:paraId="320ECA1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428" w:type="pct"/>
                  <w:vMerge w:val="continue"/>
                  <w:tcBorders>
                    <w:tl2br w:val="nil"/>
                    <w:tr2bl w:val="nil"/>
                  </w:tcBorders>
                  <w:noWrap w:val="0"/>
                  <w:vAlign w:val="center"/>
                </w:tcPr>
                <w:p w14:paraId="5FE9DAD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2071" w:type="pct"/>
                  <w:tcBorders>
                    <w:tl2br w:val="nil"/>
                    <w:tr2bl w:val="nil"/>
                  </w:tcBorders>
                  <w:noWrap w:val="0"/>
                  <w:vAlign w:val="center"/>
                </w:tcPr>
                <w:p w14:paraId="6A9246F2">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3"/>
                      <w:sz w:val="21"/>
                      <w:szCs w:val="21"/>
                    </w:rPr>
                  </w:pPr>
                  <w:r>
                    <w:rPr>
                      <w:rFonts w:hint="default" w:ascii="Times New Roman" w:hAnsi="Times New Roman" w:cs="Times New Roman"/>
                      <w:color w:val="auto"/>
                      <w:spacing w:val="-3"/>
                      <w:sz w:val="21"/>
                      <w:szCs w:val="21"/>
                    </w:rPr>
                    <w:t>〔A1.1-7〕①坚决遏制高耗能高排放低水平项目盲目发展。严把高耗能高排放低水平项目准入关口，严格落实污染物排放区域削减要求，对不符合规定的项目坚决停批停建。依法依规淘汰落后产能和化解过剩产能。②重点行业企业纳入重污染天气绩效分级，制定“一厂一策”应急减排清单，实现应纳尽纳；引导重点企业在秋冬季安排停产检修计划，减少冬季和采暖期排放。推进重点行业深度治理：实施全工况脱硫脱硝提标改造，加大无组织排放治理力度，深度开展工业炉窑综合整治，全面提升电解铝、活性炭、硅冶炼、纯碱、电石、聚氯乙烯、石化等行业污染治理水平。</w:t>
                  </w:r>
                </w:p>
              </w:tc>
              <w:tc>
                <w:tcPr>
                  <w:tcW w:w="1771" w:type="pct"/>
                  <w:vMerge w:val="continue"/>
                  <w:tcBorders>
                    <w:tl2br w:val="nil"/>
                    <w:tr2bl w:val="nil"/>
                  </w:tcBorders>
                  <w:noWrap w:val="0"/>
                  <w:vAlign w:val="center"/>
                </w:tcPr>
                <w:p w14:paraId="6E1E467E">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3"/>
                      <w:sz w:val="21"/>
                      <w:szCs w:val="21"/>
                    </w:rPr>
                  </w:pPr>
                </w:p>
              </w:tc>
              <w:tc>
                <w:tcPr>
                  <w:tcW w:w="391" w:type="pct"/>
                  <w:vMerge w:val="continue"/>
                  <w:tcBorders>
                    <w:tl2br w:val="nil"/>
                    <w:tr2bl w:val="nil"/>
                  </w:tcBorders>
                  <w:noWrap w:val="0"/>
                  <w:vAlign w:val="center"/>
                </w:tcPr>
                <w:p w14:paraId="4E212532">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4"/>
                      <w:sz w:val="21"/>
                      <w:szCs w:val="21"/>
                    </w:rPr>
                  </w:pPr>
                </w:p>
              </w:tc>
            </w:tr>
            <w:tr w14:paraId="6AA225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336" w:type="pct"/>
                  <w:vMerge w:val="continue"/>
                  <w:tcBorders>
                    <w:tl2br w:val="nil"/>
                    <w:tr2bl w:val="nil"/>
                  </w:tcBorders>
                  <w:noWrap w:val="0"/>
                  <w:vAlign w:val="center"/>
                </w:tcPr>
                <w:p w14:paraId="3308081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428" w:type="pct"/>
                  <w:vMerge w:val="restart"/>
                  <w:tcBorders>
                    <w:tl2br w:val="nil"/>
                    <w:tr2bl w:val="nil"/>
                  </w:tcBorders>
                  <w:noWrap w:val="0"/>
                  <w:vAlign w:val="center"/>
                </w:tcPr>
                <w:p w14:paraId="3A3C3869">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1"/>
                      <w:sz w:val="21"/>
                      <w:szCs w:val="21"/>
                    </w:rPr>
                    <w:t>A1.2限</w:t>
                  </w:r>
                  <w:r>
                    <w:rPr>
                      <w:rFonts w:hint="default" w:ascii="Times New Roman" w:hAnsi="Times New Roman" w:cs="Times New Roman"/>
                      <w:color w:val="auto"/>
                      <w:spacing w:val="3"/>
                      <w:sz w:val="21"/>
                      <w:szCs w:val="21"/>
                    </w:rPr>
                    <w:t>制开发</w:t>
                  </w:r>
                </w:p>
                <w:p w14:paraId="4E2CC926">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建设的</w:t>
                  </w:r>
                  <w:r>
                    <w:rPr>
                      <w:rFonts w:hint="default" w:ascii="Times New Roman" w:hAnsi="Times New Roman" w:cs="Times New Roman"/>
                      <w:color w:val="auto"/>
                      <w:spacing w:val="8"/>
                      <w:sz w:val="21"/>
                      <w:szCs w:val="21"/>
                    </w:rPr>
                    <w:t>活动</w:t>
                  </w:r>
                </w:p>
              </w:tc>
              <w:tc>
                <w:tcPr>
                  <w:tcW w:w="2071" w:type="pct"/>
                  <w:tcBorders>
                    <w:tl2br w:val="nil"/>
                    <w:tr2bl w:val="nil"/>
                  </w:tcBorders>
                  <w:noWrap w:val="0"/>
                  <w:vAlign w:val="center"/>
                </w:tcPr>
                <w:p w14:paraId="4FFF7E25">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2"/>
                      <w:sz w:val="21"/>
                      <w:szCs w:val="21"/>
                    </w:rPr>
                    <w:t>〔A1.2-1〕严格控制缺水地区、水污染严重区域和敏感区域高耗水、</w:t>
                  </w:r>
                  <w:r>
                    <w:rPr>
                      <w:rFonts w:hint="default" w:ascii="Times New Roman" w:hAnsi="Times New Roman" w:cs="Times New Roman"/>
                      <w:color w:val="auto"/>
                      <w:spacing w:val="-3"/>
                      <w:sz w:val="21"/>
                      <w:szCs w:val="21"/>
                    </w:rPr>
                    <w:t>高污染行业发展。</w:t>
                  </w:r>
                </w:p>
              </w:tc>
              <w:tc>
                <w:tcPr>
                  <w:tcW w:w="1771" w:type="pct"/>
                  <w:vMerge w:val="restart"/>
                  <w:tcBorders>
                    <w:tl2br w:val="nil"/>
                    <w:tr2bl w:val="nil"/>
                  </w:tcBorders>
                  <w:noWrap w:val="0"/>
                  <w:vAlign w:val="center"/>
                </w:tcPr>
                <w:p w14:paraId="388FD7B9">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eastAsia="宋体" w:cs="Times New Roman"/>
                      <w:color w:val="auto"/>
                      <w:spacing w:val="-3"/>
                      <w:sz w:val="21"/>
                      <w:szCs w:val="21"/>
                      <w:lang w:val="en-US" w:eastAsia="zh-CN"/>
                    </w:rPr>
                  </w:pPr>
                  <w:r>
                    <w:rPr>
                      <w:rFonts w:hint="default" w:ascii="Times New Roman" w:hAnsi="Times New Roman" w:cs="Times New Roman"/>
                      <w:color w:val="auto"/>
                      <w:spacing w:val="-5"/>
                      <w:sz w:val="21"/>
                      <w:szCs w:val="21"/>
                      <w:lang w:val="en-US" w:eastAsia="zh-CN"/>
                    </w:rPr>
                    <w:t>本项目占地类型为建设用地，不在</w:t>
                  </w:r>
                  <w:r>
                    <w:rPr>
                      <w:rFonts w:hint="default" w:ascii="Times New Roman" w:hAnsi="Times New Roman" w:cs="Times New Roman"/>
                      <w:color w:val="auto"/>
                      <w:spacing w:val="-4"/>
                      <w:sz w:val="21"/>
                      <w:szCs w:val="21"/>
                    </w:rPr>
                    <w:t>生态保护红线、永久基本农田</w:t>
                  </w:r>
                  <w:r>
                    <w:rPr>
                      <w:rFonts w:hint="default" w:ascii="Times New Roman" w:hAnsi="Times New Roman" w:cs="Times New Roman"/>
                      <w:color w:val="auto"/>
                      <w:spacing w:val="-4"/>
                      <w:sz w:val="21"/>
                      <w:szCs w:val="21"/>
                      <w:lang w:val="en-US" w:eastAsia="zh-CN"/>
                    </w:rPr>
                    <w:t>范围内，不在左侧区域内。</w:t>
                  </w:r>
                </w:p>
              </w:tc>
              <w:tc>
                <w:tcPr>
                  <w:tcW w:w="391" w:type="pct"/>
                  <w:vMerge w:val="restart"/>
                  <w:tcBorders>
                    <w:tl2br w:val="nil"/>
                    <w:tr2bl w:val="nil"/>
                  </w:tcBorders>
                  <w:noWrap w:val="0"/>
                  <w:vAlign w:val="center"/>
                </w:tcPr>
                <w:p w14:paraId="016D91FB">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5"/>
                      <w:sz w:val="21"/>
                      <w:szCs w:val="21"/>
                      <w:lang w:val="en-US" w:eastAsia="zh-CN"/>
                    </w:rPr>
                  </w:pPr>
                  <w:r>
                    <w:rPr>
                      <w:rFonts w:hint="default" w:ascii="Times New Roman" w:hAnsi="Times New Roman" w:cs="Times New Roman"/>
                      <w:color w:val="auto"/>
                      <w:spacing w:val="5"/>
                      <w:sz w:val="21"/>
                      <w:szCs w:val="21"/>
                      <w:lang w:val="en-US" w:eastAsia="zh-CN"/>
                    </w:rPr>
                    <w:t>符合</w:t>
                  </w:r>
                </w:p>
              </w:tc>
            </w:tr>
            <w:tr w14:paraId="49FAF0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336" w:type="pct"/>
                  <w:vMerge w:val="continue"/>
                  <w:tcBorders>
                    <w:tl2br w:val="nil"/>
                    <w:tr2bl w:val="nil"/>
                  </w:tcBorders>
                  <w:noWrap w:val="0"/>
                  <w:vAlign w:val="center"/>
                </w:tcPr>
                <w:p w14:paraId="7AE5D0F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428" w:type="pct"/>
                  <w:vMerge w:val="continue"/>
                  <w:tcBorders>
                    <w:tl2br w:val="nil"/>
                    <w:tr2bl w:val="nil"/>
                  </w:tcBorders>
                  <w:noWrap w:val="0"/>
                  <w:vAlign w:val="center"/>
                </w:tcPr>
                <w:p w14:paraId="7F0627D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2071" w:type="pct"/>
                  <w:tcBorders>
                    <w:tl2br w:val="nil"/>
                    <w:tr2bl w:val="nil"/>
                  </w:tcBorders>
                  <w:noWrap w:val="0"/>
                  <w:vAlign w:val="center"/>
                </w:tcPr>
                <w:p w14:paraId="088EE17A">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spacing w:val="-6"/>
                      <w:sz w:val="21"/>
                      <w:szCs w:val="21"/>
                    </w:rPr>
                    <w:t>〔A1.2-2〕建设项目用地原则上不得占用永久基本农田，确需占用永久基本农田的建设项目须符合《中华人民共和国基本农田保护条例》中相关要求，占用耕地、林地或草地的建设项目须按照国家、自治区相关补偿要求进行补偿。</w:t>
                  </w:r>
                </w:p>
              </w:tc>
              <w:tc>
                <w:tcPr>
                  <w:tcW w:w="1771" w:type="pct"/>
                  <w:vMerge w:val="continue"/>
                  <w:tcBorders>
                    <w:tl2br w:val="nil"/>
                    <w:tr2bl w:val="nil"/>
                  </w:tcBorders>
                  <w:noWrap w:val="0"/>
                  <w:vAlign w:val="center"/>
                </w:tcPr>
                <w:p w14:paraId="74EDE77D">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eastAsia="宋体" w:cs="Times New Roman"/>
                      <w:color w:val="auto"/>
                      <w:spacing w:val="-3"/>
                      <w:sz w:val="21"/>
                      <w:szCs w:val="21"/>
                      <w:lang w:val="en-US" w:eastAsia="zh-CN"/>
                    </w:rPr>
                  </w:pPr>
                </w:p>
              </w:tc>
              <w:tc>
                <w:tcPr>
                  <w:tcW w:w="391" w:type="pct"/>
                  <w:vMerge w:val="continue"/>
                  <w:tcBorders>
                    <w:tl2br w:val="nil"/>
                    <w:tr2bl w:val="nil"/>
                  </w:tcBorders>
                  <w:noWrap w:val="0"/>
                  <w:vAlign w:val="center"/>
                </w:tcPr>
                <w:p w14:paraId="2144B9B1">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5"/>
                      <w:sz w:val="21"/>
                      <w:szCs w:val="21"/>
                      <w:lang w:val="en-US" w:eastAsia="zh-CN"/>
                    </w:rPr>
                  </w:pPr>
                </w:p>
              </w:tc>
            </w:tr>
            <w:tr w14:paraId="1D365A8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336" w:type="pct"/>
                  <w:vMerge w:val="continue"/>
                  <w:tcBorders>
                    <w:tl2br w:val="nil"/>
                    <w:tr2bl w:val="nil"/>
                  </w:tcBorders>
                  <w:noWrap w:val="0"/>
                  <w:vAlign w:val="center"/>
                </w:tcPr>
                <w:p w14:paraId="30391EC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428" w:type="pct"/>
                  <w:vMerge w:val="continue"/>
                  <w:tcBorders>
                    <w:tl2br w:val="nil"/>
                    <w:tr2bl w:val="nil"/>
                  </w:tcBorders>
                  <w:noWrap w:val="0"/>
                  <w:vAlign w:val="center"/>
                </w:tcPr>
                <w:p w14:paraId="4F4748E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2071" w:type="pct"/>
                  <w:tcBorders>
                    <w:tl2br w:val="nil"/>
                    <w:tr2bl w:val="nil"/>
                  </w:tcBorders>
                  <w:noWrap w:val="0"/>
                  <w:vAlign w:val="center"/>
                </w:tcPr>
                <w:p w14:paraId="7B3EB94D">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sz w:val="21"/>
                      <w:szCs w:val="21"/>
                    </w:rPr>
                    <w:t>〔A1.2-3〕以用途变更为住宅、公共管理与公共服务用地的地块为</w:t>
                  </w:r>
                  <w:r>
                    <w:rPr>
                      <w:rFonts w:hint="default" w:ascii="Times New Roman" w:hAnsi="Times New Roman" w:cs="Times New Roman"/>
                      <w:color w:val="auto"/>
                      <w:spacing w:val="2"/>
                      <w:sz w:val="21"/>
                      <w:szCs w:val="21"/>
                    </w:rPr>
                    <w:t>重点，严格建设用地准入管理和风险管控，未</w:t>
                  </w:r>
                  <w:r>
                    <w:rPr>
                      <w:rFonts w:hint="default" w:ascii="Times New Roman" w:hAnsi="Times New Roman" w:cs="Times New Roman"/>
                      <w:color w:val="auto"/>
                      <w:spacing w:val="1"/>
                      <w:sz w:val="21"/>
                      <w:szCs w:val="21"/>
                    </w:rPr>
                    <w:t>依法完成土壤污染状</w:t>
                  </w:r>
                  <w:r>
                    <w:rPr>
                      <w:rFonts w:hint="default" w:ascii="Times New Roman" w:hAnsi="Times New Roman" w:cs="Times New Roman"/>
                      <w:color w:val="auto"/>
                      <w:spacing w:val="2"/>
                      <w:sz w:val="21"/>
                      <w:szCs w:val="21"/>
                    </w:rPr>
                    <w:t>况调查或风险评估的地块，不得开工建设与风险管控和修复无关的</w:t>
                  </w:r>
                  <w:r>
                    <w:rPr>
                      <w:rFonts w:hint="default" w:ascii="Times New Roman" w:hAnsi="Times New Roman" w:cs="Times New Roman"/>
                      <w:color w:val="auto"/>
                      <w:spacing w:val="-1"/>
                      <w:sz w:val="21"/>
                      <w:szCs w:val="21"/>
                    </w:rPr>
                    <w:t>项目。</w:t>
                  </w:r>
                </w:p>
              </w:tc>
              <w:tc>
                <w:tcPr>
                  <w:tcW w:w="1771" w:type="pct"/>
                  <w:vMerge w:val="continue"/>
                  <w:tcBorders>
                    <w:tl2br w:val="nil"/>
                    <w:tr2bl w:val="nil"/>
                  </w:tcBorders>
                  <w:noWrap w:val="0"/>
                  <w:vAlign w:val="center"/>
                </w:tcPr>
                <w:p w14:paraId="3B5C6AE0">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3"/>
                      <w:sz w:val="21"/>
                      <w:szCs w:val="21"/>
                    </w:rPr>
                  </w:pPr>
                </w:p>
              </w:tc>
              <w:tc>
                <w:tcPr>
                  <w:tcW w:w="391" w:type="pct"/>
                  <w:vMerge w:val="continue"/>
                  <w:tcBorders>
                    <w:tl2br w:val="nil"/>
                    <w:tr2bl w:val="nil"/>
                  </w:tcBorders>
                  <w:noWrap w:val="0"/>
                  <w:vAlign w:val="center"/>
                </w:tcPr>
                <w:p w14:paraId="43C8C0FE">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4"/>
                      <w:sz w:val="21"/>
                      <w:szCs w:val="21"/>
                    </w:rPr>
                  </w:pPr>
                </w:p>
              </w:tc>
            </w:tr>
            <w:tr w14:paraId="4E5892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336" w:type="pct"/>
                  <w:vMerge w:val="continue"/>
                  <w:tcBorders>
                    <w:tl2br w:val="nil"/>
                    <w:tr2bl w:val="nil"/>
                  </w:tcBorders>
                  <w:noWrap w:val="0"/>
                  <w:vAlign w:val="center"/>
                </w:tcPr>
                <w:p w14:paraId="351BA3F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428" w:type="pct"/>
                  <w:vMerge w:val="continue"/>
                  <w:tcBorders>
                    <w:tl2br w:val="nil"/>
                    <w:tr2bl w:val="nil"/>
                  </w:tcBorders>
                  <w:noWrap w:val="0"/>
                  <w:vAlign w:val="center"/>
                </w:tcPr>
                <w:p w14:paraId="2FFB31D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2071" w:type="pct"/>
                  <w:tcBorders>
                    <w:tl2br w:val="nil"/>
                    <w:tr2bl w:val="nil"/>
                  </w:tcBorders>
                  <w:noWrap w:val="0"/>
                  <w:vAlign w:val="center"/>
                </w:tcPr>
                <w:p w14:paraId="67D38FBC">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〔A1.2-4〕严格控制建设项目占用湿地。因国家和自治区重</w:t>
                  </w:r>
                  <w:r>
                    <w:rPr>
                      <w:rFonts w:hint="default" w:ascii="Times New Roman" w:hAnsi="Times New Roman" w:cs="Times New Roman"/>
                      <w:color w:val="auto"/>
                      <w:spacing w:val="2"/>
                      <w:sz w:val="21"/>
                      <w:szCs w:val="21"/>
                    </w:rPr>
                    <w:t>点建设</w:t>
                  </w:r>
                  <w:r>
                    <w:rPr>
                      <w:rFonts w:hint="default" w:ascii="Times New Roman" w:hAnsi="Times New Roman" w:cs="Times New Roman"/>
                      <w:color w:val="auto"/>
                      <w:spacing w:val="-1"/>
                      <w:sz w:val="21"/>
                      <w:szCs w:val="21"/>
                    </w:rPr>
                    <w:t>工程、基础设施建设，以及重点公益性项目建设</w:t>
                  </w:r>
                  <w:r>
                    <w:rPr>
                      <w:rFonts w:hint="default" w:ascii="Times New Roman" w:hAnsi="Times New Roman" w:cs="Times New Roman"/>
                      <w:color w:val="auto"/>
                      <w:spacing w:val="-2"/>
                      <w:sz w:val="21"/>
                      <w:szCs w:val="21"/>
                    </w:rPr>
                    <w:t>，确需占用湿地的，</w:t>
                  </w:r>
                  <w:r>
                    <w:rPr>
                      <w:rFonts w:hint="default" w:ascii="Times New Roman" w:hAnsi="Times New Roman" w:cs="Times New Roman"/>
                      <w:color w:val="auto"/>
                      <w:sz w:val="21"/>
                      <w:szCs w:val="21"/>
                    </w:rPr>
                    <w:t>应当按照有关法律、法规规定的权限和程序办理批准手续。</w:t>
                  </w:r>
                </w:p>
              </w:tc>
              <w:tc>
                <w:tcPr>
                  <w:tcW w:w="1771" w:type="pct"/>
                  <w:vMerge w:val="continue"/>
                  <w:tcBorders>
                    <w:tl2br w:val="nil"/>
                    <w:tr2bl w:val="nil"/>
                  </w:tcBorders>
                  <w:noWrap w:val="0"/>
                  <w:vAlign w:val="center"/>
                </w:tcPr>
                <w:p w14:paraId="433B511E">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3"/>
                      <w:sz w:val="21"/>
                      <w:szCs w:val="21"/>
                    </w:rPr>
                  </w:pPr>
                </w:p>
              </w:tc>
              <w:tc>
                <w:tcPr>
                  <w:tcW w:w="391" w:type="pct"/>
                  <w:vMerge w:val="continue"/>
                  <w:tcBorders>
                    <w:tl2br w:val="nil"/>
                    <w:tr2bl w:val="nil"/>
                  </w:tcBorders>
                  <w:noWrap w:val="0"/>
                  <w:vAlign w:val="center"/>
                </w:tcPr>
                <w:p w14:paraId="027D42A7">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3"/>
                      <w:sz w:val="21"/>
                      <w:szCs w:val="21"/>
                    </w:rPr>
                  </w:pPr>
                </w:p>
              </w:tc>
            </w:tr>
            <w:tr w14:paraId="2CE8DE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336" w:type="pct"/>
                  <w:vMerge w:val="continue"/>
                  <w:tcBorders>
                    <w:tl2br w:val="nil"/>
                    <w:tr2bl w:val="nil"/>
                  </w:tcBorders>
                  <w:noWrap w:val="0"/>
                  <w:vAlign w:val="center"/>
                </w:tcPr>
                <w:p w14:paraId="60FD994E">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428" w:type="pct"/>
                  <w:vMerge w:val="restart"/>
                  <w:tcBorders>
                    <w:tl2br w:val="nil"/>
                    <w:tr2bl w:val="nil"/>
                  </w:tcBorders>
                  <w:noWrap w:val="0"/>
                  <w:vAlign w:val="center"/>
                </w:tcPr>
                <w:p w14:paraId="69C2A75E">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1"/>
                      <w:sz w:val="21"/>
                      <w:szCs w:val="21"/>
                    </w:rPr>
                    <w:t>A1.3不</w:t>
                  </w:r>
                  <w:r>
                    <w:rPr>
                      <w:rFonts w:hint="default" w:ascii="Times New Roman" w:hAnsi="Times New Roman" w:cs="Times New Roman"/>
                      <w:color w:val="auto"/>
                      <w:spacing w:val="4"/>
                      <w:sz w:val="21"/>
                      <w:szCs w:val="21"/>
                    </w:rPr>
                    <w:t>符合空</w:t>
                  </w:r>
                </w:p>
                <w:p w14:paraId="4F892B7E">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间布局</w:t>
                  </w:r>
                  <w:r>
                    <w:rPr>
                      <w:rFonts w:hint="default" w:ascii="Times New Roman" w:hAnsi="Times New Roman" w:cs="Times New Roman"/>
                      <w:color w:val="auto"/>
                      <w:spacing w:val="-4"/>
                      <w:sz w:val="21"/>
                      <w:szCs w:val="21"/>
                    </w:rPr>
                    <w:t>要求活动的退</w:t>
                  </w:r>
                  <w:r>
                    <w:rPr>
                      <w:rFonts w:hint="default" w:ascii="Times New Roman" w:hAnsi="Times New Roman" w:cs="Times New Roman"/>
                      <w:color w:val="auto"/>
                      <w:spacing w:val="3"/>
                      <w:sz w:val="21"/>
                      <w:szCs w:val="21"/>
                    </w:rPr>
                    <w:t>出要求</w:t>
                  </w:r>
                </w:p>
              </w:tc>
              <w:tc>
                <w:tcPr>
                  <w:tcW w:w="2071" w:type="pct"/>
                  <w:tcBorders>
                    <w:tl2br w:val="nil"/>
                    <w:tr2bl w:val="nil"/>
                  </w:tcBorders>
                  <w:noWrap w:val="0"/>
                  <w:vAlign w:val="center"/>
                </w:tcPr>
                <w:p w14:paraId="2436DFF4">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1"/>
                      <w:sz w:val="21"/>
                      <w:szCs w:val="21"/>
                    </w:rPr>
                    <w:t>〔A1.3-1〕任何单位和个人不得在水源涵养区、饮用水水源保护区</w:t>
                  </w:r>
                  <w:r>
                    <w:rPr>
                      <w:rFonts w:hint="default" w:ascii="Times New Roman" w:hAnsi="Times New Roman" w:cs="Times New Roman"/>
                      <w:color w:val="auto"/>
                      <w:sz w:val="21"/>
                      <w:szCs w:val="21"/>
                    </w:rPr>
                    <w:t>内和河流、湖泊、水库周围建设重化工、涉重金属等工业污染项目；</w:t>
                  </w:r>
                  <w:r>
                    <w:rPr>
                      <w:rFonts w:hint="default" w:ascii="Times New Roman" w:hAnsi="Times New Roman" w:cs="Times New Roman"/>
                      <w:color w:val="auto"/>
                      <w:spacing w:val="-1"/>
                      <w:sz w:val="21"/>
                      <w:szCs w:val="21"/>
                    </w:rPr>
                    <w:t>对已建成的工业污染项目，当地人民政府应当组织限期搬迁。</w:t>
                  </w:r>
                </w:p>
              </w:tc>
              <w:tc>
                <w:tcPr>
                  <w:tcW w:w="1771" w:type="pct"/>
                  <w:vMerge w:val="restart"/>
                  <w:tcBorders>
                    <w:tl2br w:val="nil"/>
                    <w:tr2bl w:val="nil"/>
                  </w:tcBorders>
                  <w:noWrap w:val="0"/>
                  <w:vAlign w:val="center"/>
                </w:tcPr>
                <w:p w14:paraId="5941BA03">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eastAsia="宋体" w:cs="Times New Roman"/>
                      <w:color w:val="auto"/>
                      <w:spacing w:val="-3"/>
                      <w:sz w:val="21"/>
                      <w:szCs w:val="21"/>
                      <w:lang w:val="en-US" w:eastAsia="zh-CN"/>
                    </w:rPr>
                  </w:pPr>
                  <w:r>
                    <w:rPr>
                      <w:rFonts w:hint="default" w:ascii="Times New Roman" w:hAnsi="Times New Roman" w:cs="Times New Roman"/>
                      <w:color w:val="auto"/>
                      <w:spacing w:val="-3"/>
                      <w:sz w:val="21"/>
                      <w:szCs w:val="21"/>
                      <w:lang w:val="en-US" w:eastAsia="zh-CN"/>
                    </w:rPr>
                    <w:t>本项目不属于左侧范围。</w:t>
                  </w:r>
                </w:p>
              </w:tc>
              <w:tc>
                <w:tcPr>
                  <w:tcW w:w="391" w:type="pct"/>
                  <w:vMerge w:val="restart"/>
                  <w:tcBorders>
                    <w:tl2br w:val="nil"/>
                    <w:tr2bl w:val="nil"/>
                  </w:tcBorders>
                  <w:noWrap w:val="0"/>
                  <w:vAlign w:val="center"/>
                </w:tcPr>
                <w:p w14:paraId="15B1BA55">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1"/>
                      <w:sz w:val="21"/>
                      <w:szCs w:val="21"/>
                      <w:lang w:val="en-US" w:eastAsia="zh-CN"/>
                    </w:rPr>
                  </w:pPr>
                  <w:r>
                    <w:rPr>
                      <w:rFonts w:hint="default" w:ascii="Times New Roman" w:hAnsi="Times New Roman" w:cs="Times New Roman"/>
                      <w:color w:val="auto"/>
                      <w:spacing w:val="1"/>
                      <w:sz w:val="21"/>
                      <w:szCs w:val="21"/>
                      <w:lang w:val="en-US" w:eastAsia="zh-CN"/>
                    </w:rPr>
                    <w:t>符合</w:t>
                  </w:r>
                </w:p>
              </w:tc>
            </w:tr>
            <w:tr w14:paraId="0E0161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90" w:hRule="atLeast"/>
              </w:trPr>
              <w:tc>
                <w:tcPr>
                  <w:tcW w:w="336" w:type="pct"/>
                  <w:vMerge w:val="continue"/>
                  <w:tcBorders>
                    <w:tl2br w:val="nil"/>
                    <w:tr2bl w:val="nil"/>
                  </w:tcBorders>
                  <w:noWrap w:val="0"/>
                  <w:vAlign w:val="center"/>
                </w:tcPr>
                <w:p w14:paraId="36F58C4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428" w:type="pct"/>
                  <w:vMerge w:val="continue"/>
                  <w:tcBorders>
                    <w:tl2br w:val="nil"/>
                    <w:tr2bl w:val="nil"/>
                  </w:tcBorders>
                  <w:noWrap w:val="0"/>
                  <w:vAlign w:val="center"/>
                </w:tcPr>
                <w:p w14:paraId="2E9105A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2071" w:type="pct"/>
                  <w:tcBorders>
                    <w:tl2br w:val="nil"/>
                    <w:tr2bl w:val="nil"/>
                  </w:tcBorders>
                  <w:noWrap w:val="0"/>
                  <w:vAlign w:val="center"/>
                </w:tcPr>
                <w:p w14:paraId="6BA5E73A">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sz w:val="21"/>
                      <w:szCs w:val="21"/>
                    </w:rPr>
                    <w:t>〔A1.3-2〕对不符合国家产业政策、严重污染水环境的生产项目全</w:t>
                  </w:r>
                  <w:r>
                    <w:rPr>
                      <w:rFonts w:hint="default" w:ascii="Times New Roman" w:hAnsi="Times New Roman" w:cs="Times New Roman"/>
                      <w:color w:val="auto"/>
                      <w:spacing w:val="-1"/>
                      <w:sz w:val="21"/>
                      <w:szCs w:val="21"/>
                    </w:rPr>
                    <w:t>部予以取缔。</w:t>
                  </w:r>
                </w:p>
              </w:tc>
              <w:tc>
                <w:tcPr>
                  <w:tcW w:w="1771" w:type="pct"/>
                  <w:vMerge w:val="continue"/>
                  <w:tcBorders>
                    <w:tl2br w:val="nil"/>
                    <w:tr2bl w:val="nil"/>
                  </w:tcBorders>
                  <w:noWrap w:val="0"/>
                  <w:vAlign w:val="center"/>
                </w:tcPr>
                <w:p w14:paraId="70560885">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3"/>
                      <w:sz w:val="21"/>
                      <w:szCs w:val="21"/>
                    </w:rPr>
                  </w:pPr>
                </w:p>
              </w:tc>
              <w:tc>
                <w:tcPr>
                  <w:tcW w:w="391" w:type="pct"/>
                  <w:vMerge w:val="continue"/>
                  <w:tcBorders>
                    <w:tl2br w:val="nil"/>
                    <w:tr2bl w:val="nil"/>
                  </w:tcBorders>
                  <w:noWrap w:val="0"/>
                  <w:vAlign w:val="center"/>
                </w:tcPr>
                <w:p w14:paraId="245EEA2C">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pacing w:val="4"/>
                      <w:sz w:val="21"/>
                      <w:szCs w:val="21"/>
                    </w:rPr>
                  </w:pPr>
                </w:p>
              </w:tc>
            </w:tr>
            <w:tr w14:paraId="3A686E3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336" w:type="pct"/>
                  <w:vMerge w:val="restart"/>
                  <w:tcBorders>
                    <w:tl2br w:val="nil"/>
                    <w:tr2bl w:val="nil"/>
                  </w:tcBorders>
                  <w:noWrap w:val="0"/>
                  <w:vAlign w:val="center"/>
                </w:tcPr>
                <w:p w14:paraId="41343AFB">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1"/>
                      <w:sz w:val="21"/>
                      <w:szCs w:val="21"/>
                    </w:rPr>
                    <w:t>A2污</w:t>
                  </w:r>
                  <w:r>
                    <w:rPr>
                      <w:rFonts w:hint="default" w:ascii="Times New Roman" w:hAnsi="Times New Roman" w:cs="Times New Roman"/>
                      <w:color w:val="auto"/>
                      <w:spacing w:val="6"/>
                      <w:sz w:val="21"/>
                      <w:szCs w:val="21"/>
                    </w:rPr>
                    <w:t>染物</w:t>
                  </w:r>
                  <w:r>
                    <w:rPr>
                      <w:rFonts w:hint="default" w:ascii="Times New Roman" w:hAnsi="Times New Roman" w:cs="Times New Roman"/>
                      <w:color w:val="auto"/>
                      <w:spacing w:val="-5"/>
                      <w:sz w:val="21"/>
                      <w:szCs w:val="21"/>
                    </w:rPr>
                    <w:t>排放</w:t>
                  </w:r>
                  <w:r>
                    <w:rPr>
                      <w:rFonts w:hint="default" w:ascii="Times New Roman" w:hAnsi="Times New Roman" w:cs="Times New Roman"/>
                      <w:color w:val="auto"/>
                      <w:spacing w:val="5"/>
                      <w:sz w:val="21"/>
                      <w:szCs w:val="21"/>
                    </w:rPr>
                    <w:t>管控</w:t>
                  </w:r>
                </w:p>
              </w:tc>
              <w:tc>
                <w:tcPr>
                  <w:tcW w:w="428" w:type="pct"/>
                  <w:vMerge w:val="restart"/>
                  <w:tcBorders>
                    <w:tl2br w:val="nil"/>
                    <w:tr2bl w:val="nil"/>
                  </w:tcBorders>
                  <w:noWrap w:val="0"/>
                  <w:vAlign w:val="center"/>
                </w:tcPr>
                <w:p w14:paraId="64F53C5C">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A2.1污</w:t>
                  </w:r>
                  <w:r>
                    <w:rPr>
                      <w:rFonts w:hint="default" w:ascii="Times New Roman" w:hAnsi="Times New Roman" w:cs="Times New Roman"/>
                      <w:color w:val="auto"/>
                      <w:spacing w:val="7"/>
                      <w:sz w:val="21"/>
                      <w:szCs w:val="21"/>
                    </w:rPr>
                    <w:t>染物削</w:t>
                  </w:r>
                </w:p>
                <w:p w14:paraId="5C1A0FCF">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减/替代</w:t>
                  </w:r>
                </w:p>
                <w:p w14:paraId="3C478E8D">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5"/>
                      <w:sz w:val="21"/>
                      <w:szCs w:val="21"/>
                    </w:rPr>
                    <w:t>要求</w:t>
                  </w:r>
                </w:p>
              </w:tc>
              <w:tc>
                <w:tcPr>
                  <w:tcW w:w="2071" w:type="pct"/>
                  <w:tcBorders>
                    <w:tl2br w:val="nil"/>
                    <w:tr2bl w:val="nil"/>
                  </w:tcBorders>
                  <w:noWrap w:val="0"/>
                  <w:vAlign w:val="center"/>
                </w:tcPr>
                <w:p w14:paraId="0EEFDAFB">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1"/>
                      <w:sz w:val="21"/>
                      <w:szCs w:val="21"/>
                    </w:rPr>
                    <w:t>〔A2.1-1〕新、改、扩建重点行业建设项</w:t>
                  </w:r>
                  <w:r>
                    <w:rPr>
                      <w:rFonts w:hint="default" w:ascii="Times New Roman" w:hAnsi="Times New Roman" w:cs="Times New Roman"/>
                      <w:color w:val="auto"/>
                      <w:spacing w:val="-2"/>
                      <w:sz w:val="21"/>
                      <w:szCs w:val="21"/>
                    </w:rPr>
                    <w:t>目应符合“三线一单”、产</w:t>
                  </w:r>
                  <w:r>
                    <w:rPr>
                      <w:rFonts w:hint="default" w:ascii="Times New Roman" w:hAnsi="Times New Roman" w:cs="Times New Roman"/>
                      <w:color w:val="auto"/>
                      <w:spacing w:val="1"/>
                      <w:sz w:val="21"/>
                      <w:szCs w:val="21"/>
                    </w:rPr>
                    <w:t>业政策、区域环评、规划环评和行业环境准入管控要</w:t>
                  </w:r>
                  <w:r>
                    <w:rPr>
                      <w:rFonts w:hint="default" w:ascii="Times New Roman" w:hAnsi="Times New Roman" w:cs="Times New Roman"/>
                      <w:color w:val="auto"/>
                      <w:sz w:val="21"/>
                      <w:szCs w:val="21"/>
                    </w:rPr>
                    <w:t>求。重点区域</w:t>
                  </w:r>
                  <w:r>
                    <w:rPr>
                      <w:rFonts w:hint="default" w:ascii="Times New Roman" w:hAnsi="Times New Roman" w:cs="Times New Roman"/>
                      <w:color w:val="auto"/>
                      <w:spacing w:val="-2"/>
                      <w:sz w:val="21"/>
                      <w:szCs w:val="21"/>
                    </w:rPr>
                    <w:t>的新、改、扩建重点行业建设项目应遵循重点重金属污</w:t>
                  </w:r>
                  <w:r>
                    <w:rPr>
                      <w:rFonts w:hint="default" w:ascii="Times New Roman" w:hAnsi="Times New Roman" w:cs="Times New Roman"/>
                      <w:color w:val="auto"/>
                      <w:spacing w:val="-3"/>
                      <w:sz w:val="21"/>
                      <w:szCs w:val="21"/>
                    </w:rPr>
                    <w:t>染物排放“减</w:t>
                  </w:r>
                  <w:r>
                    <w:rPr>
                      <w:rFonts w:hint="default" w:ascii="Times New Roman" w:hAnsi="Times New Roman" w:cs="Times New Roman"/>
                      <w:color w:val="auto"/>
                      <w:spacing w:val="1"/>
                      <w:sz w:val="21"/>
                      <w:szCs w:val="21"/>
                    </w:rPr>
                    <w:t>量替代”原则。</w:t>
                  </w:r>
                </w:p>
              </w:tc>
              <w:tc>
                <w:tcPr>
                  <w:tcW w:w="1771" w:type="pct"/>
                  <w:tcBorders>
                    <w:tl2br w:val="nil"/>
                    <w:tr2bl w:val="nil"/>
                  </w:tcBorders>
                  <w:noWrap w:val="0"/>
                  <w:vAlign w:val="center"/>
                </w:tcPr>
                <w:p w14:paraId="69331E87">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本项目为</w:t>
                  </w:r>
                  <w:r>
                    <w:rPr>
                      <w:rFonts w:hint="default" w:ascii="Times New Roman" w:hAnsi="Times New Roman" w:eastAsia="宋体" w:cs="Times New Roman"/>
                      <w:color w:val="auto"/>
                      <w:spacing w:val="7"/>
                      <w:sz w:val="21"/>
                      <w:szCs w:val="21"/>
                      <w:lang w:eastAsia="zh-CN"/>
                    </w:rPr>
                    <w:t>火力发电业</w:t>
                  </w:r>
                  <w:r>
                    <w:rPr>
                      <w:rFonts w:hint="default" w:ascii="Times New Roman" w:hAnsi="Times New Roman" w:cs="Times New Roman"/>
                      <w:color w:val="auto"/>
                      <w:sz w:val="21"/>
                      <w:szCs w:val="21"/>
                      <w:lang w:val="en-US" w:eastAsia="zh-CN"/>
                    </w:rPr>
                    <w:t>，对照《产业结构调整指导目录（2024年本）》属于鼓励类，与“三线一单”的分区管控要求符合性详见下文，项目不涉及重金属总量控制。</w:t>
                  </w:r>
                </w:p>
              </w:tc>
              <w:tc>
                <w:tcPr>
                  <w:tcW w:w="391" w:type="pct"/>
                  <w:vMerge w:val="continue"/>
                  <w:tcBorders>
                    <w:tl2br w:val="nil"/>
                    <w:tr2bl w:val="nil"/>
                  </w:tcBorders>
                  <w:noWrap w:val="0"/>
                  <w:vAlign w:val="center"/>
                </w:tcPr>
                <w:p w14:paraId="6256AA02">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1"/>
                      <w:sz w:val="21"/>
                      <w:szCs w:val="21"/>
                      <w:lang w:val="en-US" w:eastAsia="zh-CN"/>
                    </w:rPr>
                  </w:pPr>
                </w:p>
              </w:tc>
            </w:tr>
            <w:tr w14:paraId="1C0326E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336" w:type="pct"/>
                  <w:vMerge w:val="continue"/>
                  <w:tcBorders>
                    <w:tl2br w:val="nil"/>
                    <w:tr2bl w:val="nil"/>
                  </w:tcBorders>
                  <w:noWrap w:val="0"/>
                  <w:vAlign w:val="center"/>
                </w:tcPr>
                <w:p w14:paraId="6DB59FF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428" w:type="pct"/>
                  <w:vMerge w:val="continue"/>
                  <w:tcBorders>
                    <w:tl2br w:val="nil"/>
                    <w:tr2bl w:val="nil"/>
                  </w:tcBorders>
                  <w:noWrap w:val="0"/>
                  <w:vAlign w:val="center"/>
                </w:tcPr>
                <w:p w14:paraId="74EBDB4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2071" w:type="pct"/>
                  <w:tcBorders>
                    <w:tl2br w:val="nil"/>
                    <w:tr2bl w:val="nil"/>
                  </w:tcBorders>
                  <w:noWrap w:val="0"/>
                  <w:vAlign w:val="center"/>
                </w:tcPr>
                <w:p w14:paraId="69435464">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〔A2.1-3〕促进大气污染物与温室气</w:t>
                  </w:r>
                  <w:r>
                    <w:rPr>
                      <w:rFonts w:hint="default" w:ascii="Times New Roman" w:hAnsi="Times New Roman" w:cs="Times New Roman"/>
                      <w:color w:val="auto"/>
                      <w:spacing w:val="2"/>
                      <w:sz w:val="21"/>
                      <w:szCs w:val="21"/>
                    </w:rPr>
                    <w:t>体协同控制。实施污染物和温</w:t>
                  </w:r>
                  <w:r>
                    <w:rPr>
                      <w:rFonts w:hint="default" w:ascii="Times New Roman" w:hAnsi="Times New Roman" w:cs="Times New Roman"/>
                      <w:color w:val="auto"/>
                      <w:spacing w:val="1"/>
                      <w:sz w:val="21"/>
                      <w:szCs w:val="21"/>
                    </w:rPr>
                    <w:t>室气体协同控制，实现减污降碳协同效应。开展工业、农业温室气</w:t>
                  </w:r>
                  <w:r>
                    <w:rPr>
                      <w:rFonts w:hint="default" w:ascii="Times New Roman" w:hAnsi="Times New Roman" w:cs="Times New Roman"/>
                      <w:color w:val="auto"/>
                      <w:spacing w:val="-1"/>
                      <w:sz w:val="21"/>
                      <w:szCs w:val="21"/>
                    </w:rPr>
                    <w:t>体和污染减排协同控制研究，减少温室气体和污染物排放。</w:t>
                  </w:r>
                  <w:r>
                    <w:rPr>
                      <w:rFonts w:hint="default" w:ascii="Times New Roman" w:hAnsi="Times New Roman" w:cs="Times New Roman"/>
                      <w:color w:val="auto"/>
                      <w:spacing w:val="-2"/>
                      <w:sz w:val="21"/>
                      <w:szCs w:val="21"/>
                    </w:rPr>
                    <w:t>强化污</w:t>
                  </w:r>
                  <w:r>
                    <w:rPr>
                      <w:rFonts w:hint="default" w:ascii="Times New Roman" w:hAnsi="Times New Roman" w:cs="Times New Roman"/>
                      <w:color w:val="auto"/>
                      <w:spacing w:val="2"/>
                      <w:sz w:val="21"/>
                      <w:szCs w:val="21"/>
                    </w:rPr>
                    <w:t>水、垃圾等集中处置设施环境管理，协同控制氢氟碳化物、甲烷、</w:t>
                  </w:r>
                  <w:r>
                    <w:rPr>
                      <w:rFonts w:hint="default" w:ascii="Times New Roman" w:hAnsi="Times New Roman" w:cs="Times New Roman"/>
                      <w:color w:val="auto"/>
                      <w:spacing w:val="-2"/>
                      <w:sz w:val="21"/>
                      <w:szCs w:val="21"/>
                    </w:rPr>
                    <w:t>氧化亚氮等温室气体。加强节约能源与大气污染防治协同有效衔接，</w:t>
                  </w:r>
                  <w:r>
                    <w:rPr>
                      <w:rFonts w:hint="default" w:ascii="Times New Roman" w:hAnsi="Times New Roman" w:cs="Times New Roman"/>
                      <w:color w:val="auto"/>
                      <w:spacing w:val="-1"/>
                      <w:sz w:val="21"/>
                      <w:szCs w:val="21"/>
                    </w:rPr>
                    <w:t>促进大气污染防治协同增效。</w:t>
                  </w:r>
                </w:p>
              </w:tc>
              <w:tc>
                <w:tcPr>
                  <w:tcW w:w="1771" w:type="pct"/>
                  <w:vMerge w:val="restart"/>
                  <w:tcBorders>
                    <w:tl2br w:val="nil"/>
                    <w:tr2bl w:val="nil"/>
                  </w:tcBorders>
                  <w:noWrap w:val="0"/>
                  <w:vAlign w:val="center"/>
                </w:tcPr>
                <w:p w14:paraId="00BC593D">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eastAsia="Times New Roman" w:cs="Times New Roman"/>
                      <w:color w:val="auto"/>
                      <w:spacing w:val="-3"/>
                      <w:sz w:val="21"/>
                      <w:szCs w:val="21"/>
                    </w:rPr>
                  </w:pPr>
                  <w:r>
                    <w:rPr>
                      <w:rFonts w:hint="default" w:ascii="Times New Roman" w:hAnsi="Times New Roman" w:eastAsia="Times New Roman" w:cs="Times New Roman"/>
                      <w:color w:val="auto"/>
                      <w:spacing w:val="0"/>
                      <w:sz w:val="21"/>
                      <w:szCs w:val="21"/>
                      <w:highlight w:val="none"/>
                      <w:lang w:val="en-US" w:eastAsia="zh-CN" w:bidi="ar-SA"/>
                    </w:rPr>
                    <w:t>本项目营运期采取严格的废气治理措施，无</w:t>
                  </w:r>
                  <w:r>
                    <w:rPr>
                      <w:rFonts w:hint="default" w:ascii="Times New Roman" w:hAnsi="Times New Roman" w:cs="Times New Roman"/>
                      <w:color w:val="auto"/>
                      <w:sz w:val="21"/>
                      <w:szCs w:val="21"/>
                    </w:rPr>
                    <w:t>烟气旁路</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pacing w:val="-3"/>
                      <w:sz w:val="21"/>
                      <w:szCs w:val="21"/>
                      <w:lang w:val="en-US" w:eastAsia="zh-CN"/>
                    </w:rPr>
                    <w:t>煤气燃烧烟气经“低氮燃烧器+SCR脱硝+</w:t>
                  </w:r>
                  <w:r>
                    <w:rPr>
                      <w:rFonts w:hint="default" w:ascii="Times New Roman" w:hAnsi="Times New Roman" w:eastAsia="宋体" w:cs="Times New Roman"/>
                      <w:i w:val="0"/>
                      <w:iCs w:val="0"/>
                      <w:color w:val="auto"/>
                      <w:kern w:val="0"/>
                      <w:sz w:val="21"/>
                      <w:szCs w:val="21"/>
                      <w:u w:val="none"/>
                      <w:lang w:val="en-US" w:eastAsia="zh-CN" w:bidi="ar"/>
                    </w:rPr>
                    <w:t>石灰（石）-石膏湿法脱硫+高效除雾器协同除尘+湿式电除尘器</w:t>
                  </w:r>
                  <w:r>
                    <w:rPr>
                      <w:rFonts w:hint="default" w:ascii="Times New Roman" w:hAnsi="Times New Roman" w:cs="Times New Roman"/>
                      <w:color w:val="auto"/>
                      <w:spacing w:val="-3"/>
                      <w:sz w:val="21"/>
                      <w:szCs w:val="21"/>
                      <w:lang w:val="en-US" w:eastAsia="zh-CN"/>
                    </w:rPr>
                    <w:t>”处理后，</w:t>
                  </w:r>
                  <w:r>
                    <w:rPr>
                      <w:rFonts w:hint="eastAsia" w:ascii="Times New Roman" w:hAnsi="Times New Roman" w:cs="Times New Roman"/>
                      <w:color w:val="auto"/>
                      <w:spacing w:val="-3"/>
                      <w:sz w:val="21"/>
                      <w:szCs w:val="21"/>
                      <w:lang w:val="en-US" w:eastAsia="zh-CN"/>
                    </w:rPr>
                    <w:t>通过</w:t>
                  </w:r>
                  <w:r>
                    <w:rPr>
                      <w:rFonts w:hint="default" w:ascii="Times New Roman" w:hAnsi="Times New Roman" w:cs="Times New Roman"/>
                      <w:color w:val="auto"/>
                      <w:spacing w:val="-3"/>
                      <w:sz w:val="21"/>
                      <w:szCs w:val="21"/>
                      <w:lang w:val="en-US" w:eastAsia="zh-CN"/>
                    </w:rPr>
                    <w:t>60m高排气筒（DA001）排放至大气环境中，并安装在线监测系统（CEMS），废气污染物排放满足《火电厂大气污染物排放标准》（GB13223-2011）表2大气污染物特别排放限值和《关于印发〈全面实施燃煤电厂超低排放和节能改造工作方案〉的通知》（环发〔2015〕164号）中氮氧化物浓度限值</w:t>
                  </w:r>
                  <w:r>
                    <w:rPr>
                      <w:rFonts w:hint="default" w:ascii="Times New Roman" w:hAnsi="Times New Roman" w:eastAsia="Times New Roman" w:cs="Times New Roman"/>
                      <w:color w:val="auto"/>
                      <w:spacing w:val="0"/>
                      <w:sz w:val="21"/>
                      <w:szCs w:val="21"/>
                      <w:highlight w:val="none"/>
                      <w:lang w:val="en-US" w:eastAsia="zh-CN" w:bidi="ar-SA"/>
                    </w:rPr>
                    <w:t>。</w:t>
                  </w:r>
                </w:p>
              </w:tc>
              <w:tc>
                <w:tcPr>
                  <w:tcW w:w="391" w:type="pct"/>
                  <w:vMerge w:val="restart"/>
                  <w:tcBorders>
                    <w:tl2br w:val="nil"/>
                    <w:tr2bl w:val="nil"/>
                  </w:tcBorders>
                  <w:noWrap w:val="0"/>
                  <w:vAlign w:val="center"/>
                </w:tcPr>
                <w:p w14:paraId="1E1BEDF7">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符合</w:t>
                  </w:r>
                </w:p>
              </w:tc>
            </w:tr>
            <w:tr w14:paraId="6729814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336" w:type="pct"/>
                  <w:vMerge w:val="continue"/>
                  <w:tcBorders>
                    <w:tl2br w:val="nil"/>
                    <w:tr2bl w:val="nil"/>
                  </w:tcBorders>
                  <w:noWrap w:val="0"/>
                  <w:vAlign w:val="center"/>
                </w:tcPr>
                <w:p w14:paraId="1A753D11">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428" w:type="pct"/>
                  <w:vMerge w:val="continue"/>
                  <w:tcBorders>
                    <w:tl2br w:val="nil"/>
                    <w:tr2bl w:val="nil"/>
                  </w:tcBorders>
                  <w:noWrap w:val="0"/>
                  <w:vAlign w:val="center"/>
                </w:tcPr>
                <w:p w14:paraId="7DA0BA3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2071" w:type="pct"/>
                  <w:tcBorders>
                    <w:tl2br w:val="nil"/>
                    <w:tr2bl w:val="nil"/>
                  </w:tcBorders>
                  <w:noWrap w:val="0"/>
                  <w:vAlign w:val="center"/>
                </w:tcPr>
                <w:p w14:paraId="3B25DEFD">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sz w:val="21"/>
                      <w:szCs w:val="21"/>
                    </w:rPr>
                    <w:t>〔A2.2-2〕实施重点行业氮氧化物等污染物深度治理。持续推进钢</w:t>
                  </w:r>
                  <w:r>
                    <w:rPr>
                      <w:rFonts w:hint="default" w:ascii="Times New Roman" w:hAnsi="Times New Roman" w:cs="Times New Roman"/>
                      <w:color w:val="auto"/>
                      <w:sz w:val="21"/>
                      <w:szCs w:val="21"/>
                    </w:rPr>
                    <w:t>铁、水泥、焦化行业超低排放改造。推进玻</w:t>
                  </w:r>
                  <w:r>
                    <w:rPr>
                      <w:rFonts w:hint="default" w:ascii="Times New Roman" w:hAnsi="Times New Roman" w:cs="Times New Roman"/>
                      <w:color w:val="auto"/>
                      <w:spacing w:val="-1"/>
                      <w:sz w:val="21"/>
                      <w:szCs w:val="21"/>
                    </w:rPr>
                    <w:t>璃、陶瓷、铸造、铁合金、有色、煤化和石化等行业采取清洁生产、提标改造、深度治理</w:t>
                  </w:r>
                  <w:r>
                    <w:rPr>
                      <w:rFonts w:hint="default" w:ascii="Times New Roman" w:hAnsi="Times New Roman" w:cs="Times New Roman"/>
                      <w:color w:val="auto"/>
                      <w:sz w:val="21"/>
                      <w:szCs w:val="21"/>
                    </w:rPr>
                    <w:t>等综合措施。加强自备燃煤机组污染治理设施运行管控，确保按照超低排放标准运行。针对铸造、铁合金、焦化、水泥、砖瓦、石灰、耐火材料、金属冶炼以及煤化工、石油化工等行业，严格控制物料储存、输送及生产工艺过程无组织排放。重</w:t>
                  </w:r>
                  <w:r>
                    <w:rPr>
                      <w:rFonts w:hint="default" w:ascii="Times New Roman" w:hAnsi="Times New Roman" w:cs="Times New Roman"/>
                      <w:color w:val="auto"/>
                      <w:spacing w:val="-1"/>
                      <w:sz w:val="21"/>
                      <w:szCs w:val="21"/>
                    </w:rPr>
                    <w:t>点涉气排放企业逐步取</w:t>
                  </w:r>
                  <w:r>
                    <w:rPr>
                      <w:rFonts w:hint="default" w:ascii="Times New Roman" w:hAnsi="Times New Roman" w:cs="Times New Roman"/>
                      <w:color w:val="auto"/>
                      <w:sz w:val="21"/>
                      <w:szCs w:val="21"/>
                    </w:rPr>
                    <w:t>消烟气旁路，因安全生产无法取消的，安装在线监控系统。</w:t>
                  </w:r>
                </w:p>
              </w:tc>
              <w:tc>
                <w:tcPr>
                  <w:tcW w:w="1771" w:type="pct"/>
                  <w:vMerge w:val="continue"/>
                  <w:tcBorders>
                    <w:tl2br w:val="nil"/>
                    <w:tr2bl w:val="nil"/>
                  </w:tcBorders>
                  <w:noWrap w:val="0"/>
                  <w:vAlign w:val="center"/>
                </w:tcPr>
                <w:p w14:paraId="5F3DAD3E">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3"/>
                      <w:sz w:val="21"/>
                      <w:szCs w:val="21"/>
                    </w:rPr>
                  </w:pPr>
                </w:p>
              </w:tc>
              <w:tc>
                <w:tcPr>
                  <w:tcW w:w="391" w:type="pct"/>
                  <w:vMerge w:val="continue"/>
                  <w:tcBorders>
                    <w:tl2br w:val="nil"/>
                    <w:tr2bl w:val="nil"/>
                  </w:tcBorders>
                  <w:noWrap w:val="0"/>
                  <w:vAlign w:val="center"/>
                </w:tcPr>
                <w:p w14:paraId="248906E1">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p>
              </w:tc>
            </w:tr>
            <w:tr w14:paraId="6D59EAA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336" w:type="pct"/>
                  <w:vMerge w:val="continue"/>
                  <w:tcBorders>
                    <w:tl2br w:val="nil"/>
                    <w:tr2bl w:val="nil"/>
                  </w:tcBorders>
                  <w:noWrap w:val="0"/>
                  <w:vAlign w:val="center"/>
                </w:tcPr>
                <w:p w14:paraId="7BF8FD0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428" w:type="pct"/>
                  <w:vMerge w:val="continue"/>
                  <w:tcBorders>
                    <w:tl2br w:val="nil"/>
                    <w:tr2bl w:val="nil"/>
                  </w:tcBorders>
                  <w:noWrap w:val="0"/>
                  <w:vAlign w:val="center"/>
                </w:tcPr>
                <w:p w14:paraId="4452DB8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2071" w:type="pct"/>
                  <w:tcBorders>
                    <w:tl2br w:val="nil"/>
                    <w:tr2bl w:val="nil"/>
                  </w:tcBorders>
                  <w:noWrap w:val="0"/>
                  <w:vAlign w:val="center"/>
                </w:tcPr>
                <w:p w14:paraId="5D09FE42">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sz w:val="21"/>
                      <w:szCs w:val="21"/>
                    </w:rPr>
                    <w:t>〔A2.2-4〕强化用水定额管理。推进地下水超采综合治理。开展河</w:t>
                  </w:r>
                  <w:r>
                    <w:rPr>
                      <w:rFonts w:hint="default" w:ascii="Times New Roman" w:hAnsi="Times New Roman" w:cs="Times New Roman"/>
                      <w:color w:val="auto"/>
                      <w:sz w:val="21"/>
                      <w:szCs w:val="21"/>
                    </w:rPr>
                    <w:t>湖生态流量</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水量</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确定工作，强化生态用水保</w:t>
                  </w:r>
                  <w:r>
                    <w:rPr>
                      <w:rFonts w:hint="default" w:ascii="Times New Roman" w:hAnsi="Times New Roman" w:cs="Times New Roman"/>
                      <w:color w:val="auto"/>
                      <w:spacing w:val="-1"/>
                      <w:sz w:val="21"/>
                      <w:szCs w:val="21"/>
                    </w:rPr>
                    <w:t>障。</w:t>
                  </w:r>
                </w:p>
              </w:tc>
              <w:tc>
                <w:tcPr>
                  <w:tcW w:w="1771" w:type="pct"/>
                  <w:tcBorders>
                    <w:tl2br w:val="nil"/>
                    <w:tr2bl w:val="nil"/>
                  </w:tcBorders>
                  <w:noWrap w:val="0"/>
                  <w:vAlign w:val="center"/>
                </w:tcPr>
                <w:p w14:paraId="4A14ADD4">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本项目</w:t>
                  </w:r>
                  <w:r>
                    <w:rPr>
                      <w:rFonts w:hint="default" w:ascii="Times New Roman" w:hAnsi="Times New Roman" w:eastAsia="宋体" w:cs="Times New Roman"/>
                      <w:color w:val="auto"/>
                      <w:sz w:val="21"/>
                      <w:szCs w:val="21"/>
                      <w:lang w:val="en-US" w:eastAsia="zh-CN"/>
                    </w:rPr>
                    <w:t>生产给水系统、消防给水系统、生活给水系统分别就近接厂区现有生产给水管网、消防给水管网及生活给水管网</w:t>
                  </w:r>
                  <w:r>
                    <w:rPr>
                      <w:rFonts w:hint="default" w:ascii="Times New Roman" w:hAnsi="Times New Roman" w:cs="Times New Roman"/>
                      <w:color w:val="auto"/>
                      <w:sz w:val="21"/>
                      <w:szCs w:val="21"/>
                      <w:lang w:val="en-US" w:eastAsia="zh-CN"/>
                    </w:rPr>
                    <w:t>，不涉及对地下水的开采</w:t>
                  </w:r>
                </w:p>
              </w:tc>
              <w:tc>
                <w:tcPr>
                  <w:tcW w:w="391" w:type="pct"/>
                  <w:tcBorders>
                    <w:tl2br w:val="nil"/>
                    <w:tr2bl w:val="nil"/>
                  </w:tcBorders>
                  <w:noWrap w:val="0"/>
                  <w:vAlign w:val="center"/>
                </w:tcPr>
                <w:p w14:paraId="2295EAEC">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4"/>
                      <w:sz w:val="21"/>
                      <w:szCs w:val="21"/>
                      <w:lang w:val="en-US" w:eastAsia="zh-CN"/>
                    </w:rPr>
                  </w:pPr>
                  <w:r>
                    <w:rPr>
                      <w:rFonts w:hint="default" w:ascii="Times New Roman" w:hAnsi="Times New Roman" w:cs="Times New Roman"/>
                      <w:color w:val="auto"/>
                      <w:spacing w:val="4"/>
                      <w:sz w:val="21"/>
                      <w:szCs w:val="21"/>
                      <w:lang w:val="en-US" w:eastAsia="zh-CN"/>
                    </w:rPr>
                    <w:t>符合</w:t>
                  </w:r>
                </w:p>
              </w:tc>
            </w:tr>
            <w:tr w14:paraId="213D96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336" w:type="pct"/>
                  <w:vMerge w:val="continue"/>
                  <w:tcBorders>
                    <w:tl2br w:val="nil"/>
                    <w:tr2bl w:val="nil"/>
                  </w:tcBorders>
                  <w:noWrap w:val="0"/>
                  <w:vAlign w:val="center"/>
                </w:tcPr>
                <w:p w14:paraId="2E178A5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428" w:type="pct"/>
                  <w:vMerge w:val="continue"/>
                  <w:tcBorders>
                    <w:tl2br w:val="nil"/>
                    <w:tr2bl w:val="nil"/>
                  </w:tcBorders>
                  <w:noWrap w:val="0"/>
                  <w:vAlign w:val="center"/>
                </w:tcPr>
                <w:p w14:paraId="3B8509D3">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2071" w:type="pct"/>
                  <w:tcBorders>
                    <w:tl2br w:val="nil"/>
                    <w:tr2bl w:val="nil"/>
                  </w:tcBorders>
                  <w:noWrap w:val="0"/>
                  <w:vAlign w:val="center"/>
                </w:tcPr>
                <w:p w14:paraId="1B62C171">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4"/>
                      <w:sz w:val="21"/>
                      <w:szCs w:val="21"/>
                    </w:rPr>
                  </w:pPr>
                  <w:r>
                    <w:rPr>
                      <w:rFonts w:hint="default" w:ascii="Times New Roman" w:hAnsi="Times New Roman" w:cs="Times New Roman"/>
                      <w:color w:val="auto"/>
                      <w:spacing w:val="-4"/>
                      <w:sz w:val="21"/>
                      <w:szCs w:val="21"/>
                    </w:rPr>
                    <w:t>〔A2.2-7〕强化重点区域地下水环境风险管控，对化学品生产企业、工业集聚区、尾矿库、矿山开采区、危险废物处置场、垃圾填埋场等地下水污染源及周边区域，逐步开展地下水环境状况调查评估，加强风险管控。</w:t>
                  </w:r>
                </w:p>
              </w:tc>
              <w:tc>
                <w:tcPr>
                  <w:tcW w:w="1771" w:type="pct"/>
                  <w:vMerge w:val="restart"/>
                  <w:tcBorders>
                    <w:tl2br w:val="nil"/>
                    <w:tr2bl w:val="nil"/>
                  </w:tcBorders>
                  <w:noWrap w:val="0"/>
                  <w:vAlign w:val="center"/>
                </w:tcPr>
                <w:p w14:paraId="200496DC">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4"/>
                      <w:sz w:val="21"/>
                      <w:szCs w:val="21"/>
                      <w:lang w:val="en-US" w:eastAsia="zh-CN"/>
                    </w:rPr>
                  </w:pPr>
                  <w:r>
                    <w:rPr>
                      <w:rFonts w:hint="default" w:ascii="Times New Roman" w:hAnsi="Times New Roman" w:cs="Times New Roman"/>
                      <w:color w:val="auto"/>
                      <w:spacing w:val="-4"/>
                      <w:sz w:val="21"/>
                      <w:szCs w:val="21"/>
                      <w:lang w:val="en-US" w:eastAsia="zh-CN"/>
                    </w:rPr>
                    <w:t>本项目不属于左侧范围行业</w:t>
                  </w:r>
                </w:p>
              </w:tc>
              <w:tc>
                <w:tcPr>
                  <w:tcW w:w="391" w:type="pct"/>
                  <w:tcBorders>
                    <w:tl2br w:val="nil"/>
                    <w:tr2bl w:val="nil"/>
                  </w:tcBorders>
                  <w:noWrap w:val="0"/>
                  <w:vAlign w:val="center"/>
                </w:tcPr>
                <w:p w14:paraId="06057151">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符合</w:t>
                  </w:r>
                </w:p>
              </w:tc>
            </w:tr>
            <w:tr w14:paraId="68467E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336" w:type="pct"/>
                  <w:tcBorders>
                    <w:tl2br w:val="nil"/>
                    <w:tr2bl w:val="nil"/>
                  </w:tcBorders>
                  <w:noWrap w:val="0"/>
                  <w:vAlign w:val="center"/>
                </w:tcPr>
                <w:p w14:paraId="6DCA4B9A">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1"/>
                      <w:sz w:val="21"/>
                      <w:szCs w:val="21"/>
                    </w:rPr>
                    <w:t>A3环</w:t>
                  </w:r>
                  <w:r>
                    <w:rPr>
                      <w:rFonts w:hint="default" w:ascii="Times New Roman" w:hAnsi="Times New Roman" w:cs="Times New Roman"/>
                      <w:color w:val="auto"/>
                      <w:spacing w:val="5"/>
                      <w:sz w:val="21"/>
                      <w:szCs w:val="21"/>
                    </w:rPr>
                    <w:t>境风</w:t>
                  </w:r>
                </w:p>
                <w:p w14:paraId="4DC65F41">
                  <w:pPr>
                    <w:pStyle w:val="10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险防</w:t>
                  </w:r>
                  <w:r>
                    <w:rPr>
                      <w:rFonts w:hint="default" w:ascii="Times New Roman" w:hAnsi="Times New Roman" w:cs="Times New Roman"/>
                      <w:color w:val="auto"/>
                      <w:sz w:val="21"/>
                      <w:szCs w:val="21"/>
                    </w:rPr>
                    <w:t>控</w:t>
                  </w:r>
                </w:p>
              </w:tc>
              <w:tc>
                <w:tcPr>
                  <w:tcW w:w="428" w:type="pct"/>
                  <w:tcBorders>
                    <w:tl2br w:val="nil"/>
                    <w:tr2bl w:val="nil"/>
                  </w:tcBorders>
                  <w:noWrap w:val="0"/>
                  <w:vAlign w:val="center"/>
                </w:tcPr>
                <w:p w14:paraId="6181036B">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A3.1人居环境</w:t>
                  </w:r>
                </w:p>
                <w:p w14:paraId="26F0942C">
                  <w:pPr>
                    <w:pStyle w:val="109"/>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5"/>
                      <w:sz w:val="21"/>
                      <w:szCs w:val="21"/>
                    </w:rPr>
                    <w:t>要求</w:t>
                  </w:r>
                </w:p>
              </w:tc>
              <w:tc>
                <w:tcPr>
                  <w:tcW w:w="2071" w:type="pct"/>
                  <w:tcBorders>
                    <w:tl2br w:val="nil"/>
                    <w:tr2bl w:val="nil"/>
                  </w:tcBorders>
                  <w:noWrap w:val="0"/>
                  <w:vAlign w:val="center"/>
                </w:tcPr>
                <w:p w14:paraId="112D4902">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spacing w:val="-6"/>
                      <w:sz w:val="21"/>
                      <w:szCs w:val="21"/>
                    </w:rPr>
                    <w:t>〔A3.2-4〕加强环境风险预警防控。加强涉危险废物企业、涉重金属企业、化工园区、集中式饮用水水源地及重点流域环境风险调查评估，实施分类分级风险管控，协同推进重点区域、流域生态环境污染综合防治、风险防控与生态修复。</w:t>
                  </w:r>
                </w:p>
              </w:tc>
              <w:tc>
                <w:tcPr>
                  <w:tcW w:w="1771" w:type="pct"/>
                  <w:vMerge w:val="continue"/>
                  <w:tcBorders>
                    <w:bottom w:val="single" w:color="auto" w:sz="4" w:space="0"/>
                    <w:tl2br w:val="nil"/>
                    <w:tr2bl w:val="nil"/>
                  </w:tcBorders>
                  <w:noWrap w:val="0"/>
                  <w:vAlign w:val="center"/>
                </w:tcPr>
                <w:p w14:paraId="468666E9">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3"/>
                      <w:sz w:val="21"/>
                      <w:szCs w:val="21"/>
                    </w:rPr>
                  </w:pPr>
                </w:p>
              </w:tc>
              <w:tc>
                <w:tcPr>
                  <w:tcW w:w="391" w:type="pct"/>
                  <w:tcBorders>
                    <w:tl2br w:val="nil"/>
                    <w:tr2bl w:val="nil"/>
                  </w:tcBorders>
                  <w:noWrap w:val="0"/>
                  <w:vAlign w:val="center"/>
                </w:tcPr>
                <w:p w14:paraId="6B260C83">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4"/>
                      <w:sz w:val="21"/>
                      <w:szCs w:val="21"/>
                      <w:lang w:val="en-US" w:eastAsia="zh-CN"/>
                    </w:rPr>
                  </w:pPr>
                  <w:r>
                    <w:rPr>
                      <w:rFonts w:hint="default" w:ascii="Times New Roman" w:hAnsi="Times New Roman" w:cs="Times New Roman"/>
                      <w:color w:val="auto"/>
                      <w:spacing w:val="4"/>
                      <w:sz w:val="21"/>
                      <w:szCs w:val="21"/>
                      <w:lang w:val="en-US" w:eastAsia="zh-CN"/>
                    </w:rPr>
                    <w:t>符合</w:t>
                  </w:r>
                </w:p>
              </w:tc>
            </w:tr>
            <w:tr w14:paraId="4ED44F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90" w:hRule="atLeast"/>
              </w:trPr>
              <w:tc>
                <w:tcPr>
                  <w:tcW w:w="336" w:type="pct"/>
                  <w:vMerge w:val="restart"/>
                  <w:tcBorders>
                    <w:tl2br w:val="nil"/>
                    <w:tr2bl w:val="nil"/>
                  </w:tcBorders>
                  <w:noWrap w:val="0"/>
                  <w:vAlign w:val="center"/>
                </w:tcPr>
                <w:p w14:paraId="20F8E87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11D6B14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1FFC246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4DBB0E0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4FD4D64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4CEE524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2698E03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557E67C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p w14:paraId="2F2581E7">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1"/>
                      <w:sz w:val="21"/>
                      <w:szCs w:val="21"/>
                    </w:rPr>
                    <w:t>A4资</w:t>
                  </w:r>
                  <w:r>
                    <w:rPr>
                      <w:rFonts w:hint="default" w:ascii="Times New Roman" w:hAnsi="Times New Roman" w:cs="Times New Roman"/>
                      <w:color w:val="auto"/>
                      <w:spacing w:val="8"/>
                      <w:sz w:val="21"/>
                      <w:szCs w:val="21"/>
                    </w:rPr>
                    <w:t>源利</w:t>
                  </w:r>
                </w:p>
                <w:p w14:paraId="6853D3E2">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用要</w:t>
                  </w:r>
                  <w:r>
                    <w:rPr>
                      <w:rFonts w:hint="default" w:ascii="Times New Roman" w:hAnsi="Times New Roman" w:cs="Times New Roman"/>
                      <w:color w:val="auto"/>
                      <w:sz w:val="21"/>
                      <w:szCs w:val="21"/>
                    </w:rPr>
                    <w:t>求</w:t>
                  </w:r>
                </w:p>
              </w:tc>
              <w:tc>
                <w:tcPr>
                  <w:tcW w:w="428" w:type="pct"/>
                  <w:tcBorders>
                    <w:tl2br w:val="nil"/>
                    <w:tr2bl w:val="nil"/>
                  </w:tcBorders>
                  <w:noWrap w:val="0"/>
                  <w:vAlign w:val="center"/>
                </w:tcPr>
                <w:p w14:paraId="27AD7141">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1"/>
                      <w:sz w:val="21"/>
                      <w:szCs w:val="21"/>
                    </w:rPr>
                    <w:t>A4.1水</w:t>
                  </w:r>
                  <w:r>
                    <w:rPr>
                      <w:rFonts w:hint="default" w:ascii="Times New Roman" w:hAnsi="Times New Roman" w:cs="Times New Roman"/>
                      <w:color w:val="auto"/>
                      <w:spacing w:val="5"/>
                      <w:sz w:val="21"/>
                      <w:szCs w:val="21"/>
                    </w:rPr>
                    <w:t>资源</w:t>
                  </w:r>
                </w:p>
              </w:tc>
              <w:tc>
                <w:tcPr>
                  <w:tcW w:w="2071" w:type="pct"/>
                  <w:tcBorders>
                    <w:tl2br w:val="nil"/>
                    <w:tr2bl w:val="nil"/>
                  </w:tcBorders>
                  <w:noWrap w:val="0"/>
                  <w:vAlign w:val="center"/>
                </w:tcPr>
                <w:p w14:paraId="193FEBD7">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sz w:val="21"/>
                      <w:szCs w:val="21"/>
                    </w:rPr>
                    <w:t>〔A4.1-1〕自治区用水总量2025年、2030年控制在国家下达的</w:t>
                  </w:r>
                  <w:r>
                    <w:rPr>
                      <w:rFonts w:hint="default" w:ascii="Times New Roman" w:hAnsi="Times New Roman" w:cs="Times New Roman"/>
                      <w:color w:val="auto"/>
                      <w:sz w:val="21"/>
                      <w:szCs w:val="21"/>
                    </w:rPr>
                    <w:t>指标内。</w:t>
                  </w:r>
                </w:p>
              </w:tc>
              <w:tc>
                <w:tcPr>
                  <w:tcW w:w="1771" w:type="pct"/>
                  <w:tcBorders>
                    <w:top w:val="single" w:color="auto" w:sz="4" w:space="0"/>
                    <w:tl2br w:val="nil"/>
                    <w:tr2bl w:val="nil"/>
                  </w:tcBorders>
                  <w:noWrap w:val="0"/>
                  <w:vAlign w:val="center"/>
                </w:tcPr>
                <w:p w14:paraId="54A5918C">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eastAsia="宋体" w:cs="Times New Roman"/>
                      <w:color w:val="auto"/>
                      <w:spacing w:val="-3"/>
                      <w:sz w:val="21"/>
                      <w:szCs w:val="21"/>
                      <w:lang w:val="en-US" w:eastAsia="zh-CN"/>
                    </w:rPr>
                  </w:pPr>
                  <w:r>
                    <w:rPr>
                      <w:rFonts w:hint="default" w:ascii="Times New Roman" w:hAnsi="Times New Roman" w:cs="Times New Roman"/>
                      <w:color w:val="auto"/>
                      <w:sz w:val="21"/>
                      <w:szCs w:val="21"/>
                      <w:lang w:val="en-US" w:eastAsia="zh-CN"/>
                    </w:rPr>
                    <w:t>本项目</w:t>
                  </w:r>
                  <w:r>
                    <w:rPr>
                      <w:rFonts w:hint="default" w:ascii="Times New Roman" w:hAnsi="Times New Roman" w:eastAsia="宋体" w:cs="Times New Roman"/>
                      <w:color w:val="auto"/>
                      <w:sz w:val="21"/>
                      <w:szCs w:val="21"/>
                      <w:lang w:val="en-US" w:eastAsia="zh-CN"/>
                    </w:rPr>
                    <w:t>生产给水系统、消防给水系统、生活给水系统分别就近接厂区现有生产给水管网、消防给水管网及生活给水管网</w:t>
                  </w:r>
                  <w:r>
                    <w:rPr>
                      <w:rFonts w:hint="default" w:ascii="Times New Roman" w:hAnsi="Times New Roman" w:cs="Times New Roman"/>
                      <w:color w:val="auto"/>
                      <w:sz w:val="21"/>
                      <w:szCs w:val="21"/>
                      <w:lang w:val="en-US" w:eastAsia="zh-CN"/>
                    </w:rPr>
                    <w:t>。</w:t>
                  </w:r>
                </w:p>
              </w:tc>
              <w:tc>
                <w:tcPr>
                  <w:tcW w:w="391" w:type="pct"/>
                  <w:tcBorders>
                    <w:tl2br w:val="nil"/>
                    <w:tr2bl w:val="nil"/>
                  </w:tcBorders>
                  <w:noWrap w:val="0"/>
                  <w:vAlign w:val="center"/>
                </w:tcPr>
                <w:p w14:paraId="12831E8E">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4"/>
                      <w:sz w:val="21"/>
                      <w:szCs w:val="21"/>
                      <w:lang w:val="en-US" w:eastAsia="zh-CN"/>
                    </w:rPr>
                  </w:pPr>
                  <w:r>
                    <w:rPr>
                      <w:rFonts w:hint="default" w:ascii="Times New Roman" w:hAnsi="Times New Roman" w:cs="Times New Roman"/>
                      <w:color w:val="auto"/>
                      <w:spacing w:val="4"/>
                      <w:sz w:val="21"/>
                      <w:szCs w:val="21"/>
                      <w:lang w:val="en-US" w:eastAsia="zh-CN"/>
                    </w:rPr>
                    <w:t>符合</w:t>
                  </w:r>
                </w:p>
              </w:tc>
            </w:tr>
            <w:tr w14:paraId="29BD00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1062" w:hRule="atLeast"/>
              </w:trPr>
              <w:tc>
                <w:tcPr>
                  <w:tcW w:w="336" w:type="pct"/>
                  <w:vMerge w:val="continue"/>
                  <w:tcBorders>
                    <w:tl2br w:val="nil"/>
                    <w:tr2bl w:val="nil"/>
                  </w:tcBorders>
                  <w:noWrap w:val="0"/>
                  <w:vAlign w:val="center"/>
                </w:tcPr>
                <w:p w14:paraId="18149CA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428" w:type="pct"/>
                  <w:tcBorders>
                    <w:tl2br w:val="nil"/>
                    <w:tr2bl w:val="nil"/>
                  </w:tcBorders>
                  <w:noWrap w:val="0"/>
                  <w:vAlign w:val="center"/>
                </w:tcPr>
                <w:p w14:paraId="30550497">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1"/>
                      <w:sz w:val="21"/>
                      <w:szCs w:val="21"/>
                    </w:rPr>
                    <w:t>A4.2土</w:t>
                  </w:r>
                  <w:r>
                    <w:rPr>
                      <w:rFonts w:hint="default" w:ascii="Times New Roman" w:hAnsi="Times New Roman" w:cs="Times New Roman"/>
                      <w:color w:val="auto"/>
                      <w:spacing w:val="-3"/>
                      <w:sz w:val="21"/>
                      <w:szCs w:val="21"/>
                    </w:rPr>
                    <w:t>地资源</w:t>
                  </w:r>
                </w:p>
              </w:tc>
              <w:tc>
                <w:tcPr>
                  <w:tcW w:w="2071" w:type="pct"/>
                  <w:tcBorders>
                    <w:tl2br w:val="nil"/>
                    <w:tr2bl w:val="nil"/>
                  </w:tcBorders>
                  <w:noWrap w:val="0"/>
                  <w:vAlign w:val="center"/>
                </w:tcPr>
                <w:p w14:paraId="09CE9F5B">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4"/>
                      <w:sz w:val="21"/>
                      <w:szCs w:val="21"/>
                      <w:lang w:val="en-US" w:eastAsia="zh-CN"/>
                    </w:rPr>
                  </w:pPr>
                  <w:r>
                    <w:rPr>
                      <w:rFonts w:hint="default" w:ascii="Times New Roman" w:hAnsi="Times New Roman" w:cs="Times New Roman"/>
                      <w:color w:val="auto"/>
                      <w:spacing w:val="4"/>
                      <w:sz w:val="21"/>
                      <w:szCs w:val="21"/>
                      <w:lang w:val="en-US" w:eastAsia="zh-CN"/>
                    </w:rPr>
                    <w:t>〔A4.2-1〕土地资源上线指标控制在最终批复的国土空间规划控制指标内。</w:t>
                  </w:r>
                </w:p>
              </w:tc>
              <w:tc>
                <w:tcPr>
                  <w:tcW w:w="1771" w:type="pct"/>
                  <w:tcBorders>
                    <w:tl2br w:val="nil"/>
                    <w:tr2bl w:val="nil"/>
                  </w:tcBorders>
                  <w:noWrap w:val="0"/>
                  <w:vAlign w:val="center"/>
                </w:tcPr>
                <w:p w14:paraId="52D9BF75">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4"/>
                      <w:sz w:val="21"/>
                      <w:szCs w:val="21"/>
                      <w:lang w:val="en-US" w:eastAsia="zh-CN"/>
                    </w:rPr>
                  </w:pPr>
                  <w:r>
                    <w:rPr>
                      <w:rFonts w:hint="default" w:ascii="Times New Roman" w:hAnsi="Times New Roman" w:cs="Times New Roman"/>
                      <w:color w:val="auto"/>
                      <w:spacing w:val="4"/>
                      <w:sz w:val="21"/>
                      <w:szCs w:val="21"/>
                      <w:lang w:val="en-US" w:eastAsia="zh-CN"/>
                    </w:rPr>
                    <w:t>本项目用地为恒信煤炭制品工贸有限公司120万吨煤制品深加工升级改造项目预留用地，现已经取得用地手续，产权编号为吉国用2006第069号和新（2025）吉木萨尔县不动产权第0003955号中的七号宗地，详见附件，用地类型为工业用地。</w:t>
                  </w:r>
                </w:p>
              </w:tc>
              <w:tc>
                <w:tcPr>
                  <w:tcW w:w="391" w:type="pct"/>
                  <w:tcBorders>
                    <w:tl2br w:val="nil"/>
                    <w:tr2bl w:val="nil"/>
                  </w:tcBorders>
                  <w:noWrap w:val="0"/>
                  <w:vAlign w:val="center"/>
                </w:tcPr>
                <w:p w14:paraId="78E35F97">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4"/>
                      <w:sz w:val="21"/>
                      <w:szCs w:val="21"/>
                      <w:lang w:val="en-US" w:eastAsia="zh-CN"/>
                    </w:rPr>
                  </w:pPr>
                  <w:r>
                    <w:rPr>
                      <w:rFonts w:hint="default" w:ascii="Times New Roman" w:hAnsi="Times New Roman" w:cs="Times New Roman"/>
                      <w:color w:val="auto"/>
                      <w:spacing w:val="4"/>
                      <w:sz w:val="21"/>
                      <w:szCs w:val="21"/>
                      <w:lang w:val="en-US" w:eastAsia="zh-CN"/>
                    </w:rPr>
                    <w:t>符合</w:t>
                  </w:r>
                </w:p>
              </w:tc>
            </w:tr>
            <w:tr w14:paraId="1D5CD2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1069" w:hRule="atLeast"/>
              </w:trPr>
              <w:tc>
                <w:tcPr>
                  <w:tcW w:w="336" w:type="pct"/>
                  <w:vMerge w:val="continue"/>
                  <w:tcBorders>
                    <w:tl2br w:val="nil"/>
                    <w:tr2bl w:val="nil"/>
                  </w:tcBorders>
                  <w:noWrap w:val="0"/>
                  <w:vAlign w:val="center"/>
                </w:tcPr>
                <w:p w14:paraId="31124D9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Times New Roman" w:cs="Times New Roman"/>
                      <w:color w:val="auto"/>
                      <w:sz w:val="21"/>
                      <w:szCs w:val="21"/>
                    </w:rPr>
                  </w:pPr>
                </w:p>
              </w:tc>
              <w:tc>
                <w:tcPr>
                  <w:tcW w:w="428" w:type="pct"/>
                  <w:tcBorders>
                    <w:tl2br w:val="nil"/>
                    <w:tr2bl w:val="nil"/>
                  </w:tcBorders>
                  <w:noWrap w:val="0"/>
                  <w:vAlign w:val="center"/>
                </w:tcPr>
                <w:p w14:paraId="49DF439B">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1"/>
                      <w:sz w:val="21"/>
                      <w:szCs w:val="21"/>
                    </w:rPr>
                  </w:pPr>
                  <w:r>
                    <w:rPr>
                      <w:rFonts w:hint="default" w:ascii="Times New Roman" w:hAnsi="Times New Roman" w:cs="Times New Roman"/>
                      <w:color w:val="auto"/>
                      <w:spacing w:val="1"/>
                      <w:sz w:val="21"/>
                      <w:szCs w:val="21"/>
                    </w:rPr>
                    <w:t>A4.5</w:t>
                  </w:r>
                  <w:r>
                    <w:rPr>
                      <w:rFonts w:hint="default" w:ascii="Times New Roman" w:hAnsi="Times New Roman" w:eastAsia="宋体" w:cs="Times New Roman"/>
                      <w:color w:val="auto"/>
                      <w:spacing w:val="-1"/>
                      <w:sz w:val="21"/>
                      <w:szCs w:val="21"/>
                    </w:rPr>
                    <w:t>资源综合</w:t>
                  </w:r>
                </w:p>
                <w:p w14:paraId="46751281">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pacing w:val="-1"/>
                      <w:sz w:val="21"/>
                      <w:szCs w:val="21"/>
                      <w:lang w:val="en-US" w:eastAsia="zh-CN"/>
                    </w:rPr>
                    <w:t>利用</w:t>
                  </w:r>
                </w:p>
              </w:tc>
              <w:tc>
                <w:tcPr>
                  <w:tcW w:w="2071" w:type="pct"/>
                  <w:tcBorders>
                    <w:tl2br w:val="nil"/>
                    <w:tr2bl w:val="nil"/>
                  </w:tcBorders>
                  <w:noWrap w:val="0"/>
                  <w:vAlign w:val="center"/>
                </w:tcPr>
                <w:p w14:paraId="4CC87D3B">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4"/>
                      <w:sz w:val="21"/>
                      <w:szCs w:val="21"/>
                    </w:rPr>
                  </w:pPr>
                  <w:r>
                    <w:rPr>
                      <w:rFonts w:hint="default" w:ascii="Times New Roman" w:hAnsi="Times New Roman" w:cs="Times New Roman"/>
                      <w:color w:val="auto"/>
                      <w:spacing w:val="4"/>
                      <w:sz w:val="21"/>
                      <w:szCs w:val="21"/>
                    </w:rPr>
                    <w:t>〔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等模式。以尾矿和共伴生矿、煤研石、炉渣、粉煤灰、脱硫石膏、冶炼渣、建筑垃圾等为重点，持续推进固体废物综合利用和环境整治，不断提高大宗固体废物资源化利用水平。推行生活垃圾分类，加快建设县</w:t>
                  </w:r>
                  <w:r>
                    <w:rPr>
                      <w:rFonts w:hint="default" w:ascii="Times New Roman" w:hAnsi="Times New Roman" w:cs="Times New Roman"/>
                      <w:color w:val="auto"/>
                      <w:spacing w:val="4"/>
                      <w:sz w:val="21"/>
                      <w:szCs w:val="21"/>
                      <w:lang w:eastAsia="zh-CN"/>
                    </w:rPr>
                    <w:t>（</w:t>
                  </w:r>
                  <w:r>
                    <w:rPr>
                      <w:rFonts w:hint="default" w:ascii="Times New Roman" w:hAnsi="Times New Roman" w:cs="Times New Roman"/>
                      <w:color w:val="auto"/>
                      <w:spacing w:val="4"/>
                      <w:sz w:val="21"/>
                      <w:szCs w:val="21"/>
                    </w:rPr>
                    <w:t>市</w:t>
                  </w:r>
                  <w:r>
                    <w:rPr>
                      <w:rFonts w:hint="default" w:ascii="Times New Roman" w:hAnsi="Times New Roman" w:cs="Times New Roman"/>
                      <w:color w:val="auto"/>
                      <w:spacing w:val="4"/>
                      <w:sz w:val="21"/>
                      <w:szCs w:val="21"/>
                      <w:lang w:eastAsia="zh-CN"/>
                    </w:rPr>
                    <w:t>）</w:t>
                  </w:r>
                  <w:r>
                    <w:rPr>
                      <w:rFonts w:hint="default" w:ascii="Times New Roman" w:hAnsi="Times New Roman" w:cs="Times New Roman"/>
                      <w:color w:val="auto"/>
                      <w:spacing w:val="4"/>
                      <w:sz w:val="21"/>
                      <w:szCs w:val="21"/>
                    </w:rPr>
                    <w:t>生活垃圾处理设施，到2025年，全疆城市生活垃圾无害化处理率达到99%以上。</w:t>
                  </w:r>
                </w:p>
              </w:tc>
              <w:tc>
                <w:tcPr>
                  <w:tcW w:w="1771" w:type="pct"/>
                  <w:tcBorders>
                    <w:tl2br w:val="nil"/>
                    <w:tr2bl w:val="nil"/>
                  </w:tcBorders>
                  <w:noWrap w:val="0"/>
                  <w:vAlign w:val="center"/>
                </w:tcPr>
                <w:p w14:paraId="664A9A9B">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both"/>
                    <w:textAlignment w:val="auto"/>
                    <w:rPr>
                      <w:rFonts w:hint="default" w:ascii="Times New Roman" w:hAnsi="Times New Roman" w:cs="Times New Roman"/>
                      <w:color w:val="auto"/>
                      <w:spacing w:val="4"/>
                      <w:sz w:val="21"/>
                      <w:szCs w:val="21"/>
                      <w:lang w:val="en-US" w:eastAsia="zh-CN"/>
                    </w:rPr>
                  </w:pPr>
                  <w:r>
                    <w:rPr>
                      <w:rFonts w:hint="default" w:ascii="Times New Roman" w:hAnsi="Times New Roman" w:cs="Times New Roman"/>
                      <w:color w:val="auto"/>
                      <w:spacing w:val="4"/>
                      <w:sz w:val="21"/>
                      <w:szCs w:val="21"/>
                      <w:lang w:val="en-US" w:eastAsia="zh-CN"/>
                    </w:rPr>
                    <w:t>本项目在厂区内设置垃圾箱，及时收集清理至周边垃圾转运站，由环卫部门集中清运处置一般工业固废脱硫石膏集中收集后，暂存至石膏间定期外售至建筑材料制造企业进行综合利用；凝结水过滤废物定期外售至建筑材料制造企业进行综合利用；危险废物废机油、废催化剂和实验室化验废液采用专用容器收集后暂存至危废贮存点，定期委托有相关危废处理资质的单位进行处置</w:t>
                  </w:r>
                </w:p>
              </w:tc>
              <w:tc>
                <w:tcPr>
                  <w:tcW w:w="391" w:type="pct"/>
                  <w:tcBorders>
                    <w:tl2br w:val="nil"/>
                    <w:tr2bl w:val="nil"/>
                  </w:tcBorders>
                  <w:noWrap w:val="0"/>
                  <w:vAlign w:val="center"/>
                </w:tcPr>
                <w:p w14:paraId="6B9C5C0B">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符合</w:t>
                  </w:r>
                </w:p>
              </w:tc>
            </w:tr>
          </w:tbl>
          <w:p w14:paraId="7CA401BA">
            <w:pPr>
              <w:pStyle w:val="3"/>
              <w:pageBreakBefore w:val="0"/>
              <w:widowControl w:val="0"/>
              <w:kinsoku/>
              <w:wordWrap/>
              <w:overflowPunct/>
              <w:topLinePunct w:val="0"/>
              <w:autoSpaceDE/>
              <w:autoSpaceDN/>
              <w:bidi w:val="0"/>
              <w:adjustRightInd/>
              <w:snapToGrid/>
              <w:spacing w:before="0" w:after="0" w:line="360" w:lineRule="auto"/>
              <w:ind w:firstLine="482" w:firstLineChars="200"/>
              <w:textAlignment w:val="auto"/>
              <w:rPr>
                <w:rFonts w:hint="default" w:ascii="Times New Roman" w:hAnsi="Times New Roman" w:cs="Times New Roman"/>
                <w:b/>
                <w:bCs/>
                <w:color w:val="auto"/>
                <w:spacing w:val="0"/>
                <w:kern w:val="0"/>
                <w:sz w:val="24"/>
                <w:szCs w:val="24"/>
                <w:highlight w:val="none"/>
                <w:lang w:val="en-US" w:eastAsia="zh-CN" w:bidi="ar-SA"/>
              </w:rPr>
            </w:pPr>
            <w:r>
              <w:rPr>
                <w:rFonts w:hint="default" w:ascii="Times New Roman" w:hAnsi="Times New Roman" w:cs="Times New Roman"/>
                <w:b/>
                <w:bCs/>
                <w:color w:val="auto"/>
                <w:spacing w:val="0"/>
                <w:kern w:val="0"/>
                <w:sz w:val="24"/>
                <w:szCs w:val="24"/>
                <w:highlight w:val="none"/>
                <w:lang w:val="en-US" w:eastAsia="zh-CN" w:bidi="ar-SA"/>
              </w:rPr>
              <w:t>2.2与</w:t>
            </w:r>
            <w:r>
              <w:rPr>
                <w:rFonts w:hint="default" w:ascii="Times New Roman" w:hAnsi="Times New Roman" w:eastAsia="宋体" w:cs="Times New Roman"/>
                <w:b/>
                <w:bCs/>
                <w:color w:val="auto"/>
                <w:spacing w:val="0"/>
                <w:kern w:val="0"/>
                <w:sz w:val="24"/>
                <w:szCs w:val="24"/>
                <w:highlight w:val="none"/>
                <w:lang w:val="en-US" w:eastAsia="zh-CN" w:bidi="ar-SA"/>
              </w:rPr>
              <w:t>《新疆维吾尔自治区七大片区“三线一单”生态环境分区管控要求》</w:t>
            </w:r>
            <w:r>
              <w:rPr>
                <w:rFonts w:hint="default" w:ascii="Times New Roman" w:hAnsi="Times New Roman" w:cs="Times New Roman"/>
                <w:b/>
                <w:bCs/>
                <w:color w:val="auto"/>
                <w:spacing w:val="0"/>
                <w:kern w:val="0"/>
                <w:sz w:val="24"/>
                <w:szCs w:val="24"/>
                <w:highlight w:val="none"/>
                <w:lang w:val="en-US" w:eastAsia="zh-CN" w:bidi="ar-SA"/>
              </w:rPr>
              <w:t>符合性分析</w:t>
            </w:r>
          </w:p>
          <w:p w14:paraId="3966C6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pacing w:val="0"/>
                <w:kern w:val="0"/>
                <w:sz w:val="24"/>
                <w:szCs w:val="24"/>
                <w:highlight w:val="none"/>
                <w:lang w:val="en-US" w:eastAsia="zh-CN"/>
              </w:rPr>
            </w:pPr>
            <w:r>
              <w:rPr>
                <w:rFonts w:hint="default" w:ascii="Times New Roman" w:hAnsi="Times New Roman" w:eastAsia="宋体" w:cs="Times New Roman"/>
                <w:color w:val="auto"/>
                <w:spacing w:val="0"/>
                <w:kern w:val="0"/>
                <w:sz w:val="24"/>
                <w:szCs w:val="24"/>
                <w:highlight w:val="none"/>
                <w:lang w:val="en-US" w:eastAsia="zh-CN"/>
              </w:rPr>
              <w:t>按照《新疆维吾尔自治区“三线一单”生态环境分区管控方案》，全区划分为七大片区，包括北疆北部</w:t>
            </w:r>
            <w:r>
              <w:rPr>
                <w:rFonts w:hint="eastAsia" w:cs="Times New Roman"/>
                <w:color w:val="auto"/>
                <w:spacing w:val="0"/>
                <w:kern w:val="0"/>
                <w:sz w:val="24"/>
                <w:szCs w:val="24"/>
                <w:highlight w:val="none"/>
                <w:lang w:val="en-US" w:eastAsia="zh-CN"/>
              </w:rPr>
              <w:t>（</w:t>
            </w:r>
            <w:r>
              <w:rPr>
                <w:rFonts w:hint="default" w:ascii="Times New Roman" w:hAnsi="Times New Roman" w:eastAsia="宋体" w:cs="Times New Roman"/>
                <w:color w:val="auto"/>
                <w:spacing w:val="0"/>
                <w:kern w:val="0"/>
                <w:sz w:val="24"/>
                <w:szCs w:val="24"/>
                <w:highlight w:val="none"/>
                <w:lang w:val="en-US" w:eastAsia="zh-CN"/>
              </w:rPr>
              <w:t>塔城地区、阿勒泰地区</w:t>
            </w:r>
            <w:r>
              <w:rPr>
                <w:rFonts w:hint="eastAsia" w:cs="Times New Roman"/>
                <w:color w:val="auto"/>
                <w:spacing w:val="0"/>
                <w:kern w:val="0"/>
                <w:sz w:val="24"/>
                <w:szCs w:val="24"/>
                <w:highlight w:val="none"/>
                <w:lang w:val="en-US" w:eastAsia="zh-CN"/>
              </w:rPr>
              <w:t>）</w:t>
            </w:r>
            <w:r>
              <w:rPr>
                <w:rFonts w:hint="default" w:ascii="Times New Roman" w:hAnsi="Times New Roman" w:eastAsia="宋体" w:cs="Times New Roman"/>
                <w:color w:val="auto"/>
                <w:spacing w:val="0"/>
                <w:kern w:val="0"/>
                <w:sz w:val="24"/>
                <w:szCs w:val="24"/>
                <w:highlight w:val="none"/>
                <w:lang w:val="en-US" w:eastAsia="zh-CN"/>
              </w:rPr>
              <w:t>、伊犁河谷、克奎乌-博州、乌昌石、吐哈、天山南坡</w:t>
            </w:r>
            <w:r>
              <w:rPr>
                <w:rFonts w:hint="eastAsia" w:cs="Times New Roman"/>
                <w:color w:val="auto"/>
                <w:spacing w:val="0"/>
                <w:kern w:val="0"/>
                <w:sz w:val="24"/>
                <w:szCs w:val="24"/>
                <w:highlight w:val="none"/>
                <w:lang w:val="en-US" w:eastAsia="zh-CN"/>
              </w:rPr>
              <w:t>（</w:t>
            </w:r>
            <w:r>
              <w:rPr>
                <w:rFonts w:hint="default" w:ascii="Times New Roman" w:hAnsi="Times New Roman" w:eastAsia="宋体" w:cs="Times New Roman"/>
                <w:color w:val="auto"/>
                <w:spacing w:val="0"/>
                <w:kern w:val="0"/>
                <w:sz w:val="24"/>
                <w:szCs w:val="24"/>
                <w:highlight w:val="none"/>
                <w:lang w:val="en-US" w:eastAsia="zh-CN"/>
              </w:rPr>
              <w:t>巴州、阿克苏地区</w:t>
            </w:r>
            <w:r>
              <w:rPr>
                <w:rFonts w:hint="eastAsia" w:cs="Times New Roman"/>
                <w:color w:val="auto"/>
                <w:spacing w:val="0"/>
                <w:kern w:val="0"/>
                <w:sz w:val="24"/>
                <w:szCs w:val="24"/>
                <w:highlight w:val="none"/>
                <w:lang w:val="en-US" w:eastAsia="zh-CN"/>
              </w:rPr>
              <w:t>）</w:t>
            </w:r>
            <w:r>
              <w:rPr>
                <w:rFonts w:hint="default" w:ascii="Times New Roman" w:hAnsi="Times New Roman" w:eastAsia="宋体" w:cs="Times New Roman"/>
                <w:color w:val="auto"/>
                <w:spacing w:val="0"/>
                <w:kern w:val="0"/>
                <w:sz w:val="24"/>
                <w:szCs w:val="24"/>
                <w:highlight w:val="none"/>
                <w:lang w:val="en-US" w:eastAsia="zh-CN"/>
              </w:rPr>
              <w:t>和南疆三地州片区，新疆维吾尔自治区生态环境厅制定《新疆维吾尔自治区七大片区“三线一单”生态环境分区管控要求》。塔城地区（不含沙湾市和乌苏市）主要涉及“北疆北部片区”，乌苏市涉及“克奎乌-博州片区”，沙湾市涉及乌昌石片区。</w:t>
            </w:r>
          </w:p>
          <w:p w14:paraId="35C123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pacing w:val="0"/>
                <w:kern w:val="0"/>
                <w:sz w:val="24"/>
                <w:szCs w:val="24"/>
                <w:highlight w:val="none"/>
                <w:lang w:val="en-US" w:eastAsia="zh-CN"/>
              </w:rPr>
            </w:pPr>
            <w:r>
              <w:rPr>
                <w:rFonts w:hint="default" w:ascii="Times New Roman" w:hAnsi="Times New Roman" w:cs="Times New Roman"/>
                <w:color w:val="auto"/>
                <w:spacing w:val="0"/>
                <w:kern w:val="0"/>
                <w:sz w:val="24"/>
                <w:szCs w:val="24"/>
                <w:highlight w:val="none"/>
                <w:lang w:val="en-US" w:eastAsia="zh-CN"/>
              </w:rPr>
              <w:t>——空间布局约束。严格执行国家、自治区产业政策和环境准入要求，严禁“三高”项目进新疆，坚决遏制“两高”项目盲目发展。不得在水源涵养区、饮用水水源保护区内和河流、湖泊、水库周围建设重化工、涉重金属等工业污染项目。推动项目集聚发展，新建、改建、扩建工业项目原则上应布置于由县级及以上人民政府批准建立、环境保护基础设施完善的产业园区、工业聚集区或规划矿区，并且符合相关规划和规划环评要求。</w:t>
            </w:r>
          </w:p>
          <w:p w14:paraId="0AA3D1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pacing w:val="0"/>
                <w:kern w:val="0"/>
                <w:sz w:val="24"/>
                <w:szCs w:val="24"/>
                <w:highlight w:val="none"/>
                <w:lang w:val="en-US" w:eastAsia="zh-CN"/>
              </w:rPr>
            </w:pPr>
            <w:r>
              <w:rPr>
                <w:rFonts w:hint="default" w:ascii="Times New Roman" w:hAnsi="Times New Roman" w:cs="Times New Roman"/>
                <w:color w:val="auto"/>
                <w:spacing w:val="0"/>
                <w:kern w:val="0"/>
                <w:sz w:val="24"/>
                <w:szCs w:val="24"/>
                <w:highlight w:val="none"/>
                <w:lang w:val="en-US" w:eastAsia="zh-CN"/>
              </w:rPr>
              <w:t>——污染物排放管控。深化行业污染源头治理，深入开展火电行业减排，全力推进钢铁行业超低排放改造，有序推进石化行业“泄漏检测与修复”技术改造。强化煤化工、石化、有机化工、表面涂装、包装印刷等重点行业挥发性有机物控制。深入开展燃煤锅炉污染综合整治，深化工业炉窑综合治理。加强“散乱污”企业综合整治。优化区域交通运输结构，加快货物运输绿色转型，做好车油联合管控。以改善流域水环境质量为核心，强化源头控制，“一河（湖）一策”精准施治，减少水污染物排放，持续改善水环境质量。强化园区（工业集聚区）水污染防治，不断提高工业用水重复利用率。加快实施城镇污水处理设施提质增效，补齐生活污水收集和处理设施短板，提高再生水回用比例。持续推进农业农村污染防治。提升土壤环境监管能力，加强污染地块安全利用监管。强化工矿用地管理，严格建设用地土壤环境风险管控。加强农用地土壤污染源头控制，科学施用化肥农药，提高农膜回收率。</w:t>
            </w:r>
          </w:p>
          <w:p w14:paraId="6C238C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pacing w:val="0"/>
                <w:kern w:val="0"/>
                <w:sz w:val="24"/>
                <w:szCs w:val="24"/>
                <w:highlight w:val="none"/>
                <w:lang w:val="en-US" w:eastAsia="zh-CN"/>
              </w:rPr>
            </w:pPr>
            <w:r>
              <w:rPr>
                <w:rFonts w:hint="default" w:ascii="Times New Roman" w:hAnsi="Times New Roman" w:cs="Times New Roman"/>
                <w:color w:val="auto"/>
                <w:spacing w:val="0"/>
                <w:kern w:val="0"/>
                <w:sz w:val="24"/>
                <w:szCs w:val="24"/>
                <w:highlight w:val="none"/>
                <w:lang w:val="en-US" w:eastAsia="zh-CN"/>
              </w:rPr>
              <w:t>——环境风险防控。禁止在化工园区外新建、扩建危险化学品生产项目。严格落实危险废物处置相关要求。加强重点流域水环境风险管控，保障水环境安全。</w:t>
            </w:r>
          </w:p>
          <w:p w14:paraId="28D635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pacing w:val="0"/>
                <w:kern w:val="0"/>
                <w:sz w:val="24"/>
                <w:szCs w:val="24"/>
                <w:highlight w:val="none"/>
                <w:lang w:val="en-US" w:eastAsia="zh-CN"/>
              </w:rPr>
            </w:pPr>
            <w:r>
              <w:rPr>
                <w:rFonts w:hint="default" w:ascii="Times New Roman" w:hAnsi="Times New Roman" w:cs="Times New Roman"/>
                <w:color w:val="auto"/>
                <w:spacing w:val="0"/>
                <w:kern w:val="0"/>
                <w:sz w:val="24"/>
                <w:szCs w:val="24"/>
                <w:highlight w:val="none"/>
                <w:lang w:val="en-US" w:eastAsia="zh-CN"/>
              </w:rPr>
              <w:t>——资源利用效率要求。优化能源结构，控制煤炭等化石能源使用量，鼓励使用清洁能源，协同推进减污降碳。全面实施节水工程，合理开发利用水资源，提升水资源利用效率，保障生态用水，严防地下水超采。</w:t>
            </w:r>
          </w:p>
          <w:p w14:paraId="4092D2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pacing w:val="0"/>
                <w:kern w:val="0"/>
                <w:sz w:val="24"/>
                <w:szCs w:val="24"/>
                <w:highlight w:val="none"/>
                <w:lang w:val="en-US" w:eastAsia="zh-CN"/>
              </w:rPr>
            </w:pPr>
            <w:r>
              <w:rPr>
                <w:rFonts w:hint="default" w:ascii="Times New Roman" w:hAnsi="Times New Roman" w:cs="Times New Roman"/>
                <w:color w:val="auto"/>
                <w:spacing w:val="0"/>
                <w:kern w:val="0"/>
                <w:sz w:val="24"/>
                <w:szCs w:val="24"/>
                <w:highlight w:val="none"/>
                <w:lang w:val="en-US" w:eastAsia="zh-CN"/>
              </w:rPr>
              <w:t>昌石片区包括乌鲁木齐市、昌吉回族自治州和沙湾市。</w:t>
            </w:r>
          </w:p>
          <w:p w14:paraId="401DFEF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pacing w:val="0"/>
                <w:kern w:val="0"/>
                <w:sz w:val="24"/>
                <w:szCs w:val="24"/>
                <w:highlight w:val="none"/>
                <w:lang w:val="en-US" w:eastAsia="zh-CN"/>
              </w:rPr>
            </w:pPr>
            <w:r>
              <w:rPr>
                <w:rFonts w:hint="default" w:ascii="Times New Roman" w:hAnsi="Times New Roman" w:cs="Times New Roman"/>
                <w:color w:val="auto"/>
                <w:spacing w:val="0"/>
                <w:kern w:val="0"/>
                <w:sz w:val="24"/>
                <w:szCs w:val="24"/>
                <w:highlight w:val="none"/>
                <w:lang w:val="en-US" w:eastAsia="zh-CN"/>
              </w:rPr>
              <w:t>除国家规划项目外，乌鲁木齐市七区一县、昌吉市、阜康市、玛纳斯县、呼图壁县、沙湾市建成区及周边敏感区域内不再布局建设煤化工、电解铝、燃煤纯发电机组、金属硅、碳化硅、聚氯乙烯（电石法）、焦炭（含半焦）等新增产能项目，具备风光电清洁供暖建设条件的区域原则上不新批热电联产项目。坚持属地负责与区域大气污染联防联控相结合，以明显降低细颗粒物浓度为重点，协同推进“乌-昌-石”区域大气环境治理，强化与生产建设兵团第六师、第八师、第十一师、第十二师的同防同治，确保区域环境空气质量持续改善。所有新建、改建、扩建工业项目执行最严格的大气污染物排放标准。强化氮氧化物深度治理。强化挥发性有机物污染防治措施。推广使用低挥发性有机物原辅料，推动有条件的园区（工业集聚区）建设集中喷涂工程中心，配备高效治污设施，替代企业独立喷涂工序。</w:t>
            </w:r>
          </w:p>
          <w:p w14:paraId="5313EB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pacing w:val="0"/>
                <w:kern w:val="0"/>
                <w:sz w:val="24"/>
                <w:szCs w:val="24"/>
                <w:highlight w:val="none"/>
                <w:lang w:val="en-US" w:eastAsia="zh-CN"/>
              </w:rPr>
            </w:pPr>
            <w:r>
              <w:rPr>
                <w:rFonts w:hint="default" w:ascii="Times New Roman" w:hAnsi="Times New Roman" w:cs="Times New Roman"/>
                <w:color w:val="auto"/>
                <w:spacing w:val="0"/>
                <w:kern w:val="0"/>
                <w:sz w:val="24"/>
                <w:szCs w:val="24"/>
                <w:highlight w:val="none"/>
                <w:lang w:val="en-US" w:eastAsia="zh-CN"/>
              </w:rPr>
              <w:t>强化企业清洁生产改造，推进节水型企业、节水型工业园区建设，提高资源集约节约利用水平。积极推进地下水超采治理，逐步压减地下水超采量，实现地下水采补平衡。</w:t>
            </w:r>
          </w:p>
          <w:p w14:paraId="20FA148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spacing w:val="0"/>
                <w:kern w:val="0"/>
                <w:sz w:val="24"/>
                <w:szCs w:val="24"/>
                <w:highlight w:val="none"/>
                <w:lang w:val="en-US" w:eastAsia="zh-CN"/>
              </w:rPr>
            </w:pPr>
            <w:r>
              <w:rPr>
                <w:rFonts w:hint="default" w:ascii="Times New Roman" w:hAnsi="Times New Roman" w:cs="Times New Roman"/>
                <w:color w:val="auto"/>
                <w:spacing w:val="0"/>
                <w:kern w:val="0"/>
                <w:sz w:val="24"/>
                <w:szCs w:val="24"/>
                <w:highlight w:val="none"/>
                <w:lang w:val="en-US" w:eastAsia="zh-CN"/>
              </w:rPr>
              <w:t>本项目属于乌昌石片区，项目利用上游吉木萨尔县恒信煤炭制品工贸有限公司120万吨煤制品深加工升级改造项目半焦（兰炭）副产煤气余能新建煤气发电项目，设置装机规模为1×45MW超高温超高压煤气发电机组</w:t>
            </w:r>
            <w:r>
              <w:rPr>
                <w:rFonts w:hint="eastAsia" w:cs="Times New Roman"/>
                <w:color w:val="auto"/>
                <w:spacing w:val="0"/>
                <w:kern w:val="0"/>
                <w:sz w:val="24"/>
                <w:szCs w:val="24"/>
                <w:highlight w:val="none"/>
                <w:lang w:val="en-US" w:eastAsia="zh-CN"/>
              </w:rPr>
              <w:t>。</w:t>
            </w:r>
            <w:r>
              <w:rPr>
                <w:rFonts w:hint="default" w:ascii="Times New Roman" w:hAnsi="Times New Roman" w:cs="Times New Roman"/>
                <w:color w:val="auto"/>
                <w:spacing w:val="0"/>
                <w:kern w:val="0"/>
                <w:sz w:val="24"/>
                <w:szCs w:val="24"/>
                <w:highlight w:val="none"/>
                <w:lang w:val="en-US" w:eastAsia="zh-CN"/>
              </w:rPr>
              <w:t>对照《产业结构调整指导目录（2024年本）》，本项目属于鼓励类；对照国家发展改革委和商务部发布的《市场准入负面清单（2025年版）》，本项目属于许可准入类；本项目不在</w:t>
            </w:r>
            <w:r>
              <w:rPr>
                <w:rFonts w:hint="default" w:ascii="Times New Roman" w:hAnsi="Times New Roman" w:cs="Times New Roman"/>
                <w:color w:val="auto"/>
                <w:spacing w:val="0"/>
                <w:kern w:val="0"/>
                <w:sz w:val="24"/>
                <w:szCs w:val="24"/>
                <w:highlight w:val="none"/>
                <w:lang w:val="zh-CN" w:eastAsia="zh-CN"/>
              </w:rPr>
              <w:t>《鼓励外商投资产业目录》《西部地区鼓励类产业目录》</w:t>
            </w:r>
            <w:r>
              <w:rPr>
                <w:rFonts w:hint="default" w:ascii="Times New Roman" w:hAnsi="Times New Roman" w:cs="Times New Roman"/>
                <w:color w:val="auto"/>
                <w:spacing w:val="0"/>
                <w:kern w:val="0"/>
                <w:sz w:val="24"/>
                <w:szCs w:val="24"/>
                <w:highlight w:val="none"/>
                <w:lang w:val="en-US" w:eastAsia="zh-CN"/>
              </w:rPr>
              <w:t>中。符合</w:t>
            </w:r>
            <w:r>
              <w:rPr>
                <w:rFonts w:hint="default" w:ascii="Times New Roman" w:hAnsi="Times New Roman" w:cs="Times New Roman"/>
                <w:color w:val="auto"/>
                <w:spacing w:val="0"/>
                <w:kern w:val="0"/>
                <w:sz w:val="24"/>
                <w:szCs w:val="24"/>
                <w:highlight w:val="none"/>
                <w:lang w:val="zh-CN" w:eastAsia="zh-CN"/>
              </w:rPr>
              <w:t>《新疆维吾尔自治区主体功能区规划》</w:t>
            </w:r>
            <w:r>
              <w:rPr>
                <w:rFonts w:hint="default" w:ascii="Times New Roman" w:hAnsi="Times New Roman" w:cs="Times New Roman"/>
                <w:color w:val="auto"/>
                <w:spacing w:val="0"/>
                <w:kern w:val="0"/>
                <w:sz w:val="24"/>
                <w:szCs w:val="24"/>
                <w:highlight w:val="none"/>
                <w:lang w:val="en-US" w:eastAsia="zh-CN"/>
              </w:rPr>
              <w:t>《吉木萨尔县北三台循环经济工业园区总体规划（2021-2030年）》《昌吉州国民经济和社会发展第十四个五年规划和2035年远景目标纲要》</w:t>
            </w:r>
            <w:r>
              <w:rPr>
                <w:rFonts w:hint="default" w:ascii="Times New Roman" w:hAnsi="Times New Roman" w:cs="Times New Roman"/>
                <w:color w:val="auto"/>
                <w:spacing w:val="0"/>
                <w:kern w:val="0"/>
                <w:sz w:val="24"/>
                <w:szCs w:val="24"/>
                <w:highlight w:val="none"/>
                <w:lang w:val="zh-CN" w:eastAsia="zh-CN"/>
              </w:rPr>
              <w:t>《新疆生态功能区规划》</w:t>
            </w:r>
            <w:r>
              <w:rPr>
                <w:rFonts w:hint="default" w:ascii="Times New Roman" w:hAnsi="Times New Roman" w:cs="Times New Roman"/>
                <w:color w:val="auto"/>
                <w:spacing w:val="0"/>
                <w:kern w:val="0"/>
                <w:sz w:val="24"/>
                <w:szCs w:val="24"/>
                <w:highlight w:val="none"/>
                <w:lang w:val="en-US" w:eastAsia="zh-CN"/>
              </w:rPr>
              <w:t>的要求。</w:t>
            </w:r>
          </w:p>
          <w:p w14:paraId="381D238A">
            <w:pPr>
              <w:pStyle w:val="112"/>
              <w:keepNext w:val="0"/>
              <w:keepLines w:val="0"/>
              <w:pageBreakBefore w:val="0"/>
              <w:widowControl w:val="0"/>
              <w:kinsoku/>
              <w:wordWrap/>
              <w:overflowPunct/>
              <w:topLinePunct w:val="0"/>
              <w:bidi w:val="0"/>
              <w:snapToGrid/>
              <w:spacing w:line="360" w:lineRule="auto"/>
              <w:ind w:firstLine="480" w:firstLineChars="200"/>
              <w:jc w:val="both"/>
              <w:rPr>
                <w:rFonts w:hint="default" w:ascii="Times New Roman" w:hAnsi="Times New Roman" w:cs="Times New Roman"/>
                <w:color w:val="auto"/>
                <w:sz w:val="24"/>
                <w:szCs w:val="24"/>
                <w:lang w:val="en-US" w:eastAsia="zh-CN"/>
              </w:rPr>
            </w:pPr>
            <w:r>
              <w:rPr>
                <w:rFonts w:hint="default" w:ascii="Times New Roman" w:hAnsi="Times New Roman" w:cs="Times New Roman"/>
                <w:color w:val="auto"/>
                <w:spacing w:val="0"/>
                <w:kern w:val="0"/>
                <w:sz w:val="24"/>
                <w:szCs w:val="24"/>
                <w:highlight w:val="none"/>
                <w:lang w:val="en-US" w:eastAsia="zh-CN"/>
              </w:rPr>
              <w:t>污染治理方面：煤气燃烧烟气经“低氮燃烧器+SCR脱硝+石灰（石）-石膏湿法脱硫+高效除雾器协同除尘设施+</w:t>
            </w:r>
            <w:r>
              <w:rPr>
                <w:rFonts w:hint="default" w:ascii="Times New Roman" w:hAnsi="Times New Roman" w:eastAsia="宋体" w:cs="Times New Roman"/>
                <w:i w:val="0"/>
                <w:iCs w:val="0"/>
                <w:color w:val="auto"/>
                <w:kern w:val="0"/>
                <w:sz w:val="24"/>
                <w:szCs w:val="24"/>
                <w:u w:val="none"/>
                <w:lang w:val="en-US" w:eastAsia="zh-CN" w:bidi="ar"/>
              </w:rPr>
              <w:t>湿式电除尘器</w:t>
            </w:r>
            <w:r>
              <w:rPr>
                <w:rFonts w:hint="default" w:ascii="Times New Roman" w:hAnsi="Times New Roman" w:cs="Times New Roman"/>
                <w:color w:val="auto"/>
                <w:spacing w:val="0"/>
                <w:kern w:val="0"/>
                <w:sz w:val="24"/>
                <w:szCs w:val="24"/>
                <w:highlight w:val="none"/>
                <w:lang w:val="en-US" w:eastAsia="zh-CN"/>
              </w:rPr>
              <w:t>”处理后，</w:t>
            </w:r>
            <w:r>
              <w:rPr>
                <w:rFonts w:hint="eastAsia" w:cs="Times New Roman"/>
                <w:color w:val="auto"/>
                <w:spacing w:val="0"/>
                <w:kern w:val="0"/>
                <w:sz w:val="24"/>
                <w:szCs w:val="24"/>
                <w:highlight w:val="none"/>
                <w:lang w:val="en-US" w:eastAsia="zh-CN"/>
              </w:rPr>
              <w:t>通过</w:t>
            </w:r>
            <w:r>
              <w:rPr>
                <w:rFonts w:hint="default" w:ascii="Times New Roman" w:hAnsi="Times New Roman" w:cs="Times New Roman"/>
                <w:color w:val="auto"/>
                <w:spacing w:val="0"/>
                <w:kern w:val="0"/>
                <w:sz w:val="24"/>
                <w:szCs w:val="24"/>
                <w:highlight w:val="none"/>
                <w:lang w:val="en-US" w:eastAsia="zh-CN"/>
              </w:rPr>
              <w:t>60m高排气筒（DA001）排放至大气环境中，并安装在线监测系统（CEMS），废气污染物排放满足《火电厂大气污染物排放标准》（GB13223-2011）表2大气污染物特别排放限值和《关于印发〈全面实施燃煤电厂超低排放和节能改造工作方案〉的通知》（环发〔2015〕164号）中氮氧化物浓度限值。生产废水回用于脱硫工序，无外排生产废水；项目食宿区依托吉木萨尔县恒信煤炭制品工贸有限公司120万吨煤制品深加工升级改造项目厂内综合办公区、食堂以及员工宿舍；厂内办公区位于辅助车间综合楼，厂内建设排污管道，排至吉木萨尔县恒信煤炭制品工贸有限公司120万吨煤制品深加工升级改造项目厂内生活区的地埋式一体化污水处理设备处理后，冬储夏灌。</w:t>
            </w:r>
            <w:r>
              <w:rPr>
                <w:rFonts w:hint="default" w:ascii="Times New Roman" w:hAnsi="Times New Roman" w:cs="Times New Roman"/>
                <w:color w:val="auto"/>
                <w:sz w:val="24"/>
                <w:szCs w:val="24"/>
                <w:lang w:val="en-US" w:eastAsia="zh-CN"/>
              </w:rPr>
              <w:t>采取分区防控措施，将各工程划分为重点防渗区、一般防渗区和简单防渗区。</w:t>
            </w:r>
          </w:p>
          <w:p w14:paraId="49A052F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bCs/>
                <w:color w:val="auto"/>
                <w:spacing w:val="0"/>
                <w:kern w:val="0"/>
                <w:sz w:val="24"/>
                <w:szCs w:val="24"/>
                <w:highlight w:val="none"/>
                <w:lang w:val="en-US" w:eastAsia="zh-CN" w:bidi="ar-SA"/>
              </w:rPr>
            </w:pPr>
            <w:r>
              <w:rPr>
                <w:rFonts w:hint="default" w:ascii="Times New Roman" w:hAnsi="Times New Roman" w:eastAsia="宋体" w:cs="Times New Roman"/>
                <w:b/>
                <w:bCs/>
                <w:color w:val="auto"/>
                <w:spacing w:val="0"/>
                <w:kern w:val="0"/>
                <w:sz w:val="24"/>
                <w:szCs w:val="24"/>
                <w:highlight w:val="none"/>
                <w:lang w:val="en-US" w:eastAsia="zh-CN" w:bidi="ar-SA"/>
              </w:rPr>
              <w:t>2.3与《昌吉回族自治州生态环境准入清单》符合性分析</w:t>
            </w:r>
          </w:p>
          <w:p w14:paraId="7AFE392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pacing w:val="0"/>
                <w:kern w:val="0"/>
                <w:sz w:val="24"/>
                <w:szCs w:val="24"/>
                <w:highlight w:val="none"/>
                <w:lang w:val="en-US" w:eastAsia="zh-CN"/>
              </w:rPr>
            </w:pPr>
            <w:r>
              <w:rPr>
                <w:rFonts w:hint="default" w:ascii="Times New Roman" w:hAnsi="Times New Roman" w:eastAsia="宋体" w:cs="Times New Roman"/>
                <w:color w:val="auto"/>
                <w:spacing w:val="0"/>
                <w:kern w:val="0"/>
                <w:sz w:val="24"/>
                <w:szCs w:val="24"/>
                <w:highlight w:val="none"/>
                <w:lang w:val="en-US" w:eastAsia="zh-CN"/>
              </w:rPr>
              <w:t>根据《关于发布昌吉回族自治州生态环境分区管控动态更新成果的公告》（昌吉州人民政府，2025年1月10日），本项目位于</w:t>
            </w:r>
            <w:r>
              <w:rPr>
                <w:rFonts w:hint="default" w:ascii="Times New Roman" w:hAnsi="Times New Roman" w:eastAsia="宋体" w:cs="Times New Roman"/>
                <w:color w:val="auto"/>
                <w:sz w:val="24"/>
                <w:szCs w:val="24"/>
              </w:rPr>
              <w:t>吉木萨尔县北三台循环经济工业园</w:t>
            </w:r>
            <w:r>
              <w:rPr>
                <w:rFonts w:hint="default" w:ascii="Times New Roman" w:hAnsi="Times New Roman" w:eastAsia="宋体" w:cs="Times New Roman"/>
                <w:color w:val="auto"/>
                <w:spacing w:val="0"/>
                <w:kern w:val="0"/>
                <w:sz w:val="24"/>
                <w:szCs w:val="24"/>
                <w:highlight w:val="none"/>
                <w:lang w:val="en-US" w:eastAsia="zh-CN"/>
              </w:rPr>
              <w:t>区，属于重点管控单元，管控单元编码ZH65232720003，不在生态保护红线范围内，本项目与单元管控要求的符合性分析详见表1-</w:t>
            </w:r>
            <w:r>
              <w:rPr>
                <w:rFonts w:hint="default" w:ascii="Times New Roman" w:hAnsi="Times New Roman" w:cs="Times New Roman"/>
                <w:color w:val="auto"/>
                <w:spacing w:val="0"/>
                <w:kern w:val="0"/>
                <w:sz w:val="24"/>
                <w:szCs w:val="24"/>
                <w:highlight w:val="none"/>
                <w:lang w:val="en-US" w:eastAsia="zh-CN"/>
              </w:rPr>
              <w:t>2</w:t>
            </w:r>
            <w:r>
              <w:rPr>
                <w:rFonts w:hint="default" w:ascii="Times New Roman" w:hAnsi="Times New Roman" w:eastAsia="宋体" w:cs="Times New Roman"/>
                <w:color w:val="auto"/>
                <w:spacing w:val="0"/>
                <w:kern w:val="0"/>
                <w:sz w:val="24"/>
                <w:szCs w:val="24"/>
                <w:highlight w:val="none"/>
                <w:lang w:val="en-US" w:eastAsia="zh-CN"/>
              </w:rPr>
              <w:t>，与管控单元位置关系详见附图</w:t>
            </w:r>
            <w:r>
              <w:rPr>
                <w:rFonts w:hint="default" w:ascii="Times New Roman" w:hAnsi="Times New Roman" w:cs="Times New Roman"/>
                <w:color w:val="auto"/>
                <w:spacing w:val="0"/>
                <w:kern w:val="0"/>
                <w:sz w:val="24"/>
                <w:szCs w:val="24"/>
                <w:highlight w:val="none"/>
                <w:lang w:val="en-US" w:eastAsia="zh-CN"/>
              </w:rPr>
              <w:t>2</w:t>
            </w:r>
            <w:r>
              <w:rPr>
                <w:rFonts w:hint="default" w:ascii="Times New Roman" w:hAnsi="Times New Roman" w:eastAsia="宋体" w:cs="Times New Roman"/>
                <w:color w:val="auto"/>
                <w:spacing w:val="0"/>
                <w:kern w:val="0"/>
                <w:sz w:val="24"/>
                <w:szCs w:val="24"/>
                <w:highlight w:val="none"/>
                <w:lang w:val="en-US" w:eastAsia="zh-CN"/>
              </w:rPr>
              <w:t>。</w:t>
            </w:r>
          </w:p>
          <w:p w14:paraId="1B52C9B7">
            <w:pPr>
              <w:pStyle w:val="42"/>
              <w:keepNext w:val="0"/>
              <w:keepLines w:val="0"/>
              <w:pageBreakBefore w:val="0"/>
              <w:widowControl w:val="0"/>
              <w:tabs>
                <w:tab w:val="left" w:pos="4643"/>
                <w:tab w:val="clear" w:pos="6840"/>
              </w:tabs>
              <w:kinsoku/>
              <w:wordWrap/>
              <w:overflowPunct/>
              <w:topLinePunct/>
              <w:autoSpaceDE/>
              <w:autoSpaceDN/>
              <w:bidi w:val="0"/>
              <w:adjustRightInd w:val="0"/>
              <w:snapToGrid w:val="0"/>
              <w:spacing w:before="0" w:beforeLines="0" w:beforeAutospacing="0" w:after="0" w:afterLines="0" w:afterAutospacing="0" w:line="240" w:lineRule="auto"/>
              <w:ind w:left="0" w:leftChars="0" w:right="0" w:rightChars="0" w:firstLine="0"/>
              <w:textAlignment w:val="auto"/>
              <w:rPr>
                <w:rFonts w:hint="default" w:ascii="Times New Roman" w:hAnsi="Times New Roman" w:eastAsia="宋体" w:cs="Times New Roman"/>
                <w:b/>
                <w:bCs w:val="0"/>
                <w:color w:val="auto"/>
                <w:spacing w:val="0"/>
                <w:kern w:val="2"/>
                <w:sz w:val="21"/>
                <w:szCs w:val="21"/>
                <w:highlight w:val="none"/>
                <w:lang w:val="en-US" w:eastAsia="zh-CN" w:bidi="ar-SA"/>
              </w:rPr>
            </w:pPr>
            <w:r>
              <w:rPr>
                <w:rFonts w:hint="default" w:ascii="Times New Roman" w:hAnsi="Times New Roman" w:eastAsia="宋体" w:cs="Times New Roman"/>
                <w:b/>
                <w:bCs w:val="0"/>
                <w:color w:val="auto"/>
                <w:spacing w:val="0"/>
                <w:kern w:val="2"/>
                <w:sz w:val="21"/>
                <w:szCs w:val="21"/>
                <w:highlight w:val="none"/>
                <w:lang w:val="en-US" w:eastAsia="zh-CN" w:bidi="ar-SA"/>
              </w:rPr>
              <w:t>表1-3本项目与《昌吉回族自治州生态环境准入清单》符合性分析</w:t>
            </w:r>
          </w:p>
          <w:tbl>
            <w:tblPr>
              <w:tblStyle w:val="33"/>
              <w:tblW w:w="499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26"/>
              <w:gridCol w:w="3282"/>
              <w:gridCol w:w="3356"/>
              <w:gridCol w:w="723"/>
            </w:tblGrid>
            <w:tr w14:paraId="4CD463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8" w:type="pct"/>
                  <w:tcBorders>
                    <w:tl2br w:val="nil"/>
                    <w:tr2bl w:val="nil"/>
                  </w:tcBorders>
                  <w:noWrap w:val="0"/>
                  <w:vAlign w:val="center"/>
                </w:tcPr>
                <w:p w14:paraId="0BF40E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bCs/>
                      <w:i w:val="0"/>
                      <w:iCs w:val="0"/>
                      <w:color w:val="auto"/>
                      <w:sz w:val="21"/>
                      <w:szCs w:val="21"/>
                      <w:u w:val="none"/>
                      <w:lang w:val="en-US" w:eastAsia="zh-CN"/>
                    </w:rPr>
                    <w:t>序号</w:t>
                  </w:r>
                </w:p>
              </w:tc>
              <w:tc>
                <w:tcPr>
                  <w:tcW w:w="1980" w:type="pct"/>
                  <w:tcBorders>
                    <w:tl2br w:val="nil"/>
                    <w:tr2bl w:val="nil"/>
                  </w:tcBorders>
                  <w:noWrap w:val="0"/>
                  <w:vAlign w:val="center"/>
                </w:tcPr>
                <w:p w14:paraId="66F3C98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bCs/>
                      <w:i w:val="0"/>
                      <w:iCs w:val="0"/>
                      <w:color w:val="auto"/>
                      <w:kern w:val="0"/>
                      <w:sz w:val="21"/>
                      <w:szCs w:val="21"/>
                      <w:u w:val="none"/>
                      <w:lang w:val="en-US" w:eastAsia="zh-CN" w:bidi="ar"/>
                    </w:rPr>
                    <w:t>内容</w:t>
                  </w:r>
                </w:p>
              </w:tc>
              <w:tc>
                <w:tcPr>
                  <w:tcW w:w="2023" w:type="pct"/>
                  <w:tcBorders>
                    <w:tl2br w:val="nil"/>
                    <w:tr2bl w:val="nil"/>
                  </w:tcBorders>
                  <w:noWrap w:val="0"/>
                  <w:vAlign w:val="center"/>
                </w:tcPr>
                <w:p w14:paraId="3E43E5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bCs/>
                      <w:i w:val="0"/>
                      <w:iCs w:val="0"/>
                      <w:color w:val="auto"/>
                      <w:sz w:val="21"/>
                      <w:szCs w:val="21"/>
                      <w:u w:val="none"/>
                      <w:lang w:val="en-US" w:eastAsia="zh-CN"/>
                    </w:rPr>
                    <w:t>本项目</w:t>
                  </w:r>
                </w:p>
              </w:tc>
              <w:tc>
                <w:tcPr>
                  <w:tcW w:w="437" w:type="pct"/>
                  <w:tcBorders>
                    <w:tl2br w:val="nil"/>
                    <w:tr2bl w:val="nil"/>
                  </w:tcBorders>
                  <w:noWrap w:val="0"/>
                  <w:vAlign w:val="center"/>
                </w:tcPr>
                <w:p w14:paraId="3683C65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bCs/>
                      <w:i w:val="0"/>
                      <w:iCs w:val="0"/>
                      <w:color w:val="auto"/>
                      <w:sz w:val="21"/>
                      <w:szCs w:val="21"/>
                      <w:u w:val="none"/>
                      <w:lang w:val="en-US" w:eastAsia="zh-CN"/>
                    </w:rPr>
                    <w:t>符合性</w:t>
                  </w:r>
                </w:p>
              </w:tc>
            </w:tr>
            <w:tr w14:paraId="464BC7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58" w:type="pct"/>
                  <w:tcBorders>
                    <w:tl2br w:val="nil"/>
                    <w:tr2bl w:val="nil"/>
                  </w:tcBorders>
                  <w:noWrap w:val="0"/>
                  <w:vAlign w:val="center"/>
                </w:tcPr>
                <w:p w14:paraId="38D2B5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空间布局约束</w:t>
                  </w:r>
                </w:p>
              </w:tc>
              <w:tc>
                <w:tcPr>
                  <w:tcW w:w="1980" w:type="pct"/>
                  <w:tcBorders>
                    <w:tl2br w:val="nil"/>
                    <w:tr2bl w:val="nil"/>
                  </w:tcBorders>
                  <w:noWrap w:val="0"/>
                  <w:vAlign w:val="center"/>
                </w:tcPr>
                <w:p w14:paraId="022663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1、入园企业须符合园区产业发展定位、布局规划等要求。</w:t>
                  </w:r>
                </w:p>
                <w:p w14:paraId="7F00E8A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2、入园企业须符合国土空间规划的布局及土地利用等相关要求。</w:t>
                  </w:r>
                </w:p>
                <w:p w14:paraId="4EA27D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3、园区入驻项目须满足《新疆维吾尔自治区重点行业生态环境准入条件（2024年）》相关要求。</w:t>
                  </w:r>
                </w:p>
                <w:p w14:paraId="7833C2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4、园区入驻项目须严格执行园区规划及规划环评相关要求。</w:t>
                  </w:r>
                </w:p>
              </w:tc>
              <w:tc>
                <w:tcPr>
                  <w:tcW w:w="2023" w:type="pct"/>
                  <w:tcBorders>
                    <w:tl2br w:val="nil"/>
                    <w:tr2bl w:val="nil"/>
                  </w:tcBorders>
                  <w:noWrap w:val="0"/>
                  <w:vAlign w:val="center"/>
                </w:tcPr>
                <w:p w14:paraId="61C323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1.本项目符合园区产业定位、布局规划等要求</w:t>
                  </w:r>
                  <w:r>
                    <w:rPr>
                      <w:rFonts w:hint="default" w:ascii="Times New Roman" w:hAnsi="Times New Roman" w:cs="Times New Roman"/>
                      <w:i w:val="0"/>
                      <w:iCs w:val="0"/>
                      <w:color w:val="auto"/>
                      <w:kern w:val="0"/>
                      <w:sz w:val="21"/>
                      <w:szCs w:val="21"/>
                      <w:u w:val="none"/>
                      <w:lang w:val="en-US" w:eastAsia="zh-CN" w:bidi="ar"/>
                    </w:rPr>
                    <w:t>。</w:t>
                  </w:r>
                </w:p>
                <w:p w14:paraId="74FBA5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2.符合国土空间规划的布局及土地利用的相关要求</w:t>
                  </w:r>
                  <w:r>
                    <w:rPr>
                      <w:rFonts w:hint="default" w:ascii="Times New Roman" w:hAnsi="Times New Roman" w:cs="Times New Roman"/>
                      <w:i w:val="0"/>
                      <w:iCs w:val="0"/>
                      <w:color w:val="auto"/>
                      <w:kern w:val="0"/>
                      <w:sz w:val="21"/>
                      <w:szCs w:val="21"/>
                      <w:u w:val="none"/>
                      <w:lang w:val="en-US" w:eastAsia="zh-CN" w:bidi="ar"/>
                    </w:rPr>
                    <w:t>。</w:t>
                  </w:r>
                </w:p>
                <w:p w14:paraId="0B7D23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3.本项目属于《新疆维吾尔自治区重点行业生态环境准入条件（2024年）》内涉及的</w:t>
                  </w:r>
                  <w:r>
                    <w:rPr>
                      <w:rFonts w:hint="default" w:ascii="Times New Roman" w:hAnsi="Times New Roman" w:cs="Times New Roman"/>
                      <w:i w:val="0"/>
                      <w:iCs w:val="0"/>
                      <w:color w:val="auto"/>
                      <w:kern w:val="0"/>
                      <w:sz w:val="21"/>
                      <w:szCs w:val="21"/>
                      <w:u w:val="none"/>
                      <w:lang w:val="en-US" w:eastAsia="zh-CN" w:bidi="ar"/>
                    </w:rPr>
                    <w:t>电力</w:t>
                  </w:r>
                  <w:r>
                    <w:rPr>
                      <w:rFonts w:hint="default" w:ascii="Times New Roman" w:hAnsi="Times New Roman" w:eastAsia="宋体" w:cs="Times New Roman"/>
                      <w:i w:val="0"/>
                      <w:iCs w:val="0"/>
                      <w:color w:val="auto"/>
                      <w:kern w:val="0"/>
                      <w:sz w:val="21"/>
                      <w:szCs w:val="21"/>
                      <w:u w:val="none"/>
                      <w:lang w:val="en-US" w:eastAsia="zh-CN" w:bidi="ar"/>
                    </w:rPr>
                    <w:t>行业</w:t>
                  </w:r>
                  <w:r>
                    <w:rPr>
                      <w:rFonts w:hint="default" w:ascii="Times New Roman" w:hAnsi="Times New Roman" w:cs="Times New Roman"/>
                      <w:i w:val="0"/>
                      <w:iCs w:val="0"/>
                      <w:color w:val="auto"/>
                      <w:kern w:val="0"/>
                      <w:sz w:val="21"/>
                      <w:szCs w:val="21"/>
                      <w:u w:val="none"/>
                      <w:lang w:val="en-US" w:eastAsia="zh-CN" w:bidi="ar"/>
                    </w:rPr>
                    <w:t>，与其符合性分析详见相关章节。</w:t>
                  </w:r>
                </w:p>
                <w:p w14:paraId="7651CA8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r>
                    <w:rPr>
                      <w:rFonts w:hint="default" w:ascii="Times New Roman" w:hAnsi="Times New Roman" w:cs="Times New Roman"/>
                      <w:i w:val="0"/>
                      <w:iCs w:val="0"/>
                      <w:color w:val="auto"/>
                      <w:kern w:val="0"/>
                      <w:sz w:val="21"/>
                      <w:szCs w:val="21"/>
                      <w:u w:val="none"/>
                      <w:lang w:val="en-US" w:eastAsia="zh-CN" w:bidi="ar"/>
                    </w:rPr>
                    <w:t>详见</w:t>
                  </w:r>
                  <w:r>
                    <w:rPr>
                      <w:rFonts w:hint="default" w:ascii="Times New Roman" w:hAnsi="Times New Roman" w:eastAsia="宋体" w:cs="Times New Roman"/>
                      <w:i w:val="0"/>
                      <w:iCs w:val="0"/>
                      <w:color w:val="auto"/>
                      <w:kern w:val="0"/>
                      <w:sz w:val="21"/>
                      <w:szCs w:val="21"/>
                      <w:u w:val="none"/>
                      <w:lang w:val="en-US" w:eastAsia="zh-CN" w:bidi="ar"/>
                    </w:rPr>
                    <w:t>园区规划符合性分析章节</w:t>
                  </w:r>
                  <w:r>
                    <w:rPr>
                      <w:rFonts w:hint="default" w:ascii="Times New Roman" w:hAnsi="Times New Roman" w:cs="Times New Roman"/>
                      <w:i w:val="0"/>
                      <w:iCs w:val="0"/>
                      <w:color w:val="auto"/>
                      <w:kern w:val="0"/>
                      <w:sz w:val="21"/>
                      <w:szCs w:val="21"/>
                      <w:u w:val="none"/>
                      <w:lang w:val="en-US" w:eastAsia="zh-CN" w:bidi="ar"/>
                    </w:rPr>
                    <w:t>。</w:t>
                  </w:r>
                </w:p>
              </w:tc>
              <w:tc>
                <w:tcPr>
                  <w:tcW w:w="437" w:type="pct"/>
                  <w:tcBorders>
                    <w:tl2br w:val="nil"/>
                    <w:tr2bl w:val="nil"/>
                  </w:tcBorders>
                  <w:noWrap w:val="0"/>
                  <w:vAlign w:val="center"/>
                </w:tcPr>
                <w:p w14:paraId="7315134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i w:val="0"/>
                      <w:iCs w:val="0"/>
                      <w:color w:val="auto"/>
                      <w:sz w:val="21"/>
                      <w:szCs w:val="21"/>
                      <w:u w:val="none"/>
                      <w:lang w:val="en-US" w:eastAsia="zh-CN"/>
                    </w:rPr>
                    <w:t>符合</w:t>
                  </w:r>
                </w:p>
              </w:tc>
            </w:tr>
            <w:tr w14:paraId="2A0ACC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58" w:type="pct"/>
                  <w:tcBorders>
                    <w:tl2br w:val="nil"/>
                    <w:tr2bl w:val="nil"/>
                  </w:tcBorders>
                  <w:noWrap w:val="0"/>
                  <w:vAlign w:val="center"/>
                </w:tcPr>
                <w:p w14:paraId="5292FC7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污染物</w:t>
                  </w:r>
                </w:p>
                <w:p w14:paraId="3B84B6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排放管控</w:t>
                  </w:r>
                </w:p>
                <w:p w14:paraId="1918BC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p w14:paraId="5291A3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p w14:paraId="5E2521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p w14:paraId="43F434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980" w:type="pct"/>
                  <w:tcBorders>
                    <w:tl2br w:val="nil"/>
                    <w:tr2bl w:val="nil"/>
                  </w:tcBorders>
                  <w:noWrap w:val="0"/>
                  <w:vAlign w:val="center"/>
                </w:tcPr>
                <w:p w14:paraId="5DEFED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1、聚焦采暖期重污染天气治理，加大重点区域、重点行业结构调整和污染治理力度。</w:t>
                  </w:r>
                </w:p>
                <w:p w14:paraId="7CFB322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2、新（改、扩）建项目应执行最严格的大气污染物排放标准。</w:t>
                  </w:r>
                </w:p>
                <w:p w14:paraId="2612046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3、推动园区企业绿色发展，严格落实水污染物排放标准。</w:t>
                  </w:r>
                </w:p>
                <w:p w14:paraId="5C60CE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4、严格实施污染物排放总量控制要求；全面深化面源污染治理，积极推进绿色施工。</w:t>
                  </w:r>
                </w:p>
              </w:tc>
              <w:tc>
                <w:tcPr>
                  <w:tcW w:w="2023" w:type="pct"/>
                  <w:tcBorders>
                    <w:tl2br w:val="nil"/>
                    <w:tr2bl w:val="nil"/>
                  </w:tcBorders>
                  <w:noWrap w:val="0"/>
                  <w:vAlign w:val="center"/>
                </w:tcPr>
                <w:p w14:paraId="5A118D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1.本项目积极响应重污染天气相关行动</w:t>
                  </w:r>
                  <w:r>
                    <w:rPr>
                      <w:rFonts w:hint="default" w:ascii="Times New Roman" w:hAnsi="Times New Roman" w:cs="Times New Roman"/>
                      <w:i w:val="0"/>
                      <w:iCs w:val="0"/>
                      <w:color w:val="auto"/>
                      <w:kern w:val="0"/>
                      <w:sz w:val="21"/>
                      <w:szCs w:val="21"/>
                      <w:u w:val="none"/>
                      <w:lang w:val="en-US" w:eastAsia="zh-CN" w:bidi="ar"/>
                    </w:rPr>
                    <w:t>。</w:t>
                  </w:r>
                </w:p>
                <w:p w14:paraId="25B05920">
                  <w:pPr>
                    <w:pStyle w:val="28"/>
                    <w:keepNext w:val="0"/>
                    <w:keepLines w:val="0"/>
                    <w:widowControl/>
                    <w:suppressLineNumbers w:val="0"/>
                    <w:spacing w:before="0" w:beforeAutospacing="0" w:after="0" w:afterAutospacing="0"/>
                    <w:ind w:left="0" w:right="0" w:firstLine="0"/>
                    <w:jc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2.本项目</w:t>
                  </w:r>
                  <w:r>
                    <w:rPr>
                      <w:rFonts w:hint="default" w:ascii="Times New Roman" w:hAnsi="Times New Roman" w:cs="Times New Roman"/>
                      <w:color w:val="auto"/>
                      <w:spacing w:val="-3"/>
                      <w:sz w:val="21"/>
                      <w:szCs w:val="21"/>
                      <w:lang w:val="en-US" w:eastAsia="zh-CN"/>
                    </w:rPr>
                    <w:t>安装在线监测系统（CEMS），废气污染物排放满足《火电厂大气污染物排放标准》（GB13223-2011）表2大气污染物特别排放限值和《关于印发〈全面实施燃煤电厂超低排放和节能改造工作方案〉的通知》（环发〔2015〕164号）中氮氧化物浓度限值。</w:t>
                  </w:r>
                </w:p>
                <w:p w14:paraId="256CFA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w:t>
                  </w:r>
                  <w:r>
                    <w:rPr>
                      <w:rFonts w:hint="default" w:ascii="Times New Roman" w:hAnsi="Times New Roman" w:cs="Times New Roman"/>
                      <w:i w:val="0"/>
                      <w:iCs w:val="0"/>
                      <w:color w:val="auto"/>
                      <w:kern w:val="0"/>
                      <w:sz w:val="21"/>
                      <w:szCs w:val="21"/>
                      <w:u w:val="none"/>
                      <w:lang w:val="en-US" w:eastAsia="zh-CN" w:bidi="ar"/>
                    </w:rPr>
                    <w:t>本项目无外排生产废水，生活污水经</w:t>
                  </w:r>
                  <w:r>
                    <w:rPr>
                      <w:rFonts w:hint="default" w:ascii="Times New Roman" w:hAnsi="Times New Roman" w:eastAsia="宋体" w:cs="Times New Roman"/>
                      <w:color w:val="auto"/>
                      <w:sz w:val="21"/>
                      <w:szCs w:val="21"/>
                      <w:lang w:val="en-US" w:eastAsia="zh-CN"/>
                    </w:rPr>
                    <w:t>地埋式一体化污水处理设备处理后，《农村生活污水处理排放标准》（DB654275-2019）中表2农村生活污水处理设施出水用于生态恢复的污染物排放限值A级标准后，冬储夏灌。</w:t>
                  </w:r>
                </w:p>
                <w:p w14:paraId="0F7613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4.本项目总量控制指标</w:t>
                  </w:r>
                  <w:r>
                    <w:rPr>
                      <w:rFonts w:hint="default" w:ascii="Times New Roman" w:hAnsi="Times New Roman" w:cs="Times New Roman"/>
                      <w:i w:val="0"/>
                      <w:iCs w:val="0"/>
                      <w:color w:val="auto"/>
                      <w:kern w:val="0"/>
                      <w:sz w:val="21"/>
                      <w:szCs w:val="21"/>
                      <w:u w:val="none"/>
                      <w:lang w:val="en-US" w:eastAsia="zh-CN" w:bidi="ar"/>
                    </w:rPr>
                    <w:t>氮氧化物、二氧化硫和颗粒物，</w:t>
                  </w:r>
                  <w:r>
                    <w:rPr>
                      <w:rFonts w:hint="default" w:ascii="Times New Roman" w:hAnsi="Times New Roman" w:eastAsia="宋体" w:cs="Times New Roman"/>
                      <w:i w:val="0"/>
                      <w:iCs w:val="0"/>
                      <w:color w:val="auto"/>
                      <w:kern w:val="0"/>
                      <w:sz w:val="21"/>
                      <w:szCs w:val="21"/>
                      <w:u w:val="none"/>
                      <w:lang w:val="en-US" w:eastAsia="zh-CN" w:bidi="ar"/>
                    </w:rPr>
                    <w:t>由生态环境主管部门进行倍量替代。</w:t>
                  </w:r>
                </w:p>
              </w:tc>
              <w:tc>
                <w:tcPr>
                  <w:tcW w:w="437" w:type="pct"/>
                  <w:tcBorders>
                    <w:tl2br w:val="nil"/>
                    <w:tr2bl w:val="nil"/>
                  </w:tcBorders>
                  <w:noWrap w:val="0"/>
                  <w:vAlign w:val="center"/>
                </w:tcPr>
                <w:p w14:paraId="23FD1BB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i w:val="0"/>
                      <w:iCs w:val="0"/>
                      <w:color w:val="auto"/>
                      <w:sz w:val="21"/>
                      <w:szCs w:val="21"/>
                      <w:u w:val="none"/>
                      <w:lang w:val="en-US" w:eastAsia="zh-CN"/>
                    </w:rPr>
                    <w:t>符合</w:t>
                  </w:r>
                </w:p>
              </w:tc>
            </w:tr>
            <w:tr w14:paraId="4D71DD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558" w:type="pct"/>
                  <w:tcBorders>
                    <w:tl2br w:val="nil"/>
                    <w:tr2bl w:val="nil"/>
                  </w:tcBorders>
                  <w:noWrap w:val="0"/>
                  <w:vAlign w:val="center"/>
                </w:tcPr>
                <w:p w14:paraId="33879F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环境风险防控</w:t>
                  </w:r>
                </w:p>
              </w:tc>
              <w:tc>
                <w:tcPr>
                  <w:tcW w:w="1980" w:type="pct"/>
                  <w:tcBorders>
                    <w:tl2br w:val="nil"/>
                    <w:tr2bl w:val="nil"/>
                  </w:tcBorders>
                  <w:noWrap w:val="0"/>
                  <w:vAlign w:val="center"/>
                </w:tcPr>
                <w:p w14:paraId="0E8E145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1、园区应设立环境应急管理机构，建立环境风险监管制度、环境风险预警制度、突发环境事件应急预案、环境风险应急保障制度等环境风险防控体系，并具备环境风险应急救援能力。</w:t>
                  </w:r>
                </w:p>
              </w:tc>
              <w:tc>
                <w:tcPr>
                  <w:tcW w:w="2023" w:type="pct"/>
                  <w:tcBorders>
                    <w:tl2br w:val="nil"/>
                    <w:tr2bl w:val="nil"/>
                  </w:tcBorders>
                  <w:noWrap w:val="0"/>
                  <w:vAlign w:val="center"/>
                </w:tcPr>
                <w:p w14:paraId="5BA366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本环评要求</w:t>
                  </w:r>
                  <w:r>
                    <w:rPr>
                      <w:rFonts w:hint="default" w:ascii="Times New Roman" w:hAnsi="Times New Roman" w:cs="Times New Roman"/>
                      <w:i w:val="0"/>
                      <w:iCs w:val="0"/>
                      <w:color w:val="auto"/>
                      <w:kern w:val="0"/>
                      <w:sz w:val="21"/>
                      <w:szCs w:val="21"/>
                      <w:u w:val="none"/>
                      <w:lang w:val="en-US" w:eastAsia="zh-CN" w:bidi="ar"/>
                    </w:rPr>
                    <w:t>企业</w:t>
                  </w:r>
                  <w:r>
                    <w:rPr>
                      <w:rFonts w:hint="default" w:ascii="Times New Roman" w:hAnsi="Times New Roman" w:eastAsia="宋体" w:cs="Times New Roman"/>
                      <w:i w:val="0"/>
                      <w:iCs w:val="0"/>
                      <w:color w:val="auto"/>
                      <w:kern w:val="0"/>
                      <w:sz w:val="21"/>
                      <w:szCs w:val="21"/>
                      <w:u w:val="none"/>
                      <w:lang w:val="en-US" w:eastAsia="zh-CN" w:bidi="ar"/>
                    </w:rPr>
                    <w:t>制定突发环境事件应急预案，应包含详细调查环境风险源、风险事故防范设施、应急物资储备情况、应急措施、应急演练、应急预案的有效性以及形成与区域环境应急预案的联动机制等内容，届时项目的环境风险事故的应急预案应严格按照其执行。</w:t>
                  </w:r>
                </w:p>
              </w:tc>
              <w:tc>
                <w:tcPr>
                  <w:tcW w:w="437" w:type="pct"/>
                  <w:tcBorders>
                    <w:tl2br w:val="nil"/>
                    <w:tr2bl w:val="nil"/>
                  </w:tcBorders>
                  <w:noWrap w:val="0"/>
                  <w:vAlign w:val="center"/>
                </w:tcPr>
                <w:p w14:paraId="227601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i w:val="0"/>
                      <w:iCs w:val="0"/>
                      <w:color w:val="auto"/>
                      <w:sz w:val="21"/>
                      <w:szCs w:val="21"/>
                      <w:u w:val="none"/>
                      <w:lang w:val="en-US" w:eastAsia="zh-CN"/>
                    </w:rPr>
                    <w:t>符合</w:t>
                  </w:r>
                </w:p>
              </w:tc>
            </w:tr>
            <w:tr w14:paraId="7C1198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8" w:type="pct"/>
                  <w:tcBorders>
                    <w:tl2br w:val="nil"/>
                    <w:tr2bl w:val="nil"/>
                  </w:tcBorders>
                  <w:noWrap w:val="0"/>
                  <w:vAlign w:val="center"/>
                </w:tcPr>
                <w:p w14:paraId="5A5497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资源开发利用效率</w:t>
                  </w:r>
                </w:p>
              </w:tc>
              <w:tc>
                <w:tcPr>
                  <w:tcW w:w="1980" w:type="pct"/>
                  <w:tcBorders>
                    <w:tl2br w:val="nil"/>
                    <w:tr2bl w:val="nil"/>
                  </w:tcBorders>
                  <w:noWrap w:val="0"/>
                  <w:vAlign w:val="center"/>
                </w:tcPr>
                <w:p w14:paraId="19A9F659">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严守水资源开发利用控制、用水效率控制和水功能区限制纳污“三条红线”，严格实行区域用水总量和强度控制，强化用水定额管理。</w:t>
                  </w:r>
                </w:p>
                <w:p w14:paraId="4D35978D">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推行清洁生产、降低生产水耗、从源头上控制污染物的产生。</w:t>
                  </w:r>
                </w:p>
                <w:p w14:paraId="6D6A4103">
                  <w:pPr>
                    <w:keepNext w:val="0"/>
                    <w:keepLines w:val="0"/>
                    <w:pageBreakBefore w:val="0"/>
                    <w:widowControl/>
                    <w:numPr>
                      <w:ilvl w:val="0"/>
                      <w:numId w:val="4"/>
                    </w:numPr>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加强能耗“双控”管理，优化能源消费结构。严格合理控制煤炭消费增长，精准测算原料煤、动力煤，新增原料用能不纳入能源消费总量控制。</w:t>
                  </w:r>
                </w:p>
              </w:tc>
              <w:tc>
                <w:tcPr>
                  <w:tcW w:w="2023" w:type="pct"/>
                  <w:tcBorders>
                    <w:tl2br w:val="nil"/>
                    <w:tr2bl w:val="nil"/>
                  </w:tcBorders>
                  <w:noWrap w:val="0"/>
                  <w:vAlign w:val="center"/>
                </w:tcPr>
                <w:p w14:paraId="372E7E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本项目生产给水系统、消防给水系统、生活给水系统分别就近接厂区现有生产给水管网、消防给水管网及生活给水管网，不开采地下水，项目</w:t>
                  </w:r>
                  <w:r>
                    <w:rPr>
                      <w:rFonts w:hint="default" w:ascii="Times New Roman" w:hAnsi="Times New Roman" w:cs="Times New Roman"/>
                      <w:i w:val="0"/>
                      <w:iCs w:val="0"/>
                      <w:color w:val="auto"/>
                      <w:kern w:val="0"/>
                      <w:sz w:val="21"/>
                      <w:szCs w:val="21"/>
                      <w:u w:val="none"/>
                      <w:lang w:val="en-US" w:eastAsia="zh-CN" w:bidi="ar"/>
                    </w:rPr>
                    <w:t>燃料</w:t>
                  </w:r>
                  <w:r>
                    <w:rPr>
                      <w:rFonts w:hint="default" w:ascii="Times New Roman" w:hAnsi="Times New Roman" w:eastAsia="宋体" w:cs="Times New Roman"/>
                      <w:i w:val="0"/>
                      <w:iCs w:val="0"/>
                      <w:color w:val="auto"/>
                      <w:kern w:val="0"/>
                      <w:sz w:val="21"/>
                      <w:szCs w:val="21"/>
                      <w:u w:val="none"/>
                      <w:lang w:val="en-US" w:eastAsia="zh-CN" w:bidi="ar"/>
                    </w:rPr>
                    <w:t>为吉木萨尔县恒信煤炭制品工贸有限公司120万吨煤制品深加工升级改造项目产生的煤气。</w:t>
                  </w:r>
                </w:p>
              </w:tc>
              <w:tc>
                <w:tcPr>
                  <w:tcW w:w="437" w:type="pct"/>
                  <w:tcBorders>
                    <w:tl2br w:val="nil"/>
                    <w:tr2bl w:val="nil"/>
                  </w:tcBorders>
                  <w:noWrap w:val="0"/>
                  <w:vAlign w:val="center"/>
                </w:tcPr>
                <w:p w14:paraId="171142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i w:val="0"/>
                      <w:iCs w:val="0"/>
                      <w:color w:val="auto"/>
                      <w:sz w:val="21"/>
                      <w:szCs w:val="21"/>
                      <w:u w:val="none"/>
                      <w:lang w:val="en-US" w:eastAsia="zh-CN"/>
                    </w:rPr>
                    <w:t>符合</w:t>
                  </w:r>
                </w:p>
              </w:tc>
            </w:tr>
          </w:tbl>
          <w:p w14:paraId="7C73725E">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2" w:firstLineChars="200"/>
              <w:jc w:val="both"/>
              <w:textAlignment w:val="auto"/>
              <w:rPr>
                <w:rFonts w:hint="default" w:ascii="Times New Roman" w:hAnsi="Times New Roman" w:eastAsia="宋体" w:cs="Times New Roman"/>
                <w:b/>
                <w:bCs/>
                <w:color w:val="auto"/>
                <w:spacing w:val="0"/>
                <w:kern w:val="0"/>
                <w:sz w:val="24"/>
                <w:szCs w:val="24"/>
                <w:highlight w:val="none"/>
                <w:lang w:val="en-US" w:eastAsia="zh-CN"/>
              </w:rPr>
            </w:pPr>
            <w:r>
              <w:rPr>
                <w:rFonts w:hint="default" w:ascii="Times New Roman" w:hAnsi="Times New Roman" w:eastAsia="宋体" w:cs="Times New Roman"/>
                <w:b/>
                <w:bCs/>
                <w:color w:val="auto"/>
                <w:spacing w:val="0"/>
                <w:kern w:val="0"/>
                <w:sz w:val="24"/>
                <w:szCs w:val="24"/>
                <w:highlight w:val="none"/>
                <w:lang w:val="en-US" w:eastAsia="zh-CN"/>
              </w:rPr>
              <w:t>3.选址合理性分析</w:t>
            </w:r>
          </w:p>
          <w:p w14:paraId="30316E1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pacing w:val="0"/>
                <w:kern w:val="0"/>
                <w:sz w:val="24"/>
                <w:szCs w:val="24"/>
                <w:highlight w:val="none"/>
                <w:lang w:val="en-US" w:eastAsia="zh-CN"/>
              </w:rPr>
            </w:pPr>
            <w:r>
              <w:rPr>
                <w:rFonts w:hint="default" w:ascii="Times New Roman" w:hAnsi="Times New Roman" w:eastAsia="宋体" w:cs="Times New Roman"/>
                <w:color w:val="auto"/>
                <w:spacing w:val="0"/>
                <w:kern w:val="0"/>
                <w:sz w:val="24"/>
                <w:szCs w:val="24"/>
                <w:highlight w:val="none"/>
                <w:lang w:val="en-US" w:eastAsia="zh-CN"/>
              </w:rPr>
              <w:t>（1）土地利用规划符合性</w:t>
            </w:r>
          </w:p>
          <w:p w14:paraId="09A8326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pacing w:val="0"/>
                <w:kern w:val="0"/>
                <w:sz w:val="24"/>
                <w:szCs w:val="24"/>
                <w:highlight w:val="none"/>
                <w:lang w:val="en-US" w:eastAsia="zh-CN"/>
              </w:rPr>
            </w:pPr>
            <w:r>
              <w:rPr>
                <w:rFonts w:hint="default" w:ascii="Times New Roman" w:hAnsi="Times New Roman" w:eastAsia="宋体" w:cs="Times New Roman"/>
                <w:color w:val="auto"/>
                <w:spacing w:val="0"/>
                <w:kern w:val="0"/>
                <w:sz w:val="24"/>
                <w:szCs w:val="24"/>
                <w:highlight w:val="none"/>
                <w:lang w:val="en-US" w:eastAsia="zh-CN"/>
              </w:rPr>
              <w:t>本项目</w:t>
            </w:r>
            <w:r>
              <w:rPr>
                <w:rFonts w:hint="default" w:ascii="Times New Roman" w:hAnsi="Times New Roman" w:cs="Times New Roman"/>
                <w:color w:val="auto"/>
                <w:spacing w:val="0"/>
                <w:kern w:val="0"/>
                <w:sz w:val="24"/>
                <w:szCs w:val="24"/>
                <w:highlight w:val="none"/>
                <w:lang w:val="en-US" w:eastAsia="zh-CN"/>
              </w:rPr>
              <w:t>用地为</w:t>
            </w:r>
            <w:r>
              <w:rPr>
                <w:rFonts w:hint="default" w:ascii="Times New Roman" w:hAnsi="Times New Roman" w:cs="Times New Roman"/>
                <w:color w:val="auto"/>
                <w:kern w:val="2"/>
                <w:sz w:val="24"/>
                <w:szCs w:val="24"/>
                <w:lang w:val="en-US" w:eastAsia="zh-CN" w:bidi="ar-SA"/>
              </w:rPr>
              <w:t>恒信煤炭制品工贸有限公司120万吨煤制品深加工升级改造项目预留用地，现已经取得用地手续</w:t>
            </w:r>
            <w:r>
              <w:rPr>
                <w:rFonts w:hint="default" w:ascii="Times New Roman" w:hAnsi="Times New Roman" w:eastAsia="宋体" w:cs="Times New Roman"/>
                <w:color w:val="auto"/>
                <w:spacing w:val="0"/>
                <w:kern w:val="0"/>
                <w:sz w:val="24"/>
                <w:szCs w:val="24"/>
                <w:highlight w:val="none"/>
                <w:lang w:val="en-US" w:eastAsia="zh-CN"/>
              </w:rPr>
              <w:t>，</w:t>
            </w:r>
            <w:r>
              <w:rPr>
                <w:rFonts w:hint="default" w:ascii="Times New Roman" w:hAnsi="Times New Roman" w:cs="Times New Roman"/>
                <w:color w:val="auto"/>
                <w:spacing w:val="0"/>
                <w:kern w:val="0"/>
                <w:sz w:val="24"/>
                <w:szCs w:val="24"/>
                <w:highlight w:val="none"/>
                <w:lang w:val="en-US" w:eastAsia="zh-CN"/>
              </w:rPr>
              <w:t>产权编号为吉国用2006第069号（2210m</w:t>
            </w:r>
            <w:r>
              <w:rPr>
                <w:rFonts w:hint="default" w:ascii="Times New Roman" w:hAnsi="Times New Roman" w:cs="Times New Roman"/>
                <w:color w:val="auto"/>
                <w:spacing w:val="0"/>
                <w:kern w:val="0"/>
                <w:sz w:val="24"/>
                <w:szCs w:val="24"/>
                <w:highlight w:val="none"/>
                <w:vertAlign w:val="superscript"/>
                <w:lang w:val="en-US" w:eastAsia="zh-CN"/>
              </w:rPr>
              <w:t>2</w:t>
            </w:r>
            <w:r>
              <w:rPr>
                <w:rFonts w:hint="default" w:ascii="Times New Roman" w:hAnsi="Times New Roman" w:cs="Times New Roman"/>
                <w:color w:val="auto"/>
                <w:spacing w:val="0"/>
                <w:kern w:val="0"/>
                <w:sz w:val="24"/>
                <w:szCs w:val="24"/>
                <w:highlight w:val="none"/>
                <w:lang w:val="en-US" w:eastAsia="zh-CN"/>
              </w:rPr>
              <w:t>）和新（2025）吉木萨尔县不动产权第0003955号中的七号宗地（2650m</w:t>
            </w:r>
            <w:r>
              <w:rPr>
                <w:rFonts w:hint="default" w:ascii="Times New Roman" w:hAnsi="Times New Roman" w:cs="Times New Roman"/>
                <w:color w:val="auto"/>
                <w:spacing w:val="0"/>
                <w:kern w:val="0"/>
                <w:sz w:val="24"/>
                <w:szCs w:val="24"/>
                <w:highlight w:val="none"/>
                <w:vertAlign w:val="superscript"/>
                <w:lang w:val="en-US" w:eastAsia="zh-CN"/>
              </w:rPr>
              <w:t>2</w:t>
            </w:r>
            <w:r>
              <w:rPr>
                <w:rFonts w:hint="default" w:ascii="Times New Roman" w:hAnsi="Times New Roman" w:cs="Times New Roman"/>
                <w:color w:val="auto"/>
                <w:spacing w:val="0"/>
                <w:kern w:val="0"/>
                <w:sz w:val="24"/>
                <w:szCs w:val="24"/>
                <w:highlight w:val="none"/>
                <w:lang w:val="en-US" w:eastAsia="zh-CN"/>
              </w:rPr>
              <w:t>），详见附件，</w:t>
            </w:r>
            <w:r>
              <w:rPr>
                <w:rFonts w:hint="default" w:ascii="Times New Roman" w:hAnsi="Times New Roman" w:eastAsia="宋体" w:cs="Times New Roman"/>
                <w:color w:val="auto"/>
                <w:spacing w:val="0"/>
                <w:kern w:val="0"/>
                <w:sz w:val="24"/>
                <w:szCs w:val="24"/>
                <w:highlight w:val="none"/>
                <w:lang w:val="en-US" w:eastAsia="zh-CN"/>
              </w:rPr>
              <w:t>用地类型为工业用地。</w:t>
            </w:r>
          </w:p>
          <w:p w14:paraId="1DF58D6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pacing w:val="0"/>
                <w:kern w:val="0"/>
                <w:sz w:val="24"/>
                <w:szCs w:val="24"/>
                <w:highlight w:val="none"/>
                <w:lang w:val="en-US" w:eastAsia="zh-CN"/>
              </w:rPr>
            </w:pPr>
            <w:r>
              <w:rPr>
                <w:rFonts w:hint="default" w:ascii="Times New Roman" w:hAnsi="Times New Roman" w:eastAsia="宋体" w:cs="Times New Roman"/>
                <w:color w:val="auto"/>
                <w:spacing w:val="0"/>
                <w:kern w:val="0"/>
                <w:sz w:val="24"/>
                <w:szCs w:val="24"/>
                <w:highlight w:val="none"/>
                <w:lang w:val="en-US" w:eastAsia="zh-CN"/>
              </w:rPr>
              <w:t>（2）环境功能区划符合性分析</w:t>
            </w:r>
          </w:p>
          <w:p w14:paraId="53AC851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pacing w:val="0"/>
                <w:kern w:val="0"/>
                <w:sz w:val="24"/>
                <w:szCs w:val="24"/>
                <w:highlight w:val="none"/>
                <w:lang w:val="en-US" w:eastAsia="zh-CN"/>
              </w:rPr>
            </w:pPr>
            <w:r>
              <w:rPr>
                <w:rFonts w:hint="default" w:ascii="Times New Roman" w:hAnsi="Times New Roman" w:cs="Times New Roman"/>
                <w:color w:val="auto"/>
                <w:spacing w:val="0"/>
                <w:kern w:val="0"/>
                <w:sz w:val="24"/>
                <w:szCs w:val="24"/>
                <w:highlight w:val="none"/>
                <w:lang w:val="en-US" w:eastAsia="zh-CN"/>
              </w:rPr>
              <w:t>本项目位于吉木萨尔县北三台循环经济工业园，生产废水回用于脱硫工序，无外排生产废水；项目食宿区依托吉木萨尔县恒信煤炭制品工贸有限公司120万吨煤制品深加工升级改造项目厂内综合办公区、食堂以及员工宿舍；厂内办公区位于辅助车间综合楼，厂内建设排污管道，排至吉木萨尔县恒信煤炭制品工贸有限公司120万吨煤制品深加工升级改造项目厂内食宿区生活区的地埋式一体化污水处理设备处理后，冬储夏灌，不与地表水体发生直接联系，符合水环境功能区划的要求；</w:t>
            </w:r>
            <w:r>
              <w:rPr>
                <w:rFonts w:hint="default" w:ascii="Times New Roman" w:hAnsi="Times New Roman" w:cs="Times New Roman"/>
                <w:color w:val="auto"/>
                <w:sz w:val="24"/>
                <w:szCs w:val="24"/>
                <w:highlight w:val="none"/>
                <w:lang w:val="en-US" w:eastAsia="zh-CN"/>
              </w:rPr>
              <w:t>本</w:t>
            </w:r>
            <w:r>
              <w:rPr>
                <w:rFonts w:hint="default" w:ascii="Times New Roman" w:hAnsi="Times New Roman" w:eastAsia="宋体" w:cs="Times New Roman"/>
                <w:color w:val="auto"/>
                <w:sz w:val="24"/>
                <w:szCs w:val="24"/>
                <w:highlight w:val="none"/>
                <w:lang w:val="en-US" w:eastAsia="zh-CN"/>
              </w:rPr>
              <w:t>项目所在区域空气质量现状评价指标中除</w:t>
            </w:r>
            <w:r>
              <w:rPr>
                <w:rFonts w:hint="default" w:ascii="Times New Roman" w:hAnsi="Times New Roman" w:eastAsia="宋体" w:cs="Times New Roman"/>
                <w:bCs/>
                <w:color w:val="auto"/>
                <w:sz w:val="24"/>
                <w:szCs w:val="24"/>
                <w:highlight w:val="none"/>
              </w:rPr>
              <w:t>PM</w:t>
            </w:r>
            <w:r>
              <w:rPr>
                <w:rFonts w:hint="default" w:ascii="Times New Roman" w:hAnsi="Times New Roman" w:eastAsia="宋体" w:cs="Times New Roman"/>
                <w:bCs/>
                <w:color w:val="auto"/>
                <w:sz w:val="24"/>
                <w:szCs w:val="24"/>
                <w:highlight w:val="none"/>
                <w:vertAlign w:val="subscript"/>
              </w:rPr>
              <w:t>2.5</w:t>
            </w:r>
            <w:r>
              <w:rPr>
                <w:rFonts w:hint="default" w:ascii="Times New Roman" w:hAnsi="Times New Roman" w:eastAsia="宋体" w:cs="Times New Roman"/>
                <w:bCs/>
                <w:color w:val="auto"/>
                <w:sz w:val="24"/>
                <w:szCs w:val="24"/>
                <w:highlight w:val="none"/>
                <w:vertAlign w:val="baseline"/>
                <w:lang w:val="en-US" w:eastAsia="zh-CN"/>
              </w:rPr>
              <w:t>和</w:t>
            </w:r>
            <w:r>
              <w:rPr>
                <w:rFonts w:hint="default" w:ascii="Times New Roman" w:hAnsi="Times New Roman" w:eastAsia="宋体" w:cs="Times New Roman"/>
                <w:bCs/>
                <w:color w:val="auto"/>
                <w:sz w:val="24"/>
                <w:szCs w:val="24"/>
                <w:highlight w:val="none"/>
              </w:rPr>
              <w:t>PM</w:t>
            </w:r>
            <w:r>
              <w:rPr>
                <w:rFonts w:hint="default" w:ascii="Times New Roman" w:hAnsi="Times New Roman" w:eastAsia="宋体" w:cs="Times New Roman"/>
                <w:bCs/>
                <w:color w:val="auto"/>
                <w:sz w:val="24"/>
                <w:szCs w:val="24"/>
                <w:highlight w:val="none"/>
                <w:vertAlign w:val="subscript"/>
              </w:rPr>
              <w:t>10</w:t>
            </w:r>
            <w:r>
              <w:rPr>
                <w:rFonts w:hint="default" w:ascii="Times New Roman" w:hAnsi="Times New Roman" w:eastAsia="宋体" w:cs="Times New Roman"/>
                <w:bCs/>
                <w:color w:val="auto"/>
                <w:sz w:val="24"/>
                <w:szCs w:val="24"/>
                <w:highlight w:val="none"/>
                <w:vertAlign w:val="baseline"/>
                <w:lang w:val="en-US" w:eastAsia="zh-CN"/>
              </w:rPr>
              <w:t>不能满足</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环境空气质量标准</w:t>
            </w:r>
            <w:r>
              <w:rPr>
                <w:rFonts w:hint="default" w:ascii="Times New Roman" w:hAnsi="Times New Roman" w:eastAsia="宋体" w:cs="Times New Roman"/>
                <w:color w:val="auto"/>
                <w:sz w:val="24"/>
                <w:szCs w:val="24"/>
                <w:highlight w:val="none"/>
              </w:rPr>
              <w:t>》（GB3095-</w:t>
            </w:r>
            <w:r>
              <w:rPr>
                <w:rFonts w:hint="default" w:ascii="Times New Roman" w:hAnsi="Times New Roman" w:cs="Times New Roman"/>
                <w:color w:val="auto"/>
                <w:sz w:val="24"/>
                <w:szCs w:val="24"/>
                <w:highlight w:val="none"/>
                <w:lang w:val="en-US" w:eastAsia="zh-CN"/>
              </w:rPr>
              <w:t>2026</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中过渡期</w:t>
            </w:r>
            <w:r>
              <w:rPr>
                <w:rFonts w:hint="default" w:ascii="Times New Roman" w:hAnsi="Times New Roman" w:eastAsia="宋体" w:cs="Times New Roman"/>
                <w:color w:val="auto"/>
                <w:sz w:val="24"/>
                <w:szCs w:val="24"/>
                <w:highlight w:val="none"/>
              </w:rPr>
              <w:t>二级标准要求</w:t>
            </w:r>
            <w:r>
              <w:rPr>
                <w:rFonts w:hint="default" w:ascii="Times New Roman" w:hAnsi="Times New Roman" w:eastAsia="宋体" w:cs="Times New Roman"/>
                <w:color w:val="auto"/>
                <w:sz w:val="24"/>
                <w:szCs w:val="24"/>
                <w:highlight w:val="none"/>
                <w:lang w:val="en-US" w:eastAsia="zh-CN"/>
              </w:rPr>
              <w:t>外，其他污染物均能够满足，</w:t>
            </w:r>
            <w:r>
              <w:rPr>
                <w:rFonts w:hint="default" w:ascii="Times New Roman" w:hAnsi="Times New Roman" w:eastAsia="宋体" w:cs="Times New Roman"/>
                <w:color w:val="auto"/>
                <w:sz w:val="24"/>
                <w:szCs w:val="24"/>
                <w:highlight w:val="none"/>
              </w:rPr>
              <w:t>项目所在区域为</w:t>
            </w:r>
            <w:r>
              <w:rPr>
                <w:rFonts w:hint="default" w:ascii="Times New Roman" w:hAnsi="Times New Roman" w:eastAsia="宋体" w:cs="Times New Roman"/>
                <w:color w:val="auto"/>
                <w:sz w:val="24"/>
                <w:szCs w:val="24"/>
                <w:highlight w:val="none"/>
                <w:lang w:val="en-US" w:eastAsia="zh-CN"/>
              </w:rPr>
              <w:t>不</w:t>
            </w:r>
            <w:r>
              <w:rPr>
                <w:rFonts w:hint="default" w:ascii="Times New Roman" w:hAnsi="Times New Roman" w:eastAsia="宋体" w:cs="Times New Roman"/>
                <w:color w:val="auto"/>
                <w:sz w:val="24"/>
                <w:szCs w:val="24"/>
                <w:highlight w:val="none"/>
              </w:rPr>
              <w:t>达标区</w:t>
            </w:r>
            <w:r>
              <w:rPr>
                <w:rFonts w:hint="default" w:ascii="Times New Roman" w:hAnsi="Times New Roman" w:cs="Times New Roman"/>
                <w:color w:val="auto"/>
                <w:spacing w:val="0"/>
                <w:kern w:val="0"/>
                <w:sz w:val="24"/>
                <w:szCs w:val="24"/>
                <w:highlight w:val="none"/>
                <w:lang w:val="en-US" w:eastAsia="zh-CN"/>
              </w:rPr>
              <w:t>；营运期煤气燃烧烟气经“低氮燃烧器+SCR脱硝+石灰（石）-石膏湿法脱硫+高效除雾器协同除尘设施</w:t>
            </w:r>
            <w:r>
              <w:rPr>
                <w:rFonts w:hint="default" w:ascii="Times New Roman" w:hAnsi="Times New Roman" w:eastAsia="宋体" w:cs="Times New Roman"/>
                <w:i w:val="0"/>
                <w:iCs w:val="0"/>
                <w:color w:val="auto"/>
                <w:kern w:val="0"/>
                <w:sz w:val="24"/>
                <w:szCs w:val="24"/>
                <w:u w:val="none"/>
                <w:lang w:val="en-US" w:eastAsia="zh-CN" w:bidi="ar"/>
              </w:rPr>
              <w:t>+湿式电除尘器</w:t>
            </w:r>
            <w:r>
              <w:rPr>
                <w:rFonts w:hint="default" w:ascii="Times New Roman" w:hAnsi="Times New Roman" w:cs="Times New Roman"/>
                <w:color w:val="auto"/>
                <w:spacing w:val="0"/>
                <w:kern w:val="0"/>
                <w:sz w:val="24"/>
                <w:szCs w:val="24"/>
                <w:highlight w:val="none"/>
                <w:lang w:val="en-US" w:eastAsia="zh-CN"/>
              </w:rPr>
              <w:t>”处理后，</w:t>
            </w:r>
            <w:r>
              <w:rPr>
                <w:rFonts w:hint="eastAsia" w:cs="Times New Roman"/>
                <w:color w:val="auto"/>
                <w:spacing w:val="0"/>
                <w:kern w:val="0"/>
                <w:sz w:val="24"/>
                <w:szCs w:val="24"/>
                <w:highlight w:val="none"/>
                <w:lang w:val="en-US" w:eastAsia="zh-CN"/>
              </w:rPr>
              <w:t>通过</w:t>
            </w:r>
            <w:r>
              <w:rPr>
                <w:rFonts w:hint="default" w:ascii="Times New Roman" w:hAnsi="Times New Roman" w:cs="Times New Roman"/>
                <w:color w:val="auto"/>
                <w:spacing w:val="0"/>
                <w:kern w:val="0"/>
                <w:sz w:val="24"/>
                <w:szCs w:val="24"/>
                <w:highlight w:val="none"/>
                <w:lang w:val="en-US" w:eastAsia="zh-CN"/>
              </w:rPr>
              <w:t>60m高排气筒（DA001）排放至大气环境中，并安装在线监测系统（CEMS），污染物排放满足《火电厂大气污染物排放标准》（GB13223-2011）表2大气污染物特别排放限值和《关于印发〈全面实施燃煤电厂超低排放和节能改造工作方案〉的通知》（环发〔2015〕164号）中氮氧化物浓度限值；区域声环境现状符合《声环境质量标准》（GB3096-2008）3类区标准，项目的建设符合声环境功能区划的要求；本项目所在区</w:t>
            </w:r>
            <w:r>
              <w:rPr>
                <w:rFonts w:hint="default" w:ascii="Times New Roman" w:hAnsi="Times New Roman" w:eastAsia="宋体" w:cs="Times New Roman"/>
                <w:color w:val="auto"/>
                <w:spacing w:val="0"/>
                <w:kern w:val="0"/>
                <w:sz w:val="24"/>
                <w:szCs w:val="24"/>
                <w:highlight w:val="none"/>
                <w:lang w:val="en-US" w:eastAsia="zh-CN"/>
              </w:rPr>
              <w:t>域开阔，大气污染物扩散条件好</w:t>
            </w:r>
            <w:r>
              <w:rPr>
                <w:rFonts w:hint="default" w:ascii="Times New Roman" w:hAnsi="Times New Roman" w:eastAsia="宋体" w:cs="Times New Roman"/>
                <w:b w:val="0"/>
                <w:bCs w:val="0"/>
                <w:color w:val="auto"/>
                <w:spacing w:val="0"/>
                <w:kern w:val="0"/>
                <w:sz w:val="24"/>
                <w:szCs w:val="24"/>
                <w:highlight w:val="none"/>
                <w:lang w:val="en-US" w:eastAsia="zh-CN"/>
              </w:rPr>
              <w:t>，无不良地质情况，周围无特殊保护文物古迹、自然保护区和特殊环境制约因素。</w:t>
            </w:r>
          </w:p>
          <w:p w14:paraId="1A7081E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pacing w:val="0"/>
                <w:kern w:val="0"/>
                <w:sz w:val="24"/>
                <w:szCs w:val="24"/>
                <w:highlight w:val="none"/>
                <w:lang w:val="en-US" w:eastAsia="zh-CN"/>
              </w:rPr>
            </w:pPr>
            <w:r>
              <w:rPr>
                <w:rFonts w:hint="default" w:ascii="Times New Roman" w:hAnsi="Times New Roman" w:eastAsia="宋体" w:cs="Times New Roman"/>
                <w:color w:val="auto"/>
                <w:spacing w:val="0"/>
                <w:kern w:val="0"/>
                <w:sz w:val="24"/>
                <w:szCs w:val="24"/>
                <w:highlight w:val="none"/>
                <w:lang w:val="en-US" w:eastAsia="zh-CN"/>
              </w:rPr>
              <w:t>（3）与周边环境相容性分析</w:t>
            </w:r>
          </w:p>
          <w:p w14:paraId="0613A4F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pacing w:val="0"/>
                <w:kern w:val="0"/>
                <w:sz w:val="24"/>
                <w:szCs w:val="24"/>
                <w:highlight w:val="none"/>
                <w:lang w:val="en-US" w:eastAsia="zh-CN"/>
              </w:rPr>
            </w:pPr>
            <w:r>
              <w:rPr>
                <w:rFonts w:hint="default" w:ascii="Times New Roman" w:hAnsi="Times New Roman" w:eastAsia="宋体" w:cs="Times New Roman"/>
                <w:snapToGrid w:val="0"/>
                <w:color w:val="auto"/>
                <w:kern w:val="2"/>
                <w:sz w:val="24"/>
                <w:szCs w:val="24"/>
                <w:lang w:val="en-US" w:eastAsia="zh-CN" w:bidi="ar-SA"/>
              </w:rPr>
              <w:t>本项目东侧临近水溪沟，</w:t>
            </w:r>
            <w:r>
              <w:rPr>
                <w:rFonts w:hint="default" w:ascii="Times New Roman" w:hAnsi="Times New Roman" w:cs="Times New Roman"/>
                <w:snapToGrid w:val="0"/>
                <w:color w:val="auto"/>
                <w:kern w:val="2"/>
                <w:sz w:val="24"/>
                <w:szCs w:val="24"/>
                <w:lang w:val="en-US" w:eastAsia="zh-CN" w:bidi="ar-SA"/>
              </w:rPr>
              <w:t>西侧隔沥青道路为空地</w:t>
            </w:r>
            <w:r>
              <w:rPr>
                <w:rFonts w:hint="default" w:ascii="Times New Roman" w:hAnsi="Times New Roman" w:eastAsia="宋体" w:cs="Times New Roman"/>
                <w:snapToGrid w:val="0"/>
                <w:color w:val="auto"/>
                <w:kern w:val="2"/>
                <w:sz w:val="24"/>
                <w:szCs w:val="24"/>
                <w:lang w:val="en-US" w:eastAsia="zh-CN" w:bidi="ar-SA"/>
              </w:rPr>
              <w:t>，北侧为</w:t>
            </w:r>
            <w:r>
              <w:rPr>
                <w:rFonts w:hint="default" w:ascii="Times New Roman" w:hAnsi="Times New Roman" w:cs="Times New Roman"/>
                <w:snapToGrid w:val="0"/>
                <w:color w:val="auto"/>
                <w:kern w:val="2"/>
                <w:sz w:val="24"/>
                <w:szCs w:val="24"/>
                <w:lang w:val="en-US" w:eastAsia="zh-CN" w:bidi="ar-SA"/>
              </w:rPr>
              <w:t>本项目煤气供应方</w:t>
            </w:r>
            <w:r>
              <w:rPr>
                <w:rFonts w:hint="default" w:ascii="Times New Roman" w:hAnsi="Times New Roman" w:eastAsia="宋体" w:cs="Times New Roman"/>
                <w:snapToGrid w:val="0"/>
                <w:color w:val="auto"/>
                <w:kern w:val="2"/>
                <w:sz w:val="24"/>
                <w:szCs w:val="24"/>
                <w:lang w:val="en-US" w:eastAsia="zh-CN" w:bidi="ar-SA"/>
              </w:rPr>
              <w:t>120万吨煤化工制品设备更新改造项目，南侧为空地</w:t>
            </w:r>
            <w:r>
              <w:rPr>
                <w:rFonts w:hint="default" w:ascii="Times New Roman" w:hAnsi="Times New Roman" w:cs="Times New Roman"/>
                <w:snapToGrid w:val="0"/>
                <w:color w:val="auto"/>
                <w:kern w:val="2"/>
                <w:sz w:val="24"/>
                <w:szCs w:val="24"/>
                <w:lang w:val="en-US" w:eastAsia="zh-CN" w:bidi="ar-SA"/>
              </w:rPr>
              <w:t>，</w:t>
            </w:r>
            <w:r>
              <w:rPr>
                <w:rFonts w:hint="default" w:ascii="Times New Roman" w:hAnsi="Times New Roman" w:eastAsia="宋体" w:cs="Times New Roman"/>
                <w:snapToGrid w:val="0"/>
                <w:color w:val="auto"/>
                <w:kern w:val="2"/>
                <w:sz w:val="24"/>
                <w:szCs w:val="24"/>
                <w:lang w:val="en-US" w:eastAsia="zh-CN" w:bidi="ar-SA"/>
              </w:rPr>
              <w:t>北侧7km外与G335公路相接，</w:t>
            </w:r>
            <w:r>
              <w:rPr>
                <w:rFonts w:hint="default" w:ascii="Times New Roman" w:hAnsi="Times New Roman" w:eastAsia="宋体" w:cs="Times New Roman"/>
                <w:color w:val="auto"/>
                <w:spacing w:val="0"/>
                <w:kern w:val="0"/>
                <w:sz w:val="24"/>
                <w:szCs w:val="24"/>
                <w:highlight w:val="none"/>
                <w:lang w:val="en-US" w:eastAsia="zh-CN"/>
              </w:rPr>
              <w:t>建设地块不存在遗留环境问题。</w:t>
            </w:r>
          </w:p>
          <w:p w14:paraId="144F1614">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pacing w:val="0"/>
                <w:kern w:val="0"/>
                <w:sz w:val="24"/>
                <w:szCs w:val="24"/>
                <w:highlight w:val="none"/>
                <w:lang w:val="en-US" w:eastAsia="zh-CN"/>
              </w:rPr>
            </w:pPr>
            <w:r>
              <w:rPr>
                <w:rFonts w:hint="default" w:ascii="Times New Roman" w:hAnsi="Times New Roman" w:eastAsia="宋体" w:cs="Times New Roman"/>
                <w:color w:val="auto"/>
                <w:spacing w:val="0"/>
                <w:kern w:val="0"/>
                <w:sz w:val="24"/>
                <w:szCs w:val="24"/>
                <w:highlight w:val="none"/>
                <w:lang w:val="en-US" w:eastAsia="zh-CN"/>
              </w:rPr>
              <w:t>运营过程产生的废气、废水、噪声和固废经采取报告中提出的各项污染防治措施后，可确保各污染物达标排放，对周边环境影响较小。项目所在区域周围环境质量现状良好</w:t>
            </w:r>
            <w:r>
              <w:rPr>
                <w:rFonts w:hint="default" w:ascii="Times New Roman" w:hAnsi="Times New Roman" w:cs="Times New Roman"/>
                <w:color w:val="auto"/>
                <w:spacing w:val="0"/>
                <w:kern w:val="0"/>
                <w:sz w:val="24"/>
                <w:szCs w:val="24"/>
                <w:highlight w:val="none"/>
                <w:lang w:val="en-US" w:eastAsia="zh-CN"/>
              </w:rPr>
              <w:t>，具</w:t>
            </w:r>
            <w:r>
              <w:rPr>
                <w:rFonts w:hint="default" w:ascii="Times New Roman" w:hAnsi="Times New Roman" w:eastAsia="宋体" w:cs="Times New Roman"/>
                <w:color w:val="auto"/>
                <w:spacing w:val="0"/>
                <w:kern w:val="0"/>
                <w:sz w:val="24"/>
                <w:szCs w:val="24"/>
                <w:highlight w:val="none"/>
                <w:lang w:val="en-US" w:eastAsia="zh-CN"/>
              </w:rPr>
              <w:t>有一定的环境容量。因园区供水、供电、道路等基础设施已基本完善，为项目的建设提供了较好的基础条件。</w:t>
            </w:r>
          </w:p>
          <w:p w14:paraId="2B63A508">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pacing w:val="0"/>
                <w:kern w:val="0"/>
                <w:sz w:val="24"/>
                <w:szCs w:val="24"/>
                <w:highlight w:val="none"/>
                <w:lang w:val="en-US" w:eastAsia="zh-CN"/>
              </w:rPr>
            </w:pPr>
            <w:r>
              <w:rPr>
                <w:rFonts w:hint="default" w:ascii="Times New Roman" w:hAnsi="Times New Roman" w:eastAsia="宋体" w:cs="Times New Roman"/>
                <w:color w:val="auto"/>
                <w:spacing w:val="0"/>
                <w:kern w:val="0"/>
                <w:sz w:val="24"/>
                <w:szCs w:val="24"/>
                <w:highlight w:val="none"/>
                <w:lang w:val="en-US" w:eastAsia="zh-CN"/>
              </w:rPr>
              <w:t>综上所述，本项目与周边环境基本相容，选址合理可行。</w:t>
            </w:r>
          </w:p>
          <w:p w14:paraId="2AC6D2DE">
            <w:pPr>
              <w:keepNext w:val="0"/>
              <w:keepLines w:val="0"/>
              <w:pageBreakBefore w:val="0"/>
              <w:widowControl w:val="0"/>
              <w:kinsoku/>
              <w:wordWrap/>
              <w:overflowPunct/>
              <w:topLinePunct w:val="0"/>
              <w:autoSpaceDE w:val="0"/>
              <w:autoSpaceDN w:val="0"/>
              <w:bidi w:val="0"/>
              <w:adjustRightInd/>
              <w:snapToGrid/>
              <w:spacing w:line="360" w:lineRule="auto"/>
              <w:ind w:firstLine="482" w:firstLineChars="200"/>
              <w:jc w:val="both"/>
              <w:textAlignment w:val="auto"/>
              <w:rPr>
                <w:rFonts w:hint="default" w:ascii="Times New Roman" w:hAnsi="Times New Roman" w:eastAsia="宋体" w:cs="Times New Roman"/>
                <w:b/>
                <w:bCs/>
                <w:color w:val="auto"/>
                <w:spacing w:val="0"/>
                <w:kern w:val="0"/>
                <w:sz w:val="24"/>
                <w:szCs w:val="24"/>
                <w:highlight w:val="none"/>
                <w:lang w:val="en-US" w:eastAsia="zh-CN"/>
              </w:rPr>
            </w:pPr>
            <w:r>
              <w:rPr>
                <w:rFonts w:hint="default" w:ascii="Times New Roman" w:hAnsi="Times New Roman" w:cs="Times New Roman"/>
                <w:b/>
                <w:bCs/>
                <w:color w:val="auto"/>
                <w:spacing w:val="0"/>
                <w:kern w:val="0"/>
                <w:sz w:val="24"/>
                <w:szCs w:val="24"/>
                <w:highlight w:val="none"/>
                <w:lang w:val="en-US" w:eastAsia="zh-CN"/>
              </w:rPr>
              <w:t>4.</w:t>
            </w:r>
            <w:r>
              <w:rPr>
                <w:rFonts w:hint="default" w:ascii="Times New Roman" w:hAnsi="Times New Roman" w:eastAsia="宋体" w:cs="Times New Roman"/>
                <w:b/>
                <w:bCs/>
                <w:color w:val="auto"/>
                <w:spacing w:val="0"/>
                <w:kern w:val="0"/>
                <w:sz w:val="24"/>
                <w:szCs w:val="24"/>
                <w:highlight w:val="none"/>
                <w:lang w:val="en-US" w:eastAsia="zh-CN"/>
              </w:rPr>
              <w:t>与《昌吉州国民经济和社会发展“十四五”发展规划及2035年远景目标》符合性分析</w:t>
            </w:r>
          </w:p>
          <w:p w14:paraId="37FF715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pacing w:val="0"/>
                <w:kern w:val="0"/>
                <w:sz w:val="24"/>
                <w:szCs w:val="24"/>
                <w:highlight w:val="none"/>
                <w:lang w:val="en-US" w:eastAsia="zh-CN"/>
              </w:rPr>
            </w:pPr>
            <w:r>
              <w:rPr>
                <w:rFonts w:hint="default" w:ascii="Times New Roman" w:hAnsi="Times New Roman" w:eastAsia="宋体" w:cs="Times New Roman"/>
                <w:b w:val="0"/>
                <w:bCs w:val="0"/>
                <w:color w:val="auto"/>
                <w:spacing w:val="0"/>
                <w:kern w:val="0"/>
                <w:sz w:val="24"/>
                <w:szCs w:val="24"/>
                <w:highlight w:val="none"/>
                <w:lang w:val="en-US" w:eastAsia="zh-CN"/>
              </w:rPr>
              <w:t>《昌吉州国民经济和社会发展“十四五”发展规划及2035年远景目标》中“守住生态保护红线、环境质量底线和自然资源利用上线，严格落实生态环境准入清单。实行最严格的生态保护制度，严禁“三高”项目进昌吉，严格执行能源、矿产资源开发审批制度。实行最严格的水资源管理制度，加强地下水超采区治理力度，严守水资源开发利用控制、用水效率控制和水功能区限制纳污“三条红线”。”</w:t>
            </w:r>
          </w:p>
          <w:p w14:paraId="02A30E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val="0"/>
                <w:color w:val="auto"/>
                <w:spacing w:val="0"/>
                <w:kern w:val="0"/>
                <w:sz w:val="24"/>
                <w:szCs w:val="24"/>
                <w:highlight w:val="none"/>
                <w:lang w:val="en-US" w:eastAsia="zh-CN"/>
              </w:rPr>
            </w:pPr>
            <w:r>
              <w:rPr>
                <w:rFonts w:hint="default" w:ascii="Times New Roman" w:hAnsi="Times New Roman" w:eastAsia="宋体" w:cs="Times New Roman"/>
                <w:b w:val="0"/>
                <w:bCs w:val="0"/>
                <w:color w:val="auto"/>
                <w:spacing w:val="0"/>
                <w:kern w:val="0"/>
                <w:sz w:val="24"/>
                <w:szCs w:val="24"/>
                <w:highlight w:val="none"/>
                <w:lang w:val="en-US" w:eastAsia="zh-CN"/>
              </w:rPr>
              <w:t>本项目利用上游吉木萨尔县恒信煤炭制品工贸有限公司120万吨煤制品深加工升级改造项目半焦（兰炭）副产</w:t>
            </w:r>
            <w:r>
              <w:rPr>
                <w:rFonts w:hint="default" w:ascii="Times New Roman" w:hAnsi="Times New Roman" w:cs="Times New Roman"/>
                <w:b w:val="0"/>
                <w:bCs w:val="0"/>
                <w:color w:val="auto"/>
                <w:spacing w:val="0"/>
                <w:kern w:val="0"/>
                <w:sz w:val="24"/>
                <w:szCs w:val="24"/>
                <w:highlight w:val="none"/>
                <w:lang w:val="en-US" w:eastAsia="zh-CN"/>
              </w:rPr>
              <w:t>煤气</w:t>
            </w:r>
            <w:r>
              <w:rPr>
                <w:rFonts w:hint="default" w:ascii="Times New Roman" w:hAnsi="Times New Roman" w:eastAsia="宋体" w:cs="Times New Roman"/>
                <w:b w:val="0"/>
                <w:bCs w:val="0"/>
                <w:color w:val="auto"/>
                <w:spacing w:val="0"/>
                <w:kern w:val="0"/>
                <w:sz w:val="24"/>
                <w:szCs w:val="24"/>
                <w:highlight w:val="none"/>
                <w:lang w:val="en-US" w:eastAsia="zh-CN"/>
              </w:rPr>
              <w:t>余能进行煤气发电，属于环境保护与资源节约综合利用中的余热回收利用，营运期煤气燃烧烟气经“低氮燃烧器+SCR脱硝+石灰（石）-石膏湿法脱硫</w:t>
            </w:r>
            <w:r>
              <w:rPr>
                <w:rFonts w:hint="default" w:ascii="Times New Roman" w:hAnsi="Times New Roman" w:cs="Times New Roman"/>
                <w:b w:val="0"/>
                <w:bCs w:val="0"/>
                <w:color w:val="auto"/>
                <w:spacing w:val="0"/>
                <w:kern w:val="0"/>
                <w:sz w:val="24"/>
                <w:szCs w:val="24"/>
                <w:highlight w:val="none"/>
                <w:lang w:val="en-US" w:eastAsia="zh-CN"/>
              </w:rPr>
              <w:t>+高效除雾器协同除尘</w:t>
            </w:r>
            <w:r>
              <w:rPr>
                <w:rFonts w:hint="default" w:ascii="Times New Roman" w:hAnsi="Times New Roman" w:eastAsia="宋体" w:cs="Times New Roman"/>
                <w:b w:val="0"/>
                <w:bCs w:val="0"/>
                <w:color w:val="auto"/>
                <w:spacing w:val="0"/>
                <w:kern w:val="0"/>
                <w:sz w:val="24"/>
                <w:szCs w:val="24"/>
                <w:highlight w:val="none"/>
                <w:lang w:val="en-US" w:eastAsia="zh-CN"/>
              </w:rPr>
              <w:t>设施</w:t>
            </w:r>
            <w:r>
              <w:rPr>
                <w:rFonts w:hint="default" w:ascii="Times New Roman" w:hAnsi="Times New Roman" w:cs="Times New Roman"/>
                <w:b w:val="0"/>
                <w:bCs w:val="0"/>
                <w:color w:val="auto"/>
                <w:spacing w:val="0"/>
                <w:kern w:val="0"/>
                <w:sz w:val="24"/>
                <w:szCs w:val="24"/>
                <w:highlight w:val="none"/>
                <w:lang w:val="en-US" w:eastAsia="zh-CN"/>
              </w:rPr>
              <w:t>+</w:t>
            </w:r>
            <w:r>
              <w:rPr>
                <w:rFonts w:hint="default" w:ascii="Times New Roman" w:hAnsi="Times New Roman" w:eastAsia="宋体" w:cs="Times New Roman"/>
                <w:i w:val="0"/>
                <w:iCs w:val="0"/>
                <w:color w:val="auto"/>
                <w:kern w:val="0"/>
                <w:sz w:val="24"/>
                <w:szCs w:val="24"/>
                <w:u w:val="none"/>
                <w:lang w:val="en-US" w:eastAsia="zh-CN" w:bidi="ar"/>
              </w:rPr>
              <w:t>湿式电除尘器</w:t>
            </w:r>
            <w:r>
              <w:rPr>
                <w:rFonts w:hint="default" w:ascii="Times New Roman" w:hAnsi="Times New Roman" w:eastAsia="宋体" w:cs="Times New Roman"/>
                <w:b w:val="0"/>
                <w:bCs w:val="0"/>
                <w:color w:val="auto"/>
                <w:spacing w:val="0"/>
                <w:kern w:val="0"/>
                <w:sz w:val="24"/>
                <w:szCs w:val="24"/>
                <w:highlight w:val="none"/>
                <w:lang w:val="en-US" w:eastAsia="zh-CN"/>
              </w:rPr>
              <w:t>”处理后，</w:t>
            </w:r>
            <w:r>
              <w:rPr>
                <w:rFonts w:hint="eastAsia" w:cs="Times New Roman"/>
                <w:b w:val="0"/>
                <w:bCs w:val="0"/>
                <w:color w:val="auto"/>
                <w:spacing w:val="0"/>
                <w:kern w:val="0"/>
                <w:sz w:val="24"/>
                <w:szCs w:val="24"/>
                <w:highlight w:val="none"/>
                <w:lang w:val="en-US" w:eastAsia="zh-CN"/>
              </w:rPr>
              <w:t>通过</w:t>
            </w:r>
            <w:r>
              <w:rPr>
                <w:rFonts w:hint="default" w:ascii="Times New Roman" w:hAnsi="Times New Roman" w:eastAsia="宋体" w:cs="Times New Roman"/>
                <w:b w:val="0"/>
                <w:bCs w:val="0"/>
                <w:color w:val="auto"/>
                <w:spacing w:val="0"/>
                <w:kern w:val="0"/>
                <w:sz w:val="24"/>
                <w:szCs w:val="24"/>
                <w:highlight w:val="none"/>
                <w:lang w:val="en-US" w:eastAsia="zh-CN"/>
              </w:rPr>
              <w:t>60m高排气筒（DA001）排放至大气环境中，并安装在线监测系统（CEMS），有效地减少了废气污染物的排放量，符合“三线一单”和生态环境准入清单要求，符合《昌吉州国民经济和社会发展“十四五”发展规划及2035年远景目标》。</w:t>
            </w:r>
          </w:p>
          <w:p w14:paraId="0295F4FC">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2" w:firstLineChars="200"/>
              <w:jc w:val="both"/>
              <w:textAlignment w:val="auto"/>
              <w:rPr>
                <w:rFonts w:hint="default" w:ascii="Times New Roman" w:hAnsi="Times New Roman" w:cs="Times New Roman"/>
                <w:b/>
                <w:bCs/>
                <w:color w:val="auto"/>
                <w:spacing w:val="0"/>
                <w:kern w:val="0"/>
                <w:sz w:val="24"/>
                <w:szCs w:val="24"/>
                <w:highlight w:val="none"/>
                <w:lang w:val="en-US" w:eastAsia="zh-CN"/>
              </w:rPr>
            </w:pPr>
            <w:r>
              <w:rPr>
                <w:rFonts w:hint="default" w:ascii="Times New Roman" w:hAnsi="Times New Roman" w:cs="Times New Roman"/>
                <w:b/>
                <w:bCs/>
                <w:color w:val="auto"/>
                <w:spacing w:val="0"/>
                <w:kern w:val="0"/>
                <w:sz w:val="24"/>
                <w:szCs w:val="24"/>
                <w:highlight w:val="none"/>
                <w:lang w:val="en-US" w:eastAsia="zh-CN"/>
              </w:rPr>
              <w:t>5.与《新疆维吾尔自治区重点行业生态环境准入条件（2024年）》符合性分析</w:t>
            </w:r>
          </w:p>
          <w:p w14:paraId="7F85B421">
            <w:pPr>
              <w:pStyle w:val="42"/>
              <w:keepNext w:val="0"/>
              <w:keepLines w:val="0"/>
              <w:pageBreakBefore w:val="0"/>
              <w:widowControl w:val="0"/>
              <w:tabs>
                <w:tab w:val="left" w:pos="4643"/>
                <w:tab w:val="clear" w:pos="6840"/>
              </w:tabs>
              <w:kinsoku/>
              <w:wordWrap/>
              <w:overflowPunct/>
              <w:topLinePunct/>
              <w:autoSpaceDE/>
              <w:autoSpaceDN/>
              <w:bidi w:val="0"/>
              <w:adjustRightInd/>
              <w:snapToGrid w:val="0"/>
              <w:spacing w:line="360" w:lineRule="auto"/>
              <w:ind w:firstLine="480" w:firstLineChars="200"/>
              <w:jc w:val="both"/>
              <w:textAlignment w:val="auto"/>
              <w:rPr>
                <w:rFonts w:hint="default" w:ascii="Times New Roman" w:hAnsi="Times New Roman" w:eastAsia="宋体" w:cs="Times New Roman"/>
                <w:b w:val="0"/>
                <w:bCs w:val="0"/>
                <w:color w:val="auto"/>
                <w:spacing w:val="0"/>
                <w:kern w:val="0"/>
                <w:sz w:val="24"/>
                <w:szCs w:val="24"/>
                <w:highlight w:val="none"/>
                <w:lang w:val="en-US" w:eastAsia="zh-CN" w:bidi="ar-SA"/>
              </w:rPr>
            </w:pPr>
            <w:r>
              <w:rPr>
                <w:rFonts w:hint="default" w:ascii="Times New Roman" w:hAnsi="Times New Roman" w:eastAsia="宋体" w:cs="Times New Roman"/>
                <w:b w:val="0"/>
                <w:bCs w:val="0"/>
                <w:color w:val="auto"/>
                <w:spacing w:val="0"/>
                <w:kern w:val="0"/>
                <w:sz w:val="24"/>
                <w:szCs w:val="24"/>
                <w:highlight w:val="none"/>
                <w:lang w:val="en-US" w:eastAsia="zh-CN" w:bidi="ar-SA"/>
              </w:rPr>
              <w:t>本项目与《新疆维吾尔自治区重点行业生态环境准入条件（2024年</w:t>
            </w:r>
            <w:r>
              <w:rPr>
                <w:rFonts w:hint="default" w:ascii="Times New Roman" w:hAnsi="Times New Roman" w:cs="Times New Roman"/>
                <w:b w:val="0"/>
                <w:bCs w:val="0"/>
                <w:color w:val="auto"/>
                <w:spacing w:val="0"/>
                <w:kern w:val="0"/>
                <w:sz w:val="24"/>
                <w:szCs w:val="24"/>
                <w:highlight w:val="none"/>
                <w:lang w:val="en-US" w:eastAsia="zh-CN" w:bidi="ar-SA"/>
              </w:rPr>
              <w:t>）</w:t>
            </w:r>
            <w:r>
              <w:rPr>
                <w:rFonts w:hint="default" w:ascii="Times New Roman" w:hAnsi="Times New Roman" w:eastAsia="宋体" w:cs="Times New Roman"/>
                <w:b w:val="0"/>
                <w:bCs w:val="0"/>
                <w:color w:val="auto"/>
                <w:spacing w:val="0"/>
                <w:kern w:val="0"/>
                <w:sz w:val="24"/>
                <w:szCs w:val="24"/>
                <w:highlight w:val="none"/>
                <w:lang w:val="en-US" w:eastAsia="zh-CN" w:bidi="ar-SA"/>
              </w:rPr>
              <w:t>》符合性分析详见表1-3。</w:t>
            </w:r>
          </w:p>
          <w:p w14:paraId="231FF227">
            <w:pPr>
              <w:pStyle w:val="42"/>
              <w:keepNext w:val="0"/>
              <w:keepLines w:val="0"/>
              <w:pageBreakBefore w:val="0"/>
              <w:widowControl w:val="0"/>
              <w:tabs>
                <w:tab w:val="left" w:pos="4643"/>
                <w:tab w:val="clear" w:pos="6840"/>
              </w:tabs>
              <w:kinsoku/>
              <w:wordWrap/>
              <w:overflowPunct/>
              <w:topLinePunct/>
              <w:autoSpaceDE/>
              <w:autoSpaceDN/>
              <w:bidi w:val="0"/>
              <w:adjustRightInd/>
              <w:snapToGrid w:val="0"/>
              <w:spacing w:line="240" w:lineRule="auto"/>
              <w:ind w:firstLine="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表</w:t>
            </w:r>
            <w:r>
              <w:rPr>
                <w:rFonts w:hint="default" w:ascii="Times New Roman" w:hAnsi="Times New Roman" w:eastAsia="宋体" w:cs="Times New Roman"/>
                <w:color w:val="auto"/>
                <w:sz w:val="21"/>
                <w:szCs w:val="21"/>
                <w:lang w:val="en-US" w:eastAsia="zh-CN"/>
              </w:rPr>
              <w:t>1-3</w:t>
            </w:r>
            <w:r>
              <w:rPr>
                <w:rFonts w:hint="default" w:ascii="Times New Roman" w:hAnsi="Times New Roman" w:eastAsia="宋体" w:cs="Times New Roman"/>
                <w:color w:val="auto"/>
                <w:sz w:val="21"/>
                <w:szCs w:val="21"/>
              </w:rPr>
              <w:t>本项目与</w:t>
            </w:r>
            <w:r>
              <w:rPr>
                <w:rFonts w:hint="default" w:ascii="Times New Roman" w:hAnsi="Times New Roman" w:eastAsia="宋体" w:cs="Times New Roman"/>
                <w:color w:val="auto"/>
                <w:sz w:val="21"/>
                <w:szCs w:val="21"/>
                <w:lang w:val="en-US" w:eastAsia="zh-CN"/>
              </w:rPr>
              <w:t>《新疆维吾尔自治区重点行业生态环境准入条件（2024年》符合性分析</w:t>
            </w:r>
          </w:p>
          <w:tbl>
            <w:tblPr>
              <w:tblStyle w:val="32"/>
              <w:tblW w:w="5000"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414"/>
              <w:gridCol w:w="4158"/>
              <w:gridCol w:w="2936"/>
              <w:gridCol w:w="796"/>
            </w:tblGrid>
            <w:tr w14:paraId="7E07EA9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752" w:type="pct"/>
                  <w:gridSpan w:val="2"/>
                  <w:tcBorders>
                    <w:tl2br w:val="nil"/>
                    <w:tr2bl w:val="nil"/>
                  </w:tcBorders>
                  <w:noWrap w:val="0"/>
                  <w:vAlign w:val="center"/>
                </w:tcPr>
                <w:p w14:paraId="0468E610">
                  <w:pPr>
                    <w:pStyle w:val="112"/>
                    <w:keepNext w:val="0"/>
                    <w:keepLines w:val="0"/>
                    <w:pageBreakBefore w:val="0"/>
                    <w:widowControl w:val="0"/>
                    <w:kinsoku/>
                    <w:wordWrap/>
                    <w:overflowPunct/>
                    <w:topLinePunct w:val="0"/>
                    <w:bidi w:val="0"/>
                    <w:snapToGrid/>
                    <w:spacing w:line="240" w:lineRule="auto"/>
                    <w:ind w:firstLine="0" w:firstLineChars="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准入条件要求</w:t>
                  </w:r>
                </w:p>
              </w:tc>
              <w:tc>
                <w:tcPr>
                  <w:tcW w:w="1768" w:type="pct"/>
                  <w:tcBorders>
                    <w:tl2br w:val="nil"/>
                    <w:tr2bl w:val="nil"/>
                  </w:tcBorders>
                  <w:noWrap w:val="0"/>
                  <w:vAlign w:val="center"/>
                </w:tcPr>
                <w:p w14:paraId="4A47A0CC">
                  <w:pPr>
                    <w:pStyle w:val="112"/>
                    <w:keepNext w:val="0"/>
                    <w:keepLines w:val="0"/>
                    <w:pageBreakBefore w:val="0"/>
                    <w:widowControl w:val="0"/>
                    <w:kinsoku/>
                    <w:wordWrap/>
                    <w:overflowPunct/>
                    <w:topLinePunct w:val="0"/>
                    <w:bidi w:val="0"/>
                    <w:snapToGrid/>
                    <w:spacing w:line="240" w:lineRule="auto"/>
                    <w:ind w:firstLine="0" w:firstLineChars="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本项目情况</w:t>
                  </w:r>
                </w:p>
              </w:tc>
              <w:tc>
                <w:tcPr>
                  <w:tcW w:w="479" w:type="pct"/>
                  <w:tcBorders>
                    <w:tl2br w:val="nil"/>
                    <w:tr2bl w:val="nil"/>
                  </w:tcBorders>
                  <w:noWrap w:val="0"/>
                  <w:vAlign w:val="center"/>
                </w:tcPr>
                <w:p w14:paraId="4005E32A">
                  <w:pPr>
                    <w:pStyle w:val="112"/>
                    <w:keepNext w:val="0"/>
                    <w:keepLines w:val="0"/>
                    <w:pageBreakBefore w:val="0"/>
                    <w:widowControl w:val="0"/>
                    <w:kinsoku/>
                    <w:wordWrap/>
                    <w:overflowPunct/>
                    <w:topLinePunct w:val="0"/>
                    <w:bidi w:val="0"/>
                    <w:snapToGrid/>
                    <w:spacing w:line="240" w:lineRule="auto"/>
                    <w:ind w:firstLine="0" w:firstLineChars="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符合性</w:t>
                  </w:r>
                </w:p>
              </w:tc>
            </w:tr>
            <w:tr w14:paraId="51511D0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136" w:hRule="atLeast"/>
                <w:jc w:val="center"/>
              </w:trPr>
              <w:tc>
                <w:tcPr>
                  <w:tcW w:w="249" w:type="pct"/>
                  <w:tcBorders>
                    <w:tl2br w:val="nil"/>
                    <w:tr2bl w:val="nil"/>
                  </w:tcBorders>
                  <w:noWrap w:val="0"/>
                  <w:vAlign w:val="center"/>
                </w:tcPr>
                <w:p w14:paraId="79D9D36B">
                  <w:pPr>
                    <w:pStyle w:val="112"/>
                    <w:keepNext w:val="0"/>
                    <w:keepLines w:val="0"/>
                    <w:pageBreakBefore w:val="0"/>
                    <w:widowControl w:val="0"/>
                    <w:kinsoku/>
                    <w:wordWrap/>
                    <w:overflowPunct/>
                    <w:topLinePunct w:val="0"/>
                    <w:bidi w:val="0"/>
                    <w:snapToGrid/>
                    <w:spacing w:line="240" w:lineRule="auto"/>
                    <w:ind w:firstLine="0" w:firstLineChars="0"/>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总体要求</w:t>
                  </w:r>
                </w:p>
              </w:tc>
              <w:tc>
                <w:tcPr>
                  <w:tcW w:w="2503" w:type="pct"/>
                  <w:tcBorders>
                    <w:tl2br w:val="nil"/>
                    <w:tr2bl w:val="nil"/>
                  </w:tcBorders>
                  <w:noWrap w:val="0"/>
                  <w:vAlign w:val="center"/>
                </w:tcPr>
                <w:p w14:paraId="3EF3CC4A">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zh-CN" w:eastAsia="zh-CN"/>
                    </w:rPr>
                  </w:pPr>
                  <w:r>
                    <w:rPr>
                      <w:rFonts w:hint="default" w:ascii="Times New Roman" w:hAnsi="Times New Roman" w:cs="Times New Roman"/>
                      <w:color w:val="auto"/>
                      <w:sz w:val="21"/>
                      <w:szCs w:val="21"/>
                      <w:lang w:val="zh-CN" w:eastAsia="zh-CN"/>
                    </w:rPr>
                    <w:t>1.建设单位应依法依规组织编制环境影响评价文件，并报具有审批权限的生态环境部门审批。</w:t>
                  </w:r>
                </w:p>
                <w:p w14:paraId="1E0DAE69">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zh-CN" w:eastAsia="zh-CN"/>
                    </w:rPr>
                  </w:pPr>
                  <w:r>
                    <w:rPr>
                      <w:rFonts w:hint="default" w:ascii="Times New Roman" w:hAnsi="Times New Roman" w:cs="Times New Roman"/>
                      <w:color w:val="auto"/>
                      <w:sz w:val="21"/>
                      <w:szCs w:val="21"/>
                      <w:lang w:val="zh-CN" w:eastAsia="zh-CN"/>
                    </w:rPr>
                    <w:t>2.建设项目应符合国家、自治区相关法律法规规章、产业政策要求，采用的工艺、技术和设备应符合《产业结构调整指导目录》《产业转移指导目录》《鼓励外商投资产业目录》《西部地区鼓励类产业目录》等相关要求，不得采用国家和自治区限制、淘汰或禁止使用的工艺、技术和设备。在环评审批中，严格落实国家及自治区有关行业产能替代、压减等措施。</w:t>
                  </w:r>
                </w:p>
                <w:p w14:paraId="5780888C">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zh-CN" w:eastAsia="zh-CN"/>
                    </w:rPr>
                  </w:pPr>
                  <w:r>
                    <w:rPr>
                      <w:rFonts w:hint="default" w:ascii="Times New Roman" w:hAnsi="Times New Roman" w:cs="Times New Roman"/>
                      <w:color w:val="auto"/>
                      <w:sz w:val="21"/>
                      <w:szCs w:val="21"/>
                      <w:lang w:val="zh-CN" w:eastAsia="zh-CN"/>
                    </w:rPr>
                    <w:t>3.一切开发建设活动应符合国家、自治区主体功能区规划、自治区和各地颁布实施的国民经济发展规划、生态功能区划、国土空间规划、产业发展规划等相关规划及生态环境分区管控要求，符合区域（流域）或产业规划环评及审查意见要求。</w:t>
                  </w:r>
                </w:p>
                <w:p w14:paraId="60CD7D81">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zh-CN" w:eastAsia="zh-CN"/>
                    </w:rPr>
                  </w:pPr>
                  <w:r>
                    <w:rPr>
                      <w:rFonts w:hint="default" w:ascii="Times New Roman" w:hAnsi="Times New Roman" w:cs="Times New Roman"/>
                      <w:color w:val="auto"/>
                      <w:sz w:val="21"/>
                      <w:szCs w:val="21"/>
                      <w:lang w:val="zh-CN" w:eastAsia="zh-CN"/>
                    </w:rPr>
                    <w:t>4.禁止在自然保护区、世界自然遗产地、风景名胜区、自然公园（森林公园、地质公园、湿地公园、沙漠公园等）、重要湿地、饮用水水源保护区等依法划定禁止开发建设的环境敏感区及其它法律法规规章禁止的区域进行污染环境的任何开发活动。禁止在青藏高原水土流失严重、生态脆弱的区域开展可能造成水土流失的生产建设活动。确因国家发展战略和国计民生需要建设的，应当经科学论证，并依法办理审批手续，严格控制扰动范围。涉及生态保护红线的其他要求，按照《自然资源部生态环境部国家林业和草原局关于加强生态保护红线管理的通知（试行）》（自然资发〔2022〕142号）执行，生态保护红线管控要求调整、更新的，从其规定。</w:t>
                  </w:r>
                </w:p>
                <w:p w14:paraId="7FA6E704">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zh-CN" w:eastAsia="zh-CN"/>
                    </w:rPr>
                  </w:pPr>
                  <w:r>
                    <w:rPr>
                      <w:rFonts w:hint="default" w:ascii="Times New Roman" w:hAnsi="Times New Roman" w:cs="Times New Roman"/>
                      <w:color w:val="auto"/>
                      <w:sz w:val="21"/>
                      <w:szCs w:val="21"/>
                      <w:lang w:val="zh-CN" w:eastAsia="zh-CN"/>
                    </w:rPr>
                    <w:t>6.建设项目用地原则上不得占用基本农田，确需占用的，应符合《中华人民共和国基本农田保护条例》相关要求；占用耕地、林地或草地的建设项目应符合国家、自治区有关规定。</w:t>
                  </w:r>
                </w:p>
                <w:p w14:paraId="062A937C">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zh-CN" w:eastAsia="zh-CN"/>
                    </w:rPr>
                  </w:pPr>
                  <w:r>
                    <w:rPr>
                      <w:rFonts w:hint="default" w:ascii="Times New Roman" w:hAnsi="Times New Roman" w:cs="Times New Roman"/>
                      <w:color w:val="auto"/>
                      <w:sz w:val="21"/>
                      <w:szCs w:val="21"/>
                      <w:lang w:val="zh-CN" w:eastAsia="zh-CN"/>
                    </w:rPr>
                    <w:t>7.新建、扩建工业项目原则上应布置于依法合规设立、环境保护基础设施完善的产业园区、工业聚集区或规划矿区，并符合相关规划、规划环评及其审查意见要求；法律法规规章和政策另有规定的，从其规定。选址和厂区布置不合理的现有污染企业应根据相关要求，通过“搬迁、转产、停产”等方式限期整改，退城进园。</w:t>
                  </w:r>
                </w:p>
                <w:p w14:paraId="54D8F5A0">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zh-CN" w:eastAsia="zh-CN"/>
                    </w:rPr>
                  </w:pPr>
                  <w:r>
                    <w:rPr>
                      <w:rFonts w:hint="default" w:ascii="Times New Roman" w:hAnsi="Times New Roman" w:cs="Times New Roman"/>
                      <w:color w:val="auto"/>
                      <w:sz w:val="21"/>
                      <w:szCs w:val="21"/>
                      <w:lang w:val="zh-CN" w:eastAsia="zh-CN"/>
                    </w:rPr>
                    <w:t>8.按照国家和自治区排污许可规定，按期持证排污、按证排污，不得无证排污。新增主要污染物排放总量的建设项目必须落实主要污染物排放总量指标来源和控制要求。石化、煤化工、燃煤发电（含热电）、钢铁、有色金属冶炼等新增主要污染物排放量的建设项目所在区域、流域控制单元环境质量未达到国家或者地方环境质量标准的，建设项目应提出有效的区域削减方案，主要污染物实行区域倍量削减，确保项目投产后区域环境质量有改善。所在区域、流域控制单元环境质量达到国家或者地方环境质量标准的，原则上建设项目主要污染物实行区域等量削减，确保项目投产后区域环境质量不恶化。区域削减方案应符合建设项目环境影响评价管理要求，同时符合国家和地方主要污染物排放总量控制要求。涉重金属的新建、改扩建项目其重金属污染物遵循“等量替代”或“减量替代”原则。</w:t>
                  </w:r>
                </w:p>
                <w:p w14:paraId="29B2516C">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zh-CN" w:eastAsia="zh-CN"/>
                    </w:rPr>
                  </w:pPr>
                  <w:r>
                    <w:rPr>
                      <w:rFonts w:hint="default" w:ascii="Times New Roman" w:hAnsi="Times New Roman" w:cs="Times New Roman"/>
                      <w:color w:val="auto"/>
                      <w:sz w:val="21"/>
                      <w:szCs w:val="21"/>
                      <w:lang w:val="zh-CN" w:eastAsia="zh-CN"/>
                    </w:rPr>
                    <w:t>9.煤电、石化、化工、钢铁、有色金属冶炼、建材等六个行业建设项目应将碳排放影响评价纳入环境影响评价体系，统筹开展污染物和碳排放的源项识别、源强核算、减污降碳措施可行性论证及方案比选，提出协同控制最优方案。</w:t>
                  </w:r>
                </w:p>
                <w:p w14:paraId="0C139E29">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zh-CN" w:eastAsia="zh-CN"/>
                    </w:rPr>
                  </w:pPr>
                  <w:r>
                    <w:rPr>
                      <w:rFonts w:hint="default" w:ascii="Times New Roman" w:hAnsi="Times New Roman" w:cs="Times New Roman"/>
                      <w:color w:val="auto"/>
                      <w:sz w:val="21"/>
                      <w:szCs w:val="21"/>
                      <w:lang w:val="zh-CN" w:eastAsia="zh-CN"/>
                    </w:rPr>
                    <w:t>10.存在地下水和土壤污染途径的建设项目应采取分区防渗措施，防止地下水和土壤污染。存在环境风险的建设项目，提出有效的环境风险防范措施及环境风险应急预案编制原则和要求，纳入区域环境风险应急联动机制。各类开发区、工业园区和工业聚集区应编制环境风险应急预案，并具备环境风险应急处置能力。未通过认定或不属于一般或较低安全风险的化工园区，不得新建、改扩建危险化学品生产项目（安全、环保、节能和智能化改造和与其他行业生产装置配套建设项目，太阳能、风能等可再生能源电解水制氢项目除外），引导其他石化化工项目在化工园区发展。</w:t>
                  </w:r>
                </w:p>
                <w:p w14:paraId="1D273039">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zh-CN" w:eastAsia="zh-CN"/>
                    </w:rPr>
                  </w:pPr>
                  <w:r>
                    <w:rPr>
                      <w:rFonts w:hint="default" w:ascii="Times New Roman" w:hAnsi="Times New Roman" w:cs="Times New Roman"/>
                      <w:color w:val="auto"/>
                      <w:sz w:val="21"/>
                      <w:szCs w:val="21"/>
                      <w:lang w:val="zh-CN" w:eastAsia="zh-CN"/>
                    </w:rPr>
                    <w:t>11.企业排污车间或工段与环境敏感区距离应满足国家、地方规定或环境影响评价文件提出的大气环境防护距离要求，环境防护距离范围内不应有居民区、学校、医院等环境敏感目标。</w:t>
                  </w:r>
                </w:p>
                <w:p w14:paraId="2CC5806C">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zh-CN" w:eastAsia="zh-CN"/>
                    </w:rPr>
                  </w:pPr>
                  <w:r>
                    <w:rPr>
                      <w:rFonts w:hint="default" w:ascii="Times New Roman" w:hAnsi="Times New Roman" w:cs="Times New Roman"/>
                      <w:color w:val="auto"/>
                      <w:sz w:val="21"/>
                      <w:szCs w:val="21"/>
                      <w:lang w:val="zh-CN" w:eastAsia="zh-CN"/>
                    </w:rPr>
                    <w:t>12.根据《固体废物鉴别标准通则》（GB34330）《建设项目危险废物环境影响评价指南》，对建设项目产生的所有副产物，应依据产生来源、利用和处置过程鉴别该副产物是否属于固体废物，作为固体废物管理的副产物应按照《国家危险废物名录》《危险废物鉴别标准通则》（GB5085.7）等进行危险废物属性判定或鉴别。环评阶段不具备开展危险特性鉴别条件的可能含有危险特性的固体废物，应明确疑似危险废物的名称、种类、可能的有害成分，并明确暂按危险废物从严管理，并要求在该类固体废物产生后开展危险特性鉴别。建设单位应持续提高资源产出率，大宗工业固体废物综合利用率应达到国家及自治区有关要求。</w:t>
                  </w:r>
                </w:p>
                <w:p w14:paraId="0F927F9D">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zh-CN" w:eastAsia="zh-CN"/>
                    </w:rPr>
                  </w:pPr>
                  <w:r>
                    <w:rPr>
                      <w:rFonts w:hint="default" w:ascii="Times New Roman" w:hAnsi="Times New Roman" w:cs="Times New Roman"/>
                      <w:color w:val="auto"/>
                      <w:sz w:val="21"/>
                      <w:szCs w:val="21"/>
                      <w:lang w:val="zh-CN" w:eastAsia="zh-CN"/>
                    </w:rPr>
                    <w:t>14.建设项目清洁生产水平应达到国家清洁生产标准的国际先进、国内领先水平或满足清洁生产评价指标体系中的清洁生产企业要求。无国家清洁生产标准和清洁生产评价指标体系的建设项目，其生产工艺与装备要求、资源能源利用指标、污染物产生指标、废物回收利用指标、环境管理要求等各项指标水平应达到国内同行业现有企业先进水平。</w:t>
                  </w:r>
                </w:p>
                <w:p w14:paraId="61238FCD">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zh-CN" w:eastAsia="zh-CN"/>
                    </w:rPr>
                  </w:pPr>
                  <w:r>
                    <w:rPr>
                      <w:rFonts w:hint="default" w:ascii="Times New Roman" w:hAnsi="Times New Roman" w:cs="Times New Roman"/>
                      <w:color w:val="auto"/>
                      <w:sz w:val="21"/>
                      <w:szCs w:val="21"/>
                      <w:lang w:val="zh-CN" w:eastAsia="zh-CN"/>
                    </w:rPr>
                    <w:t>15.鼓励合理利用资源、能源。尽可能采用清洁能源，生产过程中产生的余热、余气、余压应合理利用。采用天然气作原料的应符合天然气利用政策，高污染燃料的使用应符合本通则及其他相关政策要求。按照“清污分流、一水多用、循环使用”的原则，加强节水和统筹用水的管理。鼓励矿井水、中水利用，严格限制使用地下水，最大限度提高水的复用率，减少外排量或实现零排放。</w:t>
                  </w:r>
                </w:p>
                <w:p w14:paraId="4B65C9D8">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zh-CN" w:eastAsia="zh-CN"/>
                    </w:rPr>
                  </w:pPr>
                  <w:r>
                    <w:rPr>
                      <w:rFonts w:hint="default" w:ascii="Times New Roman" w:hAnsi="Times New Roman" w:cs="Times New Roman"/>
                      <w:color w:val="auto"/>
                      <w:sz w:val="21"/>
                      <w:szCs w:val="21"/>
                      <w:lang w:val="zh-CN" w:eastAsia="zh-CN"/>
                    </w:rPr>
                    <w:t>17.落实国家及自治区深入打好污染防治攻坚战和各环境要素污染防治行动计划要求。</w:t>
                  </w:r>
                </w:p>
                <w:p w14:paraId="0927EA0A">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zh-CN" w:eastAsia="zh-CN"/>
                    </w:rPr>
                  </w:pPr>
                  <w:r>
                    <w:rPr>
                      <w:rFonts w:hint="default" w:ascii="Times New Roman" w:hAnsi="Times New Roman" w:cs="Times New Roman"/>
                      <w:color w:val="auto"/>
                      <w:sz w:val="21"/>
                      <w:szCs w:val="21"/>
                      <w:lang w:val="zh-CN" w:eastAsia="zh-CN"/>
                    </w:rPr>
                    <w:t>18.享有国家及自治区特殊差别化政策的地区及建设项目按照差别化政策执行。</w:t>
                  </w:r>
                </w:p>
              </w:tc>
              <w:tc>
                <w:tcPr>
                  <w:tcW w:w="1768" w:type="pct"/>
                  <w:tcBorders>
                    <w:tl2br w:val="nil"/>
                    <w:tr2bl w:val="nil"/>
                  </w:tcBorders>
                  <w:noWrap w:val="0"/>
                  <w:vAlign w:val="center"/>
                </w:tcPr>
                <w:p w14:paraId="1F9CA5FD">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（1）本项目已组织开展环境影响评价工作，目前准备</w:t>
                  </w:r>
                  <w:r>
                    <w:rPr>
                      <w:rFonts w:hint="default" w:ascii="Times New Roman" w:hAnsi="Times New Roman" w:cs="Times New Roman"/>
                      <w:color w:val="auto"/>
                      <w:sz w:val="21"/>
                      <w:szCs w:val="21"/>
                      <w:lang w:val="zh-CN" w:eastAsia="zh-CN"/>
                    </w:rPr>
                    <w:t>报具有审批权限的生态环境部门审批</w:t>
                  </w:r>
                  <w:r>
                    <w:rPr>
                      <w:rFonts w:hint="default" w:ascii="Times New Roman" w:hAnsi="Times New Roman" w:cs="Times New Roman"/>
                      <w:color w:val="auto"/>
                      <w:sz w:val="21"/>
                      <w:szCs w:val="21"/>
                      <w:lang w:val="en-US" w:eastAsia="zh-CN"/>
                    </w:rPr>
                    <w:t>。</w:t>
                  </w:r>
                </w:p>
                <w:p w14:paraId="45D198A9">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（2）对照《产业结构调整指导目录（2024年本）》，本项目属于鼓励类；对照国家发展改革委和商务部发布的《市场准入负面清单（2025年版）》，本项目属于许可准入类；本项目不在</w:t>
                  </w:r>
                  <w:r>
                    <w:rPr>
                      <w:rFonts w:hint="default" w:ascii="Times New Roman" w:hAnsi="Times New Roman" w:cs="Times New Roman"/>
                      <w:color w:val="auto"/>
                      <w:sz w:val="21"/>
                      <w:szCs w:val="21"/>
                      <w:lang w:val="zh-CN" w:eastAsia="zh-CN"/>
                    </w:rPr>
                    <w:t>《鼓励外商投资产业目录》《西部地区鼓励类产业目录》</w:t>
                  </w:r>
                  <w:r>
                    <w:rPr>
                      <w:rFonts w:hint="default" w:ascii="Times New Roman" w:hAnsi="Times New Roman" w:cs="Times New Roman"/>
                      <w:color w:val="auto"/>
                      <w:sz w:val="21"/>
                      <w:szCs w:val="21"/>
                      <w:lang w:val="en-US" w:eastAsia="zh-CN"/>
                    </w:rPr>
                    <w:t>中。</w:t>
                  </w:r>
                </w:p>
                <w:p w14:paraId="4D747199">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（3）本项目符合</w:t>
                  </w:r>
                  <w:r>
                    <w:rPr>
                      <w:rFonts w:hint="default" w:ascii="Times New Roman" w:hAnsi="Times New Roman" w:cs="Times New Roman"/>
                      <w:color w:val="auto"/>
                      <w:sz w:val="21"/>
                      <w:szCs w:val="21"/>
                      <w:lang w:val="zh-CN" w:eastAsia="zh-CN"/>
                    </w:rPr>
                    <w:t>《新疆维吾尔自治区主体功能区规划》</w:t>
                  </w:r>
                  <w:r>
                    <w:rPr>
                      <w:rFonts w:hint="default" w:ascii="Times New Roman" w:hAnsi="Times New Roman" w:eastAsia="宋体" w:cs="Times New Roman"/>
                      <w:color w:val="auto"/>
                      <w:sz w:val="21"/>
                      <w:szCs w:val="21"/>
                      <w:lang w:val="en-US" w:eastAsia="zh-CN"/>
                    </w:rPr>
                    <w:t>《吉木萨尔县北三台循环经济工业园区总体规划（2021-2030年）》</w:t>
                  </w:r>
                  <w:r>
                    <w:rPr>
                      <w:rFonts w:hint="default" w:ascii="Times New Roman" w:hAnsi="Times New Roman" w:cs="Times New Roman"/>
                      <w:color w:val="auto"/>
                      <w:sz w:val="21"/>
                      <w:szCs w:val="21"/>
                      <w:lang w:val="en-US" w:eastAsia="zh-CN"/>
                    </w:rPr>
                    <w:t>《昌吉州国民经济和社会发展第十四个五年规划和2035年远景目标纲要》</w:t>
                  </w:r>
                  <w:r>
                    <w:rPr>
                      <w:rFonts w:hint="default" w:ascii="Times New Roman" w:hAnsi="Times New Roman" w:cs="Times New Roman"/>
                      <w:color w:val="auto"/>
                      <w:sz w:val="21"/>
                      <w:szCs w:val="21"/>
                      <w:lang w:val="zh-CN" w:eastAsia="zh-CN"/>
                    </w:rPr>
                    <w:t>《新疆生态功能区规划》</w:t>
                  </w:r>
                  <w:r>
                    <w:rPr>
                      <w:rFonts w:hint="default" w:ascii="Times New Roman" w:hAnsi="Times New Roman" w:cs="Times New Roman"/>
                      <w:color w:val="auto"/>
                      <w:sz w:val="21"/>
                      <w:szCs w:val="21"/>
                      <w:lang w:val="en-US" w:eastAsia="zh-CN"/>
                    </w:rPr>
                    <w:t>的要求。</w:t>
                  </w:r>
                </w:p>
                <w:p w14:paraId="4ABDD78C">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4）本项目所在区域不属于自然保护区、世界自然遗产地、风景名胜区、自然公园（森林公园、地质公园、湿地公园、沙漠公园等）、重要湿地、饮用水水源保护区等依法划定禁止开发建设的环境敏感区及其他法律法规禁止的区域。</w:t>
                  </w:r>
                </w:p>
                <w:p w14:paraId="4152A212">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（6）本项目占地为工业用地。</w:t>
                  </w:r>
                </w:p>
                <w:p w14:paraId="2D2FE24E">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（7）本项目位于</w:t>
                  </w:r>
                  <w:r>
                    <w:rPr>
                      <w:rFonts w:hint="default" w:ascii="Times New Roman" w:hAnsi="Times New Roman" w:cs="Times New Roman"/>
                      <w:color w:val="auto"/>
                      <w:kern w:val="2"/>
                      <w:sz w:val="21"/>
                      <w:szCs w:val="21"/>
                      <w:lang w:val="en-US" w:eastAsia="zh-CN" w:bidi="ar-SA"/>
                    </w:rPr>
                    <w:t>吉木萨尔县北三台循环经济工业园</w:t>
                  </w:r>
                  <w:r>
                    <w:rPr>
                      <w:rFonts w:hint="default" w:ascii="Times New Roman" w:hAnsi="Times New Roman" w:cs="Times New Roman"/>
                      <w:color w:val="auto"/>
                      <w:sz w:val="21"/>
                      <w:szCs w:val="21"/>
                      <w:lang w:val="en-US" w:eastAsia="zh-CN"/>
                    </w:rPr>
                    <w:t>。</w:t>
                  </w:r>
                </w:p>
                <w:p w14:paraId="475E6D45">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（8）本项目为新建项目，</w:t>
                  </w:r>
                  <w:r>
                    <w:rPr>
                      <w:rFonts w:hint="default" w:ascii="Times New Roman" w:hAnsi="Times New Roman" w:eastAsia="宋体" w:cs="Times New Roman"/>
                      <w:i w:val="0"/>
                      <w:iCs w:val="0"/>
                      <w:color w:val="auto"/>
                      <w:kern w:val="0"/>
                      <w:sz w:val="21"/>
                      <w:szCs w:val="21"/>
                      <w:u w:val="none"/>
                      <w:lang w:val="en-US" w:eastAsia="zh-CN" w:bidi="ar"/>
                    </w:rPr>
                    <w:t>总量控制指标</w:t>
                  </w:r>
                  <w:r>
                    <w:rPr>
                      <w:rFonts w:hint="default" w:ascii="Times New Roman" w:hAnsi="Times New Roman" w:cs="Times New Roman"/>
                      <w:i w:val="0"/>
                      <w:iCs w:val="0"/>
                      <w:color w:val="auto"/>
                      <w:kern w:val="0"/>
                      <w:sz w:val="21"/>
                      <w:szCs w:val="21"/>
                      <w:u w:val="none"/>
                      <w:lang w:val="en-US" w:eastAsia="zh-CN" w:bidi="ar"/>
                    </w:rPr>
                    <w:t>氮氧化物、二氧化硫和颗粒物，</w:t>
                  </w:r>
                  <w:r>
                    <w:rPr>
                      <w:rFonts w:hint="default" w:ascii="Times New Roman" w:hAnsi="Times New Roman" w:eastAsia="宋体" w:cs="Times New Roman"/>
                      <w:i w:val="0"/>
                      <w:iCs w:val="0"/>
                      <w:color w:val="auto"/>
                      <w:kern w:val="0"/>
                      <w:sz w:val="21"/>
                      <w:szCs w:val="21"/>
                      <w:u w:val="none"/>
                      <w:lang w:val="en-US" w:eastAsia="zh-CN" w:bidi="ar"/>
                    </w:rPr>
                    <w:t>由生态环境主管部门进行倍量替代</w:t>
                  </w:r>
                  <w:r>
                    <w:rPr>
                      <w:rFonts w:hint="default" w:ascii="Times New Roman" w:hAnsi="Times New Roman" w:cs="Times New Roman"/>
                      <w:color w:val="auto"/>
                      <w:sz w:val="21"/>
                      <w:szCs w:val="21"/>
                      <w:lang w:val="en-US" w:eastAsia="zh-CN"/>
                    </w:rPr>
                    <w:t>。</w:t>
                  </w:r>
                </w:p>
                <w:p w14:paraId="72C7512D">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（9）本项目已进行碳排放的源项识别、源强核算、减污降碳措施。详见本项碳排放评价章节。</w:t>
                  </w:r>
                </w:p>
                <w:p w14:paraId="1C53B6C0">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（10）本项目采取分区防控措施，将各工程划分为重点防渗区、一般防渗区和简单防渗区本项目建成后，组织开展突发环境事件应急预案编制。</w:t>
                  </w:r>
                </w:p>
                <w:p w14:paraId="235AC7D3">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（11）本项目厂界浓度满足《大气污染物综合排放标准</w:t>
                  </w:r>
                  <w:r>
                    <w:rPr>
                      <w:rFonts w:hint="default" w:ascii="Times New Roman" w:hAnsi="Times New Roman" w:cs="Times New Roman"/>
                      <w:color w:val="auto"/>
                      <w:spacing w:val="6"/>
                      <w:sz w:val="21"/>
                      <w:szCs w:val="21"/>
                    </w:rPr>
                    <w:t>》（</w:t>
                  </w:r>
                  <w:r>
                    <w:rPr>
                      <w:rFonts w:hint="default" w:ascii="Times New Roman" w:hAnsi="Times New Roman" w:eastAsia="Times New Roman" w:cs="Times New Roman"/>
                      <w:color w:val="auto"/>
                      <w:sz w:val="21"/>
                      <w:szCs w:val="21"/>
                    </w:rPr>
                    <w:t>GB</w:t>
                  </w:r>
                  <w:r>
                    <w:rPr>
                      <w:rFonts w:hint="default" w:ascii="Times New Roman" w:hAnsi="Times New Roman" w:eastAsia="Times New Roman" w:cs="Times New Roman"/>
                      <w:color w:val="auto"/>
                      <w:spacing w:val="6"/>
                      <w:sz w:val="21"/>
                      <w:szCs w:val="21"/>
                    </w:rPr>
                    <w:t>16297-1996</w:t>
                  </w:r>
                  <w:r>
                    <w:rPr>
                      <w:rFonts w:hint="default" w:ascii="Times New Roman" w:hAnsi="Times New Roman" w:cs="Times New Roman"/>
                      <w:color w:val="auto"/>
                      <w:spacing w:val="6"/>
                      <w:sz w:val="21"/>
                      <w:szCs w:val="21"/>
                    </w:rPr>
                    <w:t>）</w:t>
                  </w:r>
                  <w:r>
                    <w:rPr>
                      <w:rFonts w:hint="default" w:ascii="Times New Roman" w:hAnsi="Times New Roman" w:cs="Times New Roman"/>
                      <w:color w:val="auto"/>
                      <w:sz w:val="21"/>
                      <w:szCs w:val="21"/>
                      <w:lang w:val="en-US" w:eastAsia="zh-CN"/>
                    </w:rPr>
                    <w:t>》</w:t>
                  </w:r>
                  <w:r>
                    <w:rPr>
                      <w:rFonts w:hint="default" w:ascii="Times New Roman" w:hAnsi="Times New Roman" w:cs="Times New Roman"/>
                      <w:color w:val="auto"/>
                      <w:spacing w:val="6"/>
                      <w:sz w:val="21"/>
                      <w:szCs w:val="21"/>
                      <w:lang w:val="en-US" w:eastAsia="zh-CN"/>
                    </w:rPr>
                    <w:t>表2</w:t>
                  </w:r>
                  <w:r>
                    <w:rPr>
                      <w:rFonts w:hint="default" w:ascii="Times New Roman" w:hAnsi="Times New Roman" w:cs="Times New Roman"/>
                      <w:color w:val="auto"/>
                      <w:sz w:val="21"/>
                      <w:szCs w:val="21"/>
                      <w:lang w:val="en-US" w:eastAsia="zh-CN"/>
                    </w:rPr>
                    <w:t>浓度限值，厂界外大气污染物短期贡献浓度未超过环境质量浓度限值，因此本项目不设置大气环境防护距离。</w:t>
                  </w:r>
                </w:p>
                <w:p w14:paraId="00493C05">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（12）</w:t>
                  </w:r>
                  <w:r>
                    <w:rPr>
                      <w:rFonts w:hint="default" w:ascii="Times New Roman" w:hAnsi="Times New Roman" w:eastAsia="宋体" w:cs="Times New Roman"/>
                      <w:color w:val="auto"/>
                      <w:sz w:val="21"/>
                      <w:szCs w:val="21"/>
                      <w:lang w:val="en-US" w:eastAsia="zh-CN"/>
                    </w:rPr>
                    <w:t>废机油、废催化剂和</w:t>
                  </w:r>
                  <w:r>
                    <w:rPr>
                      <w:rFonts w:hint="default" w:ascii="Times New Roman" w:hAnsi="Times New Roman" w:cs="Times New Roman"/>
                      <w:color w:val="auto"/>
                      <w:sz w:val="21"/>
                      <w:szCs w:val="21"/>
                      <w:lang w:val="en-US" w:eastAsia="zh-CN"/>
                    </w:rPr>
                    <w:t>实验室化验废液</w:t>
                  </w:r>
                  <w:r>
                    <w:rPr>
                      <w:rFonts w:hint="default" w:ascii="Times New Roman" w:hAnsi="Times New Roman" w:eastAsia="宋体" w:cs="Times New Roman"/>
                      <w:color w:val="auto"/>
                      <w:sz w:val="21"/>
                      <w:szCs w:val="21"/>
                      <w:lang w:val="en-US" w:eastAsia="zh-CN"/>
                    </w:rPr>
                    <w:t>采用专用容器收集后暂存至危废贮存点，定期委托有相关危废处理资质的单位进行处</w:t>
                  </w:r>
                  <w:r>
                    <w:rPr>
                      <w:rFonts w:hint="default" w:ascii="Times New Roman" w:hAnsi="Times New Roman" w:cs="Times New Roman"/>
                      <w:color w:val="auto"/>
                      <w:sz w:val="21"/>
                      <w:szCs w:val="21"/>
                      <w:lang w:val="en-US" w:eastAsia="zh-CN"/>
                    </w:rPr>
                    <w:t>置。</w:t>
                  </w:r>
                </w:p>
                <w:p w14:paraId="499AC342">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（13）本项目生产工艺可以达到国内清洁生产先进水平。</w:t>
                  </w:r>
                </w:p>
                <w:p w14:paraId="26D05DA4">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15）生产废水回用于脱硫工序，无外排生产废水；项目食宿区依托吉木萨尔县恒信煤炭制品工贸有限公司120万吨煤制品深加工升级改造项目厂内综合办公区、食堂以及员工宿舍；厂内办公区位于辅助车间综合楼，厂内建设排污管道，排至吉木萨尔县恒信煤炭制品工贸有限公司120万吨煤制品深加工升级改造项目厂内食宿生活区的地埋式一体化污水处理设备处理后，冬储夏灌。</w:t>
                  </w:r>
                </w:p>
                <w:p w14:paraId="1A24FDA5">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（17）本项目环评报告已提出有效的大气、水、土壤、噪声污染防治措施，符合国家及自治区各环境要素污染防治行动计划的要求。</w:t>
                  </w:r>
                </w:p>
                <w:p w14:paraId="6F5C235F">
                  <w:pPr>
                    <w:pStyle w:val="112"/>
                    <w:keepNext w:val="0"/>
                    <w:keepLines w:val="0"/>
                    <w:pageBreakBefore w:val="0"/>
                    <w:widowControl w:val="0"/>
                    <w:kinsoku/>
                    <w:wordWrap/>
                    <w:overflowPunct/>
                    <w:topLinePunct w:val="0"/>
                    <w:bidi w:val="0"/>
                    <w:snapToGrid/>
                    <w:spacing w:line="240" w:lineRule="auto"/>
                    <w:ind w:firstLine="0" w:firstLineChars="0"/>
                    <w:jc w:val="both"/>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（18）本项目所在地昌吉州吉木萨尔县北三台工业园区，涉及国家和自治区特殊差别化政策的，按其要求执行。</w:t>
                  </w:r>
                </w:p>
              </w:tc>
              <w:tc>
                <w:tcPr>
                  <w:tcW w:w="479" w:type="pct"/>
                  <w:tcBorders>
                    <w:tl2br w:val="nil"/>
                    <w:tr2bl w:val="nil"/>
                  </w:tcBorders>
                  <w:noWrap w:val="0"/>
                  <w:vAlign w:val="center"/>
                </w:tcPr>
                <w:p w14:paraId="30984831">
                  <w:pPr>
                    <w:pStyle w:val="112"/>
                    <w:keepNext w:val="0"/>
                    <w:keepLines w:val="0"/>
                    <w:pageBreakBefore w:val="0"/>
                    <w:widowControl w:val="0"/>
                    <w:kinsoku/>
                    <w:wordWrap/>
                    <w:overflowPunct/>
                    <w:topLinePunct w:val="0"/>
                    <w:bidi w:val="0"/>
                    <w:snapToGrid/>
                    <w:spacing w:line="240" w:lineRule="auto"/>
                    <w:ind w:firstLine="0" w:firstLineChars="0"/>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符合</w:t>
                  </w:r>
                </w:p>
              </w:tc>
            </w:tr>
          </w:tbl>
          <w:p w14:paraId="1A34F1FA">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2" w:firstLineChars="200"/>
              <w:jc w:val="both"/>
              <w:textAlignment w:val="auto"/>
              <w:rPr>
                <w:rFonts w:hint="default" w:ascii="Times New Roman" w:hAnsi="Times New Roman" w:cs="Times New Roman"/>
                <w:b/>
                <w:bCs/>
                <w:color w:val="auto"/>
                <w:spacing w:val="0"/>
                <w:kern w:val="0"/>
                <w:sz w:val="24"/>
                <w:szCs w:val="24"/>
                <w:highlight w:val="none"/>
                <w:lang w:val="en-US" w:eastAsia="zh-CN"/>
              </w:rPr>
            </w:pPr>
            <w:r>
              <w:rPr>
                <w:rFonts w:hint="default" w:ascii="Times New Roman" w:hAnsi="Times New Roman" w:cs="Times New Roman"/>
                <w:b/>
                <w:bCs/>
                <w:color w:val="auto"/>
                <w:spacing w:val="0"/>
                <w:kern w:val="0"/>
                <w:sz w:val="24"/>
                <w:szCs w:val="24"/>
                <w:highlight w:val="none"/>
                <w:lang w:val="en-US" w:eastAsia="zh-CN"/>
              </w:rPr>
              <w:t>6.与《国务院关于印发〈空气质量持续改善行动计划〉的通知》（国发〔2023〕24号）符合性分析</w:t>
            </w:r>
          </w:p>
          <w:p w14:paraId="6FA320D0">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b w:val="0"/>
                <w:bCs/>
                <w:snapToGrid w:val="0"/>
                <w:color w:val="auto"/>
                <w:spacing w:val="0"/>
                <w:kern w:val="0"/>
                <w:sz w:val="24"/>
                <w:szCs w:val="24"/>
                <w:highlight w:val="none"/>
                <w:lang w:val="en-US" w:eastAsia="zh-CN"/>
              </w:rPr>
            </w:pPr>
            <w:r>
              <w:rPr>
                <w:rFonts w:hint="default" w:ascii="Times New Roman" w:hAnsi="Times New Roman" w:eastAsia="宋体" w:cs="Times New Roman"/>
                <w:b w:val="0"/>
                <w:bCs/>
                <w:snapToGrid w:val="0"/>
                <w:color w:val="auto"/>
                <w:spacing w:val="0"/>
                <w:kern w:val="0"/>
                <w:sz w:val="24"/>
                <w:szCs w:val="24"/>
                <w:highlight w:val="none"/>
                <w:lang w:val="en-US" w:eastAsia="zh-CN"/>
              </w:rPr>
              <w:t>本项目与《国务院关于印发〈空气质量持续改善行动计划〉的通知》（国发〔2023〕24号）的符合性分析详见表1-4。</w:t>
            </w:r>
          </w:p>
          <w:p w14:paraId="0E89BB56">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cs="Times New Roman"/>
                <w:b/>
                <w:bCs/>
                <w:color w:val="auto"/>
                <w:spacing w:val="0"/>
                <w:kern w:val="0"/>
                <w:sz w:val="24"/>
                <w:szCs w:val="24"/>
                <w:highlight w:val="none"/>
                <w:lang w:val="en-US" w:eastAsia="zh-CN"/>
              </w:rPr>
            </w:pPr>
            <w:r>
              <w:rPr>
                <w:rFonts w:hint="default" w:ascii="Times New Roman" w:hAnsi="Times New Roman" w:eastAsia="宋体" w:cs="Times New Roman"/>
                <w:b/>
                <w:bCs/>
                <w:color w:val="auto"/>
                <w:kern w:val="0"/>
                <w:sz w:val="21"/>
                <w:szCs w:val="21"/>
                <w:highlight w:val="none"/>
                <w:lang w:val="en-US" w:eastAsia="zh-CN"/>
              </w:rPr>
              <w:t>表1-</w:t>
            </w:r>
            <w:r>
              <w:rPr>
                <w:rFonts w:hint="default" w:ascii="Times New Roman" w:hAnsi="Times New Roman" w:cs="Times New Roman"/>
                <w:b/>
                <w:bCs/>
                <w:color w:val="auto"/>
                <w:kern w:val="0"/>
                <w:sz w:val="21"/>
                <w:szCs w:val="21"/>
                <w:highlight w:val="none"/>
                <w:lang w:val="en-US" w:eastAsia="zh-CN"/>
              </w:rPr>
              <w:t>4</w:t>
            </w:r>
            <w:r>
              <w:rPr>
                <w:rFonts w:hint="default" w:ascii="Times New Roman" w:hAnsi="Times New Roman" w:eastAsia="宋体" w:cs="Times New Roman"/>
                <w:b/>
                <w:bCs/>
                <w:color w:val="auto"/>
                <w:kern w:val="0"/>
                <w:sz w:val="21"/>
                <w:szCs w:val="21"/>
                <w:highlight w:val="none"/>
                <w:lang w:val="en-US" w:eastAsia="zh-CN"/>
              </w:rPr>
              <w:t>项目与</w:t>
            </w:r>
            <w:r>
              <w:rPr>
                <w:rFonts w:hint="default" w:ascii="Times New Roman" w:hAnsi="Times New Roman" w:eastAsia="宋体" w:cs="Times New Roman"/>
                <w:b/>
                <w:bCs/>
                <w:color w:val="auto"/>
                <w:kern w:val="0"/>
                <w:sz w:val="21"/>
                <w:szCs w:val="21"/>
                <w:highlight w:val="none"/>
                <w:lang w:eastAsia="zh-CN"/>
              </w:rPr>
              <w:t>《国务院关于印发〈空气质量持续改善行动计划〉的通知》的符合性分</w:t>
            </w:r>
          </w:p>
          <w:tbl>
            <w:tblPr>
              <w:tblStyle w:val="96"/>
              <w:tblW w:w="4971"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68" w:type="dxa"/>
                <w:bottom w:w="0" w:type="dxa"/>
                <w:right w:w="68" w:type="dxa"/>
              </w:tblCellMar>
            </w:tblPr>
            <w:tblGrid>
              <w:gridCol w:w="692"/>
              <w:gridCol w:w="4545"/>
              <w:gridCol w:w="2187"/>
              <w:gridCol w:w="832"/>
            </w:tblGrid>
            <w:tr w14:paraId="44A0D3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3171" w:type="pct"/>
                  <w:gridSpan w:val="2"/>
                  <w:tcBorders>
                    <w:tl2br w:val="nil"/>
                    <w:tr2bl w:val="nil"/>
                  </w:tcBorders>
                  <w:noWrap w:val="0"/>
                  <w:vAlign w:val="center"/>
                </w:tcPr>
                <w:p w14:paraId="4F97214A">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spacing w:val="9"/>
                      <w:sz w:val="21"/>
                      <w:szCs w:val="21"/>
                      <w:lang w:val="en-US" w:eastAsia="zh-CN"/>
                    </w:rPr>
                  </w:pPr>
                  <w:r>
                    <w:rPr>
                      <w:rFonts w:hint="default" w:ascii="Times New Roman" w:hAnsi="Times New Roman" w:eastAsia="宋体" w:cs="Times New Roman"/>
                      <w:b/>
                      <w:bCs/>
                      <w:color w:val="auto"/>
                      <w:spacing w:val="9"/>
                      <w:sz w:val="21"/>
                      <w:szCs w:val="21"/>
                      <w:lang w:val="en-US" w:eastAsia="zh-CN"/>
                    </w:rPr>
                    <w:t>相关要求</w:t>
                  </w:r>
                </w:p>
              </w:tc>
              <w:tc>
                <w:tcPr>
                  <w:tcW w:w="1324" w:type="pct"/>
                  <w:tcBorders>
                    <w:tl2br w:val="nil"/>
                    <w:tr2bl w:val="nil"/>
                  </w:tcBorders>
                  <w:noWrap w:val="0"/>
                  <w:vAlign w:val="center"/>
                </w:tcPr>
                <w:p w14:paraId="27F5A994">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spacing w:val="9"/>
                      <w:sz w:val="21"/>
                      <w:szCs w:val="21"/>
                    </w:rPr>
                  </w:pPr>
                  <w:r>
                    <w:rPr>
                      <w:rFonts w:hint="default" w:ascii="Times New Roman" w:hAnsi="Times New Roman" w:eastAsia="宋体" w:cs="Times New Roman"/>
                      <w:b/>
                      <w:bCs/>
                      <w:color w:val="auto"/>
                      <w:spacing w:val="9"/>
                      <w:sz w:val="21"/>
                      <w:szCs w:val="21"/>
                    </w:rPr>
                    <w:t>本项目</w:t>
                  </w:r>
                </w:p>
              </w:tc>
              <w:tc>
                <w:tcPr>
                  <w:tcW w:w="503" w:type="pct"/>
                  <w:tcBorders>
                    <w:tl2br w:val="nil"/>
                    <w:tr2bl w:val="nil"/>
                  </w:tcBorders>
                  <w:noWrap w:val="0"/>
                  <w:vAlign w:val="center"/>
                </w:tcPr>
                <w:p w14:paraId="12B7E78F">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spacing w:val="9"/>
                      <w:sz w:val="21"/>
                      <w:szCs w:val="21"/>
                      <w:lang w:val="en-US" w:eastAsia="zh-CN"/>
                    </w:rPr>
                  </w:pPr>
                  <w:r>
                    <w:rPr>
                      <w:rFonts w:hint="default" w:ascii="Times New Roman" w:hAnsi="Times New Roman" w:eastAsia="宋体" w:cs="Times New Roman"/>
                      <w:b/>
                      <w:bCs/>
                      <w:color w:val="auto"/>
                      <w:spacing w:val="9"/>
                      <w:sz w:val="21"/>
                      <w:szCs w:val="21"/>
                    </w:rPr>
                    <w:t>符合</w:t>
                  </w:r>
                  <w:r>
                    <w:rPr>
                      <w:rFonts w:hint="default" w:ascii="Times New Roman" w:hAnsi="Times New Roman" w:eastAsia="宋体" w:cs="Times New Roman"/>
                      <w:b/>
                      <w:bCs/>
                      <w:color w:val="auto"/>
                      <w:spacing w:val="9"/>
                      <w:sz w:val="21"/>
                      <w:szCs w:val="21"/>
                      <w:lang w:val="en-US" w:eastAsia="zh-CN"/>
                    </w:rPr>
                    <w:t>性</w:t>
                  </w:r>
                </w:p>
              </w:tc>
            </w:tr>
            <w:tr w14:paraId="197896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90" w:hRule="atLeast"/>
              </w:trPr>
              <w:tc>
                <w:tcPr>
                  <w:tcW w:w="419" w:type="pct"/>
                  <w:tcBorders>
                    <w:tl2br w:val="nil"/>
                    <w:tr2bl w:val="nil"/>
                  </w:tcBorders>
                  <w:noWrap w:val="0"/>
                  <w:vAlign w:val="center"/>
                </w:tcPr>
                <w:p w14:paraId="4A5F29BB">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val="0"/>
                      <w:bCs w:val="0"/>
                      <w:i w:val="0"/>
                      <w:iCs w:val="0"/>
                      <w:caps w:val="0"/>
                      <w:color w:val="auto"/>
                      <w:spacing w:val="0"/>
                      <w:sz w:val="21"/>
                      <w:szCs w:val="21"/>
                    </w:rPr>
                  </w:pPr>
                  <w:r>
                    <w:rPr>
                      <w:rStyle w:val="36"/>
                      <w:rFonts w:hint="default" w:ascii="Times New Roman" w:hAnsi="Times New Roman" w:eastAsia="宋体" w:cs="Times New Roman"/>
                      <w:b w:val="0"/>
                      <w:bCs w:val="0"/>
                      <w:i w:val="0"/>
                      <w:iCs w:val="0"/>
                      <w:caps w:val="0"/>
                      <w:color w:val="auto"/>
                      <w:spacing w:val="0"/>
                      <w:sz w:val="21"/>
                      <w:szCs w:val="21"/>
                      <w:shd w:val="clear" w:fill="FFFFFF"/>
                    </w:rPr>
                    <w:t>二、优化产业结构，促进产业产品绿色升级</w:t>
                  </w:r>
                </w:p>
                <w:p w14:paraId="6B548591">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val="0"/>
                      <w:bCs w:val="0"/>
                      <w:color w:val="auto"/>
                      <w:spacing w:val="9"/>
                      <w:sz w:val="21"/>
                      <w:szCs w:val="21"/>
                    </w:rPr>
                  </w:pPr>
                </w:p>
              </w:tc>
              <w:tc>
                <w:tcPr>
                  <w:tcW w:w="2752" w:type="pct"/>
                  <w:tcBorders>
                    <w:tl2br w:val="nil"/>
                    <w:tr2bl w:val="nil"/>
                  </w:tcBorders>
                  <w:noWrap w:val="0"/>
                  <w:vAlign w:val="center"/>
                </w:tcPr>
                <w:p w14:paraId="28722F56">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val="0"/>
                      <w:bCs w:val="0"/>
                      <w:i w:val="0"/>
                      <w:iCs w:val="0"/>
                      <w:caps w:val="0"/>
                      <w:color w:val="auto"/>
                      <w:spacing w:val="0"/>
                      <w:sz w:val="21"/>
                      <w:szCs w:val="21"/>
                    </w:rPr>
                  </w:pPr>
                  <w:r>
                    <w:rPr>
                      <w:rFonts w:hint="default" w:ascii="Times New Roman" w:hAnsi="Times New Roman" w:eastAsia="宋体" w:cs="Times New Roman"/>
                      <w:b w:val="0"/>
                      <w:bCs w:val="0"/>
                      <w:i w:val="0"/>
                      <w:iCs w:val="0"/>
                      <w:caps w:val="0"/>
                      <w:color w:val="auto"/>
                      <w:spacing w:val="0"/>
                      <w:sz w:val="21"/>
                      <w:szCs w:val="21"/>
                      <w:shd w:val="clear" w:fill="FFFFFF"/>
                    </w:rPr>
                    <w:t>（四）坚决遏制高耗能、高排放、低水平项目盲目上马。新改扩建项目严格落实国家产业规划、产业政策、生态环境分区管控方案、规划环评、项目环评、节能审查、产能置换、重点污染物总量控制、污染物排放区域削减、碳排放达峰目标等相关要求，原则上采用清洁运输方式。涉及产能置换的项目，被置换产能及其配套设施关停后，新建项目方可投产。</w:t>
                  </w:r>
                </w:p>
                <w:p w14:paraId="700AE38D">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val="0"/>
                      <w:bCs w:val="0"/>
                      <w:i w:val="0"/>
                      <w:iCs w:val="0"/>
                      <w:caps w:val="0"/>
                      <w:color w:val="auto"/>
                      <w:spacing w:val="0"/>
                      <w:sz w:val="21"/>
                      <w:szCs w:val="21"/>
                    </w:rPr>
                  </w:pPr>
                  <w:r>
                    <w:rPr>
                      <w:rFonts w:hint="default" w:ascii="Times New Roman" w:hAnsi="Times New Roman" w:eastAsia="宋体" w:cs="Times New Roman"/>
                      <w:b w:val="0"/>
                      <w:bCs w:val="0"/>
                      <w:i w:val="0"/>
                      <w:iCs w:val="0"/>
                      <w:caps w:val="0"/>
                      <w:color w:val="auto"/>
                      <w:spacing w:val="0"/>
                      <w:sz w:val="21"/>
                      <w:szCs w:val="21"/>
                      <w:shd w:val="clear" w:fill="FFFFFF"/>
                    </w:rPr>
                    <w:t>严禁新增钢铁产能。推行钢铁、焦化、烧结一体化布局，大幅减少独立焦化、烧结、球团和热轧企业及工序，淘汰落后煤炭洗选产能；有序引导高炉—转炉长流程炼钢转型为电炉短流程炼钢。到2025年，短流程炼钢产量占比达15%。京津冀及周边地区继续实施“以钢定焦”，炼焦产能与长流程炼钢产能比控制在0.4左右。</w:t>
                  </w:r>
                </w:p>
                <w:p w14:paraId="1BEBA7CA">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val="0"/>
                      <w:bCs w:val="0"/>
                      <w:color w:val="auto"/>
                      <w:spacing w:val="9"/>
                      <w:sz w:val="21"/>
                      <w:szCs w:val="21"/>
                    </w:rPr>
                  </w:pPr>
                  <w:r>
                    <w:rPr>
                      <w:rFonts w:hint="default" w:ascii="Times New Roman" w:hAnsi="Times New Roman" w:eastAsia="宋体" w:cs="Times New Roman"/>
                      <w:b w:val="0"/>
                      <w:bCs w:val="0"/>
                      <w:i w:val="0"/>
                      <w:iCs w:val="0"/>
                      <w:caps w:val="0"/>
                      <w:color w:val="auto"/>
                      <w:spacing w:val="0"/>
                      <w:sz w:val="21"/>
                      <w:szCs w:val="21"/>
                      <w:shd w:val="clear" w:fill="FFFFFF"/>
                    </w:rPr>
                    <w:t>（五）加快退出重点行业落后产能。修订《产业结构调整指导目录》，研究将污染物或温室气体排放明显高出行业平均水平、能效和清洁生产水平低的工艺和装备纳入淘汰类和限制类名单。重点区域进一步提高落后产能能耗、环保、质量、安全、技术等要求，逐步退出限制类涉气行业工艺和装备；逐步淘汰步进式烧结机和球团竖炉以及半封闭式硅锰合金、镍铁、高碳铬铁、高碳锰铁电炉。引导重点区域钢铁、焦化、电解铝等产业有序调整优化。</w:t>
                  </w:r>
                </w:p>
              </w:tc>
              <w:tc>
                <w:tcPr>
                  <w:tcW w:w="1324" w:type="pct"/>
                  <w:tcBorders>
                    <w:tl2br w:val="nil"/>
                    <w:tr2bl w:val="nil"/>
                  </w:tcBorders>
                  <w:noWrap w:val="0"/>
                  <w:vAlign w:val="center"/>
                </w:tcPr>
                <w:p w14:paraId="72E30884">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val="0"/>
                      <w:bCs w:val="0"/>
                      <w:color w:val="auto"/>
                      <w:spacing w:val="9"/>
                      <w:sz w:val="21"/>
                      <w:szCs w:val="21"/>
                      <w:lang w:val="en-US" w:eastAsia="zh-CN"/>
                    </w:rPr>
                  </w:pPr>
                  <w:r>
                    <w:rPr>
                      <w:rFonts w:hint="default" w:ascii="Times New Roman" w:hAnsi="Times New Roman" w:cs="Times New Roman"/>
                      <w:color w:val="auto"/>
                      <w:sz w:val="21"/>
                      <w:szCs w:val="21"/>
                      <w:lang w:val="en-US" w:eastAsia="zh-CN"/>
                    </w:rPr>
                    <w:t>本项目为</w:t>
                  </w:r>
                  <w:r>
                    <w:rPr>
                      <w:rFonts w:hint="default" w:ascii="Times New Roman" w:hAnsi="Times New Roman" w:cs="Times New Roman"/>
                      <w:color w:val="auto"/>
                      <w:sz w:val="21"/>
                      <w:szCs w:val="21"/>
                      <w:lang w:eastAsia="zh-CN"/>
                    </w:rPr>
                    <w:t>火力发电业</w:t>
                  </w:r>
                  <w:r>
                    <w:rPr>
                      <w:rFonts w:hint="default" w:ascii="Times New Roman" w:hAnsi="Times New Roman" w:cs="Times New Roman"/>
                      <w:color w:val="auto"/>
                      <w:sz w:val="21"/>
                      <w:szCs w:val="21"/>
                      <w:lang w:val="en-US" w:eastAsia="zh-CN"/>
                    </w:rPr>
                    <w:t>，不属于产能置换项目，</w:t>
                  </w:r>
                  <w:r>
                    <w:rPr>
                      <w:rFonts w:hint="default" w:ascii="Times New Roman" w:hAnsi="Times New Roman" w:cs="Times New Roman"/>
                      <w:color w:val="auto"/>
                      <w:sz w:val="21"/>
                      <w:szCs w:val="21"/>
                    </w:rPr>
                    <w:t>符合产业政策，符合行业准入，符合生态环境准入清单</w:t>
                  </w:r>
                  <w:r>
                    <w:rPr>
                      <w:rFonts w:hint="default" w:ascii="Times New Roman" w:hAnsi="Times New Roman" w:cs="Times New Roman"/>
                      <w:color w:val="auto"/>
                      <w:sz w:val="21"/>
                      <w:szCs w:val="21"/>
                      <w:lang w:val="en-US" w:eastAsia="zh-CN"/>
                    </w:rPr>
                    <w:t>等要求</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符合</w:t>
                  </w:r>
                  <w:r>
                    <w:rPr>
                      <w:rFonts w:hint="default" w:ascii="Times New Roman" w:hAnsi="Times New Roman" w:cs="Times New Roman"/>
                      <w:color w:val="auto"/>
                      <w:sz w:val="21"/>
                      <w:szCs w:val="21"/>
                    </w:rPr>
                    <w:t>重点污染物总量控制、污染物排放区域削减、碳排放达峰目标等相关要求</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本项目已进行</w:t>
                  </w:r>
                  <w:r>
                    <w:rPr>
                      <w:rFonts w:hint="default" w:ascii="Times New Roman" w:hAnsi="Times New Roman" w:cs="Times New Roman"/>
                      <w:color w:val="auto"/>
                      <w:sz w:val="21"/>
                      <w:szCs w:val="21"/>
                      <w:lang w:val="zh-CN" w:eastAsia="zh-CN"/>
                    </w:rPr>
                    <w:t>碳排放的源项识别、源强核算、减污降碳措施。</w:t>
                  </w:r>
                  <w:r>
                    <w:rPr>
                      <w:rFonts w:hint="default" w:ascii="Times New Roman" w:hAnsi="Times New Roman" w:cs="Times New Roman"/>
                      <w:color w:val="auto"/>
                      <w:sz w:val="21"/>
                      <w:szCs w:val="21"/>
                      <w:lang w:val="en-US" w:eastAsia="zh-CN"/>
                    </w:rPr>
                    <w:t>详见本项目碳排放评价章节，项目利用上游吉木萨尔县恒信煤炭制品工贸有限公司120万吨煤制品深加工升级改造项目半焦（兰炭）副产煤气余能新建煤气发电项目，装机规模为1×45MW超高温超高压煤气发电机组，属于《产业结构调整指导目录（2024年本）》鼓励类项目（四十二、环境保护与资源节约综合利用：第11条“余热回收利用先进工艺技术与设备”），符合国家产业政策。</w:t>
                  </w:r>
                </w:p>
              </w:tc>
              <w:tc>
                <w:tcPr>
                  <w:tcW w:w="503" w:type="pct"/>
                  <w:tcBorders>
                    <w:tl2br w:val="nil"/>
                    <w:tr2bl w:val="nil"/>
                  </w:tcBorders>
                  <w:noWrap w:val="0"/>
                  <w:vAlign w:val="center"/>
                </w:tcPr>
                <w:p w14:paraId="176A82A6">
                  <w:pPr>
                    <w:pStyle w:val="109"/>
                    <w:keepNext w:val="0"/>
                    <w:keepLines w:val="0"/>
                    <w:pageBreakBefore w:val="0"/>
                    <w:widowControl w:val="0"/>
                    <w:kinsoku/>
                    <w:wordWrap/>
                    <w:overflowPunct/>
                    <w:topLinePunct w:val="0"/>
                    <w:autoSpaceDE/>
                    <w:autoSpaceDN/>
                    <w:bidi w:val="0"/>
                    <w:adjustRightInd/>
                    <w:snapToGrid/>
                    <w:spacing w:line="240" w:lineRule="auto"/>
                    <w:ind w:right="0" w:firstLine="0" w:firstLineChars="0"/>
                    <w:jc w:val="center"/>
                    <w:textAlignment w:val="auto"/>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pacing w:val="3"/>
                      <w:sz w:val="21"/>
                      <w:szCs w:val="21"/>
                    </w:rPr>
                    <w:t>符合</w:t>
                  </w:r>
                </w:p>
              </w:tc>
            </w:tr>
            <w:tr w14:paraId="4128DDD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419" w:type="pct"/>
                  <w:vMerge w:val="restart"/>
                  <w:tcBorders>
                    <w:tl2br w:val="nil"/>
                    <w:tr2bl w:val="nil"/>
                  </w:tcBorders>
                  <w:noWrap w:val="0"/>
                  <w:vAlign w:val="center"/>
                </w:tcPr>
                <w:p w14:paraId="4689437A">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val="0"/>
                      <w:bCs w:val="0"/>
                      <w:i w:val="0"/>
                      <w:iCs w:val="0"/>
                      <w:caps w:val="0"/>
                      <w:color w:val="auto"/>
                      <w:spacing w:val="0"/>
                      <w:sz w:val="21"/>
                      <w:szCs w:val="21"/>
                    </w:rPr>
                  </w:pPr>
                  <w:r>
                    <w:rPr>
                      <w:rStyle w:val="36"/>
                      <w:rFonts w:hint="default" w:ascii="Times New Roman" w:hAnsi="Times New Roman" w:eastAsia="宋体" w:cs="Times New Roman"/>
                      <w:b w:val="0"/>
                      <w:bCs w:val="0"/>
                      <w:i w:val="0"/>
                      <w:iCs w:val="0"/>
                      <w:caps w:val="0"/>
                      <w:color w:val="auto"/>
                      <w:spacing w:val="0"/>
                      <w:sz w:val="21"/>
                      <w:szCs w:val="21"/>
                      <w:shd w:val="clear" w:fill="FFFFFF"/>
                    </w:rPr>
                    <w:t>三、优化能源结构，加速能源清洁低碳高效发展</w:t>
                  </w:r>
                </w:p>
                <w:p w14:paraId="1E7CDE24">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val="0"/>
                      <w:bCs w:val="0"/>
                      <w:color w:val="auto"/>
                      <w:spacing w:val="9"/>
                      <w:sz w:val="21"/>
                      <w:szCs w:val="21"/>
                      <w:lang w:val="en-US" w:eastAsia="zh-CN"/>
                    </w:rPr>
                  </w:pPr>
                </w:p>
              </w:tc>
              <w:tc>
                <w:tcPr>
                  <w:tcW w:w="2752" w:type="pct"/>
                  <w:tcBorders>
                    <w:tl2br w:val="nil"/>
                    <w:tr2bl w:val="nil"/>
                  </w:tcBorders>
                  <w:noWrap w:val="0"/>
                  <w:vAlign w:val="center"/>
                </w:tcPr>
                <w:p w14:paraId="7778B58B">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val="0"/>
                      <w:bCs w:val="0"/>
                      <w:color w:val="auto"/>
                      <w:spacing w:val="9"/>
                      <w:sz w:val="21"/>
                      <w:szCs w:val="21"/>
                    </w:rPr>
                  </w:pPr>
                  <w:r>
                    <w:rPr>
                      <w:rFonts w:hint="default" w:ascii="Times New Roman" w:hAnsi="Times New Roman" w:eastAsia="宋体" w:cs="Times New Roman"/>
                      <w:b w:val="0"/>
                      <w:bCs w:val="0"/>
                      <w:i w:val="0"/>
                      <w:iCs w:val="0"/>
                      <w:caps w:val="0"/>
                      <w:color w:val="auto"/>
                      <w:spacing w:val="0"/>
                      <w:sz w:val="21"/>
                      <w:szCs w:val="21"/>
                      <w:shd w:val="clear" w:fill="FFFFFF"/>
                    </w:rPr>
                    <w:t>（十）严格合理控制煤炭消费总量。在保障能源安全供应的前提下，重点区域继续实施煤炭消费总量控制。到2025年，京津冀及周边地区、长三角地区煤炭消费量较2020年分别下降10%和5%左右，汾渭平原煤炭消费量实现负增长，重点削减非电力用煤。重点区域新改扩建用煤项目，依法实行煤炭等量或减量替代，</w:t>
                  </w:r>
                  <w:r>
                    <w:rPr>
                      <w:rFonts w:hint="default" w:ascii="Times New Roman" w:hAnsi="Times New Roman" w:eastAsia="宋体" w:cs="Times New Roman"/>
                      <w:b w:val="0"/>
                      <w:bCs w:val="0"/>
                      <w:color w:val="auto"/>
                      <w:spacing w:val="9"/>
                      <w:kern w:val="2"/>
                      <w:sz w:val="21"/>
                      <w:szCs w:val="21"/>
                      <w:lang w:val="en-US" w:eastAsia="en-US" w:bidi="ar-SA"/>
                    </w:rPr>
                    <w:t>替代</w:t>
                  </w:r>
                  <w:r>
                    <w:rPr>
                      <w:rFonts w:hint="default" w:ascii="Times New Roman" w:hAnsi="Times New Roman" w:eastAsia="宋体" w:cs="Times New Roman"/>
                      <w:b w:val="0"/>
                      <w:bCs w:val="0"/>
                      <w:i w:val="0"/>
                      <w:iCs w:val="0"/>
                      <w:caps w:val="0"/>
                      <w:color w:val="auto"/>
                      <w:spacing w:val="0"/>
                      <w:sz w:val="21"/>
                      <w:szCs w:val="21"/>
                      <w:shd w:val="clear" w:fill="FFFFFF"/>
                    </w:rPr>
                    <w:t>方案不完善的不予审批；不得将使用石油焦、焦炭、兰炭等高污染燃料作为煤炭减量替代措施。完善重点区域煤炭消费减量替代管理办法，煤矸石、原料用煤不纳入煤炭消费总量考核。原则上不再新增自备燃煤机组，支持自备燃煤机组实施清洁能源替代。对支撑电力稳定供应、电网安全运行、清洁能源大规模并网消纳的煤电项目及其用煤量应予以合理保障。</w:t>
                  </w:r>
                </w:p>
              </w:tc>
              <w:tc>
                <w:tcPr>
                  <w:tcW w:w="1324" w:type="pct"/>
                  <w:vMerge w:val="restart"/>
                  <w:tcBorders>
                    <w:tl2br w:val="nil"/>
                    <w:tr2bl w:val="nil"/>
                  </w:tcBorders>
                  <w:noWrap w:val="0"/>
                  <w:vAlign w:val="center"/>
                </w:tcPr>
                <w:p w14:paraId="0C8A3826">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本项目依托吉木萨尔县恒信煤炭制品工贸有限公司120万吨煤制品深加工升级改造项目的富余煤气资源建设发电系统</w:t>
                  </w:r>
                  <w:r>
                    <w:rPr>
                      <w:rFonts w:hint="eastAsia" w:ascii="Times New Roman" w:hAnsi="Times New Roman" w:cs="Times New Roman" w:eastAsiaTheme="minorEastAsia"/>
                      <w:color w:val="auto"/>
                      <w:kern w:val="2"/>
                      <w:sz w:val="21"/>
                      <w:szCs w:val="21"/>
                      <w:lang w:val="en-US" w:eastAsia="zh-CN" w:bidi="ar-SA"/>
                    </w:rPr>
                    <w:t>。</w:t>
                  </w:r>
                  <w:r>
                    <w:rPr>
                      <w:rFonts w:hint="default" w:ascii="Times New Roman" w:hAnsi="Times New Roman" w:cs="Times New Roman" w:eastAsiaTheme="minorEastAsia"/>
                      <w:color w:val="auto"/>
                      <w:kern w:val="2"/>
                      <w:sz w:val="21"/>
                      <w:szCs w:val="21"/>
                      <w:lang w:val="en-US" w:eastAsia="zh-CN" w:bidi="ar-SA"/>
                    </w:rPr>
                    <w:t>项目同步配备完善的脱硝、脱硫除尘处理设施，可确保烟气排放全面满足排放标准，大幅降低对周边环境的影响。</w:t>
                  </w:r>
                </w:p>
                <w:p w14:paraId="7CA50567">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val="0"/>
                      <w:bCs w:val="0"/>
                      <w:color w:val="auto"/>
                      <w:spacing w:val="9"/>
                      <w:sz w:val="21"/>
                      <w:szCs w:val="21"/>
                      <w:lang w:val="en-US" w:eastAsia="zh-CN"/>
                    </w:rPr>
                  </w:pPr>
                </w:p>
              </w:tc>
              <w:tc>
                <w:tcPr>
                  <w:tcW w:w="503" w:type="pct"/>
                  <w:tcBorders>
                    <w:tl2br w:val="nil"/>
                    <w:tr2bl w:val="nil"/>
                  </w:tcBorders>
                  <w:noWrap w:val="0"/>
                  <w:vAlign w:val="center"/>
                </w:tcPr>
                <w:p w14:paraId="45866D64">
                  <w:pPr>
                    <w:pStyle w:val="109"/>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b w:val="0"/>
                      <w:bCs w:val="0"/>
                      <w:color w:val="auto"/>
                      <w:spacing w:val="9"/>
                      <w:sz w:val="21"/>
                      <w:szCs w:val="21"/>
                      <w:lang w:val="en-US" w:eastAsia="zh-CN"/>
                    </w:rPr>
                  </w:pPr>
                  <w:r>
                    <w:rPr>
                      <w:rFonts w:hint="default" w:ascii="Times New Roman" w:hAnsi="Times New Roman" w:eastAsia="宋体" w:cs="Times New Roman"/>
                      <w:b w:val="0"/>
                      <w:bCs w:val="0"/>
                      <w:color w:val="auto"/>
                      <w:spacing w:val="9"/>
                      <w:sz w:val="21"/>
                      <w:szCs w:val="21"/>
                      <w:lang w:val="en-US" w:eastAsia="zh-CN"/>
                    </w:rPr>
                    <w:t>符合</w:t>
                  </w:r>
                </w:p>
              </w:tc>
            </w:tr>
            <w:tr w14:paraId="03291B1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419" w:type="pct"/>
                  <w:vMerge w:val="continue"/>
                  <w:tcBorders>
                    <w:tl2br w:val="nil"/>
                    <w:tr2bl w:val="nil"/>
                  </w:tcBorders>
                  <w:noWrap w:val="0"/>
                  <w:vAlign w:val="center"/>
                </w:tcPr>
                <w:p w14:paraId="286E4514">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val="0"/>
                      <w:bCs w:val="0"/>
                      <w:color w:val="auto"/>
                      <w:spacing w:val="9"/>
                      <w:sz w:val="21"/>
                      <w:szCs w:val="21"/>
                      <w:lang w:val="en-US" w:eastAsia="zh-CN"/>
                    </w:rPr>
                  </w:pPr>
                </w:p>
              </w:tc>
              <w:tc>
                <w:tcPr>
                  <w:tcW w:w="2752" w:type="pct"/>
                  <w:tcBorders>
                    <w:tl2br w:val="nil"/>
                    <w:tr2bl w:val="nil"/>
                  </w:tcBorders>
                  <w:noWrap w:val="0"/>
                  <w:vAlign w:val="center"/>
                </w:tcPr>
                <w:p w14:paraId="362E86D9">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val="0"/>
                      <w:bCs w:val="0"/>
                      <w:color w:val="auto"/>
                      <w:spacing w:val="9"/>
                      <w:sz w:val="21"/>
                      <w:szCs w:val="21"/>
                    </w:rPr>
                  </w:pPr>
                  <w:r>
                    <w:rPr>
                      <w:rFonts w:hint="default" w:ascii="Times New Roman" w:hAnsi="Times New Roman" w:eastAsia="宋体" w:cs="Times New Roman"/>
                      <w:b w:val="0"/>
                      <w:bCs w:val="0"/>
                      <w:i w:val="0"/>
                      <w:iCs w:val="0"/>
                      <w:caps w:val="0"/>
                      <w:color w:val="auto"/>
                      <w:spacing w:val="0"/>
                      <w:sz w:val="21"/>
                      <w:szCs w:val="21"/>
                      <w:shd w:val="clear" w:fill="FFFFFF"/>
                    </w:rPr>
                    <w:t>（十一）积极开展燃煤锅炉关停整合。各地要将燃煤供热锅炉替代项目纳入城镇供热规划。县级及以上城市建成区原则上不再新建35蒸吨/小时及以下燃煤锅炉，重点区域原则上不再新建除集中供暖外的燃煤锅炉。加快热力管网建设，依托电厂、大型工业企业开展远距离供热示范，淘汰管网覆盖范围内的燃煤锅炉和散煤。到2025年，PM</w:t>
                  </w:r>
                  <w:r>
                    <w:rPr>
                      <w:rFonts w:hint="default" w:ascii="Times New Roman" w:hAnsi="Times New Roman" w:eastAsia="宋体" w:cs="Times New Roman"/>
                      <w:b w:val="0"/>
                      <w:bCs w:val="0"/>
                      <w:i w:val="0"/>
                      <w:iCs w:val="0"/>
                      <w:caps w:val="0"/>
                      <w:color w:val="auto"/>
                      <w:spacing w:val="0"/>
                      <w:sz w:val="21"/>
                      <w:szCs w:val="21"/>
                      <w:shd w:val="clear" w:fill="FFFFFF"/>
                      <w:vertAlign w:val="subscript"/>
                    </w:rPr>
                    <w:t>2.5</w:t>
                  </w:r>
                  <w:r>
                    <w:rPr>
                      <w:rFonts w:hint="default" w:ascii="Times New Roman" w:hAnsi="Times New Roman" w:eastAsia="宋体" w:cs="Times New Roman"/>
                      <w:b w:val="0"/>
                      <w:bCs w:val="0"/>
                      <w:i w:val="0"/>
                      <w:iCs w:val="0"/>
                      <w:caps w:val="0"/>
                      <w:color w:val="auto"/>
                      <w:spacing w:val="0"/>
                      <w:sz w:val="21"/>
                      <w:szCs w:val="21"/>
                      <w:shd w:val="clear" w:fill="FFFFFF"/>
                    </w:rPr>
                    <w:t>未达标城市基本淘汰10蒸吨/小时及以下燃煤锅炉；重点区域基本淘汰35蒸吨/小时及以下燃煤锅炉及茶水炉、经营性炉灶、储粮烘干设备、农产品加工等燃煤设施，充分发挥30万千瓦及以上热电联产电厂的供热能力，对其供热半径30公里范围内的燃煤锅炉和落后燃煤小热电机组（含自备电厂）进行关停或整合。</w:t>
                  </w:r>
                </w:p>
              </w:tc>
              <w:tc>
                <w:tcPr>
                  <w:tcW w:w="1324" w:type="pct"/>
                  <w:vMerge w:val="continue"/>
                  <w:tcBorders>
                    <w:tl2br w:val="nil"/>
                    <w:tr2bl w:val="nil"/>
                  </w:tcBorders>
                  <w:noWrap w:val="0"/>
                  <w:vAlign w:val="center"/>
                </w:tcPr>
                <w:p w14:paraId="680896BF">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val="0"/>
                      <w:bCs w:val="0"/>
                      <w:color w:val="auto"/>
                      <w:spacing w:val="9"/>
                      <w:sz w:val="21"/>
                      <w:szCs w:val="21"/>
                      <w:lang w:val="en-US" w:eastAsia="zh-CN"/>
                    </w:rPr>
                  </w:pPr>
                </w:p>
              </w:tc>
              <w:tc>
                <w:tcPr>
                  <w:tcW w:w="503" w:type="pct"/>
                  <w:tcBorders>
                    <w:tl2br w:val="nil"/>
                    <w:tr2bl w:val="nil"/>
                  </w:tcBorders>
                  <w:noWrap w:val="0"/>
                  <w:vAlign w:val="center"/>
                </w:tcPr>
                <w:p w14:paraId="048784A4">
                  <w:pPr>
                    <w:pStyle w:val="109"/>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b w:val="0"/>
                      <w:bCs w:val="0"/>
                      <w:color w:val="auto"/>
                      <w:spacing w:val="9"/>
                      <w:sz w:val="21"/>
                      <w:szCs w:val="21"/>
                      <w:lang w:val="en-US" w:eastAsia="zh-CN"/>
                    </w:rPr>
                  </w:pPr>
                  <w:r>
                    <w:rPr>
                      <w:rFonts w:hint="default" w:ascii="Times New Roman" w:hAnsi="Times New Roman" w:eastAsia="宋体" w:cs="Times New Roman"/>
                      <w:b w:val="0"/>
                      <w:bCs w:val="0"/>
                      <w:color w:val="auto"/>
                      <w:spacing w:val="9"/>
                      <w:sz w:val="21"/>
                      <w:szCs w:val="21"/>
                      <w:lang w:val="en-US" w:eastAsia="zh-CN"/>
                    </w:rPr>
                    <w:t>符合</w:t>
                  </w:r>
                </w:p>
              </w:tc>
            </w:tr>
            <w:tr w14:paraId="3A9505E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419" w:type="pct"/>
                  <w:tcBorders>
                    <w:tl2br w:val="nil"/>
                    <w:tr2bl w:val="nil"/>
                  </w:tcBorders>
                  <w:noWrap w:val="0"/>
                  <w:vAlign w:val="center"/>
                </w:tcPr>
                <w:p w14:paraId="2152B4A8">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val="0"/>
                      <w:bCs w:val="0"/>
                      <w:i w:val="0"/>
                      <w:iCs w:val="0"/>
                      <w:caps w:val="0"/>
                      <w:color w:val="auto"/>
                      <w:spacing w:val="0"/>
                      <w:sz w:val="21"/>
                      <w:szCs w:val="21"/>
                      <w:shd w:val="clear" w:fill="FFFFFF"/>
                    </w:rPr>
                  </w:pPr>
                  <w:r>
                    <w:rPr>
                      <w:rFonts w:hint="default" w:ascii="Times New Roman" w:hAnsi="Times New Roman" w:eastAsia="宋体" w:cs="Times New Roman"/>
                      <w:b w:val="0"/>
                      <w:bCs w:val="0"/>
                      <w:i w:val="0"/>
                      <w:iCs w:val="0"/>
                      <w:caps w:val="0"/>
                      <w:color w:val="auto"/>
                      <w:spacing w:val="0"/>
                      <w:sz w:val="21"/>
                      <w:szCs w:val="21"/>
                      <w:shd w:val="clear" w:fill="FFFFFF"/>
                    </w:rPr>
                    <w:t>七、加强机制建设，完善大气环境管理体系</w:t>
                  </w:r>
                </w:p>
                <w:p w14:paraId="7B3B9A48">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val="0"/>
                      <w:bCs w:val="0"/>
                      <w:i w:val="0"/>
                      <w:iCs w:val="0"/>
                      <w:caps w:val="0"/>
                      <w:color w:val="auto"/>
                      <w:spacing w:val="0"/>
                      <w:sz w:val="21"/>
                      <w:szCs w:val="21"/>
                      <w:shd w:val="clear" w:fill="FFFFFF"/>
                      <w:lang w:val="en-US" w:eastAsia="zh-CN"/>
                    </w:rPr>
                  </w:pPr>
                </w:p>
              </w:tc>
              <w:tc>
                <w:tcPr>
                  <w:tcW w:w="2752" w:type="pct"/>
                  <w:tcBorders>
                    <w:tl2br w:val="nil"/>
                    <w:tr2bl w:val="nil"/>
                  </w:tcBorders>
                  <w:noWrap w:val="0"/>
                  <w:vAlign w:val="center"/>
                </w:tcPr>
                <w:p w14:paraId="765A49FD">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val="0"/>
                      <w:bCs w:val="0"/>
                      <w:i w:val="0"/>
                      <w:iCs w:val="0"/>
                      <w:caps w:val="0"/>
                      <w:color w:val="auto"/>
                      <w:spacing w:val="0"/>
                      <w:sz w:val="21"/>
                      <w:szCs w:val="21"/>
                      <w:shd w:val="clear" w:fill="FFFFFF"/>
                    </w:rPr>
                  </w:pPr>
                  <w:r>
                    <w:rPr>
                      <w:rFonts w:hint="default" w:ascii="Times New Roman" w:hAnsi="Times New Roman" w:eastAsia="宋体" w:cs="Times New Roman"/>
                      <w:b w:val="0"/>
                      <w:bCs w:val="0"/>
                      <w:i w:val="0"/>
                      <w:iCs w:val="0"/>
                      <w:caps w:val="0"/>
                      <w:color w:val="auto"/>
                      <w:spacing w:val="0"/>
                      <w:kern w:val="0"/>
                      <w:sz w:val="21"/>
                      <w:szCs w:val="21"/>
                      <w:shd w:val="clear" w:fill="FFFFFF"/>
                      <w:lang w:val="en-US" w:eastAsia="zh-CN" w:bidi="ar"/>
                    </w:rPr>
                    <w:t>（二十七）完善重污染天气应对机制。建立健全省市县三级重污染天气应急预案体系，明确地方各级政府部门责任分工，规范重污染天气预警启动、响应、解除工作流程。优化重污染天气预警启动标准。完善重点行业企业绩效分级指标体系，规范企业绩效分级管理流程，鼓励开展绩效等级提升行动。结合排污许可制度，确保应急减排清单覆盖所有涉气企业。位于同一区域的城市要按照区域预警提示信息，依法依规同步采取应急响应措施。</w:t>
                  </w:r>
                </w:p>
              </w:tc>
              <w:tc>
                <w:tcPr>
                  <w:tcW w:w="1324" w:type="pct"/>
                  <w:tcBorders>
                    <w:tl2br w:val="nil"/>
                    <w:tr2bl w:val="nil"/>
                  </w:tcBorders>
                  <w:noWrap w:val="0"/>
                  <w:vAlign w:val="center"/>
                </w:tcPr>
                <w:p w14:paraId="718FE9EB">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val="0"/>
                      <w:bCs w:val="0"/>
                      <w:i w:val="0"/>
                      <w:iCs w:val="0"/>
                      <w:caps w:val="0"/>
                      <w:color w:val="auto"/>
                      <w:spacing w:val="0"/>
                      <w:sz w:val="21"/>
                      <w:szCs w:val="21"/>
                      <w:shd w:val="clear" w:fill="FFFFFF"/>
                      <w:lang w:val="en-US" w:eastAsia="zh-CN"/>
                    </w:rPr>
                  </w:pPr>
                  <w:r>
                    <w:rPr>
                      <w:rFonts w:hint="default" w:ascii="Times New Roman" w:hAnsi="Times New Roman" w:eastAsia="宋体" w:cs="Times New Roman"/>
                      <w:b w:val="0"/>
                      <w:bCs w:val="0"/>
                      <w:color w:val="auto"/>
                      <w:spacing w:val="9"/>
                      <w:sz w:val="21"/>
                      <w:szCs w:val="21"/>
                      <w:lang w:val="en-US" w:eastAsia="zh-CN"/>
                    </w:rPr>
                    <w:t>本项目积极响应重污染天气相关行动。</w:t>
                  </w:r>
                </w:p>
              </w:tc>
              <w:tc>
                <w:tcPr>
                  <w:tcW w:w="503" w:type="pct"/>
                  <w:tcBorders>
                    <w:tl2br w:val="nil"/>
                    <w:tr2bl w:val="nil"/>
                  </w:tcBorders>
                  <w:noWrap w:val="0"/>
                  <w:vAlign w:val="center"/>
                </w:tcPr>
                <w:p w14:paraId="235797C1">
                  <w:pPr>
                    <w:pStyle w:val="2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jc w:val="center"/>
                    <w:textAlignment w:val="auto"/>
                    <w:rPr>
                      <w:rFonts w:hint="default" w:ascii="Times New Roman" w:hAnsi="Times New Roman" w:eastAsia="宋体" w:cs="Times New Roman"/>
                      <w:b w:val="0"/>
                      <w:bCs w:val="0"/>
                      <w:i w:val="0"/>
                      <w:iCs w:val="0"/>
                      <w:caps w:val="0"/>
                      <w:color w:val="auto"/>
                      <w:spacing w:val="0"/>
                      <w:sz w:val="21"/>
                      <w:szCs w:val="21"/>
                      <w:shd w:val="clear" w:fill="FFFFFF"/>
                      <w:lang w:val="en-US" w:eastAsia="zh-CN"/>
                    </w:rPr>
                  </w:pPr>
                  <w:r>
                    <w:rPr>
                      <w:rFonts w:hint="default" w:ascii="Times New Roman" w:hAnsi="Times New Roman" w:cs="Times New Roman"/>
                      <w:b w:val="0"/>
                      <w:bCs w:val="0"/>
                      <w:i w:val="0"/>
                      <w:iCs w:val="0"/>
                      <w:caps w:val="0"/>
                      <w:color w:val="auto"/>
                      <w:spacing w:val="0"/>
                      <w:sz w:val="21"/>
                      <w:szCs w:val="21"/>
                      <w:shd w:val="clear" w:fill="FFFFFF"/>
                      <w:lang w:val="en-US" w:eastAsia="zh-CN"/>
                    </w:rPr>
                    <w:t>符合</w:t>
                  </w:r>
                </w:p>
              </w:tc>
            </w:tr>
          </w:tbl>
          <w:p w14:paraId="5B7D99C7">
            <w:pPr>
              <w:keepNext w:val="0"/>
              <w:keepLines w:val="0"/>
              <w:pageBreakBefore w:val="0"/>
              <w:widowControl w:val="0"/>
              <w:kinsoku/>
              <w:wordWrap/>
              <w:overflowPunct/>
              <w:topLinePunct w:val="0"/>
              <w:autoSpaceDE w:val="0"/>
              <w:autoSpaceDN w:val="0"/>
              <w:bidi w:val="0"/>
              <w:adjustRightInd/>
              <w:snapToGrid/>
              <w:spacing w:line="360" w:lineRule="auto"/>
              <w:ind w:firstLine="482" w:firstLineChars="200"/>
              <w:jc w:val="both"/>
              <w:textAlignment w:val="auto"/>
              <w:rPr>
                <w:rFonts w:hint="default" w:ascii="Times New Roman" w:hAnsi="Times New Roman" w:eastAsia="宋体" w:cs="Times New Roman"/>
                <w:b/>
                <w:bCs/>
                <w:color w:val="auto"/>
                <w:spacing w:val="0"/>
                <w:kern w:val="0"/>
                <w:sz w:val="24"/>
                <w:szCs w:val="24"/>
                <w:highlight w:val="none"/>
                <w:lang w:val="en-US" w:eastAsia="zh-CN"/>
              </w:rPr>
            </w:pPr>
            <w:r>
              <w:rPr>
                <w:rFonts w:hint="default" w:ascii="Times New Roman" w:hAnsi="Times New Roman" w:cs="Times New Roman"/>
                <w:b/>
                <w:bCs/>
                <w:color w:val="auto"/>
                <w:spacing w:val="0"/>
                <w:kern w:val="0"/>
                <w:sz w:val="24"/>
                <w:szCs w:val="24"/>
                <w:highlight w:val="none"/>
                <w:lang w:val="en-US" w:eastAsia="zh-CN"/>
              </w:rPr>
              <w:t>7</w:t>
            </w:r>
            <w:r>
              <w:rPr>
                <w:rFonts w:hint="default" w:ascii="Times New Roman" w:hAnsi="Times New Roman" w:eastAsia="宋体" w:cs="Times New Roman"/>
                <w:b/>
                <w:bCs/>
                <w:color w:val="auto"/>
                <w:spacing w:val="0"/>
                <w:kern w:val="0"/>
                <w:sz w:val="24"/>
                <w:szCs w:val="24"/>
                <w:highlight w:val="none"/>
                <w:lang w:val="en-US" w:eastAsia="zh-CN"/>
              </w:rPr>
              <w:t>.与《新疆生态环境保护“十四五”规划》的符合性分析</w:t>
            </w:r>
          </w:p>
          <w:p w14:paraId="2AD4F2E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b w:val="0"/>
                <w:bCs/>
                <w:snapToGrid w:val="0"/>
                <w:color w:val="auto"/>
                <w:spacing w:val="0"/>
                <w:kern w:val="0"/>
                <w:sz w:val="24"/>
                <w:szCs w:val="24"/>
                <w:highlight w:val="none"/>
                <w:lang w:val="en-US" w:eastAsia="zh-CN"/>
              </w:rPr>
            </w:pPr>
            <w:r>
              <w:rPr>
                <w:rFonts w:hint="default" w:ascii="Times New Roman" w:hAnsi="Times New Roman" w:eastAsia="宋体" w:cs="Times New Roman"/>
                <w:b w:val="0"/>
                <w:bCs/>
                <w:snapToGrid w:val="0"/>
                <w:color w:val="auto"/>
                <w:spacing w:val="0"/>
                <w:kern w:val="0"/>
                <w:sz w:val="24"/>
                <w:szCs w:val="24"/>
                <w:highlight w:val="none"/>
                <w:lang w:val="en-US" w:eastAsia="zh-CN"/>
              </w:rPr>
              <w:t>《新疆生态环境保护“十四五”规划》中“第三章实施最严格的生态保护制度。坚决遏制“两高”项目盲目发展，严格执行能源、矿产资源开发自治区人民政府“一支笔”审批制度、环境保护“一票否决”制度，落实“三线一单”生态环境分区管控要求，守住生态保护红线、环境质量底线和资源利用上线，实施生态环境准入清单管控。</w:t>
            </w:r>
          </w:p>
          <w:p w14:paraId="1CFE494E">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b w:val="0"/>
                <w:bCs/>
                <w:snapToGrid w:val="0"/>
                <w:color w:val="auto"/>
                <w:spacing w:val="0"/>
                <w:kern w:val="0"/>
                <w:sz w:val="24"/>
                <w:szCs w:val="24"/>
                <w:highlight w:val="none"/>
                <w:lang w:val="en-US" w:eastAsia="zh-CN"/>
              </w:rPr>
            </w:pPr>
            <w:r>
              <w:rPr>
                <w:rFonts w:hint="default" w:ascii="Times New Roman" w:hAnsi="Times New Roman" w:eastAsia="宋体" w:cs="Times New Roman"/>
                <w:b w:val="0"/>
                <w:bCs/>
                <w:snapToGrid w:val="0"/>
                <w:color w:val="auto"/>
                <w:spacing w:val="0"/>
                <w:kern w:val="0"/>
                <w:sz w:val="24"/>
                <w:szCs w:val="24"/>
                <w:highlight w:val="none"/>
                <w:lang w:val="en-US" w:eastAsia="zh-CN"/>
              </w:rPr>
              <w:t>第二章指导思想、基本原则与主要目标第三节建设清洁低碳能源体系严格控制煤炭消费。加强能耗“双控”管理，合理控制能源消费增量，优化能源消费结构，对“乌—昌—石”“奎—独—乌”等重点区域实施新建用煤项目等量或减量替代。合理控制煤电装机规模，有序淘汰煤电落后产能，推进燃煤电厂灵活性和供热改造。按照宜电则电、宜气则气的原则，继续推进“电气化新疆”建设，实施清洁能源行动计划，加快城乡结合部、农村民用和农业生产散烧煤的清洁能源替代，加大可再生能源消纳力度。</w:t>
            </w:r>
          </w:p>
          <w:p w14:paraId="03945AA7">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b w:val="0"/>
                <w:bCs/>
                <w:snapToGrid w:val="0"/>
                <w:color w:val="auto"/>
                <w:spacing w:val="0"/>
                <w:kern w:val="0"/>
                <w:sz w:val="24"/>
                <w:szCs w:val="24"/>
                <w:highlight w:val="none"/>
                <w:lang w:val="en-US" w:eastAsia="zh-CN"/>
              </w:rPr>
            </w:pPr>
            <w:r>
              <w:rPr>
                <w:rFonts w:hint="default" w:ascii="Times New Roman" w:hAnsi="Times New Roman" w:eastAsia="宋体" w:cs="Times New Roman"/>
                <w:b w:val="0"/>
                <w:bCs/>
                <w:snapToGrid w:val="0"/>
                <w:color w:val="auto"/>
                <w:spacing w:val="0"/>
                <w:kern w:val="0"/>
                <w:sz w:val="24"/>
                <w:szCs w:val="24"/>
                <w:highlight w:val="none"/>
                <w:lang w:val="en-US" w:eastAsia="zh-CN"/>
              </w:rPr>
              <w:t>第四章应对气候变化，控制温室气体排放第二节控制温室气体排放控制重点领域二氧化碳排放。推动能源、钢铁、建材、有色、电力、化工等重点领域技术升级，控制工业过程温室气体排放，推动工业领域绿色低碳发展。积极鼓励发展二氧化碳捕集利用与封存等低碳技术。</w:t>
            </w:r>
          </w:p>
          <w:p w14:paraId="3A6EFB22">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color w:val="auto"/>
                <w:spacing w:val="0"/>
                <w:kern w:val="0"/>
                <w:sz w:val="24"/>
                <w:szCs w:val="24"/>
                <w:highlight w:val="none"/>
                <w:lang w:val="en-US" w:eastAsia="zh-CN"/>
              </w:rPr>
            </w:pPr>
            <w:r>
              <w:rPr>
                <w:rFonts w:hint="default" w:ascii="Times New Roman" w:hAnsi="Times New Roman" w:eastAsia="宋体" w:cs="Times New Roman"/>
                <w:b w:val="0"/>
                <w:bCs/>
                <w:snapToGrid w:val="0"/>
                <w:color w:val="auto"/>
                <w:spacing w:val="0"/>
                <w:kern w:val="0"/>
                <w:sz w:val="24"/>
                <w:szCs w:val="24"/>
                <w:highlight w:val="none"/>
                <w:lang w:val="en-US" w:eastAsia="zh-CN"/>
              </w:rPr>
              <w:t>第五章加强协同控制，改善大气环境第二节分区施策改善区域大气环境分区推进环境空气质量改善行动。加大天山北坡区域大气污染同防同治力度，巩固和扩大“乌—昌—石”“奎—独—乌”大气污染防治工作成果，推进伊宁市及周边区域大气污染防控，进一步深化工业污染源深度治理，加强采暖季大气污染控制。深入推进重点区域大气污染治理。深入推进“乌—昌—石”“奎—独—乌”和伊宁市及周边区域大气污染治理，加快推进“乌—昌—石”区域城市细颗粒物和臭氧协同防控“一市一策”驻点跟踪研究工作。强化区域大气污染联防联控，合理确定产业布局，推动区域内统一产业准入和排放标准。全面推行绿色施工，持续推动城市建成区重污染企业搬迁或关闭退出。第三节持续推进涉气污染源治理实施重点行业氮氧化物</w:t>
            </w:r>
            <w:r>
              <w:rPr>
                <w:rFonts w:hint="default" w:ascii="Times New Roman" w:hAnsi="Times New Roman" w:cs="Times New Roman"/>
                <w:b w:val="0"/>
                <w:bCs/>
                <w:snapToGrid w:val="0"/>
                <w:color w:val="auto"/>
                <w:spacing w:val="0"/>
                <w:kern w:val="0"/>
                <w:sz w:val="24"/>
                <w:szCs w:val="24"/>
                <w:highlight w:val="none"/>
                <w:lang w:val="en-US" w:eastAsia="zh-CN"/>
              </w:rPr>
              <w:t>（</w:t>
            </w:r>
            <w:r>
              <w:rPr>
                <w:rFonts w:hint="default" w:ascii="Times New Roman" w:hAnsi="Times New Roman" w:eastAsia="宋体" w:cs="Times New Roman"/>
                <w:b w:val="0"/>
                <w:bCs/>
                <w:snapToGrid w:val="0"/>
                <w:color w:val="auto"/>
                <w:spacing w:val="0"/>
                <w:kern w:val="0"/>
                <w:sz w:val="24"/>
                <w:szCs w:val="24"/>
                <w:highlight w:val="none"/>
                <w:lang w:val="en-US" w:eastAsia="zh-CN"/>
              </w:rPr>
              <w:t>以下简称“NOx”</w:t>
            </w:r>
            <w:r>
              <w:rPr>
                <w:rFonts w:hint="default" w:ascii="Times New Roman" w:hAnsi="Times New Roman" w:cs="Times New Roman"/>
                <w:b w:val="0"/>
                <w:bCs/>
                <w:snapToGrid w:val="0"/>
                <w:color w:val="auto"/>
                <w:spacing w:val="0"/>
                <w:kern w:val="0"/>
                <w:sz w:val="24"/>
                <w:szCs w:val="24"/>
                <w:highlight w:val="none"/>
                <w:lang w:val="en-US" w:eastAsia="zh-CN"/>
              </w:rPr>
              <w:t>）</w:t>
            </w:r>
            <w:r>
              <w:rPr>
                <w:rFonts w:hint="default" w:ascii="Times New Roman" w:hAnsi="Times New Roman" w:eastAsia="宋体" w:cs="Times New Roman"/>
                <w:b w:val="0"/>
                <w:bCs/>
                <w:snapToGrid w:val="0"/>
                <w:color w:val="auto"/>
                <w:spacing w:val="0"/>
                <w:kern w:val="0"/>
                <w:sz w:val="24"/>
                <w:szCs w:val="24"/>
                <w:highlight w:val="none"/>
                <w:lang w:val="en-US" w:eastAsia="zh-CN"/>
              </w:rPr>
              <w:t>等污染物深度治理。持续推进钢铁、水泥、焦化行业超低排放改造。推进玻璃、陶瓷、铸造、铁合金、有色、煤化和石化等行业采取清洁生产、提标改造、深度治理等综合措施。加强自备燃煤机组污染治理设施运行管控，确保按照</w:t>
            </w:r>
            <w:r>
              <w:rPr>
                <w:rFonts w:hint="default" w:ascii="Times New Roman" w:hAnsi="Times New Roman" w:cs="Times New Roman"/>
                <w:b w:val="0"/>
                <w:bCs/>
                <w:snapToGrid w:val="0"/>
                <w:color w:val="auto"/>
                <w:spacing w:val="0"/>
                <w:kern w:val="0"/>
                <w:sz w:val="24"/>
                <w:szCs w:val="24"/>
                <w:highlight w:val="none"/>
                <w:lang w:val="en-US" w:eastAsia="zh-CN"/>
              </w:rPr>
              <w:t>排放标准</w:t>
            </w:r>
            <w:r>
              <w:rPr>
                <w:rFonts w:hint="default" w:ascii="Times New Roman" w:hAnsi="Times New Roman" w:eastAsia="宋体" w:cs="Times New Roman"/>
                <w:b w:val="0"/>
                <w:bCs/>
                <w:snapToGrid w:val="0"/>
                <w:color w:val="auto"/>
                <w:spacing w:val="0"/>
                <w:kern w:val="0"/>
                <w:sz w:val="24"/>
                <w:szCs w:val="24"/>
                <w:highlight w:val="none"/>
                <w:lang w:val="en-US" w:eastAsia="zh-CN"/>
              </w:rPr>
              <w:t>运行。重点涉气排放企业逐步取消烟气旁路，因安全生产无法取消的，安装在线监控系统。</w:t>
            </w:r>
            <w:r>
              <w:rPr>
                <w:rFonts w:hint="default" w:ascii="Times New Roman" w:hAnsi="Times New Roman" w:cs="Times New Roman"/>
                <w:b w:val="0"/>
                <w:bCs/>
                <w:snapToGrid w:val="0"/>
                <w:color w:val="auto"/>
                <w:spacing w:val="0"/>
                <w:kern w:val="0"/>
                <w:sz w:val="24"/>
                <w:szCs w:val="24"/>
                <w:highlight w:val="none"/>
                <w:lang w:val="en-US" w:eastAsia="zh-CN"/>
              </w:rPr>
              <w:t>”</w:t>
            </w:r>
          </w:p>
          <w:p w14:paraId="5C35CCB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b w:val="0"/>
                <w:bCs/>
                <w:snapToGrid w:val="0"/>
                <w:color w:val="auto"/>
                <w:spacing w:val="0"/>
                <w:kern w:val="0"/>
                <w:sz w:val="24"/>
                <w:szCs w:val="24"/>
                <w:highlight w:val="none"/>
                <w:lang w:val="en-US" w:eastAsia="zh-CN"/>
              </w:rPr>
            </w:pPr>
            <w:r>
              <w:rPr>
                <w:rFonts w:hint="default" w:ascii="Times New Roman" w:hAnsi="Times New Roman" w:eastAsia="宋体" w:cs="Times New Roman"/>
                <w:b w:val="0"/>
                <w:bCs/>
                <w:snapToGrid w:val="0"/>
                <w:color w:val="auto"/>
                <w:spacing w:val="0"/>
                <w:kern w:val="0"/>
                <w:sz w:val="24"/>
                <w:szCs w:val="24"/>
                <w:highlight w:val="none"/>
                <w:lang w:val="en-US" w:eastAsia="zh-CN"/>
              </w:rPr>
              <w:t>本项目位于昌吉回族自治州吉木萨尔县北三台循环经济工业园，属于火力发电业，项目利用上游吉木萨尔县恒信煤炭制品工贸有限公司120万吨煤制品深加工升级改造项目半焦（兰炭）副产煤气余能新建煤气发电项目，装机规模为1×45MW超高温超高压煤气发电机组，属于《产业结构调整指导目录（2024年本）》鼓励类项目（四十二、环境保护与资源节约综合利用</w:t>
            </w:r>
            <w:r>
              <w:rPr>
                <w:rFonts w:hint="default" w:ascii="Times New Roman" w:hAnsi="Times New Roman" w:cs="Times New Roman"/>
                <w:b w:val="0"/>
                <w:bCs/>
                <w:snapToGrid w:val="0"/>
                <w:color w:val="auto"/>
                <w:spacing w:val="0"/>
                <w:kern w:val="0"/>
                <w:sz w:val="24"/>
                <w:szCs w:val="24"/>
                <w:highlight w:val="none"/>
                <w:lang w:val="en-US" w:eastAsia="zh-CN"/>
              </w:rPr>
              <w:t>：</w:t>
            </w:r>
            <w:r>
              <w:rPr>
                <w:rFonts w:hint="default" w:ascii="Times New Roman" w:hAnsi="Times New Roman" w:eastAsia="宋体" w:cs="Times New Roman"/>
                <w:b w:val="0"/>
                <w:bCs/>
                <w:snapToGrid w:val="0"/>
                <w:color w:val="auto"/>
                <w:spacing w:val="0"/>
                <w:kern w:val="0"/>
                <w:sz w:val="24"/>
                <w:szCs w:val="24"/>
                <w:highlight w:val="none"/>
                <w:lang w:val="en-US" w:eastAsia="zh-CN"/>
              </w:rPr>
              <w:t>第11条“余热回收利用先进工艺技术与设备”），符合国家产业政策。符合“三线一单”生态环境分区管控要求。</w:t>
            </w:r>
          </w:p>
          <w:p w14:paraId="1E4B34F6">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b w:val="0"/>
                <w:bCs/>
                <w:snapToGrid w:val="0"/>
                <w:color w:val="auto"/>
                <w:spacing w:val="0"/>
                <w:kern w:val="0"/>
                <w:sz w:val="24"/>
                <w:szCs w:val="24"/>
                <w:highlight w:val="none"/>
                <w:lang w:val="en-US" w:eastAsia="zh-CN"/>
              </w:rPr>
            </w:pPr>
            <w:r>
              <w:rPr>
                <w:rFonts w:hint="default" w:ascii="Times New Roman" w:hAnsi="Times New Roman" w:eastAsia="宋体" w:cs="Times New Roman"/>
                <w:b w:val="0"/>
                <w:bCs/>
                <w:snapToGrid w:val="0"/>
                <w:color w:val="auto"/>
                <w:spacing w:val="0"/>
                <w:kern w:val="0"/>
                <w:sz w:val="24"/>
                <w:szCs w:val="24"/>
                <w:highlight w:val="none"/>
                <w:lang w:val="en-US" w:eastAsia="zh-CN"/>
              </w:rPr>
              <w:t>项目煤气燃烧烟气经“低氮燃烧器+SCR脱硝+石灰（石）-石膏湿法脱硫</w:t>
            </w:r>
            <w:r>
              <w:rPr>
                <w:rFonts w:hint="default" w:ascii="Times New Roman" w:hAnsi="Times New Roman" w:cs="Times New Roman"/>
                <w:b w:val="0"/>
                <w:bCs/>
                <w:snapToGrid w:val="0"/>
                <w:color w:val="auto"/>
                <w:spacing w:val="0"/>
                <w:kern w:val="0"/>
                <w:sz w:val="24"/>
                <w:szCs w:val="24"/>
                <w:highlight w:val="none"/>
                <w:lang w:val="en-US" w:eastAsia="zh-CN"/>
              </w:rPr>
              <w:t>+高效除雾器协同除尘</w:t>
            </w:r>
            <w:r>
              <w:rPr>
                <w:rFonts w:hint="default" w:ascii="Times New Roman" w:hAnsi="Times New Roman" w:eastAsia="宋体" w:cs="Times New Roman"/>
                <w:b w:val="0"/>
                <w:bCs/>
                <w:snapToGrid w:val="0"/>
                <w:color w:val="auto"/>
                <w:spacing w:val="0"/>
                <w:kern w:val="0"/>
                <w:sz w:val="24"/>
                <w:szCs w:val="24"/>
                <w:highlight w:val="none"/>
                <w:lang w:val="en-US" w:eastAsia="zh-CN"/>
              </w:rPr>
              <w:t>设</w:t>
            </w:r>
            <w:r>
              <w:rPr>
                <w:rFonts w:hint="default" w:ascii="Times New Roman" w:hAnsi="Times New Roman" w:cs="Times New Roman"/>
                <w:b w:val="0"/>
                <w:bCs/>
                <w:snapToGrid w:val="0"/>
                <w:color w:val="auto"/>
                <w:spacing w:val="0"/>
                <w:kern w:val="0"/>
                <w:sz w:val="24"/>
                <w:szCs w:val="24"/>
                <w:highlight w:val="none"/>
                <w:lang w:val="en-US" w:eastAsia="zh-CN"/>
              </w:rPr>
              <w:t>施+湿式电除尘器”</w:t>
            </w:r>
            <w:r>
              <w:rPr>
                <w:rFonts w:hint="default" w:ascii="Times New Roman" w:hAnsi="Times New Roman" w:eastAsia="宋体" w:cs="Times New Roman"/>
                <w:b w:val="0"/>
                <w:bCs/>
                <w:snapToGrid w:val="0"/>
                <w:color w:val="auto"/>
                <w:spacing w:val="0"/>
                <w:kern w:val="0"/>
                <w:sz w:val="24"/>
                <w:szCs w:val="24"/>
                <w:highlight w:val="none"/>
                <w:lang w:val="en-US" w:eastAsia="zh-CN"/>
              </w:rPr>
              <w:t>处理后，</w:t>
            </w:r>
            <w:r>
              <w:rPr>
                <w:rFonts w:hint="eastAsia" w:cs="Times New Roman"/>
                <w:b w:val="0"/>
                <w:bCs/>
                <w:snapToGrid w:val="0"/>
                <w:color w:val="auto"/>
                <w:spacing w:val="0"/>
                <w:kern w:val="0"/>
                <w:sz w:val="24"/>
                <w:szCs w:val="24"/>
                <w:highlight w:val="none"/>
                <w:lang w:val="en-US" w:eastAsia="zh-CN"/>
              </w:rPr>
              <w:t>通过</w:t>
            </w:r>
            <w:r>
              <w:rPr>
                <w:rFonts w:hint="default" w:ascii="Times New Roman" w:hAnsi="Times New Roman" w:eastAsia="宋体" w:cs="Times New Roman"/>
                <w:b w:val="0"/>
                <w:bCs/>
                <w:snapToGrid w:val="0"/>
                <w:color w:val="auto"/>
                <w:spacing w:val="0"/>
                <w:kern w:val="0"/>
                <w:sz w:val="24"/>
                <w:szCs w:val="24"/>
                <w:highlight w:val="none"/>
                <w:lang w:val="en-US" w:eastAsia="zh-CN"/>
              </w:rPr>
              <w:t>60m高排气筒（DA001）排放至大气环境中，并安装在线监测系统（CEMS）能够</w:t>
            </w:r>
            <w:r>
              <w:rPr>
                <w:rFonts w:hint="default" w:ascii="Times New Roman" w:hAnsi="Times New Roman" w:cs="Times New Roman"/>
                <w:b w:val="0"/>
                <w:bCs/>
                <w:snapToGrid w:val="0"/>
                <w:color w:val="auto"/>
                <w:spacing w:val="0"/>
                <w:kern w:val="0"/>
                <w:sz w:val="24"/>
                <w:szCs w:val="24"/>
                <w:highlight w:val="none"/>
                <w:lang w:val="en-US" w:eastAsia="zh-CN"/>
              </w:rPr>
              <w:t>满足《火电厂大气污染物</w:t>
            </w:r>
            <w:r>
              <w:rPr>
                <w:rFonts w:hint="default" w:ascii="Times New Roman" w:hAnsi="Times New Roman" w:eastAsia="宋体" w:cs="Times New Roman"/>
                <w:b w:val="0"/>
                <w:bCs/>
                <w:snapToGrid w:val="0"/>
                <w:color w:val="auto"/>
                <w:spacing w:val="0"/>
                <w:kern w:val="0"/>
                <w:sz w:val="24"/>
                <w:szCs w:val="24"/>
                <w:highlight w:val="none"/>
                <w:lang w:val="en-US" w:eastAsia="zh-CN"/>
              </w:rPr>
              <w:t>排放标准》（GB13223-2011）</w:t>
            </w:r>
            <w:r>
              <w:rPr>
                <w:rFonts w:hint="default" w:ascii="Times New Roman" w:hAnsi="Times New Roman" w:cs="Times New Roman"/>
                <w:b w:val="0"/>
                <w:bCs/>
                <w:snapToGrid w:val="0"/>
                <w:color w:val="auto"/>
                <w:spacing w:val="0"/>
                <w:kern w:val="0"/>
                <w:sz w:val="24"/>
                <w:szCs w:val="24"/>
                <w:highlight w:val="none"/>
                <w:lang w:val="en-US" w:eastAsia="zh-CN"/>
              </w:rPr>
              <w:t>表2大气污染物特别排放限值《关于印发〈全面实施燃煤电厂超低排放和节能改造工作方案〉的通知》（环发〔2015〕164号）</w:t>
            </w:r>
            <w:r>
              <w:rPr>
                <w:rFonts w:hint="default" w:ascii="Times New Roman" w:hAnsi="Times New Roman" w:eastAsia="宋体" w:cs="Times New Roman"/>
                <w:b w:val="0"/>
                <w:bCs/>
                <w:snapToGrid w:val="0"/>
                <w:color w:val="auto"/>
                <w:spacing w:val="0"/>
                <w:kern w:val="0"/>
                <w:sz w:val="24"/>
                <w:szCs w:val="24"/>
                <w:highlight w:val="none"/>
                <w:lang w:val="en-US" w:eastAsia="zh-CN"/>
              </w:rPr>
              <w:t>中氮氧化物浓度限值。项目采取低氮燃烧器</w:t>
            </w:r>
            <w:r>
              <w:rPr>
                <w:rFonts w:hint="default" w:ascii="Times New Roman" w:hAnsi="Times New Roman" w:cs="Times New Roman"/>
                <w:b w:val="0"/>
                <w:bCs/>
                <w:snapToGrid w:val="0"/>
                <w:color w:val="auto"/>
                <w:spacing w:val="0"/>
                <w:kern w:val="0"/>
                <w:sz w:val="24"/>
                <w:szCs w:val="24"/>
                <w:highlight w:val="none"/>
                <w:lang w:val="en-US" w:eastAsia="zh-CN"/>
              </w:rPr>
              <w:t>（</w:t>
            </w:r>
            <w:r>
              <w:rPr>
                <w:rFonts w:hint="default" w:ascii="Times New Roman" w:hAnsi="Times New Roman" w:eastAsia="宋体" w:cs="Times New Roman"/>
                <w:b w:val="0"/>
                <w:bCs/>
                <w:snapToGrid w:val="0"/>
                <w:color w:val="auto"/>
                <w:spacing w:val="0"/>
                <w:kern w:val="0"/>
                <w:sz w:val="24"/>
                <w:szCs w:val="24"/>
                <w:highlight w:val="none"/>
                <w:lang w:val="en-US" w:eastAsia="zh-CN"/>
              </w:rPr>
              <w:t>LNB</w:t>
            </w:r>
            <w:r>
              <w:rPr>
                <w:rFonts w:hint="default" w:ascii="Times New Roman" w:hAnsi="Times New Roman" w:cs="Times New Roman"/>
                <w:b w:val="0"/>
                <w:bCs/>
                <w:snapToGrid w:val="0"/>
                <w:color w:val="auto"/>
                <w:spacing w:val="0"/>
                <w:kern w:val="0"/>
                <w:sz w:val="24"/>
                <w:szCs w:val="24"/>
                <w:highlight w:val="none"/>
                <w:lang w:val="en-US" w:eastAsia="zh-CN"/>
              </w:rPr>
              <w:t>）</w:t>
            </w:r>
            <w:r>
              <w:rPr>
                <w:rFonts w:hint="default" w:ascii="Times New Roman" w:hAnsi="Times New Roman" w:eastAsia="宋体" w:cs="Times New Roman"/>
                <w:b w:val="0"/>
                <w:bCs/>
                <w:snapToGrid w:val="0"/>
                <w:color w:val="auto"/>
                <w:spacing w:val="0"/>
                <w:kern w:val="0"/>
                <w:sz w:val="24"/>
                <w:szCs w:val="24"/>
                <w:highlight w:val="none"/>
                <w:lang w:val="en-US" w:eastAsia="zh-CN"/>
              </w:rPr>
              <w:t>与选择性催化还原（SCR）脱硝的组合工艺，是氮氧化物治理的主流技术路线。低氮燃烧技术是通过合理配置炉内流场、温度场及物料分布以改变氮氧化物的生成环境，从而降低炉膛出口氮氧化物排放</w:t>
            </w:r>
            <w:r>
              <w:rPr>
                <w:rFonts w:hint="default" w:ascii="Times New Roman" w:hAnsi="Times New Roman" w:cs="Times New Roman"/>
                <w:b w:val="0"/>
                <w:bCs/>
                <w:snapToGrid w:val="0"/>
                <w:color w:val="auto"/>
                <w:spacing w:val="0"/>
                <w:kern w:val="0"/>
                <w:sz w:val="24"/>
                <w:szCs w:val="24"/>
                <w:highlight w:val="none"/>
                <w:lang w:val="en-US" w:eastAsia="zh-CN"/>
              </w:rPr>
              <w:t>。</w:t>
            </w:r>
            <w:r>
              <w:rPr>
                <w:rFonts w:hint="default" w:ascii="Times New Roman" w:hAnsi="Times New Roman" w:eastAsia="宋体" w:cs="Times New Roman"/>
                <w:b w:val="0"/>
                <w:bCs/>
                <w:snapToGrid w:val="0"/>
                <w:color w:val="auto"/>
                <w:spacing w:val="0"/>
                <w:kern w:val="0"/>
                <w:sz w:val="24"/>
                <w:szCs w:val="24"/>
                <w:highlight w:val="none"/>
                <w:lang w:val="en-US" w:eastAsia="zh-CN"/>
              </w:rPr>
              <w:t>选择性催化还原</w:t>
            </w:r>
            <w:r>
              <w:rPr>
                <w:rFonts w:hint="default" w:ascii="Times New Roman" w:hAnsi="Times New Roman" w:cs="Times New Roman"/>
                <w:b w:val="0"/>
                <w:bCs/>
                <w:snapToGrid w:val="0"/>
                <w:color w:val="auto"/>
                <w:spacing w:val="0"/>
                <w:kern w:val="0"/>
                <w:sz w:val="24"/>
                <w:szCs w:val="24"/>
                <w:highlight w:val="none"/>
                <w:lang w:val="en-US" w:eastAsia="zh-CN"/>
              </w:rPr>
              <w:t>（</w:t>
            </w:r>
            <w:r>
              <w:rPr>
                <w:rFonts w:hint="default" w:ascii="Times New Roman" w:hAnsi="Times New Roman" w:eastAsia="宋体" w:cs="Times New Roman"/>
                <w:b w:val="0"/>
                <w:bCs/>
                <w:snapToGrid w:val="0"/>
                <w:color w:val="auto"/>
                <w:spacing w:val="0"/>
                <w:kern w:val="0"/>
                <w:sz w:val="24"/>
                <w:szCs w:val="24"/>
                <w:highlight w:val="none"/>
                <w:lang w:val="en-US" w:eastAsia="zh-CN"/>
              </w:rPr>
              <w:t>SCR</w:t>
            </w:r>
            <w:r>
              <w:rPr>
                <w:rFonts w:hint="default" w:ascii="Times New Roman" w:hAnsi="Times New Roman" w:cs="Times New Roman"/>
                <w:b w:val="0"/>
                <w:bCs/>
                <w:snapToGrid w:val="0"/>
                <w:color w:val="auto"/>
                <w:spacing w:val="0"/>
                <w:kern w:val="0"/>
                <w:sz w:val="24"/>
                <w:szCs w:val="24"/>
                <w:highlight w:val="none"/>
                <w:lang w:val="en-US" w:eastAsia="zh-CN"/>
              </w:rPr>
              <w:t>）</w:t>
            </w:r>
            <w:r>
              <w:rPr>
                <w:rFonts w:hint="default" w:ascii="Times New Roman" w:hAnsi="Times New Roman" w:eastAsia="宋体" w:cs="Times New Roman"/>
                <w:b w:val="0"/>
                <w:bCs/>
                <w:snapToGrid w:val="0"/>
                <w:color w:val="auto"/>
                <w:spacing w:val="0"/>
                <w:kern w:val="0"/>
                <w:sz w:val="24"/>
                <w:szCs w:val="24"/>
                <w:highlight w:val="none"/>
                <w:lang w:val="en-US" w:eastAsia="zh-CN"/>
              </w:rPr>
              <w:t>技术是利用脱硝还原剂（尿素），在催化剂作用下选择性地将烟气中的氮氧化物还原成氮气和水，从而达到脱除氮氧化物的目的。属于《火电厂污染防治可行技术指南》（HJ2301-2017）中烟气污染防治技术，符合《火电厂烟气脱硝工程技术规范选择性催化还原法》（HJ562-2010）。</w:t>
            </w:r>
          </w:p>
          <w:p w14:paraId="2B29CC59">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cs="Times New Roman"/>
                <w:b/>
                <w:bCs/>
                <w:color w:val="auto"/>
                <w:kern w:val="0"/>
                <w:sz w:val="24"/>
                <w:szCs w:val="24"/>
                <w:highlight w:val="none"/>
                <w:lang w:val="en-US" w:eastAsia="zh-CN"/>
              </w:rPr>
            </w:pPr>
            <w:r>
              <w:rPr>
                <w:rFonts w:hint="default" w:ascii="Times New Roman" w:hAnsi="Times New Roman" w:eastAsia="宋体" w:cs="Times New Roman"/>
                <w:b w:val="0"/>
                <w:bCs/>
                <w:snapToGrid w:val="0"/>
                <w:color w:val="auto"/>
                <w:spacing w:val="0"/>
                <w:kern w:val="0"/>
                <w:sz w:val="24"/>
                <w:szCs w:val="24"/>
                <w:highlight w:val="none"/>
                <w:lang w:val="en-US" w:eastAsia="zh-CN"/>
              </w:rPr>
              <w:t>综上，本项目符合《新疆生态环境保护“十四五”规划》的相关要求。</w:t>
            </w:r>
          </w:p>
          <w:p w14:paraId="738AF0B5">
            <w:pPr>
              <w:keepNext w:val="0"/>
              <w:keepLines w:val="0"/>
              <w:pageBreakBefore w:val="0"/>
              <w:widowControl w:val="0"/>
              <w:kinsoku/>
              <w:wordWrap/>
              <w:overflowPunct/>
              <w:topLinePunct w:val="0"/>
              <w:autoSpaceDE w:val="0"/>
              <w:autoSpaceDN w:val="0"/>
              <w:bidi w:val="0"/>
              <w:adjustRightInd/>
              <w:snapToGrid/>
              <w:spacing w:line="360" w:lineRule="auto"/>
              <w:ind w:firstLine="482" w:firstLineChars="200"/>
              <w:jc w:val="left"/>
              <w:textAlignment w:val="auto"/>
              <w:rPr>
                <w:rFonts w:hint="default" w:ascii="Times New Roman" w:hAnsi="Times New Roman" w:eastAsia="宋体" w:cs="Times New Roman"/>
                <w:b/>
                <w:bCs/>
                <w:color w:val="auto"/>
                <w:kern w:val="0"/>
                <w:sz w:val="24"/>
                <w:szCs w:val="24"/>
                <w:highlight w:val="none"/>
                <w:lang w:eastAsia="zh-CN"/>
              </w:rPr>
            </w:pPr>
            <w:r>
              <w:rPr>
                <w:rFonts w:hint="default" w:ascii="Times New Roman" w:hAnsi="Times New Roman" w:cs="Times New Roman"/>
                <w:b/>
                <w:bCs/>
                <w:color w:val="auto"/>
                <w:kern w:val="0"/>
                <w:sz w:val="24"/>
                <w:szCs w:val="24"/>
                <w:highlight w:val="none"/>
                <w:lang w:val="en-US" w:eastAsia="zh-CN"/>
              </w:rPr>
              <w:t>8.</w:t>
            </w:r>
            <w:r>
              <w:rPr>
                <w:rFonts w:hint="default" w:ascii="Times New Roman" w:hAnsi="Times New Roman" w:eastAsia="宋体" w:cs="Times New Roman"/>
                <w:b/>
                <w:bCs/>
                <w:color w:val="auto"/>
                <w:kern w:val="0"/>
                <w:sz w:val="24"/>
                <w:szCs w:val="24"/>
                <w:highlight w:val="none"/>
                <w:lang w:eastAsia="zh-CN"/>
              </w:rPr>
              <w:t>与《新疆维吾尔自治区大气污染防治条例》的符合性分析</w:t>
            </w:r>
          </w:p>
          <w:p w14:paraId="06E223B3">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b w:val="0"/>
                <w:bCs/>
                <w:snapToGrid w:val="0"/>
                <w:color w:val="auto"/>
                <w:spacing w:val="0"/>
                <w:kern w:val="0"/>
                <w:sz w:val="24"/>
                <w:szCs w:val="24"/>
                <w:highlight w:val="none"/>
                <w:lang w:val="en-US" w:eastAsia="zh-CN"/>
              </w:rPr>
            </w:pPr>
            <w:r>
              <w:rPr>
                <w:rFonts w:hint="default" w:ascii="Times New Roman" w:hAnsi="Times New Roman" w:eastAsia="宋体" w:cs="Times New Roman"/>
                <w:b w:val="0"/>
                <w:bCs/>
                <w:snapToGrid w:val="0"/>
                <w:color w:val="auto"/>
                <w:spacing w:val="0"/>
                <w:kern w:val="0"/>
                <w:sz w:val="24"/>
                <w:szCs w:val="24"/>
                <w:highlight w:val="none"/>
                <w:lang w:val="en-US" w:eastAsia="zh-CN"/>
              </w:rPr>
              <w:t>本项目与《新疆维吾尔自治区大气污染防治条例》的符合性分析详见表1-</w:t>
            </w:r>
            <w:r>
              <w:rPr>
                <w:rFonts w:hint="default" w:ascii="Times New Roman" w:hAnsi="Times New Roman" w:cs="Times New Roman"/>
                <w:b w:val="0"/>
                <w:bCs/>
                <w:snapToGrid w:val="0"/>
                <w:color w:val="auto"/>
                <w:spacing w:val="0"/>
                <w:kern w:val="0"/>
                <w:sz w:val="24"/>
                <w:szCs w:val="24"/>
                <w:highlight w:val="none"/>
                <w:lang w:val="en-US" w:eastAsia="zh-CN"/>
              </w:rPr>
              <w:t>5</w:t>
            </w:r>
            <w:r>
              <w:rPr>
                <w:rFonts w:hint="default" w:ascii="Times New Roman" w:hAnsi="Times New Roman" w:eastAsia="宋体" w:cs="Times New Roman"/>
                <w:b w:val="0"/>
                <w:bCs/>
                <w:snapToGrid w:val="0"/>
                <w:color w:val="auto"/>
                <w:spacing w:val="0"/>
                <w:kern w:val="0"/>
                <w:sz w:val="24"/>
                <w:szCs w:val="24"/>
                <w:highlight w:val="none"/>
                <w:lang w:val="en-US" w:eastAsia="zh-CN"/>
              </w:rPr>
              <w:t>。</w:t>
            </w:r>
          </w:p>
          <w:p w14:paraId="1CC08FCF">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eastAsia="宋体" w:cs="Times New Roman"/>
                <w:b/>
                <w:bCs/>
                <w:color w:val="auto"/>
                <w:kern w:val="0"/>
                <w:sz w:val="21"/>
                <w:szCs w:val="21"/>
                <w:highlight w:val="none"/>
                <w:lang w:val="en-US" w:eastAsia="zh-CN"/>
              </w:rPr>
              <w:t>表1-</w:t>
            </w:r>
            <w:r>
              <w:rPr>
                <w:rFonts w:hint="default" w:ascii="Times New Roman" w:hAnsi="Times New Roman" w:cs="Times New Roman"/>
                <w:b/>
                <w:bCs/>
                <w:color w:val="auto"/>
                <w:kern w:val="0"/>
                <w:sz w:val="21"/>
                <w:szCs w:val="21"/>
                <w:highlight w:val="none"/>
                <w:lang w:val="en-US" w:eastAsia="zh-CN"/>
              </w:rPr>
              <w:t>5</w:t>
            </w:r>
            <w:r>
              <w:rPr>
                <w:rFonts w:hint="default" w:ascii="Times New Roman" w:hAnsi="Times New Roman" w:eastAsia="宋体" w:cs="Times New Roman"/>
                <w:b/>
                <w:bCs/>
                <w:color w:val="auto"/>
                <w:kern w:val="0"/>
                <w:sz w:val="21"/>
                <w:szCs w:val="21"/>
                <w:highlight w:val="none"/>
                <w:lang w:val="en-US" w:eastAsia="zh-CN"/>
              </w:rPr>
              <w:t>项目与</w:t>
            </w:r>
            <w:r>
              <w:rPr>
                <w:rFonts w:hint="default" w:ascii="Times New Roman" w:hAnsi="Times New Roman" w:eastAsia="宋体" w:cs="Times New Roman"/>
                <w:b/>
                <w:bCs/>
                <w:color w:val="auto"/>
                <w:kern w:val="0"/>
                <w:sz w:val="21"/>
                <w:szCs w:val="21"/>
                <w:highlight w:val="none"/>
                <w:lang w:eastAsia="zh-CN"/>
              </w:rPr>
              <w:t>《新疆维吾尔自治区大气污染防治条例》的符合性分析</w:t>
            </w:r>
          </w:p>
          <w:tbl>
            <w:tblPr>
              <w:tblStyle w:val="96"/>
              <w:tblW w:w="4974"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68" w:type="dxa"/>
                <w:bottom w:w="0" w:type="dxa"/>
                <w:right w:w="68" w:type="dxa"/>
              </w:tblCellMar>
            </w:tblPr>
            <w:tblGrid>
              <w:gridCol w:w="692"/>
              <w:gridCol w:w="4552"/>
              <w:gridCol w:w="2367"/>
              <w:gridCol w:w="650"/>
            </w:tblGrid>
            <w:tr w14:paraId="09C4C6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418" w:type="pct"/>
                  <w:tcBorders>
                    <w:tl2br w:val="nil"/>
                    <w:tr2bl w:val="nil"/>
                  </w:tcBorders>
                  <w:noWrap w:val="0"/>
                  <w:vAlign w:val="center"/>
                </w:tcPr>
                <w:p w14:paraId="1426DEC3">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spacing w:val="9"/>
                      <w:sz w:val="21"/>
                      <w:szCs w:val="21"/>
                      <w:lang w:val="en-US" w:eastAsia="zh-CN"/>
                    </w:rPr>
                  </w:pPr>
                  <w:r>
                    <w:rPr>
                      <w:rFonts w:hint="default" w:ascii="Times New Roman" w:hAnsi="Times New Roman" w:eastAsia="宋体" w:cs="Times New Roman"/>
                      <w:b/>
                      <w:bCs/>
                      <w:color w:val="auto"/>
                      <w:spacing w:val="9"/>
                      <w:sz w:val="21"/>
                      <w:szCs w:val="21"/>
                      <w:lang w:val="en-US" w:eastAsia="zh-CN"/>
                    </w:rPr>
                    <w:t>序号</w:t>
                  </w:r>
                </w:p>
              </w:tc>
              <w:tc>
                <w:tcPr>
                  <w:tcW w:w="2755" w:type="pct"/>
                  <w:tcBorders>
                    <w:tl2br w:val="nil"/>
                    <w:tr2bl w:val="nil"/>
                  </w:tcBorders>
                  <w:noWrap w:val="0"/>
                  <w:vAlign w:val="center"/>
                </w:tcPr>
                <w:p w14:paraId="030112C8">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spacing w:val="9"/>
                      <w:sz w:val="21"/>
                      <w:szCs w:val="21"/>
                      <w:lang w:val="en-US" w:eastAsia="zh-CN"/>
                    </w:rPr>
                  </w:pPr>
                  <w:r>
                    <w:rPr>
                      <w:rFonts w:hint="default" w:ascii="Times New Roman" w:hAnsi="Times New Roman" w:eastAsia="宋体" w:cs="Times New Roman"/>
                      <w:b/>
                      <w:bCs/>
                      <w:color w:val="auto"/>
                      <w:spacing w:val="9"/>
                      <w:sz w:val="21"/>
                      <w:szCs w:val="21"/>
                      <w:lang w:val="en-US" w:eastAsia="zh-CN"/>
                    </w:rPr>
                    <w:t>相关要求</w:t>
                  </w:r>
                </w:p>
              </w:tc>
              <w:tc>
                <w:tcPr>
                  <w:tcW w:w="1432" w:type="pct"/>
                  <w:tcBorders>
                    <w:tl2br w:val="nil"/>
                    <w:tr2bl w:val="nil"/>
                  </w:tcBorders>
                  <w:noWrap w:val="0"/>
                  <w:vAlign w:val="center"/>
                </w:tcPr>
                <w:p w14:paraId="6F584F27">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spacing w:val="9"/>
                      <w:sz w:val="21"/>
                      <w:szCs w:val="21"/>
                    </w:rPr>
                  </w:pPr>
                  <w:r>
                    <w:rPr>
                      <w:rFonts w:hint="default" w:ascii="Times New Roman" w:hAnsi="Times New Roman" w:eastAsia="宋体" w:cs="Times New Roman"/>
                      <w:b/>
                      <w:bCs/>
                      <w:color w:val="auto"/>
                      <w:spacing w:val="9"/>
                      <w:sz w:val="21"/>
                      <w:szCs w:val="21"/>
                    </w:rPr>
                    <w:t>本项目</w:t>
                  </w:r>
                </w:p>
              </w:tc>
              <w:tc>
                <w:tcPr>
                  <w:tcW w:w="393" w:type="pct"/>
                  <w:tcBorders>
                    <w:tl2br w:val="nil"/>
                    <w:tr2bl w:val="nil"/>
                  </w:tcBorders>
                  <w:noWrap w:val="0"/>
                  <w:vAlign w:val="center"/>
                </w:tcPr>
                <w:p w14:paraId="00DEC84F">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spacing w:val="9"/>
                      <w:sz w:val="21"/>
                      <w:szCs w:val="21"/>
                      <w:lang w:val="en-US" w:eastAsia="zh-CN"/>
                    </w:rPr>
                  </w:pPr>
                  <w:r>
                    <w:rPr>
                      <w:rFonts w:hint="default" w:ascii="Times New Roman" w:hAnsi="Times New Roman" w:eastAsia="宋体" w:cs="Times New Roman"/>
                      <w:b/>
                      <w:bCs/>
                      <w:color w:val="auto"/>
                      <w:spacing w:val="9"/>
                      <w:sz w:val="21"/>
                      <w:szCs w:val="21"/>
                    </w:rPr>
                    <w:t>符合</w:t>
                  </w:r>
                  <w:r>
                    <w:rPr>
                      <w:rFonts w:hint="default" w:ascii="Times New Roman" w:hAnsi="Times New Roman" w:eastAsia="宋体" w:cs="Times New Roman"/>
                      <w:b/>
                      <w:bCs/>
                      <w:color w:val="auto"/>
                      <w:spacing w:val="9"/>
                      <w:sz w:val="21"/>
                      <w:szCs w:val="21"/>
                      <w:lang w:val="en-US" w:eastAsia="zh-CN"/>
                    </w:rPr>
                    <w:t>性</w:t>
                  </w:r>
                </w:p>
              </w:tc>
            </w:tr>
            <w:tr w14:paraId="165A42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90" w:hRule="atLeast"/>
              </w:trPr>
              <w:tc>
                <w:tcPr>
                  <w:tcW w:w="418" w:type="pct"/>
                  <w:tcBorders>
                    <w:tl2br w:val="nil"/>
                    <w:tr2bl w:val="nil"/>
                  </w:tcBorders>
                  <w:noWrap w:val="0"/>
                  <w:vAlign w:val="center"/>
                </w:tcPr>
                <w:p w14:paraId="775E8110">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pacing w:val="9"/>
                      <w:sz w:val="21"/>
                      <w:szCs w:val="21"/>
                    </w:rPr>
                  </w:pPr>
                  <w:r>
                    <w:rPr>
                      <w:rFonts w:hint="default" w:ascii="Times New Roman" w:hAnsi="Times New Roman" w:eastAsia="宋体" w:cs="Times New Roman"/>
                      <w:color w:val="auto"/>
                      <w:spacing w:val="9"/>
                      <w:sz w:val="21"/>
                      <w:szCs w:val="21"/>
                      <w:lang w:val="en-US" w:eastAsia="zh-CN"/>
                    </w:rPr>
                    <w:t>1</w:t>
                  </w:r>
                </w:p>
              </w:tc>
              <w:tc>
                <w:tcPr>
                  <w:tcW w:w="2755" w:type="pct"/>
                  <w:tcBorders>
                    <w:tl2br w:val="nil"/>
                    <w:tr2bl w:val="nil"/>
                  </w:tcBorders>
                  <w:noWrap w:val="0"/>
                  <w:vAlign w:val="center"/>
                </w:tcPr>
                <w:p w14:paraId="4EE1B637">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pacing w:val="9"/>
                      <w:sz w:val="21"/>
                      <w:szCs w:val="21"/>
                    </w:rPr>
                  </w:pPr>
                  <w:r>
                    <w:rPr>
                      <w:rFonts w:hint="default" w:ascii="Times New Roman" w:hAnsi="Times New Roman" w:eastAsia="宋体" w:cs="Times New Roman"/>
                      <w:color w:val="auto"/>
                      <w:spacing w:val="9"/>
                      <w:sz w:val="21"/>
                      <w:szCs w:val="21"/>
                    </w:rPr>
                    <w:t>第十六条自治区对大气污染物实行排污许可管理制度。向大气排放工业废气或者排放国家规定的有毒有害大气污染物的企业事业单位、集中供热设施的燃煤热源生产运营单位，以及其他依法实行排污许可管理的单位，应当依法取得排污许可证。向大气排放污染物的排污单位，应当按照国家和自治区的规定，设置大气污染物排放口，并明确其标志。</w:t>
                  </w:r>
                </w:p>
              </w:tc>
              <w:tc>
                <w:tcPr>
                  <w:tcW w:w="1432" w:type="pct"/>
                  <w:tcBorders>
                    <w:tl2br w:val="nil"/>
                    <w:tr2bl w:val="nil"/>
                  </w:tcBorders>
                  <w:noWrap w:val="0"/>
                  <w:vAlign w:val="center"/>
                </w:tcPr>
                <w:p w14:paraId="14FF3537">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pacing w:val="9"/>
                      <w:sz w:val="21"/>
                      <w:szCs w:val="21"/>
                      <w:lang w:val="en-US" w:eastAsia="zh-CN"/>
                    </w:rPr>
                  </w:pPr>
                  <w:r>
                    <w:rPr>
                      <w:rFonts w:hint="default" w:ascii="Times New Roman" w:hAnsi="Times New Roman" w:eastAsia="宋体" w:cs="Times New Roman"/>
                      <w:color w:val="auto"/>
                      <w:spacing w:val="9"/>
                      <w:sz w:val="21"/>
                      <w:szCs w:val="21"/>
                      <w:lang w:val="en-US" w:eastAsia="zh-CN"/>
                    </w:rPr>
                    <w:t>本项目为</w:t>
                  </w:r>
                  <w:r>
                    <w:rPr>
                      <w:rFonts w:hint="default" w:ascii="Times New Roman" w:hAnsi="Times New Roman" w:cs="Times New Roman"/>
                      <w:color w:val="auto"/>
                      <w:sz w:val="21"/>
                      <w:szCs w:val="21"/>
                      <w:highlight w:val="none"/>
                      <w:lang w:eastAsia="zh-CN"/>
                    </w:rPr>
                    <w:t>火力发电业</w:t>
                  </w:r>
                  <w:r>
                    <w:rPr>
                      <w:rFonts w:hint="default" w:ascii="Times New Roman" w:hAnsi="Times New Roman" w:eastAsia="宋体" w:cs="Times New Roman"/>
                      <w:color w:val="auto"/>
                      <w:spacing w:val="9"/>
                      <w:sz w:val="21"/>
                      <w:szCs w:val="21"/>
                      <w:lang w:val="en-US" w:eastAsia="zh-CN"/>
                    </w:rPr>
                    <w:t>，</w:t>
                  </w:r>
                  <w:r>
                    <w:rPr>
                      <w:rFonts w:hint="default" w:ascii="Times New Roman" w:hAnsi="Times New Roman" w:cs="Times New Roman"/>
                      <w:color w:val="auto"/>
                      <w:spacing w:val="9"/>
                      <w:sz w:val="21"/>
                      <w:szCs w:val="21"/>
                      <w:lang w:val="en-US" w:eastAsia="zh-CN"/>
                    </w:rPr>
                    <w:t>待项目建成后，需要</w:t>
                  </w:r>
                  <w:r>
                    <w:rPr>
                      <w:rFonts w:hint="default" w:ascii="Times New Roman" w:hAnsi="Times New Roman" w:eastAsia="宋体" w:cs="Times New Roman"/>
                      <w:color w:val="auto"/>
                      <w:spacing w:val="9"/>
                      <w:sz w:val="21"/>
                      <w:szCs w:val="21"/>
                    </w:rPr>
                    <w:t>依法取得排污许可证</w:t>
                  </w:r>
                  <w:r>
                    <w:rPr>
                      <w:rFonts w:hint="default" w:ascii="Times New Roman" w:hAnsi="Times New Roman" w:cs="Times New Roman"/>
                      <w:color w:val="auto"/>
                      <w:spacing w:val="9"/>
                      <w:sz w:val="21"/>
                      <w:szCs w:val="21"/>
                      <w:lang w:eastAsia="zh-CN"/>
                    </w:rPr>
                    <w:t>，</w:t>
                  </w:r>
                  <w:r>
                    <w:rPr>
                      <w:rFonts w:hint="default" w:ascii="Times New Roman" w:hAnsi="Times New Roman" w:cs="Times New Roman"/>
                      <w:color w:val="auto"/>
                      <w:spacing w:val="9"/>
                      <w:sz w:val="21"/>
                      <w:szCs w:val="21"/>
                      <w:lang w:val="en-US" w:eastAsia="zh-CN"/>
                    </w:rPr>
                    <w:t>并</w:t>
                  </w:r>
                  <w:r>
                    <w:rPr>
                      <w:rFonts w:hint="default" w:ascii="Times New Roman" w:hAnsi="Times New Roman" w:eastAsia="宋体" w:cs="Times New Roman"/>
                      <w:color w:val="auto"/>
                      <w:spacing w:val="9"/>
                      <w:sz w:val="21"/>
                      <w:szCs w:val="21"/>
                    </w:rPr>
                    <w:t>按照国家和自治区的规定，设置污染物排放口，明确其标志。</w:t>
                  </w:r>
                </w:p>
              </w:tc>
              <w:tc>
                <w:tcPr>
                  <w:tcW w:w="393" w:type="pct"/>
                  <w:tcBorders>
                    <w:tl2br w:val="nil"/>
                    <w:tr2bl w:val="nil"/>
                  </w:tcBorders>
                  <w:noWrap w:val="0"/>
                  <w:vAlign w:val="center"/>
                </w:tcPr>
                <w:p w14:paraId="343F5CBD">
                  <w:pPr>
                    <w:pStyle w:val="109"/>
                    <w:keepNext w:val="0"/>
                    <w:keepLines w:val="0"/>
                    <w:pageBreakBefore w:val="0"/>
                    <w:widowControl w:val="0"/>
                    <w:kinsoku/>
                    <w:wordWrap/>
                    <w:overflowPunct/>
                    <w:topLinePunct w:val="0"/>
                    <w:autoSpaceDE/>
                    <w:autoSpaceDN/>
                    <w:bidi w:val="0"/>
                    <w:adjustRightInd/>
                    <w:snapToGrid/>
                    <w:spacing w:line="240" w:lineRule="auto"/>
                    <w:ind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符合</w:t>
                  </w:r>
                </w:p>
              </w:tc>
            </w:tr>
            <w:tr w14:paraId="3CB920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418" w:type="pct"/>
                  <w:tcBorders>
                    <w:tl2br w:val="nil"/>
                    <w:tr2bl w:val="nil"/>
                  </w:tcBorders>
                  <w:noWrap w:val="0"/>
                  <w:vAlign w:val="center"/>
                </w:tcPr>
                <w:p w14:paraId="60FB70B1">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pacing w:val="9"/>
                      <w:sz w:val="21"/>
                      <w:szCs w:val="21"/>
                      <w:lang w:val="en-US" w:eastAsia="zh-CN"/>
                    </w:rPr>
                  </w:pPr>
                  <w:r>
                    <w:rPr>
                      <w:rFonts w:hint="default" w:ascii="Times New Roman" w:hAnsi="Times New Roman" w:eastAsia="宋体" w:cs="Times New Roman"/>
                      <w:color w:val="auto"/>
                      <w:spacing w:val="9"/>
                      <w:sz w:val="21"/>
                      <w:szCs w:val="21"/>
                      <w:lang w:val="en-US" w:eastAsia="zh-CN"/>
                    </w:rPr>
                    <w:t>2</w:t>
                  </w:r>
                </w:p>
              </w:tc>
              <w:tc>
                <w:tcPr>
                  <w:tcW w:w="2755" w:type="pct"/>
                  <w:tcBorders>
                    <w:tl2br w:val="nil"/>
                    <w:tr2bl w:val="nil"/>
                  </w:tcBorders>
                  <w:noWrap w:val="0"/>
                  <w:vAlign w:val="center"/>
                </w:tcPr>
                <w:p w14:paraId="73DFBC8D">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pacing w:val="9"/>
                      <w:sz w:val="21"/>
                      <w:szCs w:val="21"/>
                    </w:rPr>
                  </w:pPr>
                  <w:r>
                    <w:rPr>
                      <w:rFonts w:hint="default" w:ascii="Times New Roman" w:hAnsi="Times New Roman" w:eastAsia="宋体" w:cs="Times New Roman"/>
                      <w:color w:val="auto"/>
                      <w:spacing w:val="9"/>
                      <w:sz w:val="21"/>
                      <w:szCs w:val="21"/>
                    </w:rPr>
                    <w:t>第二十七条禁止在自治区行政区域内引进能（水）耗不符合相关国家标准中准入值要求且污染物排放和环境风险防控不符合国家（地方）标准及有关产业准入条件的高污染（排放）、高能（水）耗、高环境风险的工业项目。自治区人民政府应当制定或者适时修订高污染（排放）、高能（水）耗、高环境风险项目认定标准，并向社会公布。</w:t>
                  </w:r>
                </w:p>
              </w:tc>
              <w:tc>
                <w:tcPr>
                  <w:tcW w:w="1432" w:type="pct"/>
                  <w:tcBorders>
                    <w:tl2br w:val="nil"/>
                    <w:tr2bl w:val="nil"/>
                  </w:tcBorders>
                  <w:noWrap w:val="0"/>
                  <w:vAlign w:val="center"/>
                </w:tcPr>
                <w:p w14:paraId="3961D8E4">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pacing w:val="9"/>
                      <w:sz w:val="21"/>
                      <w:szCs w:val="21"/>
                      <w:lang w:val="en-US" w:eastAsia="en-US"/>
                    </w:rPr>
                  </w:pPr>
                  <w:r>
                    <w:rPr>
                      <w:rFonts w:hint="default" w:ascii="Times New Roman" w:hAnsi="Times New Roman" w:eastAsia="宋体" w:cs="Times New Roman"/>
                      <w:color w:val="auto"/>
                      <w:spacing w:val="9"/>
                      <w:sz w:val="21"/>
                      <w:szCs w:val="21"/>
                    </w:rPr>
                    <w:t>本项目符合产业政策，符合行业准入，符合生态环境准入清单。</w:t>
                  </w:r>
                </w:p>
              </w:tc>
              <w:tc>
                <w:tcPr>
                  <w:tcW w:w="393" w:type="pct"/>
                  <w:tcBorders>
                    <w:tl2br w:val="nil"/>
                    <w:tr2bl w:val="nil"/>
                  </w:tcBorders>
                  <w:noWrap w:val="0"/>
                  <w:vAlign w:val="center"/>
                </w:tcPr>
                <w:p w14:paraId="3F95785E">
                  <w:pPr>
                    <w:pStyle w:val="109"/>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pacing w:val="9"/>
                      <w:sz w:val="21"/>
                      <w:szCs w:val="21"/>
                      <w:lang w:val="en-US" w:eastAsia="zh-CN"/>
                    </w:rPr>
                  </w:pPr>
                  <w:r>
                    <w:rPr>
                      <w:rFonts w:hint="default" w:ascii="Times New Roman" w:hAnsi="Times New Roman" w:eastAsia="宋体" w:cs="Times New Roman"/>
                      <w:color w:val="auto"/>
                      <w:spacing w:val="9"/>
                      <w:sz w:val="21"/>
                      <w:szCs w:val="21"/>
                      <w:lang w:val="en-US" w:eastAsia="zh-CN"/>
                    </w:rPr>
                    <w:t>符合</w:t>
                  </w:r>
                </w:p>
              </w:tc>
            </w:tr>
            <w:tr w14:paraId="617CD3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418" w:type="pct"/>
                  <w:tcBorders>
                    <w:tl2br w:val="nil"/>
                    <w:tr2bl w:val="nil"/>
                  </w:tcBorders>
                  <w:noWrap w:val="0"/>
                  <w:vAlign w:val="center"/>
                </w:tcPr>
                <w:p w14:paraId="5F4703D4">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pacing w:val="9"/>
                      <w:sz w:val="21"/>
                      <w:szCs w:val="21"/>
                      <w:lang w:val="en-US" w:eastAsia="zh-CN"/>
                    </w:rPr>
                  </w:pPr>
                  <w:r>
                    <w:rPr>
                      <w:rFonts w:hint="default" w:ascii="Times New Roman" w:hAnsi="Times New Roman" w:eastAsia="宋体" w:cs="Times New Roman"/>
                      <w:color w:val="auto"/>
                      <w:spacing w:val="9"/>
                      <w:sz w:val="21"/>
                      <w:szCs w:val="21"/>
                      <w:lang w:val="en-US" w:eastAsia="zh-CN"/>
                    </w:rPr>
                    <w:t>3</w:t>
                  </w:r>
                </w:p>
              </w:tc>
              <w:tc>
                <w:tcPr>
                  <w:tcW w:w="2755" w:type="pct"/>
                  <w:tcBorders>
                    <w:tl2br w:val="nil"/>
                    <w:tr2bl w:val="nil"/>
                  </w:tcBorders>
                  <w:noWrap w:val="0"/>
                  <w:vAlign w:val="center"/>
                </w:tcPr>
                <w:p w14:paraId="0089934F">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pacing w:val="9"/>
                      <w:sz w:val="21"/>
                      <w:szCs w:val="21"/>
                    </w:rPr>
                  </w:pPr>
                  <w:r>
                    <w:rPr>
                      <w:rFonts w:hint="default" w:ascii="Times New Roman" w:hAnsi="Times New Roman" w:eastAsia="宋体" w:cs="Times New Roman"/>
                      <w:color w:val="auto"/>
                      <w:spacing w:val="9"/>
                      <w:sz w:val="21"/>
                      <w:szCs w:val="21"/>
                    </w:rPr>
                    <w:t>第五十二条自治区、州、市（地）人民政府（行政公署）和可能发生重污染天气的县（市、区）人民政府，应当制定重污染天气应急预案，报上一级生态环境主管部门备案，并向社会公布。重污染天气应急预案应当根据实际需要和情势变化适时修订。</w:t>
                  </w:r>
                </w:p>
                <w:p w14:paraId="04F74813">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pacing w:val="9"/>
                      <w:sz w:val="21"/>
                      <w:szCs w:val="21"/>
                    </w:rPr>
                  </w:pPr>
                  <w:r>
                    <w:rPr>
                      <w:rFonts w:hint="default" w:ascii="Times New Roman" w:hAnsi="Times New Roman" w:eastAsia="宋体" w:cs="Times New Roman"/>
                      <w:color w:val="auto"/>
                      <w:spacing w:val="9"/>
                      <w:sz w:val="21"/>
                      <w:szCs w:val="21"/>
                    </w:rPr>
                    <w:t>重点排污单位应当根据所在地重污染天气应急预案，编制本单位重污染天气应急响应方案。医疗、教育、交通等重点部门按照部门分预案开展应急管理工作，对发生或者可能发生危害人体健康和安全的重污染天气，应当启动应急方案。</w:t>
                  </w:r>
                </w:p>
              </w:tc>
              <w:tc>
                <w:tcPr>
                  <w:tcW w:w="1432" w:type="pct"/>
                  <w:tcBorders>
                    <w:tl2br w:val="nil"/>
                    <w:tr2bl w:val="nil"/>
                  </w:tcBorders>
                  <w:noWrap w:val="0"/>
                  <w:vAlign w:val="center"/>
                </w:tcPr>
                <w:p w14:paraId="124D58C8">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pacing w:val="9"/>
                      <w:sz w:val="21"/>
                      <w:szCs w:val="21"/>
                      <w:lang w:val="en-US" w:eastAsia="zh-CN"/>
                    </w:rPr>
                  </w:pPr>
                  <w:r>
                    <w:rPr>
                      <w:rFonts w:hint="default" w:ascii="Times New Roman" w:hAnsi="Times New Roman" w:eastAsia="宋体" w:cs="Times New Roman"/>
                      <w:color w:val="auto"/>
                      <w:spacing w:val="9"/>
                      <w:sz w:val="21"/>
                      <w:szCs w:val="21"/>
                      <w:lang w:val="en-US" w:eastAsia="zh-CN"/>
                    </w:rPr>
                    <w:t>本项目积极响应重污染天气相关行动。</w:t>
                  </w:r>
                </w:p>
              </w:tc>
              <w:tc>
                <w:tcPr>
                  <w:tcW w:w="393" w:type="pct"/>
                  <w:tcBorders>
                    <w:tl2br w:val="nil"/>
                    <w:tr2bl w:val="nil"/>
                  </w:tcBorders>
                  <w:noWrap w:val="0"/>
                  <w:vAlign w:val="center"/>
                </w:tcPr>
                <w:p w14:paraId="1B2AED5F">
                  <w:pPr>
                    <w:pStyle w:val="109"/>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pacing w:val="9"/>
                      <w:sz w:val="21"/>
                      <w:szCs w:val="21"/>
                      <w:lang w:val="en-US" w:eastAsia="zh-CN"/>
                    </w:rPr>
                  </w:pPr>
                  <w:r>
                    <w:rPr>
                      <w:rFonts w:hint="default" w:ascii="Times New Roman" w:hAnsi="Times New Roman" w:eastAsia="宋体" w:cs="Times New Roman"/>
                      <w:color w:val="auto"/>
                      <w:spacing w:val="9"/>
                      <w:sz w:val="21"/>
                      <w:szCs w:val="21"/>
                      <w:lang w:val="en-US" w:eastAsia="zh-CN"/>
                    </w:rPr>
                    <w:t>符合</w:t>
                  </w:r>
                </w:p>
              </w:tc>
            </w:tr>
          </w:tbl>
          <w:p w14:paraId="44CF84BD">
            <w:pPr>
              <w:keepNext w:val="0"/>
              <w:keepLines w:val="0"/>
              <w:pageBreakBefore w:val="0"/>
              <w:widowControl w:val="0"/>
              <w:kinsoku/>
              <w:wordWrap/>
              <w:overflowPunct/>
              <w:topLinePunct w:val="0"/>
              <w:autoSpaceDE w:val="0"/>
              <w:autoSpaceDN w:val="0"/>
              <w:bidi w:val="0"/>
              <w:adjustRightInd/>
              <w:snapToGrid/>
              <w:spacing w:line="360" w:lineRule="auto"/>
              <w:ind w:firstLine="482" w:firstLineChars="200"/>
              <w:jc w:val="left"/>
              <w:textAlignment w:val="auto"/>
              <w:rPr>
                <w:rFonts w:hint="default" w:ascii="Times New Roman" w:hAnsi="Times New Roman" w:cs="Times New Roman"/>
                <w:b/>
                <w:bCs/>
                <w:color w:val="auto"/>
                <w:kern w:val="0"/>
                <w:sz w:val="24"/>
                <w:szCs w:val="24"/>
                <w:highlight w:val="none"/>
                <w:lang w:val="en-US" w:eastAsia="zh-CN"/>
              </w:rPr>
            </w:pPr>
            <w:r>
              <w:rPr>
                <w:rFonts w:hint="default" w:ascii="Times New Roman" w:hAnsi="Times New Roman" w:cs="Times New Roman"/>
                <w:b/>
                <w:bCs/>
                <w:color w:val="auto"/>
                <w:kern w:val="0"/>
                <w:sz w:val="24"/>
                <w:szCs w:val="24"/>
                <w:highlight w:val="none"/>
                <w:lang w:val="en-US" w:eastAsia="zh-CN"/>
              </w:rPr>
              <w:t>9.与《昌吉回族自治州生态环境保护与建设“十四五”规划》符合性分析</w:t>
            </w:r>
          </w:p>
          <w:p w14:paraId="0988414C">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b w:val="0"/>
                <w:bCs/>
                <w:snapToGrid w:val="0"/>
                <w:color w:val="auto"/>
                <w:spacing w:val="0"/>
                <w:kern w:val="0"/>
                <w:sz w:val="24"/>
                <w:szCs w:val="24"/>
                <w:highlight w:val="none"/>
                <w:lang w:val="en-US" w:eastAsia="zh-CN"/>
              </w:rPr>
            </w:pPr>
            <w:r>
              <w:rPr>
                <w:rFonts w:hint="default" w:ascii="Times New Roman" w:hAnsi="Times New Roman" w:eastAsia="宋体" w:cs="Times New Roman"/>
                <w:b w:val="0"/>
                <w:bCs/>
                <w:snapToGrid w:val="0"/>
                <w:color w:val="auto"/>
                <w:spacing w:val="0"/>
                <w:kern w:val="0"/>
                <w:sz w:val="24"/>
                <w:szCs w:val="24"/>
                <w:highlight w:val="none"/>
                <w:lang w:val="en-US" w:eastAsia="zh-CN"/>
              </w:rPr>
              <w:t>本项目与《</w:t>
            </w:r>
            <w:r>
              <w:rPr>
                <w:rFonts w:hint="default" w:ascii="Times New Roman" w:hAnsi="Times New Roman" w:cs="Times New Roman"/>
                <w:b w:val="0"/>
                <w:bCs/>
                <w:color w:val="auto"/>
                <w:kern w:val="0"/>
                <w:sz w:val="24"/>
                <w:szCs w:val="24"/>
                <w:highlight w:val="none"/>
                <w:lang w:val="en-US" w:eastAsia="zh-CN"/>
              </w:rPr>
              <w:t>昌吉回族自治州生态环境保护与建设“十四五”规划</w:t>
            </w:r>
            <w:r>
              <w:rPr>
                <w:rFonts w:hint="default" w:ascii="Times New Roman" w:hAnsi="Times New Roman" w:eastAsia="宋体" w:cs="Times New Roman"/>
                <w:b w:val="0"/>
                <w:bCs/>
                <w:snapToGrid w:val="0"/>
                <w:color w:val="auto"/>
                <w:spacing w:val="0"/>
                <w:kern w:val="0"/>
                <w:sz w:val="24"/>
                <w:szCs w:val="24"/>
                <w:highlight w:val="none"/>
                <w:lang w:val="en-US" w:eastAsia="zh-CN"/>
              </w:rPr>
              <w:t>》的符合性分析详见表1-</w:t>
            </w:r>
            <w:r>
              <w:rPr>
                <w:rFonts w:hint="default" w:ascii="Times New Roman" w:hAnsi="Times New Roman" w:cs="Times New Roman"/>
                <w:b w:val="0"/>
                <w:bCs/>
                <w:snapToGrid w:val="0"/>
                <w:color w:val="auto"/>
                <w:spacing w:val="0"/>
                <w:kern w:val="0"/>
                <w:sz w:val="24"/>
                <w:szCs w:val="24"/>
                <w:highlight w:val="none"/>
                <w:lang w:val="en-US" w:eastAsia="zh-CN"/>
              </w:rPr>
              <w:t>6</w:t>
            </w:r>
            <w:r>
              <w:rPr>
                <w:rFonts w:hint="default" w:ascii="Times New Roman" w:hAnsi="Times New Roman" w:eastAsia="宋体" w:cs="Times New Roman"/>
                <w:b w:val="0"/>
                <w:bCs/>
                <w:snapToGrid w:val="0"/>
                <w:color w:val="auto"/>
                <w:spacing w:val="0"/>
                <w:kern w:val="0"/>
                <w:sz w:val="24"/>
                <w:szCs w:val="24"/>
                <w:highlight w:val="none"/>
                <w:lang w:val="en-US" w:eastAsia="zh-CN"/>
              </w:rPr>
              <w:t>。</w:t>
            </w:r>
          </w:p>
          <w:p w14:paraId="43EE8D2D">
            <w:pPr>
              <w:keepNext w:val="0"/>
              <w:keepLines w:val="0"/>
              <w:pageBreakBefore w:val="0"/>
              <w:widowControl w:val="0"/>
              <w:kinsoku/>
              <w:wordWrap/>
              <w:overflowPunct/>
              <w:topLinePunct w:val="0"/>
              <w:autoSpaceDE w:val="0"/>
              <w:autoSpaceDN w:val="0"/>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0"/>
                <w:sz w:val="21"/>
                <w:szCs w:val="21"/>
                <w:highlight w:val="none"/>
                <w:lang w:eastAsia="zh-CN"/>
              </w:rPr>
            </w:pPr>
            <w:r>
              <w:rPr>
                <w:rFonts w:hint="default" w:ascii="Times New Roman" w:hAnsi="Times New Roman" w:eastAsia="宋体" w:cs="Times New Roman"/>
                <w:b/>
                <w:bCs/>
                <w:color w:val="auto"/>
                <w:kern w:val="0"/>
                <w:sz w:val="21"/>
                <w:szCs w:val="21"/>
                <w:highlight w:val="none"/>
                <w:lang w:val="en-US" w:eastAsia="zh-CN"/>
              </w:rPr>
              <w:t>表1-</w:t>
            </w:r>
            <w:r>
              <w:rPr>
                <w:rFonts w:hint="default" w:ascii="Times New Roman" w:hAnsi="Times New Roman" w:cs="Times New Roman"/>
                <w:b/>
                <w:bCs/>
                <w:color w:val="auto"/>
                <w:kern w:val="0"/>
                <w:sz w:val="21"/>
                <w:szCs w:val="21"/>
                <w:highlight w:val="none"/>
                <w:lang w:val="en-US" w:eastAsia="zh-CN"/>
              </w:rPr>
              <w:t>6</w:t>
            </w:r>
            <w:r>
              <w:rPr>
                <w:rFonts w:hint="default" w:ascii="Times New Roman" w:hAnsi="Times New Roman" w:eastAsia="宋体" w:cs="Times New Roman"/>
                <w:b/>
                <w:bCs/>
                <w:color w:val="auto"/>
                <w:kern w:val="0"/>
                <w:sz w:val="21"/>
                <w:szCs w:val="21"/>
                <w:highlight w:val="none"/>
                <w:lang w:val="en-US" w:eastAsia="zh-CN"/>
              </w:rPr>
              <w:t>项目与</w:t>
            </w:r>
            <w:r>
              <w:rPr>
                <w:rFonts w:hint="default" w:ascii="Times New Roman" w:hAnsi="Times New Roman" w:eastAsia="宋体" w:cs="Times New Roman"/>
                <w:b/>
                <w:bCs/>
                <w:color w:val="auto"/>
                <w:kern w:val="0"/>
                <w:sz w:val="21"/>
                <w:szCs w:val="21"/>
                <w:highlight w:val="none"/>
                <w:lang w:eastAsia="zh-CN"/>
              </w:rPr>
              <w:t>《</w:t>
            </w:r>
            <w:r>
              <w:rPr>
                <w:rFonts w:hint="default" w:ascii="Times New Roman" w:hAnsi="Times New Roman" w:eastAsia="宋体" w:cs="Times New Roman"/>
                <w:b/>
                <w:bCs/>
                <w:color w:val="auto"/>
                <w:kern w:val="0"/>
                <w:sz w:val="21"/>
                <w:szCs w:val="21"/>
                <w:highlight w:val="none"/>
                <w:lang w:val="en-US" w:eastAsia="zh-CN"/>
              </w:rPr>
              <w:t>昌吉回族自治州生态环境保护与建设“十四五”规划</w:t>
            </w:r>
            <w:r>
              <w:rPr>
                <w:rFonts w:hint="default" w:ascii="Times New Roman" w:hAnsi="Times New Roman" w:eastAsia="宋体" w:cs="Times New Roman"/>
                <w:b/>
                <w:bCs/>
                <w:color w:val="auto"/>
                <w:kern w:val="0"/>
                <w:sz w:val="21"/>
                <w:szCs w:val="21"/>
                <w:highlight w:val="none"/>
                <w:lang w:eastAsia="zh-CN"/>
              </w:rPr>
              <w:t>》的符合性分析</w:t>
            </w:r>
          </w:p>
          <w:tbl>
            <w:tblPr>
              <w:tblStyle w:val="96"/>
              <w:tblW w:w="4971"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68" w:type="dxa"/>
                <w:bottom w:w="0" w:type="dxa"/>
                <w:right w:w="68" w:type="dxa"/>
              </w:tblCellMar>
            </w:tblPr>
            <w:tblGrid>
              <w:gridCol w:w="920"/>
              <w:gridCol w:w="4027"/>
              <w:gridCol w:w="2660"/>
              <w:gridCol w:w="650"/>
            </w:tblGrid>
            <w:tr w14:paraId="74A9BE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556" w:type="pct"/>
                  <w:tcBorders>
                    <w:tl2br w:val="nil"/>
                    <w:tr2bl w:val="nil"/>
                  </w:tcBorders>
                  <w:noWrap w:val="0"/>
                  <w:vAlign w:val="center"/>
                </w:tcPr>
                <w:p w14:paraId="5F5F5CE1">
                  <w:pPr>
                    <w:autoSpaceDE w:val="0"/>
                    <w:autoSpaceDN w:val="0"/>
                    <w:bidi w:val="0"/>
                    <w:jc w:val="center"/>
                    <w:rPr>
                      <w:rFonts w:hint="default" w:ascii="Times New Roman" w:hAnsi="Times New Roman"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序号</w:t>
                  </w:r>
                </w:p>
              </w:tc>
              <w:tc>
                <w:tcPr>
                  <w:tcW w:w="2438" w:type="pct"/>
                  <w:tcBorders>
                    <w:tl2br w:val="nil"/>
                    <w:tr2bl w:val="nil"/>
                  </w:tcBorders>
                  <w:noWrap w:val="0"/>
                  <w:vAlign w:val="center"/>
                </w:tcPr>
                <w:p w14:paraId="3D87C6F6">
                  <w:pPr>
                    <w:autoSpaceDE w:val="0"/>
                    <w:autoSpaceDN w:val="0"/>
                    <w:bidi w:val="0"/>
                    <w:jc w:val="center"/>
                    <w:rPr>
                      <w:rFonts w:hint="default" w:ascii="Times New Roman" w:hAnsi="Times New Roman"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相关要求</w:t>
                  </w:r>
                </w:p>
              </w:tc>
              <w:tc>
                <w:tcPr>
                  <w:tcW w:w="1610" w:type="pct"/>
                  <w:tcBorders>
                    <w:tl2br w:val="nil"/>
                    <w:tr2bl w:val="nil"/>
                  </w:tcBorders>
                  <w:noWrap w:val="0"/>
                  <w:vAlign w:val="center"/>
                </w:tcPr>
                <w:p w14:paraId="10759D19">
                  <w:pPr>
                    <w:autoSpaceDE w:val="0"/>
                    <w:autoSpaceDN w:val="0"/>
                    <w:bidi w:val="0"/>
                    <w:jc w:val="center"/>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本项目</w:t>
                  </w:r>
                </w:p>
              </w:tc>
              <w:tc>
                <w:tcPr>
                  <w:tcW w:w="393" w:type="pct"/>
                  <w:tcBorders>
                    <w:tl2br w:val="nil"/>
                    <w:tr2bl w:val="nil"/>
                  </w:tcBorders>
                  <w:noWrap w:val="0"/>
                  <w:vAlign w:val="center"/>
                </w:tcPr>
                <w:p w14:paraId="21CF3484">
                  <w:pPr>
                    <w:autoSpaceDE w:val="0"/>
                    <w:autoSpaceDN w:val="0"/>
                    <w:bidi w:val="0"/>
                    <w:jc w:val="center"/>
                    <w:rPr>
                      <w:rFonts w:hint="default" w:ascii="Times New Roman" w:hAnsi="Times New Roman" w:cs="Times New Roman"/>
                      <w:b/>
                      <w:bCs/>
                      <w:color w:val="auto"/>
                      <w:sz w:val="21"/>
                      <w:szCs w:val="21"/>
                      <w:lang w:val="en-US" w:eastAsia="zh-CN"/>
                    </w:rPr>
                  </w:pPr>
                  <w:r>
                    <w:rPr>
                      <w:rFonts w:hint="default" w:ascii="Times New Roman" w:hAnsi="Times New Roman" w:cs="Times New Roman"/>
                      <w:b/>
                      <w:bCs/>
                      <w:color w:val="auto"/>
                      <w:sz w:val="21"/>
                      <w:szCs w:val="21"/>
                    </w:rPr>
                    <w:t>符合</w:t>
                  </w:r>
                  <w:r>
                    <w:rPr>
                      <w:rFonts w:hint="default" w:ascii="Times New Roman" w:hAnsi="Times New Roman" w:cs="Times New Roman"/>
                      <w:b/>
                      <w:bCs/>
                      <w:color w:val="auto"/>
                      <w:sz w:val="21"/>
                      <w:szCs w:val="21"/>
                      <w:lang w:val="en-US" w:eastAsia="zh-CN"/>
                    </w:rPr>
                    <w:t>性</w:t>
                  </w:r>
                </w:p>
              </w:tc>
            </w:tr>
            <w:tr w14:paraId="0455C0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556" w:type="pct"/>
                  <w:tcBorders>
                    <w:tl2br w:val="nil"/>
                    <w:tr2bl w:val="nil"/>
                  </w:tcBorders>
                  <w:noWrap w:val="0"/>
                  <w:vAlign w:val="center"/>
                </w:tcPr>
                <w:p w14:paraId="543450D6">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（一）加强结构优化调整，推进经济社会绿色转型发展</w:t>
                  </w:r>
                </w:p>
                <w:p w14:paraId="2B889D4A">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p>
                <w:p w14:paraId="059DDB20">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p>
              </w:tc>
              <w:tc>
                <w:tcPr>
                  <w:tcW w:w="2438" w:type="pct"/>
                  <w:tcBorders>
                    <w:tl2br w:val="nil"/>
                    <w:tr2bl w:val="nil"/>
                  </w:tcBorders>
                  <w:noWrap w:val="0"/>
                  <w:vAlign w:val="center"/>
                </w:tcPr>
                <w:p w14:paraId="18975F09">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优化调整能源结构。积极落实能源消费双控制度，强化节能评估审查。制定并实施《煤炭消费总量控制及重点区域煤炭消费削减行动计划（2021-2023年）》，到2025年“乌-昌-石”</w:t>
                  </w:r>
                </w:p>
                <w:p w14:paraId="1B3930FB">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区域在保证企业生产刚性需求的情况下，煤炭消费占一次能源消费比重有所下降。推动煤炭清洁高效利用，提高煤炭综合利用效率，提升煤矸石、粉煤灰和各种余气、余热综合利用水平。大力开发水能、风能、太阳能、地热能等可再生能源，探索氢能开发利用，加快推进煤炭替代。加快构建结构多元、供应稳定的现代绿色能源产业体系，建立健全可再生能源电力消纳保障机制。</w:t>
                  </w:r>
                </w:p>
              </w:tc>
              <w:tc>
                <w:tcPr>
                  <w:tcW w:w="1610" w:type="pct"/>
                  <w:tcBorders>
                    <w:tl2br w:val="nil"/>
                    <w:tr2bl w:val="nil"/>
                  </w:tcBorders>
                  <w:noWrap w:val="0"/>
                  <w:vAlign w:val="center"/>
                </w:tcPr>
                <w:p w14:paraId="2152802D">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本项目依托吉木萨尔县恒信煤炭制品工贸有限公司120万吨煤制品深加工升级改造项目的富余煤气资源建设发电系统。</w:t>
                  </w:r>
                </w:p>
              </w:tc>
              <w:tc>
                <w:tcPr>
                  <w:tcW w:w="393" w:type="pct"/>
                  <w:tcBorders>
                    <w:tl2br w:val="nil"/>
                    <w:tr2bl w:val="nil"/>
                  </w:tcBorders>
                  <w:noWrap w:val="0"/>
                  <w:vAlign w:val="center"/>
                </w:tcPr>
                <w:p w14:paraId="725867F1">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符合</w:t>
                  </w:r>
                </w:p>
              </w:tc>
            </w:tr>
            <w:tr w14:paraId="7B50221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90" w:hRule="atLeast"/>
              </w:trPr>
              <w:tc>
                <w:tcPr>
                  <w:tcW w:w="556" w:type="pct"/>
                  <w:tcBorders>
                    <w:tl2br w:val="nil"/>
                    <w:tr2bl w:val="nil"/>
                  </w:tcBorders>
                  <w:noWrap w:val="0"/>
                  <w:vAlign w:val="center"/>
                </w:tcPr>
                <w:p w14:paraId="1E3F6AC7">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（二）积极应对气候变化，持续有效控制温室气体排放</w:t>
                  </w:r>
                </w:p>
                <w:p w14:paraId="6D830410">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p>
              </w:tc>
              <w:tc>
                <w:tcPr>
                  <w:tcW w:w="2438" w:type="pct"/>
                  <w:tcBorders>
                    <w:tl2br w:val="nil"/>
                    <w:tr2bl w:val="nil"/>
                  </w:tcBorders>
                  <w:noWrap w:val="0"/>
                  <w:vAlign w:val="center"/>
                </w:tcPr>
                <w:p w14:paraId="0C2B22A1">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强化温室气体排放控制。加快推动能源结构和产业结构绿色低碳转型，有效控制能源、工业、建筑、交通等重点领域温室气体排放。探索实施以二氧化碳排放强度控制为主、二氧化碳排放总量控制为辅的制度。根据全国碳排放权交易市场建设统一部署，落实碳排放权交易制度，推动企业积极参与碳排放权交易。持续加强森林、草原、湿地、荒漠等生态系统保护和建设，增加森林和湿地碳汇，有效减少因人为和自然干扰导致的碳排放，提高林业适应能力。工业领域碳排放总量趋于稳定，城市新建居住建筑执行75%建筑节能强制性标准，“乌-昌石”区域内4县市、2园区全面执行绿色建筑标准。交通运输结构和交通能源结构进一步优化。</w:t>
                  </w:r>
                </w:p>
              </w:tc>
              <w:tc>
                <w:tcPr>
                  <w:tcW w:w="1610" w:type="pct"/>
                  <w:tcBorders>
                    <w:tl2br w:val="nil"/>
                    <w:tr2bl w:val="nil"/>
                  </w:tcBorders>
                  <w:noWrap w:val="0"/>
                  <w:vAlign w:val="center"/>
                </w:tcPr>
                <w:p w14:paraId="2111B540">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本项目已进行</w:t>
                  </w:r>
                  <w:r>
                    <w:rPr>
                      <w:rFonts w:hint="default" w:ascii="Times New Roman" w:hAnsi="Times New Roman" w:cs="Times New Roman"/>
                      <w:color w:val="auto"/>
                      <w:sz w:val="21"/>
                      <w:szCs w:val="21"/>
                      <w:lang w:val="zh-CN" w:eastAsia="zh-CN"/>
                    </w:rPr>
                    <w:t>碳排放的源项识别、源强核算、减污降碳措施。</w:t>
                  </w:r>
                  <w:r>
                    <w:rPr>
                      <w:rFonts w:hint="default" w:ascii="Times New Roman" w:hAnsi="Times New Roman" w:cs="Times New Roman"/>
                      <w:color w:val="auto"/>
                      <w:sz w:val="21"/>
                      <w:szCs w:val="21"/>
                      <w:lang w:val="en-US" w:eastAsia="zh-CN"/>
                    </w:rPr>
                    <w:t>详见本项碳排放评价章节</w:t>
                  </w:r>
                </w:p>
              </w:tc>
              <w:tc>
                <w:tcPr>
                  <w:tcW w:w="393" w:type="pct"/>
                  <w:tcBorders>
                    <w:tl2br w:val="nil"/>
                    <w:tr2bl w:val="nil"/>
                  </w:tcBorders>
                  <w:noWrap w:val="0"/>
                  <w:vAlign w:val="center"/>
                </w:tcPr>
                <w:p w14:paraId="6A16E375">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符合</w:t>
                  </w:r>
                </w:p>
              </w:tc>
            </w:tr>
            <w:tr w14:paraId="041C31F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90" w:hRule="atLeast"/>
              </w:trPr>
              <w:tc>
                <w:tcPr>
                  <w:tcW w:w="556" w:type="pct"/>
                  <w:tcBorders>
                    <w:top w:val="single" w:color="auto" w:sz="4" w:space="0"/>
                    <w:tl2br w:val="nil"/>
                    <w:tr2bl w:val="nil"/>
                  </w:tcBorders>
                  <w:noWrap w:val="0"/>
                  <w:vAlign w:val="center"/>
                </w:tcPr>
                <w:p w14:paraId="5A17633D">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（三）强化大气联防联治，着力实施空气质量提升行动</w:t>
                  </w:r>
                </w:p>
              </w:tc>
              <w:tc>
                <w:tcPr>
                  <w:tcW w:w="2438" w:type="pct"/>
                  <w:tcBorders>
                    <w:tl2br w:val="nil"/>
                    <w:tr2bl w:val="nil"/>
                  </w:tcBorders>
                  <w:noWrap w:val="0"/>
                  <w:vAlign w:val="center"/>
                </w:tcPr>
                <w:p w14:paraId="4BB20322">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2.深化工业污染治理。推进重点行业污染治理升级改造。各县市、园区电解铝、焦化、碳素等重点行业及“乌-昌-石”区域所有行业均实施特别排放限值。</w:t>
                  </w:r>
                </w:p>
              </w:tc>
              <w:tc>
                <w:tcPr>
                  <w:tcW w:w="1610" w:type="pct"/>
                  <w:tcBorders>
                    <w:tl2br w:val="nil"/>
                    <w:tr2bl w:val="nil"/>
                  </w:tcBorders>
                  <w:noWrap w:val="0"/>
                  <w:vAlign w:val="center"/>
                </w:tcPr>
                <w:p w14:paraId="26086BA7">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本项目煤气燃烧烟气经“低氮燃烧器+SCR脱硝（去除效率80%）+</w:t>
                  </w:r>
                  <w:r>
                    <w:rPr>
                      <w:rFonts w:hint="default" w:ascii="Times New Roman" w:hAnsi="Times New Roman" w:eastAsia="宋体" w:cs="Times New Roman"/>
                      <w:i w:val="0"/>
                      <w:iCs w:val="0"/>
                      <w:color w:val="auto"/>
                      <w:kern w:val="0"/>
                      <w:sz w:val="21"/>
                      <w:szCs w:val="21"/>
                      <w:u w:val="none"/>
                      <w:lang w:val="en-US" w:eastAsia="zh-CN" w:bidi="ar"/>
                    </w:rPr>
                    <w:t>石灰（石）-石膏湿法脱硫+高效除雾器协同除尘+湿式电除尘器</w:t>
                  </w:r>
                  <w:r>
                    <w:rPr>
                      <w:rFonts w:hint="default" w:ascii="Times New Roman" w:hAnsi="Times New Roman" w:cs="Times New Roman" w:eastAsiaTheme="minorEastAsia"/>
                      <w:color w:val="auto"/>
                      <w:kern w:val="2"/>
                      <w:sz w:val="21"/>
                      <w:szCs w:val="21"/>
                      <w:lang w:val="en-US" w:eastAsia="zh-CN" w:bidi="ar-SA"/>
                    </w:rPr>
                    <w:t>（二氧化硫去除效率95%，颗粒物去除效率95%）设施”处理后，</w:t>
                  </w:r>
                  <w:r>
                    <w:rPr>
                      <w:rFonts w:hint="eastAsia" w:cs="Times New Roman" w:eastAsiaTheme="minorEastAsia"/>
                      <w:color w:val="auto"/>
                      <w:kern w:val="2"/>
                      <w:sz w:val="21"/>
                      <w:szCs w:val="21"/>
                      <w:lang w:val="en-US" w:eastAsia="zh-CN" w:bidi="ar-SA"/>
                    </w:rPr>
                    <w:t>通过</w:t>
                  </w:r>
                  <w:r>
                    <w:rPr>
                      <w:rFonts w:hint="default" w:ascii="Times New Roman" w:hAnsi="Times New Roman" w:cs="Times New Roman" w:eastAsiaTheme="minorEastAsia"/>
                      <w:color w:val="auto"/>
                      <w:kern w:val="2"/>
                      <w:sz w:val="21"/>
                      <w:szCs w:val="21"/>
                      <w:lang w:val="en-US" w:eastAsia="zh-CN" w:bidi="ar-SA"/>
                    </w:rPr>
                    <w:t>60m高排气筒（DA001）排放至大气环境中，并安装在线监测系统（CEMS）</w:t>
                  </w:r>
                </w:p>
              </w:tc>
              <w:tc>
                <w:tcPr>
                  <w:tcW w:w="393" w:type="pct"/>
                  <w:tcBorders>
                    <w:tl2br w:val="nil"/>
                    <w:tr2bl w:val="nil"/>
                  </w:tcBorders>
                  <w:noWrap w:val="0"/>
                  <w:vAlign w:val="center"/>
                </w:tcPr>
                <w:p w14:paraId="058DCAF8">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符合</w:t>
                  </w:r>
                </w:p>
              </w:tc>
            </w:tr>
            <w:tr w14:paraId="37E00B5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556" w:type="pct"/>
                  <w:tcBorders>
                    <w:tl2br w:val="nil"/>
                    <w:tr2bl w:val="nil"/>
                  </w:tcBorders>
                  <w:noWrap w:val="0"/>
                  <w:vAlign w:val="center"/>
                </w:tcPr>
                <w:p w14:paraId="5DF4B64A">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（四）统筹“三水”综合施治，继续实施水污染防治行动</w:t>
                  </w:r>
                </w:p>
                <w:p w14:paraId="5C265D03">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p>
              </w:tc>
              <w:tc>
                <w:tcPr>
                  <w:tcW w:w="2438" w:type="pct"/>
                  <w:tcBorders>
                    <w:tl2br w:val="nil"/>
                    <w:tr2bl w:val="nil"/>
                  </w:tcBorders>
                  <w:noWrap w:val="0"/>
                  <w:vAlign w:val="center"/>
                </w:tcPr>
                <w:p w14:paraId="74A80432">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5.加强工业污染防治。加强工业节水。严格控制高污染、高耗水行业发展，构建节能节水式经济发展模式。以工业用水重复利用、热力和工艺系统节水、工业给水和废水处理等领域为重点，支持企业积极实施节水技术改造。工业集聚区进行产业布局时，优先采取资源互补的方式，排放浓度低、易处理的企业排水经过处理后可以作为其它企业的生产用水，实现园区内的水资源循环利用。推动实施工业污染源全面达标排放。重点针对流域工业污染较重的水质单元，对标分析相应的工业企业密集区域，针对存在的主要水污染问题，提出淘汰关闭搬迁、废水达标整治、清洁生产等总体布局措施。对存在污水处理负荷过低或过量、处理标准低及中水回用率低等问题进行整治，实现工业废水达标排放。</w:t>
                  </w:r>
                </w:p>
              </w:tc>
              <w:tc>
                <w:tcPr>
                  <w:tcW w:w="1610" w:type="pct"/>
                  <w:tcBorders>
                    <w:tl2br w:val="nil"/>
                    <w:tr2bl w:val="nil"/>
                  </w:tcBorders>
                  <w:noWrap w:val="0"/>
                  <w:vAlign w:val="center"/>
                </w:tcPr>
                <w:p w14:paraId="50E9EC7A">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本项目</w:t>
                  </w:r>
                  <w:r>
                    <w:rPr>
                      <w:rFonts w:hint="default" w:ascii="Times New Roman" w:hAnsi="Times New Roman" w:cs="Times New Roman" w:eastAsiaTheme="minorEastAsia"/>
                      <w:color w:val="auto"/>
                      <w:kern w:val="2"/>
                      <w:sz w:val="21"/>
                      <w:szCs w:val="21"/>
                      <w:lang w:val="en-US" w:eastAsia="zh-CN" w:bidi="ar-SA"/>
                    </w:rPr>
                    <w:t>生活污水</w:t>
                  </w:r>
                  <w:r>
                    <w:rPr>
                      <w:rFonts w:hint="default" w:ascii="Times New Roman" w:hAnsi="Times New Roman" w:cs="Times New Roman"/>
                      <w:color w:val="auto"/>
                      <w:kern w:val="2"/>
                      <w:sz w:val="21"/>
                      <w:szCs w:val="21"/>
                      <w:lang w:val="en-US" w:eastAsia="zh-CN" w:bidi="ar-SA"/>
                    </w:rPr>
                    <w:t>经</w:t>
                  </w:r>
                  <w:r>
                    <w:rPr>
                      <w:rFonts w:hint="default" w:ascii="Times New Roman" w:hAnsi="Times New Roman" w:cs="Times New Roman" w:eastAsiaTheme="minorEastAsia"/>
                      <w:color w:val="auto"/>
                      <w:kern w:val="2"/>
                      <w:sz w:val="21"/>
                      <w:szCs w:val="21"/>
                      <w:lang w:val="en-US" w:eastAsia="zh-CN" w:bidi="ar-SA"/>
                    </w:rPr>
                    <w:t>厂内建设排污管道排至吉木萨尔县恒信煤炭制品工贸有限公司120万吨煤制品深加工升级改造项目厂内食宿区生活区的地埋式一体化污水处理设备处理后，冬储夏灌</w:t>
                  </w:r>
                </w:p>
                <w:p w14:paraId="70F581BD">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生产废水</w:t>
                  </w:r>
                  <w:r>
                    <w:rPr>
                      <w:rFonts w:hint="default" w:ascii="Times New Roman" w:hAnsi="Times New Roman" w:cs="Times New Roman"/>
                      <w:color w:val="auto"/>
                      <w:kern w:val="2"/>
                      <w:sz w:val="21"/>
                      <w:szCs w:val="21"/>
                      <w:lang w:val="en-US" w:eastAsia="zh-CN" w:bidi="ar-SA"/>
                    </w:rPr>
                    <w:t>中</w:t>
                  </w:r>
                  <w:r>
                    <w:rPr>
                      <w:rFonts w:hint="default" w:ascii="Times New Roman" w:hAnsi="Times New Roman" w:cs="Times New Roman" w:eastAsiaTheme="minorEastAsia"/>
                      <w:color w:val="auto"/>
                      <w:kern w:val="2"/>
                      <w:sz w:val="21"/>
                      <w:szCs w:val="21"/>
                      <w:lang w:val="en-US" w:eastAsia="zh-CN" w:bidi="ar-SA"/>
                    </w:rPr>
                    <w:t>锅炉定期排污废水排入定排坑、冷却系统排污废水、软水制备废水和中和处理后的化验室常规检验废水均排入回收水池后作为脱硫系统用水，无外排生产废水</w:t>
                  </w:r>
                  <w:r>
                    <w:rPr>
                      <w:rFonts w:hint="default" w:ascii="Times New Roman" w:hAnsi="Times New Roman" w:cs="Times New Roman"/>
                      <w:color w:val="auto"/>
                      <w:kern w:val="2"/>
                      <w:sz w:val="21"/>
                      <w:szCs w:val="21"/>
                      <w:lang w:val="en-US" w:eastAsia="zh-CN" w:bidi="ar-SA"/>
                    </w:rPr>
                    <w:t>。能够</w:t>
                  </w:r>
                  <w:r>
                    <w:rPr>
                      <w:rFonts w:hint="default" w:ascii="Times New Roman" w:hAnsi="Times New Roman" w:cs="Times New Roman" w:eastAsiaTheme="minorEastAsia"/>
                      <w:color w:val="auto"/>
                      <w:kern w:val="2"/>
                      <w:sz w:val="21"/>
                      <w:szCs w:val="21"/>
                      <w:lang w:val="en-US" w:eastAsia="zh-CN" w:bidi="ar-SA"/>
                    </w:rPr>
                    <w:t>实现</w:t>
                  </w:r>
                  <w:r>
                    <w:rPr>
                      <w:rFonts w:hint="default" w:ascii="Times New Roman" w:hAnsi="Times New Roman" w:cs="Times New Roman"/>
                      <w:color w:val="auto"/>
                      <w:kern w:val="2"/>
                      <w:sz w:val="21"/>
                      <w:szCs w:val="21"/>
                      <w:lang w:val="en-US" w:eastAsia="zh-CN" w:bidi="ar-SA"/>
                    </w:rPr>
                    <w:t>本项目</w:t>
                  </w:r>
                  <w:r>
                    <w:rPr>
                      <w:rFonts w:hint="default" w:ascii="Times New Roman" w:hAnsi="Times New Roman" w:cs="Times New Roman" w:eastAsiaTheme="minorEastAsia"/>
                      <w:color w:val="auto"/>
                      <w:kern w:val="2"/>
                      <w:sz w:val="21"/>
                      <w:szCs w:val="21"/>
                      <w:lang w:val="en-US" w:eastAsia="zh-CN" w:bidi="ar-SA"/>
                    </w:rPr>
                    <w:t>水资源</w:t>
                  </w:r>
                  <w:r>
                    <w:rPr>
                      <w:rFonts w:hint="default" w:ascii="Times New Roman" w:hAnsi="Times New Roman" w:cs="Times New Roman"/>
                      <w:color w:val="auto"/>
                      <w:kern w:val="2"/>
                      <w:sz w:val="21"/>
                      <w:szCs w:val="21"/>
                      <w:lang w:val="en-US" w:eastAsia="zh-CN" w:bidi="ar-SA"/>
                    </w:rPr>
                    <w:t>的</w:t>
                  </w:r>
                  <w:r>
                    <w:rPr>
                      <w:rFonts w:hint="default" w:ascii="Times New Roman" w:hAnsi="Times New Roman" w:cs="Times New Roman" w:eastAsiaTheme="minorEastAsia"/>
                      <w:color w:val="auto"/>
                      <w:kern w:val="2"/>
                      <w:sz w:val="21"/>
                      <w:szCs w:val="21"/>
                      <w:lang w:val="en-US" w:eastAsia="zh-CN" w:bidi="ar-SA"/>
                    </w:rPr>
                    <w:t>循环利用</w:t>
                  </w:r>
                </w:p>
              </w:tc>
              <w:tc>
                <w:tcPr>
                  <w:tcW w:w="393" w:type="pct"/>
                  <w:tcBorders>
                    <w:tl2br w:val="nil"/>
                    <w:tr2bl w:val="nil"/>
                  </w:tcBorders>
                  <w:noWrap w:val="0"/>
                  <w:vAlign w:val="center"/>
                </w:tcPr>
                <w:p w14:paraId="73CB5185">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符合</w:t>
                  </w:r>
                </w:p>
              </w:tc>
            </w:tr>
          </w:tbl>
          <w:p w14:paraId="5477FAE1">
            <w:pPr>
              <w:pStyle w:val="109"/>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480" w:firstLineChars="200"/>
              <w:jc w:val="both"/>
              <w:textAlignment w:val="baseline"/>
              <w:rPr>
                <w:rFonts w:hint="default" w:ascii="Times New Roman" w:hAnsi="Times New Roman" w:eastAsia="宋体" w:cs="Times New Roman"/>
                <w:b/>
                <w:bCs/>
                <w:color w:val="auto"/>
                <w:kern w:val="0"/>
                <w:sz w:val="21"/>
                <w:szCs w:val="21"/>
                <w:highlight w:val="none"/>
                <w:lang w:val="en-US" w:eastAsia="zh-CN"/>
              </w:rPr>
            </w:pPr>
            <w:r>
              <w:rPr>
                <w:rFonts w:hint="default" w:ascii="Times New Roman" w:hAnsi="Times New Roman" w:cs="Times New Roman"/>
                <w:bCs/>
                <w:snapToGrid w:val="0"/>
                <w:color w:val="auto"/>
                <w:kern w:val="0"/>
                <w:sz w:val="24"/>
                <w:szCs w:val="21"/>
                <w:lang w:val="en-US" w:eastAsia="zh-CN" w:bidi="ar-SA"/>
              </w:rPr>
              <w:t>综上，本项目符合</w:t>
            </w:r>
            <w:r>
              <w:rPr>
                <w:rFonts w:hint="default" w:ascii="Times New Roman" w:hAnsi="Times New Roman" w:eastAsia="宋体" w:cs="Times New Roman"/>
                <w:bCs/>
                <w:snapToGrid w:val="0"/>
                <w:color w:val="auto"/>
                <w:kern w:val="0"/>
                <w:sz w:val="24"/>
                <w:szCs w:val="21"/>
                <w:lang w:val="en-US" w:eastAsia="zh-CN" w:bidi="ar-SA"/>
              </w:rPr>
              <w:t>《昌吉回族自治州生态环境保护与建设“十四五”规划》</w:t>
            </w:r>
            <w:r>
              <w:rPr>
                <w:rFonts w:hint="default" w:ascii="Times New Roman" w:hAnsi="Times New Roman" w:cs="Times New Roman"/>
                <w:bCs/>
                <w:snapToGrid w:val="0"/>
                <w:color w:val="auto"/>
                <w:kern w:val="0"/>
                <w:sz w:val="24"/>
                <w:szCs w:val="21"/>
                <w:lang w:val="en-US" w:eastAsia="zh-CN" w:bidi="ar-SA"/>
              </w:rPr>
              <w:t>中的相关要求。</w:t>
            </w:r>
          </w:p>
          <w:p w14:paraId="77080680">
            <w:pPr>
              <w:pStyle w:val="109"/>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0" w:right="0" w:rightChars="0" w:firstLine="482" w:firstLineChars="200"/>
              <w:jc w:val="both"/>
              <w:textAlignment w:val="baseline"/>
              <w:rPr>
                <w:rFonts w:hint="default" w:ascii="Times New Roman" w:hAnsi="Times New Roman" w:cs="Times New Roman"/>
                <w:b/>
                <w:bCs/>
                <w:snapToGrid/>
                <w:color w:val="auto"/>
                <w:kern w:val="2"/>
                <w:sz w:val="24"/>
                <w:szCs w:val="24"/>
                <w:lang w:val="en-US" w:eastAsia="zh-CN" w:bidi="ar-SA"/>
              </w:rPr>
            </w:pPr>
            <w:r>
              <w:rPr>
                <w:rFonts w:hint="default" w:ascii="Times New Roman" w:hAnsi="Times New Roman" w:cs="Times New Roman"/>
                <w:b/>
                <w:bCs/>
                <w:snapToGrid/>
                <w:color w:val="auto"/>
                <w:kern w:val="2"/>
                <w:sz w:val="24"/>
                <w:szCs w:val="24"/>
                <w:lang w:val="en-US" w:eastAsia="zh-CN" w:bidi="ar-SA"/>
              </w:rPr>
              <w:t>10.与</w:t>
            </w:r>
            <w:r>
              <w:rPr>
                <w:rFonts w:hint="default" w:ascii="Times New Roman" w:hAnsi="Times New Roman" w:eastAsia="宋体" w:cs="Times New Roman"/>
                <w:b/>
                <w:bCs/>
                <w:snapToGrid/>
                <w:color w:val="auto"/>
                <w:kern w:val="2"/>
                <w:sz w:val="24"/>
                <w:szCs w:val="24"/>
                <w:lang w:val="en-US" w:eastAsia="zh-CN" w:bidi="ar-SA"/>
              </w:rPr>
              <w:t>《新疆维吾尔自治区2025年空气质量持续改善行动实施方案》</w:t>
            </w:r>
            <w:r>
              <w:rPr>
                <w:rFonts w:hint="default" w:ascii="Times New Roman" w:hAnsi="Times New Roman" w:cs="Times New Roman"/>
                <w:b/>
                <w:bCs/>
                <w:snapToGrid/>
                <w:color w:val="auto"/>
                <w:kern w:val="2"/>
                <w:sz w:val="24"/>
                <w:szCs w:val="24"/>
                <w:lang w:val="en-US" w:eastAsia="zh-CN" w:bidi="ar-SA"/>
              </w:rPr>
              <w:t>符合性分析</w:t>
            </w:r>
          </w:p>
          <w:p w14:paraId="770426D7">
            <w:pPr>
              <w:pStyle w:val="109"/>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leftChars="0" w:right="0" w:rightChars="0" w:firstLine="480" w:firstLineChars="200"/>
              <w:jc w:val="both"/>
              <w:textAlignment w:val="baseline"/>
              <w:rPr>
                <w:rFonts w:hint="default" w:ascii="Times New Roman" w:hAnsi="Times New Roman" w:eastAsia="宋体" w:cs="Times New Roman"/>
                <w:bCs/>
                <w:snapToGrid w:val="0"/>
                <w:color w:val="auto"/>
                <w:kern w:val="0"/>
                <w:sz w:val="24"/>
                <w:szCs w:val="21"/>
                <w:lang w:val="en-US" w:eastAsia="zh-CN" w:bidi="ar-SA"/>
              </w:rPr>
            </w:pPr>
            <w:r>
              <w:rPr>
                <w:rFonts w:hint="default" w:ascii="Times New Roman" w:hAnsi="Times New Roman" w:eastAsia="宋体" w:cs="Times New Roman"/>
                <w:bCs/>
                <w:snapToGrid w:val="0"/>
                <w:color w:val="auto"/>
                <w:kern w:val="0"/>
                <w:sz w:val="24"/>
                <w:szCs w:val="21"/>
                <w:lang w:val="en-US" w:eastAsia="zh-CN" w:bidi="ar-SA"/>
              </w:rPr>
              <w:t>本项目与《新疆维吾尔自治区2025年空气质量持续改善行动实施方案》符合性分析详见表1-</w:t>
            </w:r>
            <w:r>
              <w:rPr>
                <w:rFonts w:hint="default" w:ascii="Times New Roman" w:hAnsi="Times New Roman" w:cs="Times New Roman"/>
                <w:bCs/>
                <w:snapToGrid w:val="0"/>
                <w:color w:val="auto"/>
                <w:kern w:val="0"/>
                <w:sz w:val="24"/>
                <w:szCs w:val="21"/>
                <w:lang w:val="en-US" w:eastAsia="zh-CN" w:bidi="ar-SA"/>
              </w:rPr>
              <w:t>7</w:t>
            </w:r>
            <w:r>
              <w:rPr>
                <w:rFonts w:hint="default" w:ascii="Times New Roman" w:hAnsi="Times New Roman" w:eastAsia="宋体" w:cs="Times New Roman"/>
                <w:bCs/>
                <w:snapToGrid w:val="0"/>
                <w:color w:val="auto"/>
                <w:kern w:val="0"/>
                <w:sz w:val="24"/>
                <w:szCs w:val="21"/>
                <w:lang w:val="en-US" w:eastAsia="zh-CN" w:bidi="ar-SA"/>
              </w:rPr>
              <w:t>。</w:t>
            </w:r>
          </w:p>
          <w:p w14:paraId="06A243DB">
            <w:pPr>
              <w:pStyle w:val="10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Chars="0" w:right="0" w:rightChars="0"/>
              <w:jc w:val="center"/>
              <w:textAlignment w:val="baseline"/>
              <w:rPr>
                <w:rFonts w:hint="default" w:ascii="Times New Roman" w:hAnsi="Times New Roman" w:eastAsia="宋体" w:cs="Times New Roman"/>
                <w:b/>
                <w:bCs/>
                <w:color w:val="auto"/>
                <w:kern w:val="0"/>
                <w:sz w:val="21"/>
                <w:szCs w:val="21"/>
                <w:highlight w:val="none"/>
                <w:lang w:val="en-US" w:eastAsia="zh-CN" w:bidi="ar-SA"/>
              </w:rPr>
            </w:pPr>
            <w:r>
              <w:rPr>
                <w:rFonts w:hint="default" w:ascii="Times New Roman" w:hAnsi="Times New Roman" w:eastAsia="宋体" w:cs="Times New Roman"/>
                <w:b/>
                <w:bCs/>
                <w:color w:val="auto"/>
                <w:kern w:val="0"/>
                <w:sz w:val="21"/>
                <w:szCs w:val="21"/>
                <w:highlight w:val="none"/>
                <w:lang w:val="en-US" w:eastAsia="zh-CN" w:bidi="ar-SA"/>
              </w:rPr>
              <w:t>表1-</w:t>
            </w:r>
            <w:r>
              <w:rPr>
                <w:rFonts w:hint="default" w:ascii="Times New Roman" w:hAnsi="Times New Roman" w:cs="Times New Roman"/>
                <w:b/>
                <w:bCs/>
                <w:color w:val="auto"/>
                <w:kern w:val="0"/>
                <w:sz w:val="21"/>
                <w:szCs w:val="21"/>
                <w:highlight w:val="none"/>
                <w:lang w:val="en-US" w:eastAsia="zh-CN" w:bidi="ar-SA"/>
              </w:rPr>
              <w:t>7</w:t>
            </w:r>
            <w:r>
              <w:rPr>
                <w:rFonts w:hint="default" w:ascii="Times New Roman" w:hAnsi="Times New Roman" w:eastAsia="宋体" w:cs="Times New Roman"/>
                <w:b/>
                <w:bCs/>
                <w:color w:val="auto"/>
                <w:kern w:val="0"/>
                <w:sz w:val="21"/>
                <w:szCs w:val="21"/>
                <w:highlight w:val="none"/>
                <w:lang w:val="en-US" w:eastAsia="zh-CN" w:bidi="ar-SA"/>
              </w:rPr>
              <w:t>与《新疆维吾尔自治区2025年空气质量持续改善行动实施方案》符合性分析</w:t>
            </w:r>
          </w:p>
          <w:tbl>
            <w:tblPr>
              <w:tblStyle w:val="96"/>
              <w:tblW w:w="4971"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68" w:type="dxa"/>
                <w:bottom w:w="0" w:type="dxa"/>
                <w:right w:w="68" w:type="dxa"/>
              </w:tblCellMar>
            </w:tblPr>
            <w:tblGrid>
              <w:gridCol w:w="692"/>
              <w:gridCol w:w="4456"/>
              <w:gridCol w:w="2458"/>
              <w:gridCol w:w="650"/>
            </w:tblGrid>
            <w:tr w14:paraId="4C9482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419" w:type="pct"/>
                  <w:tcBorders>
                    <w:tl2br w:val="nil"/>
                    <w:tr2bl w:val="nil"/>
                  </w:tcBorders>
                  <w:noWrap w:val="0"/>
                  <w:vAlign w:val="center"/>
                </w:tcPr>
                <w:p w14:paraId="099388F3">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spacing w:val="9"/>
                      <w:sz w:val="21"/>
                      <w:szCs w:val="21"/>
                      <w:lang w:val="en-US" w:eastAsia="zh-CN"/>
                    </w:rPr>
                  </w:pPr>
                  <w:r>
                    <w:rPr>
                      <w:rFonts w:hint="default" w:ascii="Times New Roman" w:hAnsi="Times New Roman" w:eastAsia="宋体" w:cs="Times New Roman"/>
                      <w:b/>
                      <w:bCs/>
                      <w:color w:val="auto"/>
                      <w:spacing w:val="9"/>
                      <w:sz w:val="21"/>
                      <w:szCs w:val="21"/>
                      <w:lang w:val="en-US" w:eastAsia="zh-CN"/>
                    </w:rPr>
                    <w:t>序号</w:t>
                  </w:r>
                </w:p>
              </w:tc>
              <w:tc>
                <w:tcPr>
                  <w:tcW w:w="2698" w:type="pct"/>
                  <w:tcBorders>
                    <w:tl2br w:val="nil"/>
                    <w:tr2bl w:val="nil"/>
                  </w:tcBorders>
                  <w:noWrap w:val="0"/>
                  <w:vAlign w:val="center"/>
                </w:tcPr>
                <w:p w14:paraId="1F3B5E16">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spacing w:val="9"/>
                      <w:sz w:val="21"/>
                      <w:szCs w:val="21"/>
                      <w:lang w:val="en-US" w:eastAsia="zh-CN"/>
                    </w:rPr>
                  </w:pPr>
                  <w:r>
                    <w:rPr>
                      <w:rFonts w:hint="default" w:ascii="Times New Roman" w:hAnsi="Times New Roman" w:eastAsia="宋体" w:cs="Times New Roman"/>
                      <w:b/>
                      <w:bCs/>
                      <w:color w:val="auto"/>
                      <w:spacing w:val="9"/>
                      <w:sz w:val="21"/>
                      <w:szCs w:val="21"/>
                      <w:lang w:val="en-US" w:eastAsia="zh-CN"/>
                    </w:rPr>
                    <w:t>相关要求</w:t>
                  </w:r>
                </w:p>
              </w:tc>
              <w:tc>
                <w:tcPr>
                  <w:tcW w:w="1488" w:type="pct"/>
                  <w:tcBorders>
                    <w:tl2br w:val="nil"/>
                    <w:tr2bl w:val="nil"/>
                  </w:tcBorders>
                  <w:noWrap w:val="0"/>
                  <w:vAlign w:val="center"/>
                </w:tcPr>
                <w:p w14:paraId="1CCB5591">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spacing w:val="9"/>
                      <w:sz w:val="21"/>
                      <w:szCs w:val="21"/>
                    </w:rPr>
                  </w:pPr>
                  <w:r>
                    <w:rPr>
                      <w:rFonts w:hint="default" w:ascii="Times New Roman" w:hAnsi="Times New Roman" w:eastAsia="宋体" w:cs="Times New Roman"/>
                      <w:b/>
                      <w:bCs/>
                      <w:color w:val="auto"/>
                      <w:spacing w:val="9"/>
                      <w:sz w:val="21"/>
                      <w:szCs w:val="21"/>
                    </w:rPr>
                    <w:t>本项目</w:t>
                  </w:r>
                </w:p>
              </w:tc>
              <w:tc>
                <w:tcPr>
                  <w:tcW w:w="393" w:type="pct"/>
                  <w:tcBorders>
                    <w:tl2br w:val="nil"/>
                    <w:tr2bl w:val="nil"/>
                  </w:tcBorders>
                  <w:noWrap w:val="0"/>
                  <w:vAlign w:val="center"/>
                </w:tcPr>
                <w:p w14:paraId="7E112AB4">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b/>
                      <w:bCs/>
                      <w:color w:val="auto"/>
                      <w:spacing w:val="9"/>
                      <w:sz w:val="21"/>
                      <w:szCs w:val="21"/>
                      <w:lang w:val="en-US" w:eastAsia="zh-CN"/>
                    </w:rPr>
                  </w:pPr>
                  <w:r>
                    <w:rPr>
                      <w:rFonts w:hint="default" w:ascii="Times New Roman" w:hAnsi="Times New Roman" w:eastAsia="宋体" w:cs="Times New Roman"/>
                      <w:b/>
                      <w:bCs/>
                      <w:color w:val="auto"/>
                      <w:spacing w:val="9"/>
                      <w:sz w:val="21"/>
                      <w:szCs w:val="21"/>
                    </w:rPr>
                    <w:t>符合</w:t>
                  </w:r>
                  <w:r>
                    <w:rPr>
                      <w:rFonts w:hint="default" w:ascii="Times New Roman" w:hAnsi="Times New Roman" w:eastAsia="宋体" w:cs="Times New Roman"/>
                      <w:b/>
                      <w:bCs/>
                      <w:color w:val="auto"/>
                      <w:spacing w:val="9"/>
                      <w:sz w:val="21"/>
                      <w:szCs w:val="21"/>
                      <w:lang w:val="en-US" w:eastAsia="zh-CN"/>
                    </w:rPr>
                    <w:t>性</w:t>
                  </w:r>
                </w:p>
              </w:tc>
            </w:tr>
            <w:tr w14:paraId="1E55125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419" w:type="pct"/>
                  <w:vMerge w:val="restart"/>
                  <w:tcBorders>
                    <w:tl2br w:val="nil"/>
                    <w:tr2bl w:val="nil"/>
                  </w:tcBorders>
                  <w:noWrap w:val="0"/>
                  <w:vAlign w:val="center"/>
                </w:tcPr>
                <w:p w14:paraId="31768A9C">
                  <w:pPr>
                    <w:autoSpaceDE w:val="0"/>
                    <w:autoSpaceDN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二、持续优化产业结构</w:t>
                  </w:r>
                </w:p>
                <w:p w14:paraId="1AB0C8D0">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pacing w:val="9"/>
                      <w:sz w:val="21"/>
                      <w:szCs w:val="21"/>
                    </w:rPr>
                  </w:pPr>
                </w:p>
              </w:tc>
              <w:tc>
                <w:tcPr>
                  <w:tcW w:w="2698" w:type="pct"/>
                  <w:tcBorders>
                    <w:tl2br w:val="nil"/>
                    <w:tr2bl w:val="nil"/>
                  </w:tcBorders>
                  <w:noWrap w:val="0"/>
                  <w:vAlign w:val="center"/>
                </w:tcPr>
                <w:p w14:paraId="6450606D">
                  <w:pPr>
                    <w:autoSpaceDE w:val="0"/>
                    <w:autoSpaceDN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一）坚决遏制高耗能、高排放、低水平项目盲目上马。新改扩建项目严格落实国家和自治区产业规划、产业政策、生态环境分区管控方案、规划环评、项目环评、节能审查、产能置换、重点污染物总量控制、污染物排放区域削减、碳排放达峰目标等相关要求，原则上采用清洁运输方式，达到能效标杆水平、环保绩效A级水平。涉及产能置换的项目，被置换产能及设备关停后，新建项目方可投产。</w:t>
                  </w:r>
                </w:p>
              </w:tc>
              <w:tc>
                <w:tcPr>
                  <w:tcW w:w="1488" w:type="pct"/>
                  <w:tcBorders>
                    <w:tl2br w:val="nil"/>
                    <w:tr2bl w:val="nil"/>
                  </w:tcBorders>
                  <w:noWrap w:val="0"/>
                  <w:vAlign w:val="center"/>
                </w:tcPr>
                <w:p w14:paraId="2CF0865C">
                  <w:pPr>
                    <w:autoSpaceDE w:val="0"/>
                    <w:autoSpaceDN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本项目为</w:t>
                  </w:r>
                  <w:r>
                    <w:rPr>
                      <w:rFonts w:hint="default" w:ascii="Times New Roman" w:hAnsi="Times New Roman" w:cs="Times New Roman"/>
                      <w:color w:val="auto"/>
                      <w:sz w:val="21"/>
                      <w:szCs w:val="21"/>
                      <w:lang w:eastAsia="zh-CN"/>
                    </w:rPr>
                    <w:t>火力发电业</w:t>
                  </w:r>
                  <w:r>
                    <w:rPr>
                      <w:rFonts w:hint="default" w:ascii="Times New Roman" w:hAnsi="Times New Roman" w:cs="Times New Roman"/>
                      <w:color w:val="auto"/>
                      <w:sz w:val="21"/>
                      <w:szCs w:val="21"/>
                      <w:lang w:val="en-US" w:eastAsia="zh-CN"/>
                    </w:rPr>
                    <w:t>，不属于产能置换项目，</w:t>
                  </w:r>
                  <w:r>
                    <w:rPr>
                      <w:rFonts w:hint="default" w:ascii="Times New Roman" w:hAnsi="Times New Roman" w:cs="Times New Roman"/>
                      <w:color w:val="auto"/>
                      <w:sz w:val="21"/>
                      <w:szCs w:val="21"/>
                    </w:rPr>
                    <w:t>符合产业政策，符合行业准入，符合生态环境准入清单</w:t>
                  </w:r>
                  <w:r>
                    <w:rPr>
                      <w:rFonts w:hint="default" w:ascii="Times New Roman" w:hAnsi="Times New Roman" w:cs="Times New Roman"/>
                      <w:color w:val="auto"/>
                      <w:sz w:val="21"/>
                      <w:szCs w:val="21"/>
                      <w:lang w:val="en-US" w:eastAsia="zh-CN"/>
                    </w:rPr>
                    <w:t>等要求</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符合</w:t>
                  </w:r>
                  <w:r>
                    <w:rPr>
                      <w:rFonts w:hint="default" w:ascii="Times New Roman" w:hAnsi="Times New Roman" w:cs="Times New Roman"/>
                      <w:color w:val="auto"/>
                      <w:sz w:val="21"/>
                      <w:szCs w:val="21"/>
                    </w:rPr>
                    <w:t>重点污染物总量控制、污染物排放区域削减、碳排放达峰目标等相关要求</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本项目已进行</w:t>
                  </w:r>
                  <w:r>
                    <w:rPr>
                      <w:rFonts w:hint="default" w:ascii="Times New Roman" w:hAnsi="Times New Roman" w:cs="Times New Roman"/>
                      <w:color w:val="auto"/>
                      <w:sz w:val="21"/>
                      <w:szCs w:val="21"/>
                      <w:lang w:val="zh-CN" w:eastAsia="zh-CN"/>
                    </w:rPr>
                    <w:t>碳排放的源项识别、源强核算、减污降碳措施。</w:t>
                  </w:r>
                  <w:r>
                    <w:rPr>
                      <w:rFonts w:hint="default" w:ascii="Times New Roman" w:hAnsi="Times New Roman" w:cs="Times New Roman"/>
                      <w:color w:val="auto"/>
                      <w:sz w:val="21"/>
                      <w:szCs w:val="21"/>
                      <w:lang w:val="en-US" w:eastAsia="zh-CN"/>
                    </w:rPr>
                    <w:t>详见本项碳排放评价章节</w:t>
                  </w:r>
                </w:p>
              </w:tc>
              <w:tc>
                <w:tcPr>
                  <w:tcW w:w="393" w:type="pct"/>
                  <w:tcBorders>
                    <w:tl2br w:val="nil"/>
                    <w:tr2bl w:val="nil"/>
                  </w:tcBorders>
                  <w:noWrap w:val="0"/>
                  <w:vAlign w:val="center"/>
                </w:tcPr>
                <w:p w14:paraId="4565F5D7">
                  <w:pPr>
                    <w:pStyle w:val="109"/>
                    <w:keepNext w:val="0"/>
                    <w:keepLines w:val="0"/>
                    <w:pageBreakBefore w:val="0"/>
                    <w:widowControl w:val="0"/>
                    <w:kinsoku/>
                    <w:wordWrap/>
                    <w:overflowPunct/>
                    <w:topLinePunct w:val="0"/>
                    <w:autoSpaceDE/>
                    <w:autoSpaceDN/>
                    <w:bidi w:val="0"/>
                    <w:adjustRightInd/>
                    <w:snapToGrid/>
                    <w:spacing w:line="240" w:lineRule="auto"/>
                    <w:ind w:right="0" w:firstLine="0" w:firstLineChars="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符合</w:t>
                  </w:r>
                </w:p>
              </w:tc>
            </w:tr>
            <w:tr w14:paraId="501288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419" w:type="pct"/>
                  <w:vMerge w:val="continue"/>
                  <w:tcBorders>
                    <w:tl2br w:val="nil"/>
                    <w:tr2bl w:val="nil"/>
                  </w:tcBorders>
                  <w:noWrap w:val="0"/>
                  <w:vAlign w:val="center"/>
                </w:tcPr>
                <w:p w14:paraId="716DA064">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pacing w:val="9"/>
                      <w:sz w:val="21"/>
                      <w:szCs w:val="21"/>
                      <w:lang w:val="en-US" w:eastAsia="zh-CN"/>
                    </w:rPr>
                  </w:pPr>
                </w:p>
              </w:tc>
              <w:tc>
                <w:tcPr>
                  <w:tcW w:w="2698" w:type="pct"/>
                  <w:tcBorders>
                    <w:tl2br w:val="nil"/>
                    <w:tr2bl w:val="nil"/>
                  </w:tcBorders>
                  <w:noWrap w:val="0"/>
                  <w:vAlign w:val="center"/>
                </w:tcPr>
                <w:p w14:paraId="2129FD22">
                  <w:pPr>
                    <w:autoSpaceDE w:val="0"/>
                    <w:autoSpaceDN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二）退出重点行业落后产能。严格执行《产业结构调整指导目录》，依法依规淘汰落后产能。联防联控区进一步提高落后产能能耗、环保、质量、安全、技术等要求，逐步退出限制类涉气行业工艺和装备。提升工业重点领域产能能效标杆水平，到2025年，重点行业能效标杆水平产能比例力争达到30%，能效基准水平以下产能基本清零。联防联控区淘汰炭化室高度4.3米及以下焦炉。</w:t>
                  </w:r>
                </w:p>
                <w:p w14:paraId="7D7FCA28">
                  <w:pPr>
                    <w:autoSpaceDE w:val="0"/>
                    <w:autoSpaceDN w:val="0"/>
                    <w:jc w:val="center"/>
                    <w:rPr>
                      <w:rFonts w:hint="default" w:ascii="Times New Roman" w:hAnsi="Times New Roman" w:cs="Times New Roman"/>
                      <w:color w:val="auto"/>
                      <w:sz w:val="21"/>
                      <w:szCs w:val="21"/>
                    </w:rPr>
                  </w:pPr>
                </w:p>
              </w:tc>
              <w:tc>
                <w:tcPr>
                  <w:tcW w:w="1488" w:type="pct"/>
                  <w:tcBorders>
                    <w:tl2br w:val="nil"/>
                    <w:tr2bl w:val="nil"/>
                  </w:tcBorders>
                  <w:noWrap w:val="0"/>
                  <w:vAlign w:val="center"/>
                </w:tcPr>
                <w:p w14:paraId="6791B0C9">
                  <w:pPr>
                    <w:autoSpaceDE w:val="0"/>
                    <w:autoSpaceDN w:val="0"/>
                    <w:jc w:val="center"/>
                    <w:rPr>
                      <w:rFonts w:hint="default" w:ascii="Times New Roman" w:hAnsi="Times New Roman" w:cs="Times New Roman"/>
                      <w:color w:val="auto"/>
                      <w:sz w:val="21"/>
                      <w:szCs w:val="21"/>
                      <w:lang w:val="en-US" w:eastAsia="en-US"/>
                    </w:rPr>
                  </w:pPr>
                  <w:r>
                    <w:rPr>
                      <w:rFonts w:hint="default" w:ascii="Times New Roman" w:hAnsi="Times New Roman" w:cs="Times New Roman"/>
                      <w:color w:val="auto"/>
                      <w:sz w:val="21"/>
                      <w:szCs w:val="21"/>
                      <w:lang w:val="en-US" w:eastAsia="zh-CN"/>
                    </w:rPr>
                    <w:t>本项目属于</w:t>
                  </w:r>
                  <w:r>
                    <w:rPr>
                      <w:rFonts w:hint="default" w:ascii="Times New Roman" w:hAnsi="Times New Roman" w:cs="Times New Roman"/>
                      <w:color w:val="auto"/>
                      <w:sz w:val="21"/>
                      <w:szCs w:val="21"/>
                      <w:lang w:eastAsia="zh-CN"/>
                    </w:rPr>
                    <w:t>火力发电业</w:t>
                  </w:r>
                  <w:r>
                    <w:rPr>
                      <w:rFonts w:hint="default" w:ascii="Times New Roman" w:hAnsi="Times New Roman" w:cs="Times New Roman"/>
                      <w:color w:val="auto"/>
                      <w:sz w:val="21"/>
                      <w:szCs w:val="21"/>
                      <w:lang w:val="en-US" w:eastAsia="zh-CN"/>
                    </w:rPr>
                    <w:t>，项目利用上游吉木萨尔县恒信煤炭制品工贸有限公司120万吨煤制品深加工升级改造项目半焦（兰炭）副产煤气余能新建煤气发电项目，装机规模为1×45MW超高温超高压煤气发电机组，属于《产业结构调整指导目录（2024年本）》鼓励类项目（四十二、环境保护与资源节约综合利用：第11条“余热回收利用先进工艺技术与设备”），符合国家产业政策。</w:t>
                  </w:r>
                </w:p>
              </w:tc>
              <w:tc>
                <w:tcPr>
                  <w:tcW w:w="393" w:type="pct"/>
                  <w:tcBorders>
                    <w:tl2br w:val="nil"/>
                    <w:tr2bl w:val="nil"/>
                  </w:tcBorders>
                  <w:noWrap w:val="0"/>
                  <w:vAlign w:val="center"/>
                </w:tcPr>
                <w:p w14:paraId="5EE789F1">
                  <w:pPr>
                    <w:pStyle w:val="109"/>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pacing w:val="9"/>
                      <w:sz w:val="21"/>
                      <w:szCs w:val="21"/>
                      <w:lang w:val="en-US" w:eastAsia="zh-CN"/>
                    </w:rPr>
                  </w:pPr>
                  <w:r>
                    <w:rPr>
                      <w:rFonts w:hint="default" w:ascii="Times New Roman" w:hAnsi="Times New Roman" w:eastAsia="宋体" w:cs="Times New Roman"/>
                      <w:color w:val="auto"/>
                      <w:spacing w:val="9"/>
                      <w:sz w:val="21"/>
                      <w:szCs w:val="21"/>
                      <w:lang w:val="en-US" w:eastAsia="zh-CN"/>
                    </w:rPr>
                    <w:t>符合</w:t>
                  </w:r>
                </w:p>
              </w:tc>
            </w:tr>
            <w:tr w14:paraId="676CEC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419" w:type="pct"/>
                  <w:vMerge w:val="restart"/>
                  <w:tcBorders>
                    <w:tl2br w:val="nil"/>
                    <w:tr2bl w:val="nil"/>
                  </w:tcBorders>
                  <w:noWrap w:val="0"/>
                  <w:vAlign w:val="center"/>
                </w:tcPr>
                <w:p w14:paraId="26733425">
                  <w:pPr>
                    <w:autoSpaceDE w:val="0"/>
                    <w:autoSpaceDN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三、持续优化能源结构</w:t>
                  </w:r>
                </w:p>
                <w:p w14:paraId="2D8B3202">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pacing w:val="9"/>
                      <w:sz w:val="21"/>
                      <w:szCs w:val="21"/>
                      <w:lang w:val="en-US" w:eastAsia="zh-CN"/>
                    </w:rPr>
                  </w:pPr>
                </w:p>
              </w:tc>
              <w:tc>
                <w:tcPr>
                  <w:tcW w:w="2698" w:type="pct"/>
                  <w:tcBorders>
                    <w:tl2br w:val="nil"/>
                    <w:tr2bl w:val="nil"/>
                  </w:tcBorders>
                  <w:noWrap w:val="0"/>
                  <w:vAlign w:val="center"/>
                </w:tcPr>
                <w:p w14:paraId="7F0970DC">
                  <w:pPr>
                    <w:autoSpaceDE w:val="0"/>
                    <w:autoSpaceDN w:val="0"/>
                    <w:jc w:val="center"/>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rPr>
                    <w:t>（五）严格合理控制煤炭消费总量。在保障能源安全供应前提下，联防联控区合理控制新改扩建用煤项目；不得将使用石油焦、焦炭、兰炭等高污染燃料作为煤炭减量替代措施。完善联防联控区煤炭消费减量替代管理，煤矸石、原料用煤不纳入煤炭消费总量。高质量建设国家大型煤电煤化工基地，原则上不再新增自备燃煤机组，推进现有自备燃煤机组清洁能源替代。合理保障支撑电力稳定供应、电网安全运行、清洁能源大规模并网消纳的煤电项目及其用煤量。完善联防联控区骨干电网建设，保障冬季生产网电需求。</w:t>
                  </w:r>
                </w:p>
              </w:tc>
              <w:tc>
                <w:tcPr>
                  <w:tcW w:w="1488" w:type="pct"/>
                  <w:vMerge w:val="restart"/>
                  <w:tcBorders>
                    <w:tl2br w:val="nil"/>
                    <w:tr2bl w:val="nil"/>
                  </w:tcBorders>
                  <w:noWrap w:val="0"/>
                  <w:vAlign w:val="center"/>
                </w:tcPr>
                <w:p w14:paraId="165B998C">
                  <w:pPr>
                    <w:autoSpaceDE w:val="0"/>
                    <w:autoSpaceDN w:val="0"/>
                    <w:jc w:val="center"/>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eastAsiaTheme="minorEastAsia"/>
                      <w:color w:val="auto"/>
                      <w:kern w:val="2"/>
                      <w:sz w:val="21"/>
                      <w:szCs w:val="21"/>
                      <w:lang w:val="en-US" w:eastAsia="zh-CN" w:bidi="ar-SA"/>
                    </w:rPr>
                    <w:t>本项目依托吉木萨尔县恒信煤炭制品工贸有限公司120万吨煤制品深加工升级改造项目的富余煤气资源建设发电系统，项目同步配备完善的脱硝、脱硫除尘处理设施，可确保烟气排放全面满足排放标准，大幅降低对周边环境的影响。</w:t>
                  </w:r>
                </w:p>
              </w:tc>
              <w:tc>
                <w:tcPr>
                  <w:tcW w:w="393" w:type="pct"/>
                  <w:tcBorders>
                    <w:tl2br w:val="nil"/>
                    <w:tr2bl w:val="nil"/>
                  </w:tcBorders>
                  <w:noWrap w:val="0"/>
                  <w:vAlign w:val="center"/>
                </w:tcPr>
                <w:p w14:paraId="4C0C10C9">
                  <w:pPr>
                    <w:pStyle w:val="109"/>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pacing w:val="9"/>
                      <w:sz w:val="21"/>
                      <w:szCs w:val="21"/>
                      <w:lang w:val="en-US" w:eastAsia="zh-CN"/>
                    </w:rPr>
                  </w:pPr>
                  <w:r>
                    <w:rPr>
                      <w:rFonts w:hint="default" w:ascii="Times New Roman" w:hAnsi="Times New Roman" w:eastAsia="宋体" w:cs="Times New Roman"/>
                      <w:color w:val="auto"/>
                      <w:spacing w:val="9"/>
                      <w:sz w:val="21"/>
                      <w:szCs w:val="21"/>
                      <w:lang w:val="en-US" w:eastAsia="zh-CN"/>
                    </w:rPr>
                    <w:t>符合</w:t>
                  </w:r>
                </w:p>
              </w:tc>
            </w:tr>
            <w:tr w14:paraId="77B2E18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419" w:type="pct"/>
                  <w:vMerge w:val="continue"/>
                  <w:tcBorders>
                    <w:tl2br w:val="nil"/>
                    <w:tr2bl w:val="nil"/>
                  </w:tcBorders>
                  <w:noWrap w:val="0"/>
                  <w:vAlign w:val="center"/>
                </w:tcPr>
                <w:p w14:paraId="6465860E">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pacing w:val="9"/>
                      <w:sz w:val="21"/>
                      <w:szCs w:val="21"/>
                      <w:lang w:val="en-US" w:eastAsia="zh-CN"/>
                    </w:rPr>
                  </w:pPr>
                </w:p>
              </w:tc>
              <w:tc>
                <w:tcPr>
                  <w:tcW w:w="2698" w:type="pct"/>
                  <w:tcBorders>
                    <w:tl2br w:val="nil"/>
                    <w:tr2bl w:val="nil"/>
                  </w:tcBorders>
                  <w:noWrap w:val="0"/>
                  <w:vAlign w:val="center"/>
                </w:tcPr>
                <w:p w14:paraId="1FB13E61">
                  <w:pPr>
                    <w:autoSpaceDE w:val="0"/>
                    <w:autoSpaceDN w:val="0"/>
                    <w:jc w:val="center"/>
                    <w:rPr>
                      <w:rFonts w:hint="default" w:ascii="Times New Roman" w:hAnsi="Times New Roman" w:eastAsia="宋体" w:cs="Times New Roman"/>
                      <w:color w:val="auto"/>
                      <w:spacing w:val="9"/>
                      <w:sz w:val="21"/>
                      <w:szCs w:val="21"/>
                    </w:rPr>
                  </w:pPr>
                  <w:r>
                    <w:rPr>
                      <w:rFonts w:hint="default" w:ascii="Times New Roman" w:hAnsi="Times New Roman" w:cs="Times New Roman"/>
                      <w:color w:val="auto"/>
                      <w:sz w:val="21"/>
                      <w:szCs w:val="21"/>
                    </w:rPr>
                    <w:t>（六）持续开展燃煤锅炉综合整治。县级及以上城市建成区原则上不再新建35蒸吨/小时及以下燃煤锅炉。到2025年，基本淘汰10蒸吨/小时及以下的燃煤锅炉，联防联控区基本淘汰65蒸吨/小时以下的燃煤锅炉；基本完成65蒸吨/小时及以上燃煤锅炉超低排放改造，联防联控区2024年完成。实施煤电机组“三改联动”，推动煤电向基础性、支撑性、调节性电源转型，鼓励拆小建大等容量替代。充分发挥30万千瓦及以上热电联产电厂的供热能力，关停或整合其供热半径15公里范围内的燃煤锅炉和落后燃煤小热电机组（含自备电厂）。</w:t>
                  </w:r>
                </w:p>
              </w:tc>
              <w:tc>
                <w:tcPr>
                  <w:tcW w:w="1488" w:type="pct"/>
                  <w:vMerge w:val="continue"/>
                  <w:tcBorders>
                    <w:tl2br w:val="nil"/>
                    <w:tr2bl w:val="nil"/>
                  </w:tcBorders>
                  <w:noWrap w:val="0"/>
                  <w:vAlign w:val="center"/>
                </w:tcPr>
                <w:p w14:paraId="3415D2F7">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p>
              </w:tc>
              <w:tc>
                <w:tcPr>
                  <w:tcW w:w="393" w:type="pct"/>
                  <w:tcBorders>
                    <w:tl2br w:val="nil"/>
                    <w:tr2bl w:val="nil"/>
                  </w:tcBorders>
                  <w:noWrap w:val="0"/>
                  <w:vAlign w:val="center"/>
                </w:tcPr>
                <w:p w14:paraId="1F64CBC7">
                  <w:pPr>
                    <w:pStyle w:val="109"/>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pacing w:val="9"/>
                      <w:sz w:val="21"/>
                      <w:szCs w:val="21"/>
                      <w:lang w:val="en-US" w:eastAsia="zh-CN"/>
                    </w:rPr>
                  </w:pPr>
                  <w:r>
                    <w:rPr>
                      <w:rFonts w:hint="default" w:ascii="Times New Roman" w:hAnsi="Times New Roman" w:eastAsia="宋体" w:cs="Times New Roman"/>
                      <w:color w:val="auto"/>
                      <w:spacing w:val="9"/>
                      <w:sz w:val="21"/>
                      <w:szCs w:val="21"/>
                      <w:lang w:val="en-US" w:eastAsia="zh-CN"/>
                    </w:rPr>
                    <w:t>符合</w:t>
                  </w:r>
                </w:p>
              </w:tc>
            </w:tr>
            <w:tr w14:paraId="2C696F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1608" w:hRule="atLeast"/>
              </w:trPr>
              <w:tc>
                <w:tcPr>
                  <w:tcW w:w="419" w:type="pct"/>
                  <w:tcBorders>
                    <w:tl2br w:val="nil"/>
                    <w:tr2bl w:val="nil"/>
                  </w:tcBorders>
                  <w:noWrap w:val="0"/>
                  <w:vAlign w:val="center"/>
                </w:tcPr>
                <w:p w14:paraId="27D89325">
                  <w:pPr>
                    <w:autoSpaceDE w:val="0"/>
                    <w:autoSpaceDN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五、全面加强面源污染治理</w:t>
                  </w:r>
                </w:p>
                <w:p w14:paraId="20A8E0D1">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pacing w:val="9"/>
                      <w:sz w:val="21"/>
                      <w:szCs w:val="21"/>
                      <w:lang w:val="en-US" w:eastAsia="zh-CN"/>
                    </w:rPr>
                  </w:pPr>
                </w:p>
              </w:tc>
              <w:tc>
                <w:tcPr>
                  <w:tcW w:w="2698" w:type="pct"/>
                  <w:tcBorders>
                    <w:tl2br w:val="nil"/>
                    <w:tr2bl w:val="nil"/>
                  </w:tcBorders>
                  <w:noWrap w:val="0"/>
                  <w:vAlign w:val="center"/>
                </w:tcPr>
                <w:p w14:paraId="0BD5DECE">
                  <w:pPr>
                    <w:autoSpaceDE w:val="0"/>
                    <w:autoSpaceDN w:val="0"/>
                    <w:jc w:val="center"/>
                    <w:rPr>
                      <w:rFonts w:hint="default" w:ascii="Times New Roman" w:hAnsi="Times New Roman" w:eastAsia="宋体" w:cs="Times New Roman"/>
                      <w:color w:val="auto"/>
                      <w:spacing w:val="9"/>
                      <w:sz w:val="21"/>
                      <w:szCs w:val="21"/>
                    </w:rPr>
                  </w:pPr>
                  <w:r>
                    <w:rPr>
                      <w:rFonts w:hint="default" w:ascii="Times New Roman" w:hAnsi="Times New Roman" w:cs="Times New Roman"/>
                      <w:color w:val="auto"/>
                      <w:sz w:val="21"/>
                      <w:szCs w:val="21"/>
                    </w:rPr>
                    <w:t>（十三）持续强化扬尘污染综合管控。施工场地严格落实“六个百分百”要求。扬尘污染防治费用纳入工程造价，3000m</w:t>
                  </w:r>
                  <w:r>
                    <w:rPr>
                      <w:rFonts w:hint="default" w:ascii="Times New Roman" w:hAnsi="Times New Roman" w:cs="Times New Roman"/>
                      <w:color w:val="auto"/>
                      <w:sz w:val="21"/>
                      <w:szCs w:val="21"/>
                      <w:vertAlign w:val="superscript"/>
                    </w:rPr>
                    <w:t>2</w:t>
                  </w:r>
                  <w:r>
                    <w:rPr>
                      <w:rFonts w:hint="default" w:ascii="Times New Roman" w:hAnsi="Times New Roman" w:cs="Times New Roman"/>
                      <w:color w:val="auto"/>
                      <w:sz w:val="21"/>
                      <w:szCs w:val="21"/>
                    </w:rPr>
                    <w:t>及以上建筑工地安装视频监控并接入当地监管平台。道路、水务等长距离线性工程实行分段施工。城市建成区主次干道机械化清扫率达到80%。加强城市及周边公共裸地、物料堆场等易产尘区域抑尘管理。到2025年，装配式建筑占新建建筑面积比例达到30%。</w:t>
                  </w:r>
                </w:p>
              </w:tc>
              <w:tc>
                <w:tcPr>
                  <w:tcW w:w="1488" w:type="pct"/>
                  <w:tcBorders>
                    <w:tl2br w:val="nil"/>
                    <w:tr2bl w:val="nil"/>
                  </w:tcBorders>
                  <w:noWrap w:val="0"/>
                  <w:vAlign w:val="center"/>
                </w:tcPr>
                <w:p w14:paraId="6C031EBC">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cs="Times New Roman"/>
                      <w:color w:val="auto"/>
                      <w:sz w:val="21"/>
                      <w:szCs w:val="21"/>
                      <w:lang w:val="en-US" w:eastAsia="zh-CN"/>
                    </w:rPr>
                    <w:t>本项目占地面积为</w:t>
                  </w:r>
                  <w:r>
                    <w:rPr>
                      <w:rFonts w:hint="eastAsia" w:ascii="Times New Roman" w:hAnsi="Times New Roman" w:cs="Times New Roman"/>
                      <w:color w:val="auto"/>
                      <w:sz w:val="21"/>
                      <w:szCs w:val="21"/>
                      <w:lang w:val="en-US" w:eastAsia="zh-CN"/>
                    </w:rPr>
                    <w:t>12700</w:t>
                  </w:r>
                  <w:r>
                    <w:rPr>
                      <w:rFonts w:hint="default" w:ascii="Times New Roman" w:hAnsi="Times New Roman" w:cs="Times New Roman"/>
                      <w:color w:val="auto"/>
                      <w:sz w:val="21"/>
                      <w:szCs w:val="21"/>
                      <w:lang w:val="en-US" w:eastAsia="zh-CN"/>
                    </w:rPr>
                    <w:t>m</w:t>
                  </w:r>
                  <w:r>
                    <w:rPr>
                      <w:rFonts w:hint="default" w:ascii="Times New Roman" w:hAnsi="Times New Roman" w:cs="Times New Roman"/>
                      <w:color w:val="auto"/>
                      <w:sz w:val="21"/>
                      <w:szCs w:val="21"/>
                      <w:vertAlign w:val="superscript"/>
                      <w:lang w:val="en-US" w:eastAsia="zh-CN"/>
                    </w:rPr>
                    <w:t>2</w:t>
                  </w:r>
                  <w:r>
                    <w:rPr>
                      <w:rFonts w:hint="default" w:ascii="Times New Roman" w:hAnsi="Times New Roman" w:cs="Times New Roman"/>
                      <w:color w:val="auto"/>
                      <w:sz w:val="21"/>
                      <w:szCs w:val="21"/>
                      <w:lang w:val="en-US" w:eastAsia="zh-CN"/>
                    </w:rPr>
                    <w:t>，</w:t>
                  </w:r>
                  <w:r>
                    <w:rPr>
                      <w:rFonts w:hint="default" w:ascii="Times New Roman" w:hAnsi="Times New Roman" w:cs="Times New Roman"/>
                      <w:color w:val="auto"/>
                      <w:sz w:val="21"/>
                      <w:szCs w:val="21"/>
                    </w:rPr>
                    <w:t>建筑工地安装视频监控并接入当地监管平台</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施工场地严格落实“六个百分百”要求，并将扬尘污染防治费用纳入工程造价中。</w:t>
                  </w:r>
                </w:p>
              </w:tc>
              <w:tc>
                <w:tcPr>
                  <w:tcW w:w="393" w:type="pct"/>
                  <w:tcBorders>
                    <w:tl2br w:val="nil"/>
                    <w:tr2bl w:val="nil"/>
                  </w:tcBorders>
                  <w:noWrap w:val="0"/>
                  <w:vAlign w:val="center"/>
                </w:tcPr>
                <w:p w14:paraId="0A2C471E">
                  <w:pPr>
                    <w:pStyle w:val="109"/>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pacing w:val="9"/>
                      <w:sz w:val="21"/>
                      <w:szCs w:val="21"/>
                      <w:lang w:val="en-US" w:eastAsia="zh-CN"/>
                    </w:rPr>
                  </w:pPr>
                  <w:r>
                    <w:rPr>
                      <w:rFonts w:hint="default" w:ascii="Times New Roman" w:hAnsi="Times New Roman" w:eastAsia="宋体" w:cs="Times New Roman"/>
                      <w:color w:val="auto"/>
                      <w:spacing w:val="9"/>
                      <w:sz w:val="21"/>
                      <w:szCs w:val="21"/>
                      <w:lang w:val="en-US" w:eastAsia="zh-CN"/>
                    </w:rPr>
                    <w:t>符合</w:t>
                  </w:r>
                </w:p>
              </w:tc>
            </w:tr>
            <w:tr w14:paraId="41483E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419" w:type="pct"/>
                  <w:tcBorders>
                    <w:tl2br w:val="nil"/>
                    <w:tr2bl w:val="nil"/>
                  </w:tcBorders>
                  <w:noWrap w:val="0"/>
                  <w:vAlign w:val="center"/>
                </w:tcPr>
                <w:p w14:paraId="17FE8CE2">
                  <w:pPr>
                    <w:autoSpaceDE w:val="0"/>
                    <w:autoSpaceDN w:val="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六、强化多污染物减排</w:t>
                  </w:r>
                </w:p>
                <w:p w14:paraId="50C7959A">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pacing w:val="9"/>
                      <w:sz w:val="21"/>
                      <w:szCs w:val="21"/>
                      <w:lang w:val="en-US" w:eastAsia="zh-CN"/>
                    </w:rPr>
                  </w:pPr>
                </w:p>
              </w:tc>
              <w:tc>
                <w:tcPr>
                  <w:tcW w:w="2698" w:type="pct"/>
                  <w:tcBorders>
                    <w:tl2br w:val="nil"/>
                    <w:tr2bl w:val="nil"/>
                  </w:tcBorders>
                  <w:noWrap w:val="0"/>
                  <w:vAlign w:val="center"/>
                </w:tcPr>
                <w:p w14:paraId="09EAFC7E">
                  <w:pPr>
                    <w:autoSpaceDE w:val="0"/>
                    <w:autoSpaceDN w:val="0"/>
                    <w:jc w:val="center"/>
                    <w:rPr>
                      <w:rFonts w:hint="default" w:ascii="Times New Roman" w:hAnsi="Times New Roman" w:eastAsia="宋体" w:cs="Times New Roman"/>
                      <w:color w:val="auto"/>
                      <w:spacing w:val="9"/>
                      <w:sz w:val="21"/>
                      <w:szCs w:val="21"/>
                    </w:rPr>
                  </w:pPr>
                  <w:r>
                    <w:rPr>
                      <w:rFonts w:hint="default" w:ascii="Times New Roman" w:hAnsi="Times New Roman" w:cs="Times New Roman"/>
                      <w:color w:val="auto"/>
                      <w:sz w:val="21"/>
                      <w:szCs w:val="21"/>
                    </w:rPr>
                    <w:t>（十七）强化挥发性有机物和氮氧化物综合治理。优化含VOCs原辅材料和产品结构，加快推进含VOCs原辅材料源头替代，推广使用低（无）VOCs含量涂料，严格执行VOCs含量限值标准。实施石化、化工、工业涂装、包装印刷等重点行业及油品储运销（储罐）VOCs深度治理。企业开停工、检维修期间，及时收集处理退料、清洗、吹扫等作业产生的VOCs废气，不得将火炬燃烧装置作为日常大气污染处理设施。联防联控区石化、化工行业集中的园区，建立统一的泄漏检测与修复信息管理平台。加大锅炉、炉窑及移动源氮氧化物减排力度，有序实施燃气锅炉低氮燃烧改造。加强氮肥、纯碱等行业大气氨排放治理，强化工业源烟气脱硫脱硝氨逃逸防控。</w:t>
                  </w:r>
                </w:p>
              </w:tc>
              <w:tc>
                <w:tcPr>
                  <w:tcW w:w="1488" w:type="pct"/>
                  <w:tcBorders>
                    <w:tl2br w:val="nil"/>
                    <w:tr2bl w:val="nil"/>
                  </w:tcBorders>
                  <w:noWrap w:val="0"/>
                  <w:vAlign w:val="center"/>
                </w:tcPr>
                <w:p w14:paraId="11F8717F">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pacing w:val="9"/>
                      <w:sz w:val="21"/>
                      <w:szCs w:val="21"/>
                      <w:lang w:val="en-US" w:eastAsia="zh-CN"/>
                    </w:rPr>
                  </w:pPr>
                  <w:r>
                    <w:rPr>
                      <w:rFonts w:hint="default" w:ascii="Times New Roman" w:hAnsi="Times New Roman" w:cs="Times New Roman"/>
                      <w:color w:val="auto"/>
                      <w:spacing w:val="9"/>
                      <w:sz w:val="21"/>
                      <w:szCs w:val="21"/>
                      <w:lang w:val="en-US" w:eastAsia="zh-CN"/>
                    </w:rPr>
                    <w:t>本项目煤气燃烧烟气</w:t>
                  </w:r>
                  <w:r>
                    <w:rPr>
                      <w:rFonts w:hint="default" w:ascii="Times New Roman" w:hAnsi="Times New Roman" w:cs="Times New Roman"/>
                      <w:color w:val="auto"/>
                      <w:sz w:val="21"/>
                      <w:szCs w:val="21"/>
                      <w:lang w:val="en-US" w:eastAsia="zh-CN"/>
                    </w:rPr>
                    <w:t>经“低氮燃烧器+SCR脱硝（去除效率80%）+</w:t>
                  </w:r>
                  <w:r>
                    <w:rPr>
                      <w:rFonts w:hint="default" w:ascii="Times New Roman" w:hAnsi="Times New Roman" w:eastAsia="宋体" w:cs="Times New Roman"/>
                      <w:i w:val="0"/>
                      <w:iCs w:val="0"/>
                      <w:color w:val="auto"/>
                      <w:kern w:val="0"/>
                      <w:sz w:val="21"/>
                      <w:szCs w:val="21"/>
                      <w:u w:val="none"/>
                      <w:lang w:val="en-US" w:eastAsia="zh-CN" w:bidi="ar"/>
                    </w:rPr>
                    <w:t>石灰（石）-石膏湿法脱硫+高效除雾器协同除尘+湿式电除尘器</w:t>
                  </w:r>
                  <w:r>
                    <w:rPr>
                      <w:rFonts w:hint="default" w:ascii="Times New Roman" w:hAnsi="Times New Roman" w:cs="Times New Roman"/>
                      <w:color w:val="auto"/>
                      <w:sz w:val="21"/>
                      <w:szCs w:val="21"/>
                      <w:lang w:val="en-US" w:eastAsia="zh-CN"/>
                    </w:rPr>
                    <w:t>（二氧化硫去除效率95%，颗粒物去除效率95%）设施”处理后，</w:t>
                  </w:r>
                  <w:r>
                    <w:rPr>
                      <w:rFonts w:hint="eastAsia" w:ascii="Times New Roman" w:hAnsi="Times New Roman" w:cs="Times New Roman"/>
                      <w:color w:val="auto"/>
                      <w:sz w:val="21"/>
                      <w:szCs w:val="21"/>
                      <w:lang w:val="en-US" w:eastAsia="zh-CN"/>
                    </w:rPr>
                    <w:t>通过</w:t>
                  </w:r>
                  <w:r>
                    <w:rPr>
                      <w:rFonts w:hint="default" w:ascii="Times New Roman" w:hAnsi="Times New Roman" w:cs="Times New Roman"/>
                      <w:color w:val="auto"/>
                      <w:sz w:val="21"/>
                      <w:szCs w:val="21"/>
                      <w:lang w:val="en-US" w:eastAsia="zh-CN"/>
                    </w:rPr>
                    <w:t>60m高排气筒（DA001）排放</w:t>
                  </w:r>
                  <w:r>
                    <w:rPr>
                      <w:rFonts w:hint="default" w:ascii="Times New Roman" w:hAnsi="Times New Roman" w:eastAsia="宋体" w:cs="Times New Roman"/>
                      <w:color w:val="auto"/>
                      <w:sz w:val="21"/>
                      <w:szCs w:val="21"/>
                      <w:lang w:val="en-US" w:eastAsia="zh-CN"/>
                    </w:rPr>
                    <w:t>至大气环境中，并安装在线监测系统（CEMS）</w:t>
                  </w:r>
                </w:p>
              </w:tc>
              <w:tc>
                <w:tcPr>
                  <w:tcW w:w="393" w:type="pct"/>
                  <w:tcBorders>
                    <w:tl2br w:val="nil"/>
                    <w:tr2bl w:val="nil"/>
                  </w:tcBorders>
                  <w:noWrap w:val="0"/>
                  <w:vAlign w:val="center"/>
                </w:tcPr>
                <w:p w14:paraId="648A98A7">
                  <w:pPr>
                    <w:pStyle w:val="109"/>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pacing w:val="9"/>
                      <w:sz w:val="21"/>
                      <w:szCs w:val="21"/>
                      <w:lang w:val="en-US" w:eastAsia="zh-CN"/>
                    </w:rPr>
                  </w:pPr>
                  <w:r>
                    <w:rPr>
                      <w:rFonts w:hint="default" w:ascii="Times New Roman" w:hAnsi="Times New Roman" w:eastAsia="宋体" w:cs="Times New Roman"/>
                      <w:color w:val="auto"/>
                      <w:spacing w:val="9"/>
                      <w:sz w:val="21"/>
                      <w:szCs w:val="21"/>
                      <w:lang w:val="en-US" w:eastAsia="zh-CN"/>
                    </w:rPr>
                    <w:t>符合</w:t>
                  </w:r>
                </w:p>
              </w:tc>
            </w:tr>
            <w:tr w14:paraId="7B6BF57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419" w:type="pct"/>
                  <w:tcBorders>
                    <w:tl2br w:val="nil"/>
                    <w:tr2bl w:val="nil"/>
                  </w:tcBorders>
                  <w:noWrap w:val="0"/>
                  <w:vAlign w:val="center"/>
                </w:tcPr>
                <w:p w14:paraId="377F4620">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pacing w:val="9"/>
                      <w:sz w:val="21"/>
                      <w:szCs w:val="21"/>
                      <w:lang w:val="en-US" w:eastAsia="zh-CN"/>
                    </w:rPr>
                  </w:pPr>
                  <w:r>
                    <w:rPr>
                      <w:rFonts w:hint="default" w:ascii="Times New Roman" w:hAnsi="Times New Roman" w:cs="Times New Roman"/>
                      <w:color w:val="auto"/>
                      <w:sz w:val="21"/>
                      <w:szCs w:val="21"/>
                    </w:rPr>
                    <w:t>七、持续完善大气环境管理体系</w:t>
                  </w:r>
                </w:p>
              </w:tc>
              <w:tc>
                <w:tcPr>
                  <w:tcW w:w="2698" w:type="pct"/>
                  <w:tcBorders>
                    <w:tl2br w:val="nil"/>
                    <w:tr2bl w:val="nil"/>
                  </w:tcBorders>
                  <w:noWrap w:val="0"/>
                  <w:vAlign w:val="center"/>
                </w:tcPr>
                <w:p w14:paraId="5636712D">
                  <w:pPr>
                    <w:autoSpaceDE w:val="0"/>
                    <w:autoSpaceDN w:val="0"/>
                    <w:jc w:val="center"/>
                    <w:rPr>
                      <w:rFonts w:hint="default" w:ascii="Times New Roman" w:hAnsi="Times New Roman" w:eastAsia="宋体" w:cs="Times New Roman"/>
                      <w:color w:val="auto"/>
                      <w:spacing w:val="9"/>
                      <w:sz w:val="21"/>
                      <w:szCs w:val="21"/>
                    </w:rPr>
                  </w:pPr>
                  <w:r>
                    <w:rPr>
                      <w:rFonts w:hint="default" w:ascii="Times New Roman" w:hAnsi="Times New Roman" w:cs="Times New Roman"/>
                      <w:color w:val="auto"/>
                      <w:sz w:val="21"/>
                      <w:szCs w:val="21"/>
                    </w:rPr>
                    <w:t>（二十）完善重污染天气应急机制。适时修订重污染天气应急预案，规范预警启动、响应、解除工作流程。加强多部门联合研判会商，提高7—10天空气质量的预测预报准确率，适时开展重污染过程成因分析、应对成效评估。核发排污许可证的涉气企业纳入应急减排清单管理。统筹推进大气污染联防联控工作，严格落实重污染天气应对各地属地责任、部门监管责任、企业主体责任。</w:t>
                  </w:r>
                </w:p>
              </w:tc>
              <w:tc>
                <w:tcPr>
                  <w:tcW w:w="1488" w:type="pct"/>
                  <w:tcBorders>
                    <w:tl2br w:val="nil"/>
                    <w:tr2bl w:val="nil"/>
                  </w:tcBorders>
                  <w:noWrap w:val="0"/>
                  <w:vAlign w:val="center"/>
                </w:tcPr>
                <w:p w14:paraId="4106E292">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color w:val="auto"/>
                      <w:spacing w:val="9"/>
                      <w:sz w:val="21"/>
                      <w:szCs w:val="21"/>
                      <w:lang w:val="en-US" w:eastAsia="zh-CN"/>
                    </w:rPr>
                  </w:pPr>
                  <w:r>
                    <w:rPr>
                      <w:rFonts w:hint="default" w:ascii="Times New Roman" w:hAnsi="Times New Roman" w:cs="Times New Roman"/>
                      <w:color w:val="auto"/>
                      <w:spacing w:val="9"/>
                      <w:sz w:val="21"/>
                      <w:szCs w:val="21"/>
                      <w:lang w:val="en-US" w:eastAsia="zh-CN"/>
                    </w:rPr>
                    <w:t>本项目建成后积极响应</w:t>
                  </w:r>
                  <w:r>
                    <w:rPr>
                      <w:rFonts w:hint="default" w:ascii="Times New Roman" w:hAnsi="Times New Roman" w:cs="Times New Roman"/>
                      <w:color w:val="auto"/>
                      <w:sz w:val="21"/>
                      <w:szCs w:val="21"/>
                    </w:rPr>
                    <w:t>重污染天气应急机制</w:t>
                  </w:r>
                </w:p>
              </w:tc>
              <w:tc>
                <w:tcPr>
                  <w:tcW w:w="393" w:type="pct"/>
                  <w:tcBorders>
                    <w:tl2br w:val="nil"/>
                    <w:tr2bl w:val="nil"/>
                  </w:tcBorders>
                  <w:noWrap w:val="0"/>
                  <w:vAlign w:val="center"/>
                </w:tcPr>
                <w:p w14:paraId="19844FC2">
                  <w:pPr>
                    <w:pStyle w:val="109"/>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rPr>
                      <w:rFonts w:hint="default" w:ascii="Times New Roman" w:hAnsi="Times New Roman" w:eastAsia="宋体" w:cs="Times New Roman"/>
                      <w:color w:val="auto"/>
                      <w:spacing w:val="9"/>
                      <w:sz w:val="21"/>
                      <w:szCs w:val="21"/>
                      <w:lang w:val="en-US" w:eastAsia="zh-CN"/>
                    </w:rPr>
                  </w:pPr>
                  <w:r>
                    <w:rPr>
                      <w:rFonts w:hint="default" w:ascii="Times New Roman" w:hAnsi="Times New Roman" w:eastAsia="宋体" w:cs="Times New Roman"/>
                      <w:color w:val="auto"/>
                      <w:spacing w:val="9"/>
                      <w:sz w:val="21"/>
                      <w:szCs w:val="21"/>
                      <w:lang w:val="en-US" w:eastAsia="zh-CN"/>
                    </w:rPr>
                    <w:t>符合</w:t>
                  </w:r>
                </w:p>
              </w:tc>
            </w:tr>
          </w:tbl>
          <w:p w14:paraId="33F0DC32">
            <w:pPr>
              <w:pStyle w:val="109"/>
              <w:keepNext w:val="0"/>
              <w:keepLines w:val="0"/>
              <w:pageBreakBefore w:val="0"/>
              <w:widowControl/>
              <w:numPr>
                <w:ilvl w:val="0"/>
                <w:numId w:val="0"/>
              </w:numPr>
              <w:kinsoku w:val="0"/>
              <w:wordWrap/>
              <w:overflowPunct/>
              <w:topLinePunct w:val="0"/>
              <w:autoSpaceDE w:val="0"/>
              <w:autoSpaceDN w:val="0"/>
              <w:bidi w:val="0"/>
              <w:adjustRightInd w:val="0"/>
              <w:snapToGrid w:val="0"/>
              <w:spacing w:line="360" w:lineRule="auto"/>
              <w:ind w:right="0" w:rightChars="0" w:firstLine="480" w:firstLineChars="200"/>
              <w:jc w:val="both"/>
              <w:textAlignment w:val="baseline"/>
              <w:rPr>
                <w:rFonts w:hint="default" w:ascii="Times New Roman" w:hAnsi="Times New Roman" w:eastAsia="宋体" w:cs="Times New Roman"/>
                <w:bCs/>
                <w:snapToGrid w:val="0"/>
                <w:color w:val="auto"/>
                <w:kern w:val="0"/>
                <w:sz w:val="24"/>
                <w:szCs w:val="21"/>
                <w:lang w:val="en-US" w:eastAsia="zh-CN" w:bidi="ar-SA"/>
              </w:rPr>
            </w:pPr>
            <w:r>
              <w:rPr>
                <w:rFonts w:hint="default" w:ascii="Times New Roman" w:hAnsi="Times New Roman" w:cs="Times New Roman"/>
                <w:bCs/>
                <w:snapToGrid w:val="0"/>
                <w:color w:val="auto"/>
                <w:kern w:val="0"/>
                <w:sz w:val="24"/>
                <w:szCs w:val="21"/>
                <w:lang w:val="en-US" w:eastAsia="zh-CN" w:bidi="ar-SA"/>
              </w:rPr>
              <w:t>综上，本项目符合</w:t>
            </w:r>
            <w:r>
              <w:rPr>
                <w:rFonts w:hint="default" w:ascii="Times New Roman" w:hAnsi="Times New Roman" w:eastAsia="宋体" w:cs="Times New Roman"/>
                <w:bCs/>
                <w:snapToGrid w:val="0"/>
                <w:color w:val="auto"/>
                <w:kern w:val="0"/>
                <w:sz w:val="24"/>
                <w:szCs w:val="21"/>
                <w:lang w:val="en-US" w:eastAsia="zh-CN" w:bidi="ar-SA"/>
              </w:rPr>
              <w:t>《新疆维吾尔自治区2025年空气质量持续改善行动实施方案》</w:t>
            </w:r>
            <w:r>
              <w:rPr>
                <w:rFonts w:hint="default" w:ascii="Times New Roman" w:hAnsi="Times New Roman" w:cs="Times New Roman"/>
                <w:bCs/>
                <w:snapToGrid w:val="0"/>
                <w:color w:val="auto"/>
                <w:kern w:val="0"/>
                <w:sz w:val="24"/>
                <w:szCs w:val="21"/>
                <w:lang w:val="en-US" w:eastAsia="zh-CN" w:bidi="ar-SA"/>
              </w:rPr>
              <w:t>中的相关要求。</w:t>
            </w:r>
          </w:p>
          <w:p w14:paraId="356BE7FB">
            <w:pPr>
              <w:pStyle w:val="109"/>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2" w:firstLineChars="200"/>
              <w:jc w:val="both"/>
              <w:textAlignment w:val="baseline"/>
              <w:rPr>
                <w:rFonts w:hint="default" w:ascii="Times New Roman" w:hAnsi="Times New Roman" w:eastAsia="宋体" w:cs="Times New Roman"/>
                <w:b/>
                <w:bCs/>
                <w:snapToGrid/>
                <w:color w:val="auto"/>
                <w:kern w:val="2"/>
                <w:sz w:val="24"/>
                <w:szCs w:val="24"/>
                <w:lang w:val="en-US" w:eastAsia="zh-CN" w:bidi="ar-SA"/>
              </w:rPr>
            </w:pPr>
            <w:r>
              <w:rPr>
                <w:rFonts w:hint="default" w:ascii="Times New Roman" w:hAnsi="Times New Roman" w:cs="Times New Roman"/>
                <w:b/>
                <w:bCs/>
                <w:snapToGrid/>
                <w:color w:val="auto"/>
                <w:kern w:val="2"/>
                <w:sz w:val="24"/>
                <w:szCs w:val="24"/>
                <w:lang w:val="en-US" w:eastAsia="zh-CN" w:bidi="ar-SA"/>
              </w:rPr>
              <w:t>11</w:t>
            </w:r>
            <w:r>
              <w:rPr>
                <w:rFonts w:hint="default" w:ascii="Times New Roman" w:hAnsi="Times New Roman" w:eastAsia="宋体" w:cs="Times New Roman"/>
                <w:b/>
                <w:bCs/>
                <w:snapToGrid/>
                <w:color w:val="auto"/>
                <w:kern w:val="2"/>
                <w:sz w:val="24"/>
                <w:szCs w:val="24"/>
                <w:lang w:val="en-US" w:eastAsia="zh-CN" w:bidi="ar-SA"/>
              </w:rPr>
              <w:t>.与《关于“乌昌石”区域执行大气污染物特别排放限值的公告》</w:t>
            </w:r>
            <w:r>
              <w:rPr>
                <w:rFonts w:hint="default" w:ascii="Times New Roman" w:hAnsi="Times New Roman" w:cs="Times New Roman"/>
                <w:b/>
                <w:bCs/>
                <w:snapToGrid/>
                <w:color w:val="auto"/>
                <w:kern w:val="2"/>
                <w:sz w:val="24"/>
                <w:szCs w:val="24"/>
                <w:lang w:val="en-US" w:eastAsia="zh-CN" w:bidi="ar-SA"/>
              </w:rPr>
              <w:t>（公告〔2023〕20号）</w:t>
            </w:r>
            <w:r>
              <w:rPr>
                <w:rFonts w:hint="default" w:ascii="Times New Roman" w:hAnsi="Times New Roman" w:eastAsia="宋体" w:cs="Times New Roman"/>
                <w:b/>
                <w:bCs/>
                <w:snapToGrid/>
                <w:color w:val="auto"/>
                <w:kern w:val="2"/>
                <w:sz w:val="24"/>
                <w:szCs w:val="24"/>
                <w:lang w:val="en-US" w:eastAsia="zh-CN" w:bidi="ar-SA"/>
              </w:rPr>
              <w:t>符合性分析</w:t>
            </w:r>
          </w:p>
          <w:p w14:paraId="4B69F3E0">
            <w:pPr>
              <w:keepNext w:val="0"/>
              <w:keepLines w:val="0"/>
              <w:pageBreakBefore w:val="0"/>
              <w:wordWrap/>
              <w:overflowPunct/>
              <w:topLinePunct w:val="0"/>
              <w:bidi w:val="0"/>
              <w:spacing w:line="360" w:lineRule="auto"/>
              <w:ind w:firstLine="480" w:firstLineChars="200"/>
              <w:rPr>
                <w:rFonts w:hint="default" w:ascii="Times New Roman" w:hAnsi="Times New Roman" w:eastAsia="宋体" w:cs="Times New Roman"/>
                <w:bCs/>
                <w:snapToGrid w:val="0"/>
                <w:color w:val="auto"/>
                <w:kern w:val="0"/>
                <w:sz w:val="24"/>
                <w:szCs w:val="21"/>
                <w:lang w:val="en-US" w:eastAsia="zh-CN" w:bidi="ar-SA"/>
              </w:rPr>
            </w:pPr>
            <w:r>
              <w:rPr>
                <w:rFonts w:hint="default" w:ascii="Times New Roman" w:hAnsi="Times New Roman" w:eastAsia="宋体" w:cs="Times New Roman"/>
                <w:bCs/>
                <w:snapToGrid w:val="0"/>
                <w:color w:val="auto"/>
                <w:kern w:val="0"/>
                <w:sz w:val="24"/>
                <w:szCs w:val="21"/>
                <w:lang w:val="en-US" w:eastAsia="zh-CN" w:bidi="ar-SA"/>
              </w:rPr>
              <w:t>《关于“乌昌石”区域执行大气污染物特别排放限值的公告》中“一、执行区域：乌鲁木齐市，昌吉州昌吉市、阜康市、玛纳斯县、呼图壁县，塔城地区沙湾市，五家渠市，石河子市，兵团第十二师。”</w:t>
            </w:r>
          </w:p>
          <w:p w14:paraId="6222E1B7">
            <w:pPr>
              <w:keepNext w:val="0"/>
              <w:keepLines w:val="0"/>
              <w:pageBreakBefore w:val="0"/>
              <w:wordWrap/>
              <w:overflowPunct/>
              <w:topLinePunct w:val="0"/>
              <w:bidi w:val="0"/>
              <w:spacing w:line="360" w:lineRule="auto"/>
              <w:ind w:firstLine="480" w:firstLineChars="200"/>
              <w:rPr>
                <w:rFonts w:hint="default" w:ascii="Times New Roman" w:hAnsi="Times New Roman" w:eastAsia="宋体" w:cs="Times New Roman"/>
                <w:bCs/>
                <w:snapToGrid w:val="0"/>
                <w:color w:val="auto"/>
                <w:kern w:val="0"/>
                <w:sz w:val="24"/>
                <w:szCs w:val="21"/>
                <w:lang w:val="en-US" w:eastAsia="zh-CN" w:bidi="ar-SA"/>
              </w:rPr>
            </w:pPr>
            <w:r>
              <w:rPr>
                <w:rFonts w:hint="default" w:ascii="Times New Roman" w:hAnsi="Times New Roman" w:eastAsia="宋体" w:cs="Times New Roman"/>
                <w:bCs/>
                <w:snapToGrid w:val="0"/>
                <w:color w:val="auto"/>
                <w:kern w:val="0"/>
                <w:sz w:val="24"/>
                <w:szCs w:val="21"/>
                <w:lang w:val="en-US" w:eastAsia="zh-CN" w:bidi="ar-SA"/>
              </w:rPr>
              <w:t>本项目位于昌吉回族自治州吉木萨尔县北三台循环经济工业园恒信煤炭制品工贸有限公司120万吨煤制品深加工升级改造项目厂区南侧，不属于上述文件中执行特别排放标准的区域。</w:t>
            </w:r>
            <w:r>
              <w:rPr>
                <w:rFonts w:hint="default" w:ascii="Times New Roman" w:hAnsi="Times New Roman" w:cs="Times New Roman"/>
                <w:bCs/>
                <w:snapToGrid w:val="0"/>
                <w:color w:val="auto"/>
                <w:kern w:val="0"/>
                <w:sz w:val="24"/>
                <w:szCs w:val="21"/>
                <w:lang w:val="en-US" w:eastAsia="zh-CN" w:bidi="ar-SA"/>
              </w:rPr>
              <w:t>但为进一步减少本项目污染物排放量，项目运营期煤气燃烧烟气中烟尘和二氧化硫排放执行《火电厂大气污染物排放标准》（GB13223-2011）表2大气污染物特别排放限值要求（颗粒物：5mg/m</w:t>
            </w:r>
            <w:r>
              <w:rPr>
                <w:rFonts w:hint="default" w:ascii="Times New Roman" w:hAnsi="Times New Roman" w:cs="Times New Roman"/>
                <w:bCs/>
                <w:snapToGrid w:val="0"/>
                <w:color w:val="auto"/>
                <w:kern w:val="0"/>
                <w:sz w:val="24"/>
                <w:szCs w:val="21"/>
                <w:vertAlign w:val="superscript"/>
                <w:lang w:val="en-US" w:eastAsia="zh-CN" w:bidi="ar-SA"/>
              </w:rPr>
              <w:t>3</w:t>
            </w:r>
            <w:r>
              <w:rPr>
                <w:rFonts w:hint="default" w:ascii="Times New Roman" w:hAnsi="Times New Roman" w:cs="Times New Roman"/>
                <w:bCs/>
                <w:snapToGrid w:val="0"/>
                <w:color w:val="auto"/>
                <w:kern w:val="0"/>
                <w:sz w:val="24"/>
                <w:szCs w:val="21"/>
                <w:lang w:val="en-US" w:eastAsia="zh-CN" w:bidi="ar-SA"/>
              </w:rPr>
              <w:t>；二氧化硫35mg/m</w:t>
            </w:r>
            <w:r>
              <w:rPr>
                <w:rFonts w:hint="default" w:ascii="Times New Roman" w:hAnsi="Times New Roman" w:cs="Times New Roman"/>
                <w:bCs/>
                <w:snapToGrid w:val="0"/>
                <w:color w:val="auto"/>
                <w:kern w:val="0"/>
                <w:sz w:val="24"/>
                <w:szCs w:val="21"/>
                <w:vertAlign w:val="superscript"/>
                <w:lang w:val="en-US" w:eastAsia="zh-CN" w:bidi="ar-SA"/>
              </w:rPr>
              <w:t>3</w:t>
            </w:r>
            <w:r>
              <w:rPr>
                <w:rFonts w:hint="default" w:ascii="Times New Roman" w:hAnsi="Times New Roman" w:cs="Times New Roman"/>
                <w:bCs/>
                <w:snapToGrid w:val="0"/>
                <w:color w:val="auto"/>
                <w:kern w:val="0"/>
                <w:sz w:val="24"/>
                <w:szCs w:val="21"/>
                <w:lang w:val="en-US" w:eastAsia="zh-CN" w:bidi="ar-SA"/>
              </w:rPr>
              <w:t>）；氮氧化物执行《关于印发〈全面实施燃煤电厂超低排放和节能改造工作方案〉的通知》（环发〔2015〕164号）中要求（氮氧化物：50mg/m</w:t>
            </w:r>
            <w:r>
              <w:rPr>
                <w:rFonts w:hint="default" w:ascii="Times New Roman" w:hAnsi="Times New Roman" w:cs="Times New Roman"/>
                <w:bCs/>
                <w:snapToGrid w:val="0"/>
                <w:color w:val="auto"/>
                <w:kern w:val="0"/>
                <w:sz w:val="24"/>
                <w:szCs w:val="21"/>
                <w:vertAlign w:val="superscript"/>
                <w:lang w:val="en-US" w:eastAsia="zh-CN" w:bidi="ar-SA"/>
              </w:rPr>
              <w:t>3</w:t>
            </w:r>
            <w:r>
              <w:rPr>
                <w:rFonts w:hint="default" w:ascii="Times New Roman" w:hAnsi="Times New Roman" w:cs="Times New Roman"/>
                <w:bCs/>
                <w:snapToGrid w:val="0"/>
                <w:color w:val="auto"/>
                <w:kern w:val="0"/>
                <w:sz w:val="24"/>
                <w:szCs w:val="21"/>
                <w:lang w:val="en-US" w:eastAsia="zh-CN" w:bidi="ar-SA"/>
              </w:rPr>
              <w:t>）</w:t>
            </w:r>
          </w:p>
          <w:p w14:paraId="5A12375C">
            <w:pPr>
              <w:pStyle w:val="109"/>
              <w:keepNext w:val="0"/>
              <w:keepLines w:val="0"/>
              <w:pageBreakBefore w:val="0"/>
              <w:widowControl/>
              <w:kinsoku w:val="0"/>
              <w:wordWrap/>
              <w:overflowPunct/>
              <w:topLinePunct w:val="0"/>
              <w:autoSpaceDE w:val="0"/>
              <w:autoSpaceDN w:val="0"/>
              <w:bidi w:val="0"/>
              <w:adjustRightInd w:val="0"/>
              <w:snapToGrid w:val="0"/>
              <w:spacing w:line="360" w:lineRule="auto"/>
              <w:ind w:left="0" w:right="0"/>
              <w:jc w:val="both"/>
              <w:textAlignment w:val="baseline"/>
              <w:rPr>
                <w:rFonts w:hint="default" w:ascii="Times New Roman" w:hAnsi="Times New Roman" w:eastAsia="宋体" w:cs="Times New Roman"/>
                <w:b/>
                <w:bCs/>
                <w:snapToGrid/>
                <w:color w:val="auto"/>
                <w:kern w:val="2"/>
                <w:sz w:val="24"/>
                <w:szCs w:val="24"/>
                <w:lang w:val="en-US" w:eastAsia="zh-CN" w:bidi="ar-SA"/>
              </w:rPr>
            </w:pPr>
            <w:r>
              <w:rPr>
                <w:rFonts w:hint="default" w:ascii="Times New Roman" w:hAnsi="Times New Roman" w:cs="Times New Roman"/>
                <w:b/>
                <w:bCs/>
                <w:snapToGrid/>
                <w:color w:val="auto"/>
                <w:kern w:val="2"/>
                <w:sz w:val="24"/>
                <w:szCs w:val="24"/>
                <w:lang w:val="en-US" w:eastAsia="zh-CN" w:bidi="ar-SA"/>
              </w:rPr>
              <w:t>12.</w:t>
            </w:r>
            <w:r>
              <w:rPr>
                <w:rFonts w:hint="default" w:ascii="Times New Roman" w:hAnsi="Times New Roman" w:eastAsia="宋体" w:cs="Times New Roman"/>
                <w:b/>
                <w:bCs/>
                <w:snapToGrid/>
                <w:color w:val="auto"/>
                <w:kern w:val="2"/>
                <w:sz w:val="24"/>
                <w:szCs w:val="24"/>
                <w:lang w:val="en-US" w:eastAsia="zh-CN" w:bidi="ar-SA"/>
              </w:rPr>
              <w:t>与《关于进一步加强乌鲁木齐、昌吉、石河子、五家渠区域大气环境同防同治的意见》（新政办</w:t>
            </w:r>
            <w:r>
              <w:rPr>
                <w:rFonts w:hint="default" w:ascii="Times New Roman" w:hAnsi="Times New Roman" w:cs="Times New Roman"/>
                <w:b/>
                <w:bCs/>
                <w:color w:val="auto"/>
                <w:spacing w:val="0"/>
                <w:kern w:val="0"/>
                <w:sz w:val="24"/>
                <w:szCs w:val="24"/>
                <w:highlight w:val="none"/>
                <w:lang w:val="en-US" w:eastAsia="zh-CN"/>
              </w:rPr>
              <w:t>〔2023〕</w:t>
            </w:r>
            <w:r>
              <w:rPr>
                <w:rFonts w:hint="default" w:ascii="Times New Roman" w:hAnsi="Times New Roman" w:eastAsia="宋体" w:cs="Times New Roman"/>
                <w:b/>
                <w:bCs/>
                <w:snapToGrid/>
                <w:color w:val="auto"/>
                <w:kern w:val="2"/>
                <w:sz w:val="24"/>
                <w:szCs w:val="24"/>
                <w:lang w:val="en-US" w:eastAsia="zh-CN" w:bidi="ar-SA"/>
              </w:rPr>
              <w:t>29号）符合性分析</w:t>
            </w:r>
          </w:p>
          <w:p w14:paraId="0707A0E3">
            <w:pPr>
              <w:keepNext w:val="0"/>
              <w:keepLines w:val="0"/>
              <w:pageBreakBefore w:val="0"/>
              <w:wordWrap/>
              <w:overflowPunct/>
              <w:topLinePunct w:val="0"/>
              <w:bidi w:val="0"/>
              <w:spacing w:line="360" w:lineRule="auto"/>
              <w:ind w:firstLine="480" w:firstLineChars="200"/>
              <w:rPr>
                <w:rFonts w:hint="default" w:ascii="Times New Roman" w:hAnsi="Times New Roman" w:cs="Times New Roman"/>
                <w:bCs/>
                <w:snapToGrid w:val="0"/>
                <w:color w:val="auto"/>
                <w:kern w:val="0"/>
                <w:sz w:val="24"/>
                <w:szCs w:val="21"/>
                <w:lang w:val="en-US" w:eastAsia="zh-CN" w:bidi="ar-SA"/>
              </w:rPr>
            </w:pPr>
            <w:r>
              <w:rPr>
                <w:rFonts w:hint="default" w:ascii="Times New Roman" w:hAnsi="Times New Roman" w:eastAsia="宋体" w:cs="Times New Roman"/>
                <w:bCs/>
                <w:snapToGrid w:val="0"/>
                <w:color w:val="auto"/>
                <w:kern w:val="0"/>
                <w:sz w:val="24"/>
                <w:szCs w:val="21"/>
                <w:lang w:val="en-US" w:eastAsia="zh-CN" w:bidi="ar-SA"/>
              </w:rPr>
              <w:t>《关于进一步加强乌鲁木齐、昌吉、石河子、五家渠区域大气环境同防同治的意见》</w:t>
            </w:r>
            <w:r>
              <w:rPr>
                <w:rFonts w:hint="default" w:ascii="Times New Roman" w:hAnsi="Times New Roman" w:cs="Times New Roman"/>
                <w:bCs/>
                <w:snapToGrid w:val="0"/>
                <w:color w:val="auto"/>
                <w:kern w:val="0"/>
                <w:sz w:val="24"/>
                <w:szCs w:val="21"/>
                <w:lang w:val="en-US" w:eastAsia="zh-CN" w:bidi="ar-SA"/>
              </w:rPr>
              <w:t>中“三、区域范围乌一昌一石"区域包括乌鲁木齐市,昌吉州昌吉市、阜康市、玛纳斯县、呼图壁县,塔城地区沙湾市,五家渠市、石河子市、第十二师。”</w:t>
            </w:r>
          </w:p>
          <w:p w14:paraId="1960D297">
            <w:pPr>
              <w:keepNext w:val="0"/>
              <w:keepLines w:val="0"/>
              <w:pageBreakBefore w:val="0"/>
              <w:wordWrap/>
              <w:overflowPunct/>
              <w:topLinePunct w:val="0"/>
              <w:bidi w:val="0"/>
              <w:spacing w:line="360" w:lineRule="auto"/>
              <w:ind w:firstLine="480" w:firstLineChars="200"/>
              <w:rPr>
                <w:rFonts w:hint="default" w:ascii="Times New Roman" w:hAnsi="Times New Roman" w:eastAsia="宋体" w:cs="Times New Roman"/>
                <w:bCs/>
                <w:snapToGrid w:val="0"/>
                <w:color w:val="auto"/>
                <w:kern w:val="0"/>
                <w:sz w:val="24"/>
                <w:szCs w:val="21"/>
                <w:lang w:val="en-US" w:eastAsia="zh-CN" w:bidi="ar-SA"/>
              </w:rPr>
            </w:pPr>
            <w:r>
              <w:rPr>
                <w:rFonts w:hint="default" w:ascii="Times New Roman" w:hAnsi="Times New Roman" w:eastAsia="宋体" w:cs="Times New Roman"/>
                <w:bCs/>
                <w:snapToGrid w:val="0"/>
                <w:color w:val="auto"/>
                <w:kern w:val="0"/>
                <w:sz w:val="24"/>
                <w:szCs w:val="21"/>
                <w:lang w:val="en-US" w:eastAsia="zh-CN" w:bidi="ar-SA"/>
              </w:rPr>
              <w:t>本项目位于昌吉回族自治州吉木萨尔县北三台循环经济工业园恒信煤炭制品工贸有限公司120万吨煤制品深加工升级改造项目厂区南侧，不属于上述文件中执行特别排放标准的区域。</w:t>
            </w:r>
            <w:r>
              <w:rPr>
                <w:rFonts w:hint="default" w:ascii="Times New Roman" w:hAnsi="Times New Roman" w:cs="Times New Roman"/>
                <w:bCs/>
                <w:snapToGrid w:val="0"/>
                <w:color w:val="auto"/>
                <w:kern w:val="0"/>
                <w:sz w:val="24"/>
                <w:szCs w:val="21"/>
                <w:lang w:val="en-US" w:eastAsia="zh-CN" w:bidi="ar-SA"/>
              </w:rPr>
              <w:t>但为进一步减少本项目污染物排放量，项目运营期煤气燃烧烟气中烟尘和二氧化硫排放执行《火电厂大气污染物排放标准》（GB13223-2011）表2大气污染物特别排放限值要求（颗粒物：5mg/m</w:t>
            </w:r>
            <w:r>
              <w:rPr>
                <w:rFonts w:hint="default" w:ascii="Times New Roman" w:hAnsi="Times New Roman" w:cs="Times New Roman"/>
                <w:bCs/>
                <w:snapToGrid w:val="0"/>
                <w:color w:val="auto"/>
                <w:kern w:val="0"/>
                <w:sz w:val="24"/>
                <w:szCs w:val="21"/>
                <w:vertAlign w:val="superscript"/>
                <w:lang w:val="en-US" w:eastAsia="zh-CN" w:bidi="ar-SA"/>
              </w:rPr>
              <w:t>3</w:t>
            </w:r>
            <w:r>
              <w:rPr>
                <w:rFonts w:hint="default" w:ascii="Times New Roman" w:hAnsi="Times New Roman" w:cs="Times New Roman"/>
                <w:bCs/>
                <w:snapToGrid w:val="0"/>
                <w:color w:val="auto"/>
                <w:kern w:val="0"/>
                <w:sz w:val="24"/>
                <w:szCs w:val="21"/>
                <w:lang w:val="en-US" w:eastAsia="zh-CN" w:bidi="ar-SA"/>
              </w:rPr>
              <w:t>；二氧化硫35mg/m</w:t>
            </w:r>
            <w:r>
              <w:rPr>
                <w:rFonts w:hint="default" w:ascii="Times New Roman" w:hAnsi="Times New Roman" w:cs="Times New Roman"/>
                <w:bCs/>
                <w:snapToGrid w:val="0"/>
                <w:color w:val="auto"/>
                <w:kern w:val="0"/>
                <w:sz w:val="24"/>
                <w:szCs w:val="21"/>
                <w:vertAlign w:val="superscript"/>
                <w:lang w:val="en-US" w:eastAsia="zh-CN" w:bidi="ar-SA"/>
              </w:rPr>
              <w:t>3</w:t>
            </w:r>
            <w:r>
              <w:rPr>
                <w:rFonts w:hint="default" w:ascii="Times New Roman" w:hAnsi="Times New Roman" w:cs="Times New Roman"/>
                <w:bCs/>
                <w:snapToGrid w:val="0"/>
                <w:color w:val="auto"/>
                <w:kern w:val="0"/>
                <w:sz w:val="24"/>
                <w:szCs w:val="21"/>
                <w:lang w:val="en-US" w:eastAsia="zh-CN" w:bidi="ar-SA"/>
              </w:rPr>
              <w:t>）；氮氧化物执行《关于印发〈全面实施燃煤电厂超低排放和节能改造工作方案〉的通知》（环发〔2015〕164号）中要求（氮氧化物：50mg/m</w:t>
            </w:r>
            <w:r>
              <w:rPr>
                <w:rFonts w:hint="default" w:ascii="Times New Roman" w:hAnsi="Times New Roman" w:cs="Times New Roman"/>
                <w:bCs/>
                <w:snapToGrid w:val="0"/>
                <w:color w:val="auto"/>
                <w:kern w:val="0"/>
                <w:sz w:val="24"/>
                <w:szCs w:val="21"/>
                <w:vertAlign w:val="superscript"/>
                <w:lang w:val="en-US" w:eastAsia="zh-CN" w:bidi="ar-SA"/>
              </w:rPr>
              <w:t>3</w:t>
            </w:r>
            <w:r>
              <w:rPr>
                <w:rFonts w:hint="default" w:ascii="Times New Roman" w:hAnsi="Times New Roman" w:cs="Times New Roman"/>
                <w:bCs/>
                <w:snapToGrid w:val="0"/>
                <w:color w:val="auto"/>
                <w:kern w:val="0"/>
                <w:sz w:val="24"/>
                <w:szCs w:val="21"/>
                <w:lang w:val="en-US" w:eastAsia="zh-CN" w:bidi="ar-SA"/>
              </w:rPr>
              <w:t>）</w:t>
            </w:r>
          </w:p>
          <w:p w14:paraId="22B9052C">
            <w:pPr>
              <w:pStyle w:val="109"/>
              <w:keepNext w:val="0"/>
              <w:keepLines w:val="0"/>
              <w:pageBreakBefore w:val="0"/>
              <w:widowControl/>
              <w:kinsoku w:val="0"/>
              <w:wordWrap/>
              <w:overflowPunct/>
              <w:topLinePunct w:val="0"/>
              <w:autoSpaceDE w:val="0"/>
              <w:autoSpaceDN w:val="0"/>
              <w:bidi w:val="0"/>
              <w:adjustRightInd w:val="0"/>
              <w:snapToGrid w:val="0"/>
              <w:spacing w:line="360" w:lineRule="auto"/>
              <w:ind w:left="0" w:right="0" w:firstLine="482" w:firstLineChars="200"/>
              <w:jc w:val="both"/>
              <w:textAlignment w:val="baseline"/>
              <w:rPr>
                <w:rFonts w:hint="default" w:ascii="Times New Roman" w:hAnsi="Times New Roman" w:eastAsia="宋体" w:cs="Times New Roman"/>
                <w:b/>
                <w:bCs/>
                <w:snapToGrid/>
                <w:color w:val="auto"/>
                <w:kern w:val="2"/>
                <w:sz w:val="24"/>
                <w:szCs w:val="24"/>
                <w:lang w:val="en-US" w:eastAsia="zh-CN" w:bidi="ar-SA"/>
              </w:rPr>
            </w:pPr>
            <w:r>
              <w:rPr>
                <w:rFonts w:hint="default" w:ascii="Times New Roman" w:hAnsi="Times New Roman" w:eastAsia="宋体" w:cs="Times New Roman"/>
                <w:b/>
                <w:bCs/>
                <w:snapToGrid/>
                <w:color w:val="auto"/>
                <w:kern w:val="2"/>
                <w:sz w:val="24"/>
                <w:szCs w:val="24"/>
                <w:lang w:val="en-US" w:eastAsia="zh-CN" w:bidi="ar-SA"/>
              </w:rPr>
              <w:t>1</w:t>
            </w:r>
            <w:r>
              <w:rPr>
                <w:rFonts w:hint="default" w:ascii="Times New Roman" w:hAnsi="Times New Roman" w:cs="Times New Roman"/>
                <w:b/>
                <w:bCs/>
                <w:snapToGrid/>
                <w:color w:val="auto"/>
                <w:kern w:val="2"/>
                <w:sz w:val="24"/>
                <w:szCs w:val="24"/>
                <w:lang w:val="en-US" w:eastAsia="zh-CN" w:bidi="ar-SA"/>
              </w:rPr>
              <w:t>3</w:t>
            </w:r>
            <w:r>
              <w:rPr>
                <w:rFonts w:hint="default" w:ascii="Times New Roman" w:hAnsi="Times New Roman" w:eastAsia="宋体" w:cs="Times New Roman"/>
                <w:b/>
                <w:bCs/>
                <w:snapToGrid/>
                <w:color w:val="auto"/>
                <w:kern w:val="2"/>
                <w:sz w:val="24"/>
                <w:szCs w:val="24"/>
                <w:lang w:val="en-US" w:eastAsia="zh-CN" w:bidi="ar-SA"/>
              </w:rPr>
              <w:t>.与《乌昌石2024-2025年大气环境整治行动方案》符合性分析</w:t>
            </w:r>
          </w:p>
          <w:p w14:paraId="1E5993DF">
            <w:pPr>
              <w:keepNext w:val="0"/>
              <w:keepLines w:val="0"/>
              <w:pageBreakBefore w:val="0"/>
              <w:wordWrap/>
              <w:overflowPunct/>
              <w:topLinePunct w:val="0"/>
              <w:bidi w:val="0"/>
              <w:spacing w:line="360" w:lineRule="auto"/>
              <w:ind w:firstLine="480" w:firstLineChars="200"/>
              <w:rPr>
                <w:rFonts w:hint="default" w:ascii="Times New Roman" w:hAnsi="Times New Roman" w:eastAsia="宋体" w:cs="Times New Roman"/>
                <w:bCs/>
                <w:snapToGrid w:val="0"/>
                <w:color w:val="auto"/>
                <w:kern w:val="0"/>
                <w:sz w:val="24"/>
                <w:szCs w:val="21"/>
                <w:lang w:val="en-US" w:eastAsia="zh-CN" w:bidi="ar-SA"/>
              </w:rPr>
            </w:pPr>
            <w:r>
              <w:rPr>
                <w:rFonts w:hint="default" w:ascii="Times New Roman" w:hAnsi="Times New Roman" w:eastAsia="宋体" w:cs="Times New Roman"/>
                <w:bCs/>
                <w:snapToGrid w:val="0"/>
                <w:color w:val="auto"/>
                <w:kern w:val="0"/>
                <w:sz w:val="24"/>
                <w:szCs w:val="21"/>
                <w:lang w:val="en-US" w:eastAsia="zh-CN" w:bidi="ar-SA"/>
              </w:rPr>
              <w:t>本项目与《乌昌石2024-2025年大气环境整治行动方案》的符合性分析详见表1-</w:t>
            </w:r>
            <w:r>
              <w:rPr>
                <w:rFonts w:hint="default" w:ascii="Times New Roman" w:hAnsi="Times New Roman" w:cs="Times New Roman"/>
                <w:bCs/>
                <w:snapToGrid w:val="0"/>
                <w:color w:val="auto"/>
                <w:kern w:val="0"/>
                <w:sz w:val="24"/>
                <w:szCs w:val="21"/>
                <w:lang w:val="en-US" w:eastAsia="zh-CN" w:bidi="ar-SA"/>
              </w:rPr>
              <w:t>8</w:t>
            </w:r>
            <w:r>
              <w:rPr>
                <w:rFonts w:hint="default" w:ascii="Times New Roman" w:hAnsi="Times New Roman" w:eastAsia="宋体" w:cs="Times New Roman"/>
                <w:bCs/>
                <w:snapToGrid w:val="0"/>
                <w:color w:val="auto"/>
                <w:kern w:val="0"/>
                <w:sz w:val="24"/>
                <w:szCs w:val="21"/>
                <w:lang w:val="en-US" w:eastAsia="zh-CN" w:bidi="ar-SA"/>
              </w:rPr>
              <w:t>。</w:t>
            </w:r>
          </w:p>
          <w:p w14:paraId="7B1AA034">
            <w:pPr>
              <w:pStyle w:val="10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Chars="0" w:right="0" w:rightChars="0"/>
              <w:jc w:val="center"/>
              <w:textAlignment w:val="baseline"/>
              <w:rPr>
                <w:rFonts w:hint="default" w:ascii="Times New Roman" w:hAnsi="Times New Roman" w:cs="Times New Roman"/>
                <w:b/>
                <w:bCs/>
                <w:color w:val="auto"/>
                <w:kern w:val="0"/>
                <w:sz w:val="21"/>
                <w:szCs w:val="21"/>
                <w:highlight w:val="none"/>
                <w:lang w:val="en-US" w:eastAsia="zh-CN" w:bidi="ar-SA"/>
              </w:rPr>
            </w:pPr>
          </w:p>
          <w:p w14:paraId="15BA8A09">
            <w:pPr>
              <w:pStyle w:val="109"/>
              <w:keepNext w:val="0"/>
              <w:keepLines w:val="0"/>
              <w:pageBreakBefore w:val="0"/>
              <w:widowControl/>
              <w:numPr>
                <w:ilvl w:val="0"/>
                <w:numId w:val="0"/>
              </w:numPr>
              <w:kinsoku w:val="0"/>
              <w:wordWrap/>
              <w:overflowPunct/>
              <w:topLinePunct w:val="0"/>
              <w:autoSpaceDE w:val="0"/>
              <w:autoSpaceDN w:val="0"/>
              <w:bidi w:val="0"/>
              <w:adjustRightInd w:val="0"/>
              <w:snapToGrid w:val="0"/>
              <w:spacing w:line="240" w:lineRule="auto"/>
              <w:ind w:leftChars="0" w:right="0" w:rightChars="0"/>
              <w:jc w:val="center"/>
              <w:textAlignment w:val="baseline"/>
              <w:rPr>
                <w:rFonts w:hint="default" w:ascii="Times New Roman" w:hAnsi="Times New Roman" w:cs="Times New Roman"/>
                <w:b/>
                <w:bCs/>
                <w:color w:val="auto"/>
                <w:kern w:val="0"/>
                <w:sz w:val="21"/>
                <w:szCs w:val="21"/>
                <w:highlight w:val="none"/>
                <w:lang w:val="en-US" w:eastAsia="zh-CN" w:bidi="ar-SA"/>
              </w:rPr>
            </w:pPr>
            <w:r>
              <w:rPr>
                <w:rFonts w:hint="default" w:ascii="Times New Roman" w:hAnsi="Times New Roman" w:cs="Times New Roman"/>
                <w:b/>
                <w:bCs/>
                <w:color w:val="auto"/>
                <w:kern w:val="0"/>
                <w:sz w:val="21"/>
                <w:szCs w:val="21"/>
                <w:highlight w:val="none"/>
                <w:lang w:val="en-US" w:eastAsia="zh-CN" w:bidi="ar-SA"/>
              </w:rPr>
              <w:t>表1-8与《乌昌石2024-2025年大气环境整治行动方案》符合性分析</w:t>
            </w:r>
          </w:p>
          <w:tbl>
            <w:tblPr>
              <w:tblStyle w:val="96"/>
              <w:tblW w:w="4972"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68" w:type="dxa"/>
                <w:bottom w:w="0" w:type="dxa"/>
                <w:right w:w="68" w:type="dxa"/>
              </w:tblCellMar>
            </w:tblPr>
            <w:tblGrid>
              <w:gridCol w:w="919"/>
              <w:gridCol w:w="4525"/>
              <w:gridCol w:w="2163"/>
              <w:gridCol w:w="650"/>
            </w:tblGrid>
            <w:tr w14:paraId="376C60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556" w:type="pct"/>
                  <w:tcBorders>
                    <w:tl2br w:val="nil"/>
                    <w:tr2bl w:val="nil"/>
                  </w:tcBorders>
                  <w:noWrap w:val="0"/>
                  <w:vAlign w:val="center"/>
                </w:tcPr>
                <w:p w14:paraId="3F2FD05F">
                  <w:pPr>
                    <w:autoSpaceDE w:val="0"/>
                    <w:autoSpaceDN w:val="0"/>
                    <w:bidi w:val="0"/>
                    <w:jc w:val="center"/>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序号</w:t>
                  </w:r>
                </w:p>
              </w:tc>
              <w:tc>
                <w:tcPr>
                  <w:tcW w:w="2739" w:type="pct"/>
                  <w:tcBorders>
                    <w:tl2br w:val="nil"/>
                    <w:tr2bl w:val="nil"/>
                  </w:tcBorders>
                  <w:noWrap w:val="0"/>
                  <w:vAlign w:val="center"/>
                </w:tcPr>
                <w:p w14:paraId="2FFB60F1">
                  <w:pPr>
                    <w:autoSpaceDE w:val="0"/>
                    <w:autoSpaceDN w:val="0"/>
                    <w:bidi w:val="0"/>
                    <w:jc w:val="center"/>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相关要求</w:t>
                  </w:r>
                </w:p>
              </w:tc>
              <w:tc>
                <w:tcPr>
                  <w:tcW w:w="1309" w:type="pct"/>
                  <w:tcBorders>
                    <w:tl2br w:val="nil"/>
                    <w:tr2bl w:val="nil"/>
                  </w:tcBorders>
                  <w:noWrap w:val="0"/>
                  <w:vAlign w:val="center"/>
                </w:tcPr>
                <w:p w14:paraId="3491B711">
                  <w:pPr>
                    <w:autoSpaceDE w:val="0"/>
                    <w:autoSpaceDN w:val="0"/>
                    <w:bidi w:val="0"/>
                    <w:jc w:val="center"/>
                    <w:rPr>
                      <w:rFonts w:hint="default" w:ascii="Times New Roman" w:hAnsi="Times New Roman" w:cs="Times New Roman"/>
                      <w:b/>
                      <w:bCs/>
                      <w:color w:val="auto"/>
                    </w:rPr>
                  </w:pPr>
                  <w:r>
                    <w:rPr>
                      <w:rFonts w:hint="default" w:ascii="Times New Roman" w:hAnsi="Times New Roman" w:cs="Times New Roman"/>
                      <w:b/>
                      <w:bCs/>
                      <w:color w:val="auto"/>
                    </w:rPr>
                    <w:t>本项目</w:t>
                  </w:r>
                </w:p>
              </w:tc>
              <w:tc>
                <w:tcPr>
                  <w:tcW w:w="393" w:type="pct"/>
                  <w:tcBorders>
                    <w:tl2br w:val="nil"/>
                    <w:tr2bl w:val="nil"/>
                  </w:tcBorders>
                  <w:noWrap w:val="0"/>
                  <w:vAlign w:val="center"/>
                </w:tcPr>
                <w:p w14:paraId="41DEA158">
                  <w:pPr>
                    <w:autoSpaceDE w:val="0"/>
                    <w:autoSpaceDN w:val="0"/>
                    <w:bidi w:val="0"/>
                    <w:jc w:val="center"/>
                    <w:rPr>
                      <w:rFonts w:hint="default" w:ascii="Times New Roman" w:hAnsi="Times New Roman" w:cs="Times New Roman"/>
                      <w:b/>
                      <w:bCs/>
                      <w:color w:val="auto"/>
                      <w:lang w:val="en-US" w:eastAsia="zh-CN"/>
                    </w:rPr>
                  </w:pPr>
                  <w:r>
                    <w:rPr>
                      <w:rFonts w:hint="default" w:ascii="Times New Roman" w:hAnsi="Times New Roman" w:cs="Times New Roman"/>
                      <w:b/>
                      <w:bCs/>
                      <w:color w:val="auto"/>
                    </w:rPr>
                    <w:t>符合</w:t>
                  </w:r>
                  <w:r>
                    <w:rPr>
                      <w:rFonts w:hint="default" w:ascii="Times New Roman" w:hAnsi="Times New Roman" w:cs="Times New Roman"/>
                      <w:b/>
                      <w:bCs/>
                      <w:color w:val="auto"/>
                      <w:lang w:val="en-US" w:eastAsia="zh-CN"/>
                    </w:rPr>
                    <w:t>性</w:t>
                  </w:r>
                </w:p>
              </w:tc>
            </w:tr>
            <w:tr w14:paraId="748F73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90" w:hRule="atLeast"/>
              </w:trPr>
              <w:tc>
                <w:tcPr>
                  <w:tcW w:w="556" w:type="pct"/>
                  <w:tcBorders>
                    <w:tl2br w:val="nil"/>
                    <w:tr2bl w:val="nil"/>
                  </w:tcBorders>
                  <w:noWrap w:val="0"/>
                  <w:vAlign w:val="center"/>
                </w:tcPr>
                <w:p w14:paraId="119F9465">
                  <w:pPr>
                    <w:autoSpaceDE w:val="0"/>
                    <w:autoSpaceDN w:val="0"/>
                    <w:bidi w:val="0"/>
                    <w:jc w:val="center"/>
                    <w:rPr>
                      <w:rFonts w:hint="default" w:ascii="Times New Roman" w:hAnsi="Times New Roman" w:cs="Times New Roman"/>
                      <w:color w:val="auto"/>
                    </w:rPr>
                  </w:pP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一</w:t>
                  </w:r>
                  <w:r>
                    <w:rPr>
                      <w:rFonts w:hint="default" w:ascii="Times New Roman" w:hAnsi="Times New Roman" w:cs="Times New Roman"/>
                      <w:color w:val="auto"/>
                      <w:lang w:eastAsia="zh-CN"/>
                    </w:rPr>
                    <w:t>）</w:t>
                  </w:r>
                  <w:r>
                    <w:rPr>
                      <w:rFonts w:hint="default" w:ascii="Times New Roman" w:hAnsi="Times New Roman" w:cs="Times New Roman"/>
                      <w:color w:val="auto"/>
                    </w:rPr>
                    <w:t>优化产业结构，促进产业产品绿色升级</w:t>
                  </w:r>
                </w:p>
                <w:p w14:paraId="5401C92F">
                  <w:pPr>
                    <w:autoSpaceDE w:val="0"/>
                    <w:autoSpaceDN w:val="0"/>
                    <w:bidi w:val="0"/>
                    <w:jc w:val="center"/>
                    <w:rPr>
                      <w:rFonts w:hint="default" w:ascii="Times New Roman" w:hAnsi="Times New Roman" w:cs="Times New Roman"/>
                      <w:color w:val="auto"/>
                    </w:rPr>
                  </w:pPr>
                </w:p>
              </w:tc>
              <w:tc>
                <w:tcPr>
                  <w:tcW w:w="2739" w:type="pct"/>
                  <w:tcBorders>
                    <w:tl2br w:val="nil"/>
                    <w:tr2bl w:val="nil"/>
                  </w:tcBorders>
                  <w:noWrap w:val="0"/>
                  <w:vAlign w:val="center"/>
                </w:tcPr>
                <w:p w14:paraId="39254613">
                  <w:pPr>
                    <w:autoSpaceDE w:val="0"/>
                    <w:autoSpaceDN w:val="0"/>
                    <w:bidi w:val="0"/>
                    <w:jc w:val="center"/>
                    <w:rPr>
                      <w:rFonts w:hint="default" w:ascii="Times New Roman" w:hAnsi="Times New Roman" w:cs="Times New Roman"/>
                      <w:color w:val="auto"/>
                    </w:rPr>
                  </w:pPr>
                  <w:r>
                    <w:rPr>
                      <w:rFonts w:hint="default" w:ascii="Times New Roman" w:hAnsi="Times New Roman" w:cs="Times New Roman"/>
                      <w:color w:val="auto"/>
                    </w:rPr>
                    <w:t>1.加强高污染高排放行业生态环境源头防控。新</w:t>
                  </w:r>
                  <w:r>
                    <w:rPr>
                      <w:rFonts w:hint="eastAsia" w:cs="Times New Roman"/>
                      <w:color w:val="auto"/>
                      <w:lang w:eastAsia="zh-CN"/>
                    </w:rPr>
                    <w:t>（</w:t>
                  </w:r>
                  <w:r>
                    <w:rPr>
                      <w:rFonts w:hint="default" w:ascii="Times New Roman" w:hAnsi="Times New Roman" w:cs="Times New Roman"/>
                      <w:color w:val="auto"/>
                    </w:rPr>
                    <w:t>改、扩</w:t>
                  </w:r>
                  <w:r>
                    <w:rPr>
                      <w:rFonts w:hint="eastAsia" w:cs="Times New Roman"/>
                      <w:color w:val="auto"/>
                      <w:lang w:eastAsia="zh-CN"/>
                    </w:rPr>
                    <w:t>）</w:t>
                  </w:r>
                  <w:r>
                    <w:rPr>
                      <w:rFonts w:hint="default" w:ascii="Times New Roman" w:hAnsi="Times New Roman" w:cs="Times New Roman"/>
                      <w:color w:val="auto"/>
                    </w:rPr>
                    <w:t>建项目严格落实国家产业规划、产业政策、生态环境分区管控方案、规划环评、项目环评、节能审查、产能置换、重点污染物总量控制、污染物排放区域削减、碳排放达峰目标等相关要求。科学精准落实项目环评及“三同时”管理要求，建立高污染高排放项目环评管理台账，严格执行环评审批原则和准入条件，推动相关产业优化和结构调整，坚决避免“一刀切”。</w:t>
                  </w:r>
                </w:p>
              </w:tc>
              <w:tc>
                <w:tcPr>
                  <w:tcW w:w="1309" w:type="pct"/>
                  <w:tcBorders>
                    <w:tl2br w:val="nil"/>
                    <w:tr2bl w:val="nil"/>
                  </w:tcBorders>
                  <w:noWrap w:val="0"/>
                  <w:vAlign w:val="center"/>
                </w:tcPr>
                <w:p w14:paraId="5F96D009">
                  <w:pPr>
                    <w:autoSpaceDE w:val="0"/>
                    <w:autoSpaceDN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本项目为</w:t>
                  </w:r>
                  <w:r>
                    <w:rPr>
                      <w:rFonts w:hint="default" w:ascii="Times New Roman" w:hAnsi="Times New Roman" w:cs="Times New Roman"/>
                      <w:color w:val="auto"/>
                      <w:lang w:eastAsia="zh-CN"/>
                    </w:rPr>
                    <w:t>火力发电业</w:t>
                  </w:r>
                  <w:r>
                    <w:rPr>
                      <w:rFonts w:hint="default" w:ascii="Times New Roman" w:hAnsi="Times New Roman" w:cs="Times New Roman"/>
                      <w:color w:val="auto"/>
                      <w:lang w:val="en-US" w:eastAsia="zh-CN"/>
                    </w:rPr>
                    <w:t>，不属于产能置换项目，</w:t>
                  </w:r>
                  <w:r>
                    <w:rPr>
                      <w:rFonts w:hint="default" w:ascii="Times New Roman" w:hAnsi="Times New Roman" w:cs="Times New Roman"/>
                      <w:color w:val="auto"/>
                    </w:rPr>
                    <w:t>符合产业政策，符合行业准入，符合生态环境准入清单</w:t>
                  </w:r>
                  <w:r>
                    <w:rPr>
                      <w:rFonts w:hint="default" w:ascii="Times New Roman" w:hAnsi="Times New Roman" w:cs="Times New Roman"/>
                      <w:color w:val="auto"/>
                      <w:lang w:val="en-US" w:eastAsia="zh-CN"/>
                    </w:rPr>
                    <w:t>等要求</w:t>
                  </w:r>
                  <w:r>
                    <w:rPr>
                      <w:rFonts w:hint="default" w:ascii="Times New Roman" w:hAnsi="Times New Roman" w:cs="Times New Roman"/>
                      <w:color w:val="auto"/>
                    </w:rPr>
                    <w:t>。</w:t>
                  </w:r>
                  <w:r>
                    <w:rPr>
                      <w:rFonts w:hint="default" w:ascii="Times New Roman" w:hAnsi="Times New Roman" w:cs="Times New Roman"/>
                      <w:color w:val="auto"/>
                      <w:lang w:val="en-US" w:eastAsia="zh-CN"/>
                    </w:rPr>
                    <w:t>符合</w:t>
                  </w:r>
                  <w:r>
                    <w:rPr>
                      <w:rFonts w:hint="default" w:ascii="Times New Roman" w:hAnsi="Times New Roman" w:cs="Times New Roman"/>
                      <w:color w:val="auto"/>
                    </w:rPr>
                    <w:t>重点污染物总量控制、污染物排放区域削减、碳排放达峰目标等相关要求</w:t>
                  </w:r>
                  <w:r>
                    <w:rPr>
                      <w:rFonts w:hint="default" w:ascii="Times New Roman" w:hAnsi="Times New Roman" w:cs="Times New Roman"/>
                      <w:color w:val="auto"/>
                      <w:lang w:eastAsia="zh-CN"/>
                    </w:rPr>
                    <w:t>。</w:t>
                  </w:r>
                </w:p>
              </w:tc>
              <w:tc>
                <w:tcPr>
                  <w:tcW w:w="393" w:type="pct"/>
                  <w:tcBorders>
                    <w:tl2br w:val="nil"/>
                    <w:tr2bl w:val="nil"/>
                  </w:tcBorders>
                  <w:noWrap w:val="0"/>
                  <w:vAlign w:val="center"/>
                </w:tcPr>
                <w:p w14:paraId="1EC92950">
                  <w:pPr>
                    <w:autoSpaceDE w:val="0"/>
                    <w:autoSpaceDN w:val="0"/>
                    <w:bidi w:val="0"/>
                    <w:jc w:val="center"/>
                    <w:rPr>
                      <w:rFonts w:hint="default" w:ascii="Times New Roman" w:hAnsi="Times New Roman" w:cs="Times New Roman"/>
                      <w:color w:val="auto"/>
                    </w:rPr>
                  </w:pPr>
                  <w:r>
                    <w:rPr>
                      <w:rFonts w:hint="default" w:ascii="Times New Roman" w:hAnsi="Times New Roman" w:cs="Times New Roman"/>
                      <w:color w:val="auto"/>
                    </w:rPr>
                    <w:t>符合</w:t>
                  </w:r>
                </w:p>
              </w:tc>
            </w:tr>
            <w:tr w14:paraId="7F86506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556" w:type="pct"/>
                  <w:vMerge w:val="restart"/>
                  <w:tcBorders>
                    <w:tl2br w:val="nil"/>
                    <w:tr2bl w:val="nil"/>
                  </w:tcBorders>
                  <w:noWrap w:val="0"/>
                  <w:vAlign w:val="center"/>
                </w:tcPr>
                <w:p w14:paraId="0709A27D">
                  <w:pPr>
                    <w:autoSpaceDE w:val="0"/>
                    <w:autoSpaceDN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（二）优化能源结构，加速能源清洁低碳高效发展</w:t>
                  </w:r>
                </w:p>
              </w:tc>
              <w:tc>
                <w:tcPr>
                  <w:tcW w:w="2739" w:type="pct"/>
                  <w:tcBorders>
                    <w:tl2br w:val="nil"/>
                    <w:tr2bl w:val="nil"/>
                  </w:tcBorders>
                  <w:noWrap w:val="0"/>
                  <w:vAlign w:val="center"/>
                </w:tcPr>
                <w:p w14:paraId="6C36CDEF">
                  <w:pPr>
                    <w:pStyle w:val="9"/>
                    <w:keepNext w:val="0"/>
                    <w:keepLines w:val="0"/>
                    <w:pageBreakBefore w:val="0"/>
                    <w:kinsoku/>
                    <w:wordWrap/>
                    <w:overflowPunct/>
                    <w:topLinePunct w:val="0"/>
                    <w:autoSpaceDE/>
                    <w:autoSpaceDN/>
                    <w:bidi w:val="0"/>
                    <w:adjustRightInd/>
                    <w:spacing w:before="0" w:after="0" w:line="240" w:lineRule="auto"/>
                    <w:ind w:left="0" w:right="0" w:firstLine="0"/>
                    <w:jc w:val="center"/>
                    <w:textAlignment w:val="auto"/>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eastAsiaTheme="minorEastAsia"/>
                      <w:color w:val="auto"/>
                      <w:kern w:val="2"/>
                      <w:sz w:val="21"/>
                      <w:szCs w:val="24"/>
                      <w:lang w:val="en-US" w:eastAsia="zh-CN" w:bidi="ar-SA"/>
                    </w:rPr>
                    <w:t>4.大力发展新能源和清洁能源。加快大型清洁能源基地建设，着力构建新能源供给消纳体系，实现装机规模快速增长。积极构建新型电力系统，全力推进区域输配电网建设，有效满足负荷增长需求和新能源汇集送出。推进新能源与优势产业联动发展，加大高载能行业和自备电厂绿电替代力度，企业使用新能源电量相应扣减企业碳排放量指标。提高电网对风光电的接纳、配置、调控能力。逐步提升区域非化石能源消费比重和电能占终端能源消费比重。持续增加天然气生产供应，新增天然气优先保障居民生活和清洁取暖、农业散煤清洁能源改造等需求。</w:t>
                  </w:r>
                </w:p>
              </w:tc>
              <w:tc>
                <w:tcPr>
                  <w:tcW w:w="1309" w:type="pct"/>
                  <w:tcBorders>
                    <w:tl2br w:val="nil"/>
                    <w:tr2bl w:val="nil"/>
                  </w:tcBorders>
                  <w:noWrap w:val="0"/>
                  <w:vAlign w:val="center"/>
                </w:tcPr>
                <w:p w14:paraId="3C8E9D8B">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4"/>
                      <w:lang w:val="en-US" w:eastAsia="en-US" w:bidi="ar-SA"/>
                    </w:rPr>
                  </w:pPr>
                  <w:r>
                    <w:rPr>
                      <w:rFonts w:hint="default" w:ascii="Times New Roman" w:hAnsi="Times New Roman" w:cs="Times New Roman" w:eastAsiaTheme="minorEastAsia"/>
                      <w:color w:val="auto"/>
                      <w:kern w:val="2"/>
                      <w:sz w:val="21"/>
                      <w:szCs w:val="24"/>
                      <w:lang w:val="en-US" w:eastAsia="zh-CN" w:bidi="ar-SA"/>
                    </w:rPr>
                    <w:t>本项目属于火力发电业，项目利用上游吉木萨尔县恒信煤炭制品工贸有限公司120万吨煤制品深加工升级改造项目半焦（兰炭）副产煤气余能新建煤气发电项目，装机规模为1×45MW超高温超高压煤气发电机组，属于《产业结构调整指导目录（2024年本）》鼓励类项目（四十二、环境保护与资源节约综合利用：第11条“余热回收利用先进工艺技术与设备”），符合国家产业政策。</w:t>
                  </w:r>
                </w:p>
              </w:tc>
              <w:tc>
                <w:tcPr>
                  <w:tcW w:w="393" w:type="pct"/>
                  <w:tcBorders>
                    <w:tl2br w:val="nil"/>
                    <w:tr2bl w:val="nil"/>
                  </w:tcBorders>
                  <w:noWrap w:val="0"/>
                  <w:vAlign w:val="center"/>
                </w:tcPr>
                <w:p w14:paraId="5FEFD739">
                  <w:pPr>
                    <w:autoSpaceDE w:val="0"/>
                    <w:autoSpaceDN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0F509E8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556" w:type="pct"/>
                  <w:vMerge w:val="continue"/>
                  <w:tcBorders>
                    <w:tl2br w:val="nil"/>
                    <w:tr2bl w:val="nil"/>
                  </w:tcBorders>
                  <w:noWrap w:val="0"/>
                  <w:vAlign w:val="center"/>
                </w:tcPr>
                <w:p w14:paraId="6E2D17AA">
                  <w:pPr>
                    <w:autoSpaceDE w:val="0"/>
                    <w:autoSpaceDN w:val="0"/>
                    <w:bidi w:val="0"/>
                    <w:jc w:val="center"/>
                    <w:rPr>
                      <w:rFonts w:hint="default" w:ascii="Times New Roman" w:hAnsi="Times New Roman" w:cs="Times New Roman"/>
                      <w:color w:val="auto"/>
                      <w:lang w:val="en-US" w:eastAsia="zh-CN"/>
                    </w:rPr>
                  </w:pPr>
                </w:p>
              </w:tc>
              <w:tc>
                <w:tcPr>
                  <w:tcW w:w="2739" w:type="pct"/>
                  <w:tcBorders>
                    <w:tl2br w:val="nil"/>
                    <w:tr2bl w:val="nil"/>
                  </w:tcBorders>
                  <w:noWrap w:val="0"/>
                  <w:vAlign w:val="center"/>
                </w:tcPr>
                <w:p w14:paraId="30CCD843">
                  <w:pPr>
                    <w:pStyle w:val="9"/>
                    <w:keepNext w:val="0"/>
                    <w:keepLines w:val="0"/>
                    <w:pageBreakBefore w:val="0"/>
                    <w:kinsoku/>
                    <w:wordWrap/>
                    <w:overflowPunct/>
                    <w:topLinePunct w:val="0"/>
                    <w:autoSpaceDE/>
                    <w:autoSpaceDN/>
                    <w:bidi w:val="0"/>
                    <w:adjustRightInd/>
                    <w:spacing w:before="0" w:after="0" w:line="240" w:lineRule="auto"/>
                    <w:ind w:left="0" w:right="0" w:firstLine="0"/>
                    <w:jc w:val="center"/>
                    <w:textAlignment w:val="auto"/>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eastAsiaTheme="minorEastAsia"/>
                      <w:color w:val="auto"/>
                      <w:kern w:val="2"/>
                      <w:sz w:val="21"/>
                      <w:szCs w:val="24"/>
                      <w:lang w:val="en-US" w:eastAsia="zh-CN" w:bidi="ar-SA"/>
                    </w:rPr>
                    <w:t>5.合理控制煤炭消费总量。在保障能源安全供应前提下，“乌—昌—石”区域实施冬季煤炭消费减量控制，力争到2025年区域冬季燃煤源排放的四项污染物总量减少约0.5万吨。新</w:t>
                  </w:r>
                  <w:r>
                    <w:rPr>
                      <w:rFonts w:hint="eastAsia" w:cs="Times New Roman" w:eastAsiaTheme="minorEastAsia"/>
                      <w:color w:val="auto"/>
                      <w:kern w:val="2"/>
                      <w:sz w:val="21"/>
                      <w:szCs w:val="24"/>
                      <w:lang w:val="en-US" w:eastAsia="zh-CN" w:bidi="ar-SA"/>
                    </w:rPr>
                    <w:t>（</w:t>
                  </w:r>
                  <w:r>
                    <w:rPr>
                      <w:rFonts w:hint="default" w:ascii="Times New Roman" w:hAnsi="Times New Roman" w:cs="Times New Roman" w:eastAsiaTheme="minorEastAsia"/>
                      <w:color w:val="auto"/>
                      <w:kern w:val="2"/>
                      <w:sz w:val="21"/>
                      <w:szCs w:val="24"/>
                      <w:lang w:val="en-US" w:eastAsia="zh-CN" w:bidi="ar-SA"/>
                    </w:rPr>
                    <w:t>改、扩</w:t>
                  </w:r>
                  <w:r>
                    <w:rPr>
                      <w:rFonts w:hint="eastAsia" w:cs="Times New Roman" w:eastAsiaTheme="minorEastAsia"/>
                      <w:color w:val="auto"/>
                      <w:kern w:val="2"/>
                      <w:sz w:val="21"/>
                      <w:szCs w:val="24"/>
                      <w:lang w:val="en-US" w:eastAsia="zh-CN" w:bidi="ar-SA"/>
                    </w:rPr>
                    <w:t>）</w:t>
                  </w:r>
                  <w:r>
                    <w:rPr>
                      <w:rFonts w:hint="default" w:ascii="Times New Roman" w:hAnsi="Times New Roman" w:cs="Times New Roman" w:eastAsiaTheme="minorEastAsia"/>
                      <w:color w:val="auto"/>
                      <w:kern w:val="2"/>
                      <w:sz w:val="21"/>
                      <w:szCs w:val="24"/>
                      <w:lang w:val="en-US" w:eastAsia="zh-CN" w:bidi="ar-SA"/>
                    </w:rPr>
                    <w:t>建用煤项目实施煤炭等量或减量替代，重点压减高耗能、高排放、低水平项目煤炭消费总量。持续完善区域煤炭消费减量替代管理办法，煤矸石、原料用煤不纳入煤炭消费总量考核。“乌—昌—石”区域原则上不再新增自备燃煤机组，现有自备燃煤机组实施优化整合和清洁能源替代。对支撑电力稳定供应、电网安全运行、清洁能源大规模并网消纳的煤电项目及其用煤量予以合理保障。</w:t>
                  </w:r>
                </w:p>
              </w:tc>
              <w:tc>
                <w:tcPr>
                  <w:tcW w:w="1309" w:type="pct"/>
                  <w:vMerge w:val="restart"/>
                  <w:tcBorders>
                    <w:tl2br w:val="nil"/>
                    <w:tr2bl w:val="nil"/>
                  </w:tcBorders>
                  <w:noWrap w:val="0"/>
                  <w:vAlign w:val="center"/>
                </w:tcPr>
                <w:p w14:paraId="7FA1FC3B">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color w:val="auto"/>
                      <w:lang w:val="en-US" w:eastAsia="zh-CN"/>
                    </w:rPr>
                    <w:t>本项目依托吉木萨尔县恒信煤炭制品工贸有限公司120万吨煤制品深加工升级改造项目的富余煤气资源建设发电系统，项目同步配备完善的脱硝、脱硫除尘处理设施，可确保烟气排放全面满足排放标准，大幅降低对周边环境的影响。</w:t>
                  </w:r>
                </w:p>
              </w:tc>
              <w:tc>
                <w:tcPr>
                  <w:tcW w:w="393" w:type="pct"/>
                  <w:tcBorders>
                    <w:tl2br w:val="nil"/>
                    <w:tr2bl w:val="nil"/>
                  </w:tcBorders>
                  <w:noWrap w:val="0"/>
                  <w:vAlign w:val="center"/>
                </w:tcPr>
                <w:p w14:paraId="2E558E9B">
                  <w:pPr>
                    <w:autoSpaceDE w:val="0"/>
                    <w:autoSpaceDN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016D955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90" w:hRule="atLeast"/>
              </w:trPr>
              <w:tc>
                <w:tcPr>
                  <w:tcW w:w="556" w:type="pct"/>
                  <w:vMerge w:val="continue"/>
                  <w:tcBorders>
                    <w:bottom w:val="single" w:color="auto" w:sz="4" w:space="0"/>
                    <w:tl2br w:val="nil"/>
                    <w:tr2bl w:val="nil"/>
                  </w:tcBorders>
                  <w:noWrap w:val="0"/>
                  <w:vAlign w:val="center"/>
                </w:tcPr>
                <w:p w14:paraId="6DADADC2">
                  <w:pPr>
                    <w:autoSpaceDE w:val="0"/>
                    <w:autoSpaceDN w:val="0"/>
                    <w:bidi w:val="0"/>
                    <w:jc w:val="center"/>
                    <w:rPr>
                      <w:rFonts w:hint="default" w:ascii="Times New Roman" w:hAnsi="Times New Roman" w:cs="Times New Roman"/>
                      <w:color w:val="auto"/>
                      <w:lang w:val="en-US" w:eastAsia="zh-CN"/>
                    </w:rPr>
                  </w:pPr>
                </w:p>
              </w:tc>
              <w:tc>
                <w:tcPr>
                  <w:tcW w:w="2739" w:type="pct"/>
                  <w:tcBorders>
                    <w:tl2br w:val="nil"/>
                    <w:tr2bl w:val="nil"/>
                  </w:tcBorders>
                  <w:noWrap w:val="0"/>
                  <w:vAlign w:val="center"/>
                </w:tcPr>
                <w:p w14:paraId="7AB2073D">
                  <w:pPr>
                    <w:pStyle w:val="9"/>
                    <w:keepNext w:val="0"/>
                    <w:keepLines w:val="0"/>
                    <w:pageBreakBefore w:val="0"/>
                    <w:kinsoku/>
                    <w:wordWrap/>
                    <w:overflowPunct/>
                    <w:topLinePunct w:val="0"/>
                    <w:autoSpaceDE/>
                    <w:autoSpaceDN/>
                    <w:bidi w:val="0"/>
                    <w:adjustRightInd/>
                    <w:spacing w:before="0" w:after="0" w:line="240" w:lineRule="auto"/>
                    <w:ind w:left="0" w:right="0" w:firstLine="0"/>
                    <w:jc w:val="center"/>
                    <w:textAlignment w:val="auto"/>
                    <w:rPr>
                      <w:rFonts w:hint="default" w:ascii="Times New Roman" w:hAnsi="Times New Roman" w:cs="Times New Roman" w:eastAsiaTheme="minorEastAsia"/>
                      <w:color w:val="auto"/>
                      <w:kern w:val="2"/>
                      <w:sz w:val="21"/>
                      <w:szCs w:val="24"/>
                      <w:lang w:val="en-US" w:eastAsia="zh-CN" w:bidi="ar-SA"/>
                    </w:rPr>
                  </w:pPr>
                  <w:r>
                    <w:rPr>
                      <w:rFonts w:hint="default" w:ascii="Times New Roman" w:hAnsi="Times New Roman" w:cs="Times New Roman" w:eastAsiaTheme="minorEastAsia"/>
                      <w:color w:val="auto"/>
                      <w:kern w:val="2"/>
                      <w:sz w:val="21"/>
                      <w:szCs w:val="24"/>
                      <w:lang w:val="en-US" w:eastAsia="zh-CN" w:bidi="ar-SA"/>
                    </w:rPr>
                    <w:t>6.持续完善区域750千伏骨干网架建设。加快推进区域750千伏骨干网架建设，持续提升电网资源优化配置能力，在保证电网安全稳定运行和电力可靠供应基础上，保障企业冬季使用网电进行生产，实现冬季煤炭消费空间置换。热电联产企业冬季严格实行“以热定电”。有自备电厂的企业冬季最大限度使用网电进行生产，减少自备电厂煤炭消费量和污染物排放量。</w:t>
                  </w:r>
                </w:p>
              </w:tc>
              <w:tc>
                <w:tcPr>
                  <w:tcW w:w="1309" w:type="pct"/>
                  <w:vMerge w:val="continue"/>
                  <w:tcBorders>
                    <w:tl2br w:val="nil"/>
                    <w:tr2bl w:val="nil"/>
                  </w:tcBorders>
                  <w:noWrap w:val="0"/>
                  <w:vAlign w:val="center"/>
                </w:tcPr>
                <w:p w14:paraId="11957A2B">
                  <w:pPr>
                    <w:keepNext w:val="0"/>
                    <w:keepLines w:val="0"/>
                    <w:pageBreakBefore w:val="0"/>
                    <w:kinsoku/>
                    <w:wordWrap/>
                    <w:overflowPunct/>
                    <w:topLinePunct w:val="0"/>
                    <w:autoSpaceDE/>
                    <w:autoSpaceDN/>
                    <w:bidi w:val="0"/>
                    <w:adjustRightInd/>
                    <w:spacing w:line="240" w:lineRule="auto"/>
                    <w:ind w:left="0" w:right="0" w:firstLine="0"/>
                    <w:jc w:val="center"/>
                    <w:textAlignment w:val="auto"/>
                    <w:rPr>
                      <w:rFonts w:hint="default" w:ascii="Times New Roman" w:hAnsi="Times New Roman" w:cs="Times New Roman"/>
                      <w:color w:val="auto"/>
                      <w:lang w:val="en-US" w:eastAsia="zh-CN"/>
                    </w:rPr>
                  </w:pPr>
                </w:p>
              </w:tc>
              <w:tc>
                <w:tcPr>
                  <w:tcW w:w="393" w:type="pct"/>
                  <w:tcBorders>
                    <w:tl2br w:val="nil"/>
                    <w:tr2bl w:val="nil"/>
                  </w:tcBorders>
                  <w:noWrap w:val="0"/>
                  <w:vAlign w:val="center"/>
                </w:tcPr>
                <w:p w14:paraId="3E177718">
                  <w:pPr>
                    <w:autoSpaceDE w:val="0"/>
                    <w:autoSpaceDN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0B7776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556" w:type="pct"/>
                  <w:vMerge w:val="restart"/>
                  <w:tcBorders>
                    <w:top w:val="single" w:color="auto" w:sz="4" w:space="0"/>
                    <w:tl2br w:val="nil"/>
                    <w:tr2bl w:val="nil"/>
                  </w:tcBorders>
                  <w:noWrap w:val="0"/>
                  <w:vAlign w:val="center"/>
                </w:tcPr>
                <w:p w14:paraId="55CCA864">
                  <w:pPr>
                    <w:autoSpaceDE w:val="0"/>
                    <w:autoSpaceDN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四</w:t>
                  </w:r>
                  <w:r>
                    <w:rPr>
                      <w:rFonts w:hint="default" w:ascii="Times New Roman" w:hAnsi="Times New Roman" w:cs="Times New Roman"/>
                      <w:color w:val="auto"/>
                      <w:lang w:eastAsia="zh-CN"/>
                    </w:rPr>
                    <w:t>）</w:t>
                  </w:r>
                  <w:r>
                    <w:rPr>
                      <w:rFonts w:hint="default" w:ascii="Times New Roman" w:hAnsi="Times New Roman" w:cs="Times New Roman"/>
                      <w:color w:val="auto"/>
                    </w:rPr>
                    <w:t>加强工业源污染深度治理，有效降低排放强度</w:t>
                  </w:r>
                </w:p>
              </w:tc>
              <w:tc>
                <w:tcPr>
                  <w:tcW w:w="2739" w:type="pct"/>
                  <w:tcBorders>
                    <w:tl2br w:val="nil"/>
                    <w:tr2bl w:val="nil"/>
                  </w:tcBorders>
                  <w:noWrap w:val="0"/>
                  <w:vAlign w:val="center"/>
                </w:tcPr>
                <w:p w14:paraId="2E1214A5">
                  <w:pPr>
                    <w:autoSpaceDE w:val="0"/>
                    <w:autoSpaceDN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rPr>
                    <w:t>13.持续推进重点行业污染深度治理。继续推进排放总量在100吨以上的135家企业完成2024—2025年“一企一策”污染治理措施，同时增加区域内污染物排放总量在50—100吨的20家企业制定2024—2025年“一企一策”污染治理方案，选择成熟稳定的高效废气治理技术，明确污染物减排措施和完成时限，实现四项污染物减排约0.1万吨。完成钢铁行业、铸造行业</w:t>
                  </w:r>
                  <w:r>
                    <w:rPr>
                      <w:rFonts w:hint="eastAsia" w:cs="Times New Roman"/>
                      <w:color w:val="auto"/>
                      <w:lang w:eastAsia="zh-CN"/>
                    </w:rPr>
                    <w:t>（</w:t>
                  </w:r>
                  <w:r>
                    <w:rPr>
                      <w:rFonts w:hint="default" w:ascii="Times New Roman" w:hAnsi="Times New Roman" w:cs="Times New Roman"/>
                      <w:color w:val="auto"/>
                    </w:rPr>
                    <w:t>包含烧结、球团、高炉炼铁等工艺</w:t>
                  </w:r>
                  <w:r>
                    <w:rPr>
                      <w:rFonts w:hint="eastAsia" w:cs="Times New Roman"/>
                      <w:color w:val="auto"/>
                      <w:lang w:eastAsia="zh-CN"/>
                    </w:rPr>
                    <w:t>）</w:t>
                  </w:r>
                  <w:r>
                    <w:rPr>
                      <w:rFonts w:hint="default" w:ascii="Times New Roman" w:hAnsi="Times New Roman" w:cs="Times New Roman"/>
                      <w:color w:val="auto"/>
                    </w:rPr>
                    <w:t>超低排放改造。完成焦化、水泥行业超低排放改造主体设施建设。实施污染物无组织排放全流程控制和收集处理，实现厂区内无可见烟粉尘及明显异味。全面开展低效失效大气污染治理设施排查整治工作。</w:t>
                  </w:r>
                </w:p>
              </w:tc>
              <w:tc>
                <w:tcPr>
                  <w:tcW w:w="1309" w:type="pct"/>
                  <w:tcBorders>
                    <w:tl2br w:val="nil"/>
                    <w:tr2bl w:val="nil"/>
                  </w:tcBorders>
                  <w:noWrap w:val="0"/>
                  <w:vAlign w:val="center"/>
                </w:tcPr>
                <w:p w14:paraId="405D11A1">
                  <w:pPr>
                    <w:autoSpaceDE w:val="0"/>
                    <w:autoSpaceDN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本项目建成后制定</w:t>
                  </w:r>
                  <w:r>
                    <w:rPr>
                      <w:rFonts w:hint="default" w:ascii="Times New Roman" w:hAnsi="Times New Roman" w:cs="Times New Roman"/>
                      <w:color w:val="auto"/>
                    </w:rPr>
                    <w:t>“一企一策”污染治理方案</w:t>
                  </w:r>
                </w:p>
              </w:tc>
              <w:tc>
                <w:tcPr>
                  <w:tcW w:w="393" w:type="pct"/>
                  <w:tcBorders>
                    <w:tl2br w:val="nil"/>
                    <w:tr2bl w:val="nil"/>
                  </w:tcBorders>
                  <w:noWrap w:val="0"/>
                  <w:vAlign w:val="center"/>
                </w:tcPr>
                <w:p w14:paraId="72BC717E">
                  <w:pPr>
                    <w:autoSpaceDE w:val="0"/>
                    <w:autoSpaceDN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02D780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90" w:hRule="atLeast"/>
              </w:trPr>
              <w:tc>
                <w:tcPr>
                  <w:tcW w:w="556" w:type="pct"/>
                  <w:vMerge w:val="continue"/>
                  <w:tcBorders>
                    <w:tl2br w:val="nil"/>
                    <w:tr2bl w:val="nil"/>
                  </w:tcBorders>
                  <w:noWrap w:val="0"/>
                  <w:vAlign w:val="center"/>
                </w:tcPr>
                <w:p w14:paraId="50B6AB1D">
                  <w:pPr>
                    <w:autoSpaceDE w:val="0"/>
                    <w:autoSpaceDN w:val="0"/>
                    <w:bidi w:val="0"/>
                    <w:jc w:val="center"/>
                    <w:rPr>
                      <w:rFonts w:hint="default" w:ascii="Times New Roman" w:hAnsi="Times New Roman" w:cs="Times New Roman"/>
                      <w:color w:val="auto"/>
                      <w:lang w:val="en-US" w:eastAsia="zh-CN"/>
                    </w:rPr>
                  </w:pPr>
                </w:p>
              </w:tc>
              <w:tc>
                <w:tcPr>
                  <w:tcW w:w="2739" w:type="pct"/>
                  <w:tcBorders>
                    <w:tl2br w:val="nil"/>
                    <w:tr2bl w:val="nil"/>
                  </w:tcBorders>
                  <w:noWrap w:val="0"/>
                  <w:vAlign w:val="center"/>
                </w:tcPr>
                <w:p w14:paraId="1FA047A8">
                  <w:pPr>
                    <w:autoSpaceDE w:val="0"/>
                    <w:autoSpaceDN w:val="0"/>
                    <w:bidi w:val="0"/>
                    <w:jc w:val="center"/>
                    <w:rPr>
                      <w:rFonts w:hint="default" w:ascii="Times New Roman" w:hAnsi="Times New Roman" w:cs="Times New Roman"/>
                      <w:color w:val="auto"/>
                    </w:rPr>
                  </w:pPr>
                  <w:r>
                    <w:rPr>
                      <w:rFonts w:hint="default" w:ascii="Times New Roman" w:hAnsi="Times New Roman" w:cs="Times New Roman"/>
                      <w:color w:val="auto"/>
                    </w:rPr>
                    <w:t>14.强化挥发性有机物和氮氧化物综合治理。优化含VOCs原辅材料和产品结构，加快推进含VOCs原辅材料源头替代，推广使用低</w:t>
                  </w:r>
                  <w:r>
                    <w:rPr>
                      <w:rFonts w:hint="eastAsia" w:cs="Times New Roman"/>
                      <w:color w:val="auto"/>
                      <w:lang w:eastAsia="zh-CN"/>
                    </w:rPr>
                    <w:t>（</w:t>
                  </w:r>
                  <w:r>
                    <w:rPr>
                      <w:rFonts w:hint="default" w:ascii="Times New Roman" w:hAnsi="Times New Roman" w:cs="Times New Roman"/>
                      <w:color w:val="auto"/>
                    </w:rPr>
                    <w:t>无</w:t>
                  </w:r>
                  <w:r>
                    <w:rPr>
                      <w:rFonts w:hint="eastAsia" w:cs="Times New Roman"/>
                      <w:color w:val="auto"/>
                      <w:lang w:eastAsia="zh-CN"/>
                    </w:rPr>
                    <w:t>）</w:t>
                  </w:r>
                  <w:r>
                    <w:rPr>
                      <w:rFonts w:hint="default" w:ascii="Times New Roman" w:hAnsi="Times New Roman" w:cs="Times New Roman"/>
                      <w:color w:val="auto"/>
                    </w:rPr>
                    <w:t>VOCs含量涂料，严格执行VOCs含量限值标准。完善臭氧和VOCs监测体系，加强涉VOCs重点工业园区、产业集群和企业环境VOCs监测，定期开展密封性检测。强化石化、化工、工业涂装、包装印刷等重点行业及油品储运销</w:t>
                  </w:r>
                  <w:r>
                    <w:rPr>
                      <w:rFonts w:hint="eastAsia" w:cs="Times New Roman"/>
                      <w:color w:val="auto"/>
                      <w:lang w:eastAsia="zh-CN"/>
                    </w:rPr>
                    <w:t>（</w:t>
                  </w:r>
                  <w:r>
                    <w:rPr>
                      <w:rFonts w:hint="default" w:ascii="Times New Roman" w:hAnsi="Times New Roman" w:cs="Times New Roman"/>
                      <w:color w:val="auto"/>
                    </w:rPr>
                    <w:t>储罐</w:t>
                  </w:r>
                  <w:r>
                    <w:rPr>
                      <w:rFonts w:hint="eastAsia" w:cs="Times New Roman"/>
                      <w:color w:val="auto"/>
                      <w:lang w:eastAsia="zh-CN"/>
                    </w:rPr>
                    <w:t>）</w:t>
                  </w:r>
                  <w:r>
                    <w:rPr>
                      <w:rFonts w:hint="default" w:ascii="Times New Roman" w:hAnsi="Times New Roman" w:cs="Times New Roman"/>
                      <w:color w:val="auto"/>
                    </w:rPr>
                    <w:t>VOCs深度治理。加大锅炉、炉窑、移动源氮氧化物减排力度。精准有效开展6—9月重点时段臭氧污染防治。加强氮肥、纯碱等行业大气氨排放治理、工业源烟气脱硫脱硝氨逃逸防控。</w:t>
                  </w:r>
                </w:p>
              </w:tc>
              <w:tc>
                <w:tcPr>
                  <w:tcW w:w="1309" w:type="pct"/>
                  <w:tcBorders>
                    <w:tl2br w:val="nil"/>
                    <w:tr2bl w:val="nil"/>
                  </w:tcBorders>
                  <w:noWrap w:val="0"/>
                  <w:vAlign w:val="center"/>
                </w:tcPr>
                <w:p w14:paraId="75A023C5">
                  <w:pPr>
                    <w:autoSpaceDE w:val="0"/>
                    <w:autoSpaceDN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本项目煤气燃烧烟气经“低氮燃烧器+SCR脱硝（去除效率80</w:t>
                  </w:r>
                </w:p>
                <w:p w14:paraId="260FB877">
                  <w:pPr>
                    <w:autoSpaceDE w:val="0"/>
                    <w:autoSpaceDN w:val="0"/>
                    <w:bidi w:val="0"/>
                    <w:jc w:val="both"/>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w:t>
                  </w:r>
                  <w:r>
                    <w:rPr>
                      <w:rFonts w:hint="default" w:ascii="Times New Roman" w:hAnsi="Times New Roman" w:eastAsia="宋体" w:cs="Times New Roman"/>
                      <w:i w:val="0"/>
                      <w:iCs w:val="0"/>
                      <w:color w:val="auto"/>
                      <w:kern w:val="0"/>
                      <w:sz w:val="21"/>
                      <w:szCs w:val="21"/>
                      <w:u w:val="none"/>
                      <w:lang w:val="en-US" w:eastAsia="zh-CN" w:bidi="ar"/>
                    </w:rPr>
                    <w:t>石灰（石）-石膏湿法脱硫+高效除雾器协同除尘+湿式电除尘器</w:t>
                  </w:r>
                  <w:r>
                    <w:rPr>
                      <w:rFonts w:hint="default" w:ascii="Times New Roman" w:hAnsi="Times New Roman" w:cs="Times New Roman"/>
                      <w:color w:val="auto"/>
                      <w:lang w:val="en-US" w:eastAsia="zh-CN"/>
                    </w:rPr>
                    <w:t>（二氧化硫去除效率95%，颗粒物去除效率95%）设施”处理后，</w:t>
                  </w:r>
                  <w:r>
                    <w:rPr>
                      <w:rFonts w:hint="eastAsia" w:cs="Times New Roman"/>
                      <w:color w:val="auto"/>
                      <w:lang w:val="en-US" w:eastAsia="zh-CN"/>
                    </w:rPr>
                    <w:t>通过</w:t>
                  </w:r>
                  <w:r>
                    <w:rPr>
                      <w:rFonts w:hint="default" w:ascii="Times New Roman" w:hAnsi="Times New Roman" w:cs="Times New Roman"/>
                      <w:color w:val="auto"/>
                      <w:lang w:val="en-US" w:eastAsia="zh-CN"/>
                    </w:rPr>
                    <w:t>60m高排气筒（DA001）排放至大气环境中，并安装在线监测系统（CEMS）</w:t>
                  </w:r>
                </w:p>
              </w:tc>
              <w:tc>
                <w:tcPr>
                  <w:tcW w:w="393" w:type="pct"/>
                  <w:tcBorders>
                    <w:tl2br w:val="nil"/>
                    <w:tr2bl w:val="nil"/>
                  </w:tcBorders>
                  <w:noWrap w:val="0"/>
                  <w:vAlign w:val="center"/>
                </w:tcPr>
                <w:p w14:paraId="4A6E3D6A">
                  <w:pPr>
                    <w:autoSpaceDE w:val="0"/>
                    <w:autoSpaceDN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4ACCC8E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556" w:type="pct"/>
                  <w:vMerge w:val="continue"/>
                  <w:tcBorders>
                    <w:tl2br w:val="nil"/>
                    <w:tr2bl w:val="nil"/>
                  </w:tcBorders>
                  <w:noWrap w:val="0"/>
                  <w:vAlign w:val="center"/>
                </w:tcPr>
                <w:p w14:paraId="45312D51">
                  <w:pPr>
                    <w:autoSpaceDE w:val="0"/>
                    <w:autoSpaceDN w:val="0"/>
                    <w:bidi w:val="0"/>
                    <w:jc w:val="center"/>
                    <w:rPr>
                      <w:rFonts w:hint="default" w:ascii="Times New Roman" w:hAnsi="Times New Roman" w:cs="Times New Roman"/>
                      <w:color w:val="auto"/>
                      <w:lang w:val="en-US" w:eastAsia="zh-CN"/>
                    </w:rPr>
                  </w:pPr>
                </w:p>
              </w:tc>
              <w:tc>
                <w:tcPr>
                  <w:tcW w:w="2739" w:type="pct"/>
                  <w:tcBorders>
                    <w:tl2br w:val="nil"/>
                    <w:tr2bl w:val="nil"/>
                  </w:tcBorders>
                  <w:noWrap w:val="0"/>
                  <w:vAlign w:val="center"/>
                </w:tcPr>
                <w:p w14:paraId="6992EBAF">
                  <w:pPr>
                    <w:autoSpaceDE w:val="0"/>
                    <w:autoSpaceDN w:val="0"/>
                    <w:bidi w:val="0"/>
                    <w:jc w:val="center"/>
                    <w:rPr>
                      <w:rFonts w:hint="default" w:ascii="Times New Roman" w:hAnsi="Times New Roman" w:cs="Times New Roman"/>
                      <w:color w:val="auto"/>
                    </w:rPr>
                  </w:pPr>
                  <w:r>
                    <w:rPr>
                      <w:rFonts w:hint="default" w:ascii="Times New Roman" w:hAnsi="Times New Roman" w:cs="Times New Roman"/>
                      <w:color w:val="auto"/>
                    </w:rPr>
                    <w:t>15.持续开展燃煤锅炉和工业炉窑分类整治。加快实施煤电机组“三改联动”,推进煤电“以大代小”“以新换旧”替代建设。加快煤电机组由主体电源向基础性和调节性电源转型。加快热力管网建设，充分发挥30万千瓦及以上热电联产电厂的供热能力，加大热力管网建设，对其供热半径15公里范围内的燃煤锅炉和落后燃煤小热电机组</w:t>
                  </w:r>
                  <w:r>
                    <w:rPr>
                      <w:rFonts w:hint="eastAsia" w:cs="Times New Roman"/>
                      <w:color w:val="auto"/>
                      <w:lang w:eastAsia="zh-CN"/>
                    </w:rPr>
                    <w:t>（</w:t>
                  </w:r>
                  <w:r>
                    <w:rPr>
                      <w:rFonts w:hint="default" w:ascii="Times New Roman" w:hAnsi="Times New Roman" w:cs="Times New Roman"/>
                      <w:color w:val="auto"/>
                    </w:rPr>
                    <w:t>含自备电厂</w:t>
                  </w:r>
                  <w:r>
                    <w:rPr>
                      <w:rFonts w:hint="eastAsia" w:cs="Times New Roman"/>
                      <w:color w:val="auto"/>
                      <w:lang w:eastAsia="zh-CN"/>
                    </w:rPr>
                    <w:t>）</w:t>
                  </w:r>
                  <w:r>
                    <w:rPr>
                      <w:rFonts w:hint="default" w:ascii="Times New Roman" w:hAnsi="Times New Roman" w:cs="Times New Roman"/>
                      <w:color w:val="auto"/>
                    </w:rPr>
                    <w:t>进行关停或整合。2025年底前完成17家企业、38台燃煤机组“三改联动”。</w:t>
                  </w:r>
                </w:p>
              </w:tc>
              <w:tc>
                <w:tcPr>
                  <w:tcW w:w="1309" w:type="pct"/>
                  <w:tcBorders>
                    <w:tl2br w:val="nil"/>
                    <w:tr2bl w:val="nil"/>
                  </w:tcBorders>
                  <w:noWrap w:val="0"/>
                  <w:vAlign w:val="center"/>
                </w:tcPr>
                <w:p w14:paraId="19E80CD7">
                  <w:pPr>
                    <w:autoSpaceDE w:val="0"/>
                    <w:autoSpaceDN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本项目依托吉木萨尔县恒信煤炭制品工贸有限公司120万吨煤制品深加工升级改造项目的富余煤气资源建设发电系统</w:t>
                  </w:r>
                  <w:r>
                    <w:rPr>
                      <w:rFonts w:hint="eastAsia" w:cs="Times New Roman"/>
                      <w:color w:val="auto"/>
                      <w:lang w:val="en-US" w:eastAsia="zh-CN"/>
                    </w:rPr>
                    <w:t>。</w:t>
                  </w:r>
                </w:p>
                <w:p w14:paraId="799CEEBC">
                  <w:pPr>
                    <w:autoSpaceDE w:val="0"/>
                    <w:autoSpaceDN w:val="0"/>
                    <w:bidi w:val="0"/>
                    <w:jc w:val="center"/>
                    <w:rPr>
                      <w:rFonts w:hint="default" w:ascii="Times New Roman" w:hAnsi="Times New Roman" w:cs="Times New Roman"/>
                      <w:color w:val="auto"/>
                      <w:lang w:val="en-US" w:eastAsia="zh-CN"/>
                    </w:rPr>
                  </w:pPr>
                </w:p>
              </w:tc>
              <w:tc>
                <w:tcPr>
                  <w:tcW w:w="393" w:type="pct"/>
                  <w:tcBorders>
                    <w:tl2br w:val="nil"/>
                    <w:tr2bl w:val="nil"/>
                  </w:tcBorders>
                  <w:noWrap w:val="0"/>
                  <w:vAlign w:val="center"/>
                </w:tcPr>
                <w:p w14:paraId="4EAED9F9">
                  <w:pPr>
                    <w:autoSpaceDE w:val="0"/>
                    <w:autoSpaceDN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761E32B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1846" w:hRule="atLeast"/>
              </w:trPr>
              <w:tc>
                <w:tcPr>
                  <w:tcW w:w="556" w:type="pct"/>
                  <w:vMerge w:val="continue"/>
                  <w:tcBorders>
                    <w:tl2br w:val="nil"/>
                    <w:tr2bl w:val="nil"/>
                  </w:tcBorders>
                  <w:noWrap w:val="0"/>
                  <w:vAlign w:val="center"/>
                </w:tcPr>
                <w:p w14:paraId="539777FE">
                  <w:pPr>
                    <w:autoSpaceDE w:val="0"/>
                    <w:autoSpaceDN w:val="0"/>
                    <w:bidi w:val="0"/>
                    <w:jc w:val="center"/>
                    <w:rPr>
                      <w:rFonts w:hint="default" w:ascii="Times New Roman" w:hAnsi="Times New Roman" w:cs="Times New Roman"/>
                      <w:color w:val="auto"/>
                      <w:lang w:val="en-US" w:eastAsia="zh-CN"/>
                    </w:rPr>
                  </w:pPr>
                </w:p>
              </w:tc>
              <w:tc>
                <w:tcPr>
                  <w:tcW w:w="2739" w:type="pct"/>
                  <w:tcBorders>
                    <w:tl2br w:val="nil"/>
                    <w:tr2bl w:val="nil"/>
                  </w:tcBorders>
                  <w:noWrap w:val="0"/>
                  <w:vAlign w:val="center"/>
                </w:tcPr>
                <w:p w14:paraId="6165BA7F">
                  <w:pPr>
                    <w:autoSpaceDE w:val="0"/>
                    <w:autoSpaceDN w:val="0"/>
                    <w:bidi w:val="0"/>
                    <w:jc w:val="center"/>
                    <w:rPr>
                      <w:rFonts w:hint="default" w:ascii="Times New Roman" w:hAnsi="Times New Roman" w:cs="Times New Roman"/>
                      <w:color w:val="auto"/>
                    </w:rPr>
                  </w:pPr>
                  <w:r>
                    <w:rPr>
                      <w:rFonts w:hint="default" w:ascii="Times New Roman" w:hAnsi="Times New Roman" w:cs="Times New Roman"/>
                      <w:color w:val="auto"/>
                    </w:rPr>
                    <w:t>16.持续强化扬尘污染综合管控。加强施工扬尘动态化、精细化管理，强化土石方作业、渣土运输扬尘问题的监管，增加作业车辆和机械冲洗频次，严禁带泥上路行驶。将防治扬尘污染费用纳入工程造价，3000平方米及以上建筑工地安装视频监控并接入当地监管平台，道路、水务等长距离线性工程实行分段施工。强化道路扬尘综合整治，加大机械化清扫与保洁力度，建成区道路机械化清扫率达80%以上。加强城市及周边裸露地面、物料堆场等易产尘区域抑尘管理，提升扬尘污染精细化管理水平。</w:t>
                  </w:r>
                </w:p>
              </w:tc>
              <w:tc>
                <w:tcPr>
                  <w:tcW w:w="1309" w:type="pct"/>
                  <w:tcBorders>
                    <w:tl2br w:val="nil"/>
                    <w:tr2bl w:val="nil"/>
                  </w:tcBorders>
                  <w:noWrap w:val="0"/>
                  <w:vAlign w:val="center"/>
                </w:tcPr>
                <w:p w14:paraId="2102C684">
                  <w:pPr>
                    <w:autoSpaceDE w:val="0"/>
                    <w:autoSpaceDN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本项目占地面积为</w:t>
                  </w:r>
                  <w:r>
                    <w:rPr>
                      <w:rFonts w:hint="eastAsia" w:cs="Times New Roman"/>
                      <w:color w:val="auto"/>
                      <w:lang w:val="en-US" w:eastAsia="zh-CN"/>
                    </w:rPr>
                    <w:t>12700</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2</w:t>
                  </w:r>
                  <w:r>
                    <w:rPr>
                      <w:rFonts w:hint="default" w:ascii="Times New Roman" w:hAnsi="Times New Roman" w:cs="Times New Roman"/>
                      <w:color w:val="auto"/>
                      <w:lang w:val="en-US" w:eastAsia="zh-CN"/>
                    </w:rPr>
                    <w:t>，</w:t>
                  </w:r>
                  <w:r>
                    <w:rPr>
                      <w:rFonts w:hint="default" w:ascii="Times New Roman" w:hAnsi="Times New Roman" w:cs="Times New Roman"/>
                      <w:color w:val="auto"/>
                    </w:rPr>
                    <w:t>建筑工地安装视频监控并接入当地监管平台</w:t>
                  </w: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施工场地严格落实“六个百分百”要求，并将扬尘污染防治费用纳入工程造价中。</w:t>
                  </w:r>
                </w:p>
              </w:tc>
              <w:tc>
                <w:tcPr>
                  <w:tcW w:w="393" w:type="pct"/>
                  <w:tcBorders>
                    <w:tl2br w:val="nil"/>
                    <w:tr2bl w:val="nil"/>
                  </w:tcBorders>
                  <w:noWrap w:val="0"/>
                  <w:vAlign w:val="center"/>
                </w:tcPr>
                <w:p w14:paraId="18884E4C">
                  <w:pPr>
                    <w:autoSpaceDE w:val="0"/>
                    <w:autoSpaceDN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r w14:paraId="1E01D8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7" w:hRule="atLeast"/>
              </w:trPr>
              <w:tc>
                <w:tcPr>
                  <w:tcW w:w="556" w:type="pct"/>
                  <w:tcBorders>
                    <w:tl2br w:val="nil"/>
                    <w:tr2bl w:val="nil"/>
                  </w:tcBorders>
                  <w:noWrap w:val="0"/>
                  <w:vAlign w:val="center"/>
                </w:tcPr>
                <w:p w14:paraId="7C4E9068">
                  <w:pPr>
                    <w:autoSpaceDE w:val="0"/>
                    <w:autoSpaceDN w:val="0"/>
                    <w:bidi w:val="0"/>
                    <w:jc w:val="center"/>
                    <w:rPr>
                      <w:rFonts w:hint="default" w:ascii="Times New Roman" w:hAnsi="Times New Roman" w:cs="Times New Roman"/>
                      <w:color w:val="auto"/>
                    </w:rPr>
                  </w:pPr>
                  <w:r>
                    <w:rPr>
                      <w:rFonts w:hint="default" w:ascii="Times New Roman" w:hAnsi="Times New Roman" w:cs="Times New Roman"/>
                      <w:color w:val="auto"/>
                      <w:lang w:eastAsia="zh-CN"/>
                    </w:rPr>
                    <w:t>（</w:t>
                  </w:r>
                  <w:r>
                    <w:rPr>
                      <w:rFonts w:hint="default" w:ascii="Times New Roman" w:hAnsi="Times New Roman" w:cs="Times New Roman"/>
                      <w:color w:val="auto"/>
                      <w:lang w:val="en-US" w:eastAsia="zh-CN"/>
                    </w:rPr>
                    <w:t>六</w:t>
                  </w:r>
                  <w:r>
                    <w:rPr>
                      <w:rFonts w:hint="default" w:ascii="Times New Roman" w:hAnsi="Times New Roman" w:cs="Times New Roman"/>
                      <w:color w:val="auto"/>
                      <w:lang w:eastAsia="zh-CN"/>
                    </w:rPr>
                    <w:t>）</w:t>
                  </w:r>
                  <w:r>
                    <w:rPr>
                      <w:rFonts w:hint="default" w:ascii="Times New Roman" w:hAnsi="Times New Roman" w:cs="Times New Roman"/>
                      <w:color w:val="auto"/>
                    </w:rPr>
                    <w:t>加强机制建设，做好重污染天气联合应对行动</w:t>
                  </w:r>
                </w:p>
                <w:p w14:paraId="1522AFF6">
                  <w:pPr>
                    <w:autoSpaceDE w:val="0"/>
                    <w:autoSpaceDN w:val="0"/>
                    <w:bidi w:val="0"/>
                    <w:jc w:val="center"/>
                    <w:rPr>
                      <w:rFonts w:hint="default" w:ascii="Times New Roman" w:hAnsi="Times New Roman" w:cs="Times New Roman"/>
                      <w:color w:val="auto"/>
                      <w:lang w:val="en-US" w:eastAsia="zh-CN"/>
                    </w:rPr>
                  </w:pPr>
                </w:p>
              </w:tc>
              <w:tc>
                <w:tcPr>
                  <w:tcW w:w="2739" w:type="pct"/>
                  <w:tcBorders>
                    <w:tl2br w:val="nil"/>
                    <w:tr2bl w:val="nil"/>
                  </w:tcBorders>
                  <w:noWrap w:val="0"/>
                  <w:vAlign w:val="center"/>
                </w:tcPr>
                <w:p w14:paraId="6DA01F97">
                  <w:pPr>
                    <w:autoSpaceDE w:val="0"/>
                    <w:autoSpaceDN w:val="0"/>
                    <w:bidi w:val="0"/>
                    <w:jc w:val="center"/>
                    <w:rPr>
                      <w:rFonts w:hint="default" w:ascii="Times New Roman" w:hAnsi="Times New Roman" w:cs="Times New Roman"/>
                      <w:color w:val="auto"/>
                    </w:rPr>
                  </w:pPr>
                  <w:r>
                    <w:rPr>
                      <w:rFonts w:hint="default" w:ascii="Times New Roman" w:hAnsi="Times New Roman" w:cs="Times New Roman"/>
                      <w:color w:val="auto"/>
                    </w:rPr>
                    <w:t>21.完善重污染天气应急机制。规范重污染天气应对工作流程，落实气象、生态环境等多部门适时研判会商机制，强化信息沟通、数据共享、联合分析、共同研判、预警发布，提升重污染天气预测预报水平，实现5—7天动态精准预报，根据实际情况适当提前启动重污染天气应急响应。各地根据区域预警信息、本地预测预报结果和预警启动条件，及时启动和解除预警，公开重污染天气预警信息，接受全社会监督。严格落实各地属地责任、部门监管责任、企业主体责任，有效应对重污染天气。</w:t>
                  </w:r>
                </w:p>
              </w:tc>
              <w:tc>
                <w:tcPr>
                  <w:tcW w:w="1309" w:type="pct"/>
                  <w:tcBorders>
                    <w:tl2br w:val="nil"/>
                    <w:tr2bl w:val="nil"/>
                  </w:tcBorders>
                  <w:noWrap w:val="0"/>
                  <w:vAlign w:val="center"/>
                </w:tcPr>
                <w:p w14:paraId="5F90B770">
                  <w:pPr>
                    <w:autoSpaceDE w:val="0"/>
                    <w:autoSpaceDN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本项目建成后积极响应</w:t>
                  </w:r>
                  <w:r>
                    <w:rPr>
                      <w:rFonts w:hint="default" w:ascii="Times New Roman" w:hAnsi="Times New Roman" w:cs="Times New Roman"/>
                      <w:color w:val="auto"/>
                    </w:rPr>
                    <w:t>重污染天气应急机制</w:t>
                  </w:r>
                </w:p>
              </w:tc>
              <w:tc>
                <w:tcPr>
                  <w:tcW w:w="393" w:type="pct"/>
                  <w:tcBorders>
                    <w:tl2br w:val="nil"/>
                    <w:tr2bl w:val="nil"/>
                  </w:tcBorders>
                  <w:noWrap w:val="0"/>
                  <w:vAlign w:val="center"/>
                </w:tcPr>
                <w:p w14:paraId="4CC80FC8">
                  <w:pPr>
                    <w:autoSpaceDE w:val="0"/>
                    <w:autoSpaceDN w:val="0"/>
                    <w:bidi w:val="0"/>
                    <w:jc w:val="center"/>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符合</w:t>
                  </w:r>
                </w:p>
              </w:tc>
            </w:tr>
          </w:tbl>
          <w:p w14:paraId="13A37BAE">
            <w:pPr>
              <w:rPr>
                <w:rFonts w:hint="default" w:ascii="Times New Roman" w:hAnsi="Times New Roman" w:cs="Times New Roman"/>
                <w:color w:val="auto"/>
                <w:lang w:val="en-US" w:eastAsia="zh-CN"/>
              </w:rPr>
            </w:pPr>
          </w:p>
        </w:tc>
      </w:tr>
    </w:tbl>
    <w:p w14:paraId="0E7494C4">
      <w:pPr>
        <w:bidi w:val="0"/>
        <w:rPr>
          <w:rFonts w:hint="default" w:ascii="Times New Roman" w:hAnsi="Times New Roman" w:cs="Times New Roman"/>
          <w:color w:val="auto"/>
        </w:rPr>
      </w:pPr>
      <w:bookmarkStart w:id="5" w:name="_Toc32761"/>
    </w:p>
    <w:p w14:paraId="42DC6A6D">
      <w:pPr>
        <w:pStyle w:val="28"/>
        <w:jc w:val="center"/>
        <w:outlineLvl w:val="0"/>
        <w:rPr>
          <w:rFonts w:hint="default" w:ascii="Times New Roman" w:hAnsi="Times New Roman" w:eastAsia="黑体" w:cs="Times New Roman"/>
          <w:snapToGrid w:val="0"/>
          <w:color w:val="auto"/>
          <w:sz w:val="30"/>
          <w:szCs w:val="30"/>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51DEFEB3">
      <w:pPr>
        <w:pStyle w:val="28"/>
        <w:jc w:val="center"/>
        <w:outlineLvl w:val="0"/>
        <w:rPr>
          <w:rFonts w:hint="default" w:ascii="Times New Roman" w:hAnsi="Times New Roman" w:cs="Times New Roman"/>
          <w:color w:val="auto"/>
        </w:rPr>
      </w:pPr>
      <w:bookmarkStart w:id="6" w:name="_Toc28640"/>
      <w:r>
        <w:rPr>
          <w:rFonts w:hint="default" w:ascii="Times New Roman" w:hAnsi="Times New Roman" w:eastAsia="黑体" w:cs="Times New Roman"/>
          <w:snapToGrid w:val="0"/>
          <w:color w:val="auto"/>
          <w:sz w:val="30"/>
          <w:szCs w:val="30"/>
        </w:rPr>
        <w:t>二、建设项目工程分析</w:t>
      </w:r>
    </w:p>
    <w:tbl>
      <w:tblPr>
        <w:tblStyle w:val="32"/>
        <w:tblW w:w="856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57" w:type="dxa"/>
          <w:left w:w="57" w:type="dxa"/>
          <w:bottom w:w="57" w:type="dxa"/>
          <w:right w:w="57" w:type="dxa"/>
        </w:tblCellMar>
      </w:tblPr>
      <w:tblGrid>
        <w:gridCol w:w="796"/>
        <w:gridCol w:w="7770"/>
      </w:tblGrid>
      <w:tr w14:paraId="6AFAEA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0" w:hRule="atLeast"/>
          <w:jc w:val="center"/>
        </w:trPr>
        <w:tc>
          <w:tcPr>
            <w:tcW w:w="796" w:type="dxa"/>
            <w:noWrap w:val="0"/>
            <w:vAlign w:val="center"/>
          </w:tcPr>
          <w:p w14:paraId="48EE3F24">
            <w:pPr>
              <w:pStyle w:val="28"/>
              <w:keepNext w:val="0"/>
              <w:keepLines w:val="0"/>
              <w:pageBreakBefore w:val="0"/>
              <w:kinsoku/>
              <w:wordWrap/>
              <w:bidi w:val="0"/>
              <w:adjustRightInd/>
              <w:snapToGrid/>
              <w:spacing w:before="0" w:beforeAutospacing="0" w:after="0" w:afterAutospacing="0"/>
              <w:jc w:val="both"/>
              <w:rPr>
                <w:rFonts w:hint="default" w:ascii="Times New Roman" w:hAnsi="Times New Roman" w:eastAsia="宋体" w:cs="Times New Roman"/>
                <w:color w:val="auto"/>
                <w:sz w:val="24"/>
                <w:szCs w:val="24"/>
              </w:rPr>
            </w:pPr>
          </w:p>
          <w:p w14:paraId="4967543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AD8C4A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CBCE12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5DEADD3">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D3419ED">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9DF4C8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CD6574D">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809B9C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CA24E0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A11F4A5">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D3BD85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3A2CAD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5DC807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58B7909">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AFFA4F6">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8EF87F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15FF683">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7BC0563">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建设内容</w:t>
            </w:r>
          </w:p>
          <w:p w14:paraId="163E0B0A">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C84654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43D8D06">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EF11AC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0D093AA">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A068CA6">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41A45C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EC445D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C5A9E20">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80CA075">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D8634C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6C7FE9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CAAF34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6040180">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497703A">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E4A39C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8ED53F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FC7806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6D32E1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A8693E2">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E81369A">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6593FE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665D54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30CF456">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8A755F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368615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6BE6576">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22D3489">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F4AE3B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84CCA6A">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B3BF1D3">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58D6E1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CD1528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8A238D9">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EB6F70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6DED3A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06F45C9">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530EC95">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9A86E4A">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652BFF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D09E765">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FC516C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02CBCB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3B3B54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8369D8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73EFD0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402BDA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578500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BF2936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784FE1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建设内容</w:t>
            </w:r>
          </w:p>
          <w:p w14:paraId="50BA766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EC9A9F2">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A447389">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531DB00">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3031BF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6C60146">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5B03D1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8D5C749">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0BAF17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23D26C3">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87F39A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17EA77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5E81A70">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89BCFC0">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07D2236">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82D249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BB8A48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C9B52A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AA40E13">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C4DB189">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5B26A9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13BBBDD">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6533070">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9A66E2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6DF948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054F3D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FB7B9B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C284D4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DAAC26A">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D77B8F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0E7B86D">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776395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6E48FA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BF8E8E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F760E80">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128597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DB6AF2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9ADECC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0AA991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54FD1D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806BA45">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0CCEBF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2633A4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2673530">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6C4946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E698560">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A92C17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1E3E3DD">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149BC8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AE2334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2D3C132">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956620A">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C8F806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建设内容</w:t>
            </w:r>
          </w:p>
          <w:p w14:paraId="22C48372">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47117F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32D40B3">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9EA0E0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A64E37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8003283">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375FD9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E00B1A2">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433FCA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FCF6EC9">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B63D8F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6B26075">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73A597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59C9E0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64E9E6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1FE96B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1C4A1D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C517955">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74FE42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297CA6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8C81DD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56237C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5260880">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D15ADF6">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EB730D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F16C7AA">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AAFCB3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8446B52">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EAD4515">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1A4E50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3BA8DE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29B8C8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750F1AD">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19F4680">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F65DEA6">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9FCF86D">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4AA063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9E087E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733B835">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2EB379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6CF9880">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5C14515">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37CB11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F28D90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9E574C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703AB72">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783887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275385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BE65EA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240A2E2">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建设内容</w:t>
            </w:r>
          </w:p>
          <w:p w14:paraId="6A999503">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C93357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E8A7065">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02C5E59">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57796C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7D4A8F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3EB984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A01DBB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4CDD32D">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F602BFD">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7D7FD9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E5E1123">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735A616">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C9875B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3454B6D">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1825CCA">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8D88AC9">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5DDF47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B0F605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C7CD263">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BF0D73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AF54D6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5FE28C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9D9CA1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050FEF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AB39D63">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644D5D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3B097A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032363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846AC5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DD0D615">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2AD883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26331E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84FD96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3204B2A">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71E9EE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lang w:val="en-US" w:eastAsia="zh-CN"/>
              </w:rPr>
            </w:pPr>
          </w:p>
        </w:tc>
        <w:tc>
          <w:tcPr>
            <w:tcW w:w="7770" w:type="dxa"/>
            <w:noWrap w:val="0"/>
            <w:vAlign w:val="top"/>
          </w:tcPr>
          <w:p w14:paraId="413683B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1.项目背景</w:t>
            </w:r>
          </w:p>
          <w:p w14:paraId="5C508F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kern w:val="2"/>
                <w:sz w:val="24"/>
                <w:szCs w:val="24"/>
                <w:lang w:val="en-US" w:eastAsia="zh-CN" w:bidi="ar-SA"/>
              </w:rPr>
            </w:pPr>
            <w:r>
              <w:rPr>
                <w:rFonts w:hint="default" w:ascii="Times New Roman" w:hAnsi="Times New Roman" w:cs="Times New Roman"/>
                <w:color w:val="auto"/>
                <w:kern w:val="2"/>
                <w:sz w:val="24"/>
                <w:szCs w:val="24"/>
                <w:lang w:val="en-US" w:eastAsia="zh-CN" w:bidi="ar-SA"/>
              </w:rPr>
              <w:t>吉木萨尔县恒信煤炭制品工贸有限公司120万吨煤制品深加工升级改造项目</w:t>
            </w:r>
            <w:r>
              <w:rPr>
                <w:rFonts w:hint="default" w:ascii="Times New Roman" w:hAnsi="Times New Roman" w:eastAsia="宋体" w:cs="Times New Roman"/>
                <w:color w:val="auto"/>
                <w:kern w:val="2"/>
                <w:sz w:val="24"/>
                <w:szCs w:val="24"/>
                <w:lang w:val="en-US" w:eastAsia="zh-CN" w:bidi="ar-SA"/>
              </w:rPr>
              <w:t>已于2023年12月取得了由昌吉回族自治州生态环境局出具的《关于吉木萨尔县恒信煤炭制品工贸有限公司120万吨煤制品深加工升级改造项目环境影响报告书的批复》（昌州环评〔2023〕232号）</w:t>
            </w:r>
            <w:r>
              <w:rPr>
                <w:rFonts w:hint="default" w:ascii="Times New Roman" w:hAnsi="Times New Roman" w:cs="Times New Roman"/>
                <w:color w:val="auto"/>
                <w:kern w:val="2"/>
                <w:sz w:val="24"/>
                <w:szCs w:val="24"/>
                <w:lang w:val="en-US" w:eastAsia="zh-CN" w:bidi="ar-SA"/>
              </w:rPr>
              <w:t>（详见附件）</w:t>
            </w:r>
            <w:r>
              <w:rPr>
                <w:rFonts w:hint="default" w:ascii="Times New Roman" w:hAnsi="Times New Roman" w:eastAsia="宋体" w:cs="Times New Roman"/>
                <w:color w:val="auto"/>
                <w:kern w:val="2"/>
                <w:sz w:val="24"/>
                <w:szCs w:val="24"/>
                <w:lang w:val="en-US" w:eastAsia="zh-CN" w:bidi="ar-SA"/>
              </w:rPr>
              <w:t>，并于2024年6月完成备案手续，2025年1月取得节能报告批复。目前，</w:t>
            </w:r>
            <w:r>
              <w:rPr>
                <w:rFonts w:hint="default" w:ascii="Times New Roman" w:hAnsi="Times New Roman" w:cs="Times New Roman"/>
                <w:color w:val="auto"/>
                <w:kern w:val="2"/>
                <w:sz w:val="24"/>
                <w:szCs w:val="24"/>
                <w:lang w:val="en-US" w:eastAsia="zh-CN" w:bidi="ar-SA"/>
              </w:rPr>
              <w:t>该项目正处于建设阶段。根据该项目环评批复关于富余煤气的处置要求，即项目炭化炉炉顶辅助煤箱采用双室双闸给料技术及配套密闭煤气净化系统、设负压收集系统收集溢出的无组织废气进入炭化炉焚烧，炭化炉内产生的二氧化硫、氮氧化物等废气均随项目煤气输送管送至下游企业</w:t>
            </w:r>
            <w:r>
              <w:rPr>
                <w:rFonts w:hint="eastAsia" w:cs="Times New Roman"/>
                <w:color w:val="auto"/>
                <w:kern w:val="2"/>
                <w:sz w:val="24"/>
                <w:szCs w:val="24"/>
                <w:lang w:val="en-US" w:eastAsia="zh-CN" w:bidi="ar-SA"/>
              </w:rPr>
              <w:t>（</w:t>
            </w:r>
            <w:r>
              <w:rPr>
                <w:rFonts w:hint="default" w:ascii="Times New Roman" w:hAnsi="Times New Roman" w:cs="Times New Roman"/>
                <w:color w:val="auto"/>
                <w:kern w:val="2"/>
                <w:sz w:val="24"/>
                <w:szCs w:val="24"/>
                <w:lang w:val="en-US" w:eastAsia="zh-CN" w:bidi="ar-SA"/>
              </w:rPr>
              <w:t>光源发电有限责任公司</w:t>
            </w:r>
            <w:r>
              <w:rPr>
                <w:rFonts w:hint="eastAsia" w:cs="Times New Roman"/>
                <w:color w:val="auto"/>
                <w:kern w:val="2"/>
                <w:sz w:val="24"/>
                <w:szCs w:val="24"/>
                <w:lang w:val="en-US" w:eastAsia="zh-CN" w:bidi="ar-SA"/>
              </w:rPr>
              <w:t>）</w:t>
            </w:r>
            <w:r>
              <w:rPr>
                <w:rFonts w:hint="default" w:ascii="Times New Roman" w:hAnsi="Times New Roman" w:cs="Times New Roman"/>
                <w:color w:val="auto"/>
                <w:kern w:val="2"/>
                <w:sz w:val="24"/>
                <w:szCs w:val="24"/>
                <w:lang w:val="en-US" w:eastAsia="zh-CN" w:bidi="ar-SA"/>
              </w:rPr>
              <w:t>作为燃料使用。</w:t>
            </w:r>
          </w:p>
          <w:p w14:paraId="6C96C9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kern w:val="2"/>
                <w:sz w:val="24"/>
                <w:szCs w:val="24"/>
                <w:lang w:val="en-US" w:eastAsia="zh-CN" w:bidi="ar-SA"/>
              </w:rPr>
            </w:pPr>
            <w:r>
              <w:rPr>
                <w:rFonts w:hint="default" w:ascii="Times New Roman" w:hAnsi="Times New Roman" w:cs="Times New Roman"/>
                <w:color w:val="auto"/>
                <w:kern w:val="2"/>
                <w:sz w:val="24"/>
                <w:szCs w:val="24"/>
                <w:lang w:val="en-US" w:eastAsia="zh-CN" w:bidi="ar-SA"/>
              </w:rPr>
              <w:t>本项目依托吉木萨尔县恒信煤炭制品工贸有限公司120万吨煤制品深加工升级改造项目的富余煤气资源建设发电系统。</w:t>
            </w:r>
            <w:r>
              <w:rPr>
                <w:rFonts w:hint="eastAsia" w:cs="Times New Roman"/>
                <w:color w:val="auto"/>
                <w:kern w:val="2"/>
                <w:sz w:val="24"/>
                <w:szCs w:val="24"/>
                <w:lang w:val="en-US" w:eastAsia="zh-CN" w:bidi="ar-SA"/>
              </w:rPr>
              <w:t>并</w:t>
            </w:r>
            <w:r>
              <w:rPr>
                <w:rFonts w:hint="default" w:ascii="Times New Roman" w:hAnsi="Times New Roman" w:cs="Times New Roman"/>
                <w:color w:val="auto"/>
                <w:spacing w:val="0"/>
                <w:kern w:val="0"/>
                <w:sz w:val="24"/>
                <w:szCs w:val="24"/>
                <w:highlight w:val="none"/>
                <w:lang w:val="en-US" w:eastAsia="zh-CN"/>
              </w:rPr>
              <w:t>配套新建110</w:t>
            </w:r>
            <w:r>
              <w:rPr>
                <w:rFonts w:hint="eastAsia" w:cs="Times New Roman"/>
                <w:color w:val="auto"/>
                <w:spacing w:val="0"/>
                <w:kern w:val="0"/>
                <w:sz w:val="24"/>
                <w:szCs w:val="24"/>
                <w:highlight w:val="none"/>
                <w:lang w:val="en-US" w:eastAsia="zh-CN"/>
              </w:rPr>
              <w:t>kV</w:t>
            </w:r>
            <w:r>
              <w:rPr>
                <w:rFonts w:hint="default" w:ascii="Times New Roman" w:hAnsi="Times New Roman" w:cs="Times New Roman"/>
                <w:color w:val="auto"/>
                <w:spacing w:val="0"/>
                <w:kern w:val="0"/>
                <w:sz w:val="24"/>
                <w:szCs w:val="24"/>
                <w:highlight w:val="none"/>
                <w:lang w:val="en-US" w:eastAsia="zh-CN"/>
              </w:rPr>
              <w:t>升压站以保障电力稳定输出。</w:t>
            </w:r>
            <w:r>
              <w:rPr>
                <w:rFonts w:hint="default" w:ascii="Times New Roman" w:hAnsi="Times New Roman" w:cs="Times New Roman"/>
                <w:color w:val="auto"/>
                <w:kern w:val="2"/>
                <w:sz w:val="24"/>
                <w:szCs w:val="24"/>
                <w:lang w:val="en-US" w:eastAsia="zh-CN" w:bidi="ar-SA"/>
              </w:rPr>
              <w:t>项目同步配备完善的脱硝、脱硫除尘处理设施，可确保烟气排放全面满足排放标准，大幅降低对周边环境的影响。</w:t>
            </w:r>
          </w:p>
          <w:p w14:paraId="2B15D1B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FF0000"/>
                <w:kern w:val="2"/>
                <w:sz w:val="24"/>
                <w:szCs w:val="24"/>
                <w:lang w:val="en-US" w:eastAsia="zh-CN" w:bidi="ar-SA"/>
              </w:rPr>
            </w:pPr>
            <w:r>
              <w:rPr>
                <w:rFonts w:hint="default" w:ascii="Times New Roman" w:hAnsi="Times New Roman" w:cs="Times New Roman"/>
                <w:color w:val="auto"/>
                <w:kern w:val="2"/>
                <w:sz w:val="24"/>
                <w:szCs w:val="24"/>
                <w:lang w:val="en-US" w:eastAsia="zh-CN" w:bidi="ar-SA"/>
              </w:rPr>
              <w:t>根据《建设项目环境影响评价分类管理名录》（2021年版），本项目属于其中“四十一、电力、热力生产和供应业87、火力发电4411；—热电联产4412（4411和4412均含掺烧生活垃圾发电、掺烧污泥发电）”，</w:t>
            </w:r>
            <w:r>
              <w:rPr>
                <w:rFonts w:hint="eastAsia" w:cs="Times New Roman"/>
                <w:color w:val="auto"/>
                <w:kern w:val="2"/>
                <w:sz w:val="24"/>
                <w:szCs w:val="24"/>
                <w:lang w:val="en-US" w:eastAsia="zh-CN" w:bidi="ar-SA"/>
              </w:rPr>
              <w:t>本项目</w:t>
            </w:r>
            <w:r>
              <w:rPr>
                <w:rFonts w:hint="default" w:ascii="Times New Roman" w:hAnsi="Times New Roman" w:cs="Times New Roman"/>
                <w:color w:val="auto"/>
                <w:kern w:val="2"/>
                <w:sz w:val="24"/>
                <w:szCs w:val="24"/>
                <w:lang w:val="en-US" w:eastAsia="zh-CN" w:bidi="ar-SA"/>
              </w:rPr>
              <w:t>应编制环境影响报告表。</w:t>
            </w:r>
            <w:r>
              <w:rPr>
                <w:rFonts w:hint="default" w:ascii="Times New Roman" w:hAnsi="Times New Roman" w:cs="Times New Roman"/>
                <w:color w:val="FF0000"/>
                <w:spacing w:val="0"/>
                <w:kern w:val="0"/>
                <w:sz w:val="24"/>
                <w:szCs w:val="24"/>
                <w:highlight w:val="none"/>
                <w:lang w:val="en-US" w:eastAsia="zh-CN"/>
              </w:rPr>
              <w:t>配套新建110</w:t>
            </w:r>
            <w:r>
              <w:rPr>
                <w:rFonts w:hint="eastAsia" w:cs="Times New Roman"/>
                <w:color w:val="FF0000"/>
                <w:spacing w:val="0"/>
                <w:kern w:val="0"/>
                <w:sz w:val="24"/>
                <w:szCs w:val="24"/>
                <w:highlight w:val="none"/>
                <w:lang w:val="en-US" w:eastAsia="zh-CN"/>
              </w:rPr>
              <w:t>kV</w:t>
            </w:r>
            <w:r>
              <w:rPr>
                <w:rFonts w:hint="default" w:ascii="Times New Roman" w:hAnsi="Times New Roman" w:cs="Times New Roman"/>
                <w:color w:val="FF0000"/>
                <w:spacing w:val="0"/>
                <w:kern w:val="0"/>
                <w:sz w:val="24"/>
                <w:szCs w:val="24"/>
                <w:highlight w:val="none"/>
                <w:lang w:val="en-US" w:eastAsia="zh-CN"/>
              </w:rPr>
              <w:t>升压站</w:t>
            </w:r>
            <w:r>
              <w:rPr>
                <w:rFonts w:hint="eastAsia" w:cs="Times New Roman"/>
                <w:color w:val="FF0000"/>
                <w:spacing w:val="0"/>
                <w:kern w:val="0"/>
                <w:sz w:val="24"/>
                <w:szCs w:val="24"/>
                <w:highlight w:val="none"/>
                <w:lang w:val="en-US" w:eastAsia="zh-CN"/>
              </w:rPr>
              <w:t>不在本项目评价范围内，另行评价。</w:t>
            </w:r>
          </w:p>
          <w:p w14:paraId="7A74759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2.建设内容</w:t>
            </w:r>
          </w:p>
          <w:p w14:paraId="070D997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kern w:val="2"/>
                <w:sz w:val="24"/>
                <w:szCs w:val="24"/>
                <w:lang w:val="en-US" w:eastAsia="zh-CN" w:bidi="ar-SA"/>
              </w:rPr>
            </w:pPr>
            <w:r>
              <w:rPr>
                <w:rFonts w:hint="default" w:ascii="Times New Roman" w:hAnsi="Times New Roman" w:cs="Times New Roman"/>
                <w:color w:val="auto"/>
                <w:kern w:val="2"/>
                <w:sz w:val="24"/>
                <w:szCs w:val="24"/>
                <w:lang w:val="en-US" w:eastAsia="zh-CN" w:bidi="ar-SA"/>
              </w:rPr>
              <w:t>本项目</w:t>
            </w:r>
            <w:r>
              <w:rPr>
                <w:rFonts w:hint="default" w:ascii="Times New Roman" w:hAnsi="Times New Roman" w:eastAsia="宋体" w:cs="Times New Roman"/>
                <w:color w:val="auto"/>
                <w:kern w:val="0"/>
                <w:sz w:val="24"/>
                <w:szCs w:val="24"/>
                <w:lang w:val="en-US" w:eastAsia="zh-CN"/>
              </w:rPr>
              <w:t>位于新疆昌吉州吉木萨尔县北三台工业园区恒信片区南侧，</w:t>
            </w:r>
            <w:r>
              <w:rPr>
                <w:rFonts w:hint="eastAsia" w:cs="Times New Roman"/>
                <w:color w:val="auto"/>
                <w:kern w:val="0"/>
                <w:sz w:val="24"/>
                <w:szCs w:val="24"/>
                <w:lang w:val="en-US" w:eastAsia="zh-CN"/>
              </w:rPr>
              <w:t>新建</w:t>
            </w:r>
            <w:r>
              <w:rPr>
                <w:rFonts w:hint="default" w:ascii="Times New Roman" w:hAnsi="Times New Roman" w:cs="Times New Roman"/>
                <w:color w:val="auto"/>
                <w:kern w:val="2"/>
                <w:sz w:val="24"/>
                <w:szCs w:val="24"/>
                <w:lang w:val="en-US" w:eastAsia="zh-CN" w:bidi="ar-SA"/>
              </w:rPr>
              <w:t>1×45MW超高温超高压中间一次再热煤气发电机组，主要包括1×150t/h超高温超高压煤气锅炉、1×45MW中间一次再热凝汽式汽轮机和1×45MW发电机及其辅助设施。项目组成详见表2-1。</w:t>
            </w:r>
          </w:p>
          <w:p w14:paraId="783871BF">
            <w:pPr>
              <w:keepNext w:val="0"/>
              <w:keepLines w:val="0"/>
              <w:pageBreakBefore w:val="0"/>
              <w:kinsoku/>
              <w:wordWrap/>
              <w:overflowPunct w:val="0"/>
              <w:bidi w:val="0"/>
              <w:adjustRightInd/>
              <w:snapToGrid/>
              <w:jc w:val="center"/>
              <w:rPr>
                <w:rFonts w:hint="default" w:ascii="Times New Roman" w:hAnsi="Times New Roman" w:eastAsia="宋体" w:cs="Times New Roman"/>
                <w:b/>
                <w:snapToGrid w:val="0"/>
                <w:color w:val="auto"/>
                <w:kern w:val="0"/>
                <w:sz w:val="21"/>
                <w:szCs w:val="21"/>
              </w:rPr>
            </w:pPr>
          </w:p>
          <w:p w14:paraId="2DCB2A4E">
            <w:pPr>
              <w:keepNext w:val="0"/>
              <w:keepLines w:val="0"/>
              <w:pageBreakBefore w:val="0"/>
              <w:kinsoku/>
              <w:wordWrap/>
              <w:overflowPunct w:val="0"/>
              <w:bidi w:val="0"/>
              <w:adjustRightInd/>
              <w:snapToGrid/>
              <w:jc w:val="center"/>
              <w:rPr>
                <w:rFonts w:hint="default" w:ascii="Times New Roman" w:hAnsi="Times New Roman" w:eastAsia="宋体" w:cs="Times New Roman"/>
                <w:b/>
                <w:snapToGrid w:val="0"/>
                <w:color w:val="auto"/>
                <w:kern w:val="0"/>
                <w:sz w:val="21"/>
                <w:szCs w:val="21"/>
              </w:rPr>
            </w:pPr>
          </w:p>
          <w:p w14:paraId="67492FF3">
            <w:pPr>
              <w:keepNext w:val="0"/>
              <w:keepLines w:val="0"/>
              <w:pageBreakBefore w:val="0"/>
              <w:kinsoku/>
              <w:wordWrap/>
              <w:overflowPunct w:val="0"/>
              <w:bidi w:val="0"/>
              <w:adjustRightInd/>
              <w:snapToGrid/>
              <w:jc w:val="center"/>
              <w:rPr>
                <w:rFonts w:hint="default" w:ascii="Times New Roman" w:hAnsi="Times New Roman" w:eastAsia="宋体" w:cs="Times New Roman"/>
                <w:b/>
                <w:snapToGrid w:val="0"/>
                <w:color w:val="auto"/>
                <w:kern w:val="0"/>
                <w:sz w:val="21"/>
                <w:szCs w:val="21"/>
              </w:rPr>
            </w:pPr>
          </w:p>
          <w:p w14:paraId="3F0142DD">
            <w:pPr>
              <w:keepNext w:val="0"/>
              <w:keepLines w:val="0"/>
              <w:pageBreakBefore w:val="0"/>
              <w:kinsoku/>
              <w:wordWrap/>
              <w:overflowPunct w:val="0"/>
              <w:bidi w:val="0"/>
              <w:adjustRightInd/>
              <w:snapToGrid/>
              <w:jc w:val="center"/>
              <w:rPr>
                <w:rFonts w:hint="default" w:ascii="Times New Roman" w:hAnsi="Times New Roman" w:eastAsia="宋体" w:cs="Times New Roman"/>
                <w:b/>
                <w:snapToGrid w:val="0"/>
                <w:color w:val="auto"/>
                <w:kern w:val="0"/>
                <w:sz w:val="21"/>
                <w:szCs w:val="21"/>
                <w:lang w:val="en-US" w:eastAsia="zh-CN"/>
              </w:rPr>
            </w:pPr>
            <w:r>
              <w:rPr>
                <w:rFonts w:hint="default" w:ascii="Times New Roman" w:hAnsi="Times New Roman" w:eastAsia="宋体" w:cs="Times New Roman"/>
                <w:b/>
                <w:snapToGrid w:val="0"/>
                <w:color w:val="auto"/>
                <w:kern w:val="0"/>
                <w:sz w:val="21"/>
                <w:szCs w:val="21"/>
              </w:rPr>
              <w:t>表</w:t>
            </w:r>
            <w:r>
              <w:rPr>
                <w:rFonts w:hint="default" w:ascii="Times New Roman" w:hAnsi="Times New Roman" w:eastAsia="宋体" w:cs="Times New Roman"/>
                <w:b/>
                <w:snapToGrid w:val="0"/>
                <w:color w:val="auto"/>
                <w:kern w:val="0"/>
                <w:sz w:val="21"/>
                <w:szCs w:val="21"/>
                <w:lang w:val="en-US" w:eastAsia="zh-CN"/>
              </w:rPr>
              <w:t>2-</w:t>
            </w:r>
            <w:r>
              <w:rPr>
                <w:rFonts w:hint="default" w:ascii="Times New Roman" w:hAnsi="Times New Roman" w:cs="Times New Roman"/>
                <w:b/>
                <w:snapToGrid w:val="0"/>
                <w:color w:val="auto"/>
                <w:kern w:val="0"/>
                <w:sz w:val="21"/>
                <w:szCs w:val="21"/>
                <w:lang w:val="en-US" w:eastAsia="zh-CN"/>
              </w:rPr>
              <w:t>1</w:t>
            </w:r>
            <w:r>
              <w:rPr>
                <w:rFonts w:hint="default" w:ascii="Times New Roman" w:hAnsi="Times New Roman" w:eastAsia="宋体" w:cs="Times New Roman"/>
                <w:b/>
                <w:snapToGrid w:val="0"/>
                <w:color w:val="auto"/>
                <w:kern w:val="0"/>
                <w:sz w:val="21"/>
                <w:szCs w:val="21"/>
                <w:lang w:val="en-US" w:eastAsia="zh-CN"/>
              </w:rPr>
              <w:t>项目组成一览表</w:t>
            </w:r>
          </w:p>
          <w:tbl>
            <w:tblPr>
              <w:tblStyle w:val="32"/>
              <w:tblW w:w="492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68" w:type="dxa"/>
                <w:bottom w:w="0" w:type="dxa"/>
                <w:right w:w="68" w:type="dxa"/>
              </w:tblCellMar>
            </w:tblPr>
            <w:tblGrid>
              <w:gridCol w:w="656"/>
              <w:gridCol w:w="824"/>
              <w:gridCol w:w="5394"/>
              <w:gridCol w:w="641"/>
            </w:tblGrid>
            <w:tr w14:paraId="4E1C61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984" w:type="pct"/>
                  <w:gridSpan w:val="2"/>
                  <w:tcBorders>
                    <w:tl2br w:val="nil"/>
                    <w:tr2bl w:val="nil"/>
                  </w:tcBorders>
                  <w:noWrap w:val="0"/>
                  <w:vAlign w:val="center"/>
                </w:tcPr>
                <w:p w14:paraId="70694CE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工程名称</w:t>
                  </w:r>
                </w:p>
              </w:tc>
              <w:tc>
                <w:tcPr>
                  <w:tcW w:w="3588" w:type="pct"/>
                  <w:tcBorders>
                    <w:tl2br w:val="nil"/>
                    <w:tr2bl w:val="nil"/>
                  </w:tcBorders>
                  <w:noWrap w:val="0"/>
                  <w:vAlign w:val="center"/>
                </w:tcPr>
                <w:p w14:paraId="184E134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建设内容</w:t>
                  </w:r>
                </w:p>
              </w:tc>
              <w:tc>
                <w:tcPr>
                  <w:tcW w:w="426" w:type="pct"/>
                  <w:tcBorders>
                    <w:tl2br w:val="nil"/>
                    <w:tr2bl w:val="nil"/>
                  </w:tcBorders>
                  <w:noWrap w:val="0"/>
                  <w:vAlign w:val="center"/>
                </w:tcPr>
                <w:p w14:paraId="5405C24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备注</w:t>
                  </w:r>
                </w:p>
              </w:tc>
            </w:tr>
            <w:tr w14:paraId="345B64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restart"/>
                  <w:tcBorders>
                    <w:tl2br w:val="nil"/>
                    <w:tr2bl w:val="nil"/>
                  </w:tcBorders>
                  <w:noWrap w:val="0"/>
                  <w:vAlign w:val="center"/>
                </w:tcPr>
                <w:p w14:paraId="7D9A988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主体工程</w:t>
                  </w:r>
                </w:p>
              </w:tc>
              <w:tc>
                <w:tcPr>
                  <w:tcW w:w="548" w:type="pct"/>
                  <w:tcBorders>
                    <w:tl2br w:val="nil"/>
                    <w:tr2bl w:val="nil"/>
                  </w:tcBorders>
                  <w:shd w:val="clear" w:color="auto" w:fill="auto"/>
                  <w:noWrap w:val="0"/>
                  <w:vAlign w:val="center"/>
                </w:tcPr>
                <w:p w14:paraId="243B21E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kern w:val="0"/>
                      <w:sz w:val="21"/>
                      <w:szCs w:val="21"/>
                      <w:vertAlign w:val="baseline"/>
                      <w:lang w:val="en-US" w:eastAsia="zh-CN"/>
                    </w:rPr>
                    <w:t>脱硫综合楼</w:t>
                  </w:r>
                </w:p>
              </w:tc>
              <w:tc>
                <w:tcPr>
                  <w:tcW w:w="3588" w:type="pct"/>
                  <w:tcBorders>
                    <w:tl2br w:val="nil"/>
                    <w:tr2bl w:val="nil"/>
                  </w:tcBorders>
                  <w:shd w:val="clear" w:color="auto" w:fill="auto"/>
                  <w:noWrap w:val="0"/>
                  <w:vAlign w:val="center"/>
                </w:tcPr>
                <w:p w14:paraId="40DA6114">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cs="Times New Roman"/>
                      <w:color w:val="auto"/>
                      <w:sz w:val="21"/>
                      <w:szCs w:val="21"/>
                      <w:lang w:val="en-US" w:eastAsia="zh-CN"/>
                    </w:rPr>
                    <w:t>占地面积445m</w:t>
                  </w:r>
                  <w:r>
                    <w:rPr>
                      <w:rFonts w:hint="default" w:ascii="Times New Roman" w:hAnsi="Times New Roman" w:cs="Times New Roman"/>
                      <w:color w:val="auto"/>
                      <w:sz w:val="21"/>
                      <w:szCs w:val="21"/>
                      <w:vertAlign w:val="superscript"/>
                      <w:lang w:val="en-US" w:eastAsia="zh-CN"/>
                    </w:rPr>
                    <w:t>2</w:t>
                  </w:r>
                  <w:r>
                    <w:rPr>
                      <w:rFonts w:hint="default" w:ascii="Times New Roman" w:hAnsi="Times New Roman" w:cs="Times New Roman"/>
                      <w:color w:val="auto"/>
                      <w:sz w:val="21"/>
                      <w:szCs w:val="21"/>
                      <w:vertAlign w:val="baseline"/>
                      <w:lang w:val="en-US" w:eastAsia="zh-CN"/>
                    </w:rPr>
                    <w:t>，</w:t>
                  </w:r>
                  <w:r>
                    <w:rPr>
                      <w:rFonts w:hint="default" w:ascii="Times New Roman" w:hAnsi="Times New Roman" w:cs="Times New Roman"/>
                      <w:color w:val="auto"/>
                      <w:sz w:val="21"/>
                      <w:szCs w:val="21"/>
                      <w:lang w:val="en-US" w:eastAsia="zh-CN"/>
                    </w:rPr>
                    <w:t>结构形式为钢筋混凝土框架结构，独立基础，框架抗震等级二级，抗震构造措施二级，共两层，一层为设备间、石膏间，二层为配电室、脱水间等</w:t>
                  </w:r>
                </w:p>
              </w:tc>
              <w:tc>
                <w:tcPr>
                  <w:tcW w:w="426" w:type="pct"/>
                  <w:tcBorders>
                    <w:tl2br w:val="nil"/>
                    <w:tr2bl w:val="nil"/>
                  </w:tcBorders>
                  <w:noWrap w:val="0"/>
                  <w:vAlign w:val="center"/>
                </w:tcPr>
                <w:p w14:paraId="1C7B1EE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r w14:paraId="637EA3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217EB09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tcBorders>
                    <w:tl2br w:val="nil"/>
                    <w:tr2bl w:val="nil"/>
                  </w:tcBorders>
                  <w:shd w:val="clear" w:color="auto" w:fill="auto"/>
                  <w:noWrap w:val="0"/>
                  <w:vAlign w:val="center"/>
                </w:tcPr>
                <w:p w14:paraId="43C7068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vertAlign w:val="baseline"/>
                      <w:lang w:val="en-US" w:eastAsia="zh-CN"/>
                    </w:rPr>
                    <w:t>锅炉岛</w:t>
                  </w:r>
                </w:p>
              </w:tc>
              <w:tc>
                <w:tcPr>
                  <w:tcW w:w="3588" w:type="pct"/>
                  <w:tcBorders>
                    <w:tl2br w:val="nil"/>
                    <w:tr2bl w:val="nil"/>
                  </w:tcBorders>
                  <w:shd w:val="clear" w:color="auto" w:fill="auto"/>
                  <w:noWrap w:val="0"/>
                  <w:vAlign w:val="center"/>
                </w:tcPr>
                <w:p w14:paraId="588F834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占地面积389.37m</w:t>
                  </w:r>
                  <w:r>
                    <w:rPr>
                      <w:rFonts w:hint="default" w:ascii="Times New Roman" w:hAnsi="Times New Roman" w:cs="Times New Roman"/>
                      <w:color w:val="auto"/>
                      <w:sz w:val="21"/>
                      <w:szCs w:val="21"/>
                      <w:vertAlign w:val="superscript"/>
                      <w:lang w:val="en-US" w:eastAsia="zh-CN"/>
                    </w:rPr>
                    <w:t>2</w:t>
                  </w:r>
                  <w:r>
                    <w:rPr>
                      <w:rFonts w:hint="default" w:ascii="Times New Roman" w:hAnsi="Times New Roman" w:cs="Times New Roman"/>
                      <w:color w:val="auto"/>
                      <w:sz w:val="21"/>
                      <w:szCs w:val="21"/>
                      <w:lang w:val="en-US" w:eastAsia="zh-CN"/>
                    </w:rPr>
                    <w:t>，长24.08m，宽16.17m，高36m</w:t>
                  </w:r>
                </w:p>
                <w:p w14:paraId="6BF6021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锅炉采用紧身封闭，锅炉构架采用钢结构，岛式布置。炉前和炉侧留有必要的通道</w:t>
                  </w:r>
                </w:p>
              </w:tc>
              <w:tc>
                <w:tcPr>
                  <w:tcW w:w="426" w:type="pct"/>
                  <w:tcBorders>
                    <w:tl2br w:val="nil"/>
                    <w:tr2bl w:val="nil"/>
                  </w:tcBorders>
                  <w:noWrap w:val="0"/>
                  <w:vAlign w:val="center"/>
                </w:tcPr>
                <w:p w14:paraId="7B38E82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r w14:paraId="4319C6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1B26EDC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tcBorders>
                    <w:tl2br w:val="nil"/>
                    <w:tr2bl w:val="nil"/>
                  </w:tcBorders>
                  <w:shd w:val="clear" w:color="auto" w:fill="auto"/>
                  <w:noWrap w:val="0"/>
                  <w:vAlign w:val="center"/>
                </w:tcPr>
                <w:p w14:paraId="4F30AF5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辅助车间综合楼</w:t>
                  </w:r>
                </w:p>
              </w:tc>
              <w:tc>
                <w:tcPr>
                  <w:tcW w:w="3588" w:type="pct"/>
                  <w:tcBorders>
                    <w:tl2br w:val="nil"/>
                    <w:tr2bl w:val="nil"/>
                  </w:tcBorders>
                  <w:shd w:val="clear" w:color="auto" w:fill="auto"/>
                  <w:noWrap w:val="0"/>
                  <w:vAlign w:val="center"/>
                </w:tcPr>
                <w:p w14:paraId="5BC7AE0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占地面积1012m</w:t>
                  </w:r>
                  <w:r>
                    <w:rPr>
                      <w:rFonts w:hint="default" w:ascii="Times New Roman" w:hAnsi="Times New Roman" w:cs="Times New Roman"/>
                      <w:color w:val="auto"/>
                      <w:sz w:val="21"/>
                      <w:szCs w:val="21"/>
                      <w:vertAlign w:val="superscript"/>
                      <w:lang w:val="en-US" w:eastAsia="zh-CN"/>
                    </w:rPr>
                    <w:t>2</w:t>
                  </w:r>
                  <w:r>
                    <w:rPr>
                      <w:rFonts w:hint="default" w:ascii="Times New Roman" w:hAnsi="Times New Roman" w:cs="Times New Roman"/>
                      <w:color w:val="auto"/>
                      <w:sz w:val="21"/>
                      <w:szCs w:val="21"/>
                      <w:lang w:val="en-US" w:eastAsia="zh-CN"/>
                    </w:rPr>
                    <w:t>，长46m，宽22m，高12.5m</w:t>
                  </w:r>
                </w:p>
                <w:p w14:paraId="568B04FE">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位于</w:t>
                  </w:r>
                  <w:r>
                    <w:rPr>
                      <w:rFonts w:hint="default" w:ascii="Times New Roman" w:hAnsi="Times New Roman" w:eastAsia="宋体" w:cs="Times New Roman"/>
                      <w:color w:val="auto"/>
                      <w:sz w:val="21"/>
                      <w:szCs w:val="21"/>
                      <w:lang w:val="en-US" w:eastAsia="zh-CN"/>
                    </w:rPr>
                    <w:t>锅炉东侧设有锅炉辅助楼。锅炉辅助楼分2跨，西侧单层布置有化水间和脱硝尿素站；东侧一跨采用3层布置，并与除氧间连通，其中±0.00m层布置有加药间、空压站及风机变频器室；+4.20m层布置有班组用房，+8.00m层布置有集控室、工程师站及交接班室、卫生间等</w:t>
                  </w:r>
                </w:p>
              </w:tc>
              <w:tc>
                <w:tcPr>
                  <w:tcW w:w="426" w:type="pct"/>
                  <w:tcBorders>
                    <w:tl2br w:val="nil"/>
                    <w:tr2bl w:val="nil"/>
                  </w:tcBorders>
                  <w:noWrap w:val="0"/>
                  <w:vAlign w:val="center"/>
                </w:tcPr>
                <w:p w14:paraId="1A7DE0C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r w14:paraId="4E1A3E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5E9ADCE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tcBorders>
                    <w:tl2br w:val="nil"/>
                    <w:tr2bl w:val="nil"/>
                  </w:tcBorders>
                  <w:shd w:val="clear" w:color="auto" w:fill="auto"/>
                  <w:noWrap w:val="0"/>
                  <w:vAlign w:val="center"/>
                </w:tcPr>
                <w:p w14:paraId="158C493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cs="Times New Roman"/>
                      <w:snapToGrid w:val="0"/>
                      <w:color w:val="auto"/>
                      <w:kern w:val="0"/>
                      <w:sz w:val="21"/>
                      <w:szCs w:val="21"/>
                      <w:lang w:val="en-US" w:eastAsia="zh-CN"/>
                    </w:rPr>
                    <w:t>除氧间</w:t>
                  </w:r>
                </w:p>
              </w:tc>
              <w:tc>
                <w:tcPr>
                  <w:tcW w:w="3588" w:type="pct"/>
                  <w:tcBorders>
                    <w:tl2br w:val="nil"/>
                    <w:tr2bl w:val="nil"/>
                  </w:tcBorders>
                  <w:shd w:val="clear" w:color="auto" w:fill="auto"/>
                  <w:noWrap w:val="0"/>
                  <w:vAlign w:val="center"/>
                </w:tcPr>
                <w:p w14:paraId="537DC49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占地面积405m</w:t>
                  </w:r>
                  <w:r>
                    <w:rPr>
                      <w:rFonts w:hint="default" w:ascii="Times New Roman" w:hAnsi="Times New Roman" w:cs="Times New Roman"/>
                      <w:color w:val="auto"/>
                      <w:sz w:val="21"/>
                      <w:szCs w:val="21"/>
                      <w:vertAlign w:val="superscript"/>
                      <w:lang w:val="en-US" w:eastAsia="zh-CN"/>
                    </w:rPr>
                    <w:t>2</w:t>
                  </w:r>
                  <w:r>
                    <w:rPr>
                      <w:rFonts w:hint="default" w:ascii="Times New Roman" w:hAnsi="Times New Roman" w:cs="Times New Roman"/>
                      <w:color w:val="auto"/>
                      <w:sz w:val="21"/>
                      <w:szCs w:val="21"/>
                      <w:lang w:val="en-US" w:eastAsia="zh-CN"/>
                    </w:rPr>
                    <w:t>，除氧间跨距10m，柱距为7/8m，共6个柱列，总长47m</w:t>
                  </w:r>
                  <w:r>
                    <w:rPr>
                      <w:rFonts w:hint="default" w:ascii="Times New Roman" w:hAnsi="Times New Roman" w:eastAsia="宋体" w:cs="Times New Roman"/>
                      <w:color w:val="auto"/>
                      <w:sz w:val="21"/>
                      <w:szCs w:val="21"/>
                      <w:lang w:val="en-US" w:eastAsia="zh-CN"/>
                    </w:rPr>
                    <w:t>。除氧间固定端设有室内楼梯，扩建端设有室外消防楼梯。另外，除氧层设置了通道与锅炉的中间平台相连接。±0.00m层：布置有高压配电室、给水泵变频器室、低压配电室等；+4.20m层：为电缆及管道夹层，主要布置蓄电池室、电缆桥架和部分给水、蒸汽及疏水管道；+8.00m层：为运转层，主要布置电子设备间、取样间及汽水随班化验室等；在靠锅炉一侧设有走道与锅炉运转层平台联通；+14.00m层：为除氧层，主要布置高压除氧器、连续排污扩容器</w:t>
                  </w:r>
                </w:p>
              </w:tc>
              <w:tc>
                <w:tcPr>
                  <w:tcW w:w="426" w:type="pct"/>
                  <w:tcBorders>
                    <w:tl2br w:val="nil"/>
                    <w:tr2bl w:val="nil"/>
                  </w:tcBorders>
                  <w:noWrap w:val="0"/>
                  <w:vAlign w:val="center"/>
                </w:tcPr>
                <w:p w14:paraId="135688A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r w14:paraId="728FB1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52B7A21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tcBorders>
                    <w:tl2br w:val="nil"/>
                    <w:tr2bl w:val="nil"/>
                  </w:tcBorders>
                  <w:noWrap w:val="0"/>
                  <w:vAlign w:val="center"/>
                </w:tcPr>
                <w:p w14:paraId="404D3DF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snapToGrid w:val="0"/>
                      <w:color w:val="auto"/>
                      <w:kern w:val="0"/>
                      <w:sz w:val="21"/>
                      <w:szCs w:val="21"/>
                      <w:lang w:val="en-US" w:eastAsia="zh-CN"/>
                    </w:rPr>
                    <w:t>汽机间</w:t>
                  </w:r>
                </w:p>
              </w:tc>
              <w:tc>
                <w:tcPr>
                  <w:tcW w:w="3588" w:type="pct"/>
                  <w:tcBorders>
                    <w:tl2br w:val="nil"/>
                    <w:tr2bl w:val="nil"/>
                  </w:tcBorders>
                  <w:noWrap w:val="0"/>
                  <w:vAlign w:val="center"/>
                </w:tcPr>
                <w:p w14:paraId="361E17D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占地面积1128m</w:t>
                  </w:r>
                  <w:r>
                    <w:rPr>
                      <w:rFonts w:hint="default" w:ascii="Times New Roman" w:hAnsi="Times New Roman" w:cs="Times New Roman"/>
                      <w:color w:val="auto"/>
                      <w:sz w:val="21"/>
                      <w:szCs w:val="21"/>
                      <w:vertAlign w:val="superscript"/>
                      <w:lang w:val="en-US" w:eastAsia="zh-CN"/>
                    </w:rPr>
                    <w:t>2</w:t>
                  </w:r>
                  <w:r>
                    <w:rPr>
                      <w:rFonts w:hint="default" w:ascii="Times New Roman" w:hAnsi="Times New Roman" w:cs="Times New Roman"/>
                      <w:color w:val="auto"/>
                      <w:sz w:val="21"/>
                      <w:szCs w:val="21"/>
                      <w:lang w:val="en-US" w:eastAsia="zh-CN"/>
                    </w:rPr>
                    <w:t>，长47m，宽24m，汽机跨距为24m，8m柱距为5个，7m柱距为1个，总长47m。发电机组纵向布置，中心线距A列线10.5m。汽轮发电机组设有独立岛平台，岛平台顶面运转层标高+8.00m。岛平台进气端及侧面设有加热器平台，平台分上下两层，标高分别为+8.00m及+4.20m。其中，+4.20m层布置的主要设备为低压加热器、汽封加热器、均压箱、顶轴油泵、主油箱等设备</w:t>
                  </w:r>
                </w:p>
              </w:tc>
              <w:tc>
                <w:tcPr>
                  <w:tcW w:w="426" w:type="pct"/>
                  <w:tcBorders>
                    <w:tl2br w:val="nil"/>
                    <w:tr2bl w:val="nil"/>
                  </w:tcBorders>
                  <w:noWrap w:val="0"/>
                  <w:vAlign w:val="center"/>
                </w:tcPr>
                <w:p w14:paraId="03DC4FA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r w14:paraId="2D5B0F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680F873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tcBorders>
                    <w:tl2br w:val="nil"/>
                    <w:tr2bl w:val="nil"/>
                  </w:tcBorders>
                  <w:noWrap w:val="0"/>
                  <w:vAlign w:val="center"/>
                </w:tcPr>
                <w:p w14:paraId="6C4293C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snapToGrid w:val="0"/>
                      <w:color w:val="auto"/>
                      <w:kern w:val="0"/>
                      <w:sz w:val="21"/>
                      <w:szCs w:val="21"/>
                      <w:lang w:val="en-US" w:eastAsia="zh-CN"/>
                    </w:rPr>
                  </w:pPr>
                  <w:r>
                    <w:rPr>
                      <w:rFonts w:hint="default" w:ascii="Times New Roman" w:hAnsi="Times New Roman" w:eastAsia="宋体" w:cs="Times New Roman"/>
                      <w:color w:val="auto"/>
                      <w:sz w:val="21"/>
                      <w:szCs w:val="21"/>
                      <w:vertAlign w:val="baseline"/>
                      <w:lang w:val="en-US" w:eastAsia="zh-CN"/>
                    </w:rPr>
                    <w:t>空冷岛</w:t>
                  </w:r>
                </w:p>
              </w:tc>
              <w:tc>
                <w:tcPr>
                  <w:tcW w:w="3588" w:type="pct"/>
                  <w:tcBorders>
                    <w:tl2br w:val="nil"/>
                    <w:tr2bl w:val="nil"/>
                  </w:tcBorders>
                  <w:noWrap w:val="0"/>
                  <w:vAlign w:val="center"/>
                </w:tcPr>
                <w:p w14:paraId="2E5ACFA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vertAlign w:val="baseline"/>
                      <w:lang w:val="en-US" w:eastAsia="zh-CN"/>
                    </w:rPr>
                    <w:t>占地面积759m</w:t>
                  </w:r>
                  <w:r>
                    <w:rPr>
                      <w:rFonts w:hint="default" w:ascii="Times New Roman" w:hAnsi="Times New Roman" w:cs="Times New Roman"/>
                      <w:color w:val="auto"/>
                      <w:sz w:val="21"/>
                      <w:szCs w:val="21"/>
                      <w:vertAlign w:val="superscript"/>
                      <w:lang w:val="en-US" w:eastAsia="zh-CN"/>
                    </w:rPr>
                    <w:t>2</w:t>
                  </w:r>
                  <w:r>
                    <w:rPr>
                      <w:rFonts w:hint="default" w:ascii="Times New Roman" w:hAnsi="Times New Roman" w:cs="Times New Roman"/>
                      <w:color w:val="auto"/>
                      <w:sz w:val="21"/>
                      <w:szCs w:val="21"/>
                      <w:vertAlign w:val="baseline"/>
                      <w:lang w:val="en-US" w:eastAsia="zh-CN"/>
                    </w:rPr>
                    <w:t>，长33m，宽23m，</w:t>
                  </w:r>
                  <w:r>
                    <w:rPr>
                      <w:rFonts w:hint="default" w:ascii="Times New Roman" w:hAnsi="Times New Roman" w:eastAsia="宋体" w:cs="Times New Roman"/>
                      <w:color w:val="auto"/>
                      <w:sz w:val="21"/>
                      <w:szCs w:val="21"/>
                      <w:vertAlign w:val="baseline"/>
                      <w:lang w:val="en-US" w:eastAsia="zh-CN"/>
                    </w:rPr>
                    <w:t>空冷岛采用钢筋混凝土平台结构，散热器采用单排管散热器。汽轮机的排汽经由大直径的主排汽管道引出主厂房“A”列外，垂直上升到一定的高度后，分出2根支管流向空冷排汽装置顶部的配汽联箱。乏汽通过配汽联箱流经空冷排汽装置的翅片管束时，与翅片管外部被轴流风机吸入的大量冷空气进行表面热交换，将乏汽的热量带走凝结成水</w:t>
                  </w:r>
                </w:p>
              </w:tc>
              <w:tc>
                <w:tcPr>
                  <w:tcW w:w="426" w:type="pct"/>
                  <w:tcBorders>
                    <w:tl2br w:val="nil"/>
                    <w:tr2bl w:val="nil"/>
                  </w:tcBorders>
                  <w:noWrap w:val="0"/>
                  <w:vAlign w:val="center"/>
                </w:tcPr>
                <w:p w14:paraId="2EFE7AB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r w14:paraId="4FA105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restart"/>
                  <w:tcBorders>
                    <w:right w:val="single" w:color="000000" w:sz="4" w:space="0"/>
                    <w:tl2br w:val="nil"/>
                    <w:tr2bl w:val="nil"/>
                  </w:tcBorders>
                  <w:noWrap w:val="0"/>
                  <w:vAlign w:val="center"/>
                </w:tcPr>
                <w:p w14:paraId="5FDAC88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辅助工程</w:t>
                  </w:r>
                </w:p>
              </w:tc>
              <w:tc>
                <w:tcPr>
                  <w:tcW w:w="548" w:type="pct"/>
                  <w:tcBorders>
                    <w:left w:val="single" w:color="000000" w:sz="4" w:space="0"/>
                    <w:tl2br w:val="nil"/>
                    <w:tr2bl w:val="nil"/>
                  </w:tcBorders>
                  <w:noWrap w:val="0"/>
                  <w:vAlign w:val="center"/>
                </w:tcPr>
                <w:p w14:paraId="3B69EAF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办公</w:t>
                  </w:r>
                  <w:r>
                    <w:rPr>
                      <w:rFonts w:hint="default" w:ascii="Times New Roman" w:hAnsi="Times New Roman" w:eastAsia="宋体" w:cs="Times New Roman"/>
                      <w:color w:val="auto"/>
                      <w:kern w:val="0"/>
                      <w:sz w:val="21"/>
                      <w:szCs w:val="21"/>
                      <w:vertAlign w:val="baseline"/>
                      <w:lang w:val="en-US" w:eastAsia="zh-CN"/>
                    </w:rPr>
                    <w:t>生活区</w:t>
                  </w:r>
                </w:p>
              </w:tc>
              <w:tc>
                <w:tcPr>
                  <w:tcW w:w="3588" w:type="pct"/>
                  <w:tcBorders>
                    <w:tl2br w:val="nil"/>
                    <w:tr2bl w:val="nil"/>
                  </w:tcBorders>
                  <w:noWrap w:val="0"/>
                  <w:vAlign w:val="center"/>
                </w:tcPr>
                <w:p w14:paraId="6C9AB46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食宿区</w:t>
                  </w:r>
                  <w:r>
                    <w:rPr>
                      <w:rFonts w:hint="default" w:ascii="Times New Roman" w:hAnsi="Times New Roman" w:eastAsia="宋体" w:cs="Times New Roman"/>
                      <w:color w:val="auto"/>
                      <w:sz w:val="21"/>
                      <w:szCs w:val="21"/>
                      <w:vertAlign w:val="baseline"/>
                      <w:lang w:val="en-US" w:eastAsia="zh-CN"/>
                    </w:rPr>
                    <w:t>依托吉木萨尔县恒信煤炭制品工贸有限公司120万吨煤制品深加工升级改造项目</w:t>
                  </w:r>
                  <w:r>
                    <w:rPr>
                      <w:rFonts w:hint="default" w:ascii="Times New Roman" w:hAnsi="Times New Roman" w:cs="Times New Roman"/>
                      <w:color w:val="auto"/>
                      <w:sz w:val="21"/>
                      <w:szCs w:val="21"/>
                      <w:vertAlign w:val="baseline"/>
                      <w:lang w:val="en-US" w:eastAsia="zh-CN"/>
                    </w:rPr>
                    <w:t>厂内</w:t>
                  </w:r>
                  <w:r>
                    <w:rPr>
                      <w:rFonts w:hint="default" w:ascii="Times New Roman" w:hAnsi="Times New Roman" w:eastAsia="宋体" w:cs="Times New Roman"/>
                      <w:color w:val="auto"/>
                      <w:sz w:val="21"/>
                      <w:szCs w:val="21"/>
                      <w:vertAlign w:val="baseline"/>
                      <w:lang w:val="en-US" w:eastAsia="zh-CN"/>
                    </w:rPr>
                    <w:t>综合办公区、食堂以及员工宿舍</w:t>
                  </w:r>
                  <w:r>
                    <w:rPr>
                      <w:rFonts w:hint="default" w:ascii="Times New Roman" w:hAnsi="Times New Roman" w:cs="Times New Roman"/>
                      <w:color w:val="auto"/>
                      <w:sz w:val="21"/>
                      <w:szCs w:val="21"/>
                      <w:vertAlign w:val="baseline"/>
                      <w:lang w:val="en-US" w:eastAsia="zh-CN"/>
                    </w:rPr>
                    <w:t>；厂内办公区位于</w:t>
                  </w:r>
                  <w:r>
                    <w:rPr>
                      <w:rFonts w:hint="default" w:ascii="Times New Roman" w:hAnsi="Times New Roman" w:eastAsia="宋体" w:cs="Times New Roman"/>
                      <w:color w:val="auto"/>
                      <w:kern w:val="0"/>
                      <w:sz w:val="21"/>
                      <w:szCs w:val="21"/>
                      <w:vertAlign w:val="baseline"/>
                      <w:lang w:val="en-US" w:eastAsia="zh-CN"/>
                    </w:rPr>
                    <w:t>辅助车间综合楼</w:t>
                  </w:r>
                  <w:r>
                    <w:rPr>
                      <w:rFonts w:hint="default" w:ascii="Times New Roman" w:hAnsi="Times New Roman" w:eastAsia="宋体" w:cs="Times New Roman"/>
                      <w:color w:val="auto"/>
                      <w:sz w:val="21"/>
                      <w:szCs w:val="21"/>
                      <w:lang w:val="en-US" w:eastAsia="zh-CN"/>
                    </w:rPr>
                    <w:t>+8.00m层</w:t>
                  </w:r>
                </w:p>
              </w:tc>
              <w:tc>
                <w:tcPr>
                  <w:tcW w:w="426" w:type="pct"/>
                  <w:tcBorders>
                    <w:tl2br w:val="nil"/>
                    <w:tr2bl w:val="nil"/>
                  </w:tcBorders>
                  <w:noWrap w:val="0"/>
                  <w:vAlign w:val="center"/>
                </w:tcPr>
                <w:p w14:paraId="5527782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依托</w:t>
                  </w:r>
                  <w:r>
                    <w:rPr>
                      <w:rFonts w:hint="default" w:ascii="Times New Roman" w:hAnsi="Times New Roman" w:cs="Times New Roman"/>
                      <w:color w:val="auto"/>
                      <w:sz w:val="21"/>
                      <w:szCs w:val="21"/>
                      <w:vertAlign w:val="baseline"/>
                      <w:lang w:val="en-US" w:eastAsia="zh-CN"/>
                    </w:rPr>
                    <w:t>、新建</w:t>
                  </w:r>
                </w:p>
              </w:tc>
            </w:tr>
            <w:tr w14:paraId="299B11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right w:val="single" w:color="000000" w:sz="4" w:space="0"/>
                    <w:tl2br w:val="nil"/>
                    <w:tr2bl w:val="nil"/>
                  </w:tcBorders>
                  <w:noWrap w:val="0"/>
                  <w:vAlign w:val="center"/>
                </w:tcPr>
                <w:p w14:paraId="042BFDD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eastAsia="zh-CN"/>
                    </w:rPr>
                  </w:pPr>
                </w:p>
              </w:tc>
              <w:tc>
                <w:tcPr>
                  <w:tcW w:w="548" w:type="pct"/>
                  <w:tcBorders>
                    <w:left w:val="single" w:color="000000" w:sz="4" w:space="0"/>
                    <w:tl2br w:val="nil"/>
                    <w:tr2bl w:val="nil"/>
                  </w:tcBorders>
                  <w:noWrap w:val="0"/>
                  <w:vAlign w:val="center"/>
                </w:tcPr>
                <w:p w14:paraId="4A7E496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综合水泵房</w:t>
                  </w:r>
                </w:p>
              </w:tc>
              <w:tc>
                <w:tcPr>
                  <w:tcW w:w="3588" w:type="pct"/>
                  <w:tcBorders>
                    <w:tl2br w:val="nil"/>
                    <w:tr2bl w:val="nil"/>
                  </w:tcBorders>
                  <w:noWrap w:val="0"/>
                  <w:vAlign w:val="center"/>
                </w:tcPr>
                <w:p w14:paraId="0D2391B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结构形式为钢筋混凝土框架结构，筏板基础，单层，框架抗震等级二级，抗震构造措施二级，坑底布置水泵设备基础，屋面梁下设悬挂式单轨吊，吊重约2t</w:t>
                  </w:r>
                </w:p>
              </w:tc>
              <w:tc>
                <w:tcPr>
                  <w:tcW w:w="426" w:type="pct"/>
                  <w:vMerge w:val="restart"/>
                  <w:tcBorders>
                    <w:tl2br w:val="nil"/>
                    <w:tr2bl w:val="nil"/>
                  </w:tcBorders>
                  <w:noWrap w:val="0"/>
                  <w:vAlign w:val="center"/>
                </w:tcPr>
                <w:p w14:paraId="19C2295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r w14:paraId="50CFF4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right w:val="single" w:color="000000" w:sz="4" w:space="0"/>
                    <w:tl2br w:val="nil"/>
                    <w:tr2bl w:val="nil"/>
                  </w:tcBorders>
                  <w:noWrap w:val="0"/>
                  <w:vAlign w:val="center"/>
                </w:tcPr>
                <w:p w14:paraId="22A1B5E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eastAsia="zh-CN"/>
                    </w:rPr>
                  </w:pPr>
                </w:p>
              </w:tc>
              <w:tc>
                <w:tcPr>
                  <w:tcW w:w="548" w:type="pct"/>
                  <w:tcBorders>
                    <w:left w:val="single" w:color="000000" w:sz="4" w:space="0"/>
                    <w:tl2br w:val="nil"/>
                    <w:tr2bl w:val="nil"/>
                  </w:tcBorders>
                  <w:noWrap w:val="0"/>
                  <w:vAlign w:val="center"/>
                </w:tcPr>
                <w:p w14:paraId="0B8A1B6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kern w:val="0"/>
                      <w:sz w:val="21"/>
                      <w:szCs w:val="21"/>
                      <w:vertAlign w:val="baseline"/>
                      <w:lang w:val="en-US" w:eastAsia="zh-CN"/>
                    </w:rPr>
                    <w:t>化验室</w:t>
                  </w:r>
                </w:p>
              </w:tc>
              <w:tc>
                <w:tcPr>
                  <w:tcW w:w="3588" w:type="pct"/>
                  <w:tcBorders>
                    <w:tl2br w:val="nil"/>
                    <w:tr2bl w:val="nil"/>
                  </w:tcBorders>
                  <w:noWrap w:val="0"/>
                  <w:vAlign w:val="center"/>
                </w:tcPr>
                <w:p w14:paraId="40A5D70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vertAlign w:val="baseline"/>
                      <w:lang w:val="en-US" w:eastAsia="zh-CN"/>
                    </w:rPr>
                    <w:t>位于除氧间+8.00m层，检验化验任务包括1）</w:t>
                  </w:r>
                  <w:r>
                    <w:rPr>
                      <w:rFonts w:hint="default" w:ascii="Times New Roman" w:hAnsi="Times New Roman" w:cs="Times New Roman"/>
                      <w:color w:val="auto"/>
                      <w:sz w:val="21"/>
                      <w:szCs w:val="21"/>
                      <w:lang w:val="en-US" w:eastAsia="zh-CN"/>
                    </w:rPr>
                    <w:t>锅炉给水、炉水检验项目有：pH值、电导率、溶解氧、丙酮肟、铁、铜、硬度、二氧化硅、氯离子等；2）饱和蒸汽、过热蒸汽检验项目：pH值、电导率、二氧化硅、钠、铁、铜等；3）凝结水检验项目有：溶解氧、电导率、硬度、二氧化硅等。水质化验室配置的设备主要为酸度计、溶解氧测定仪、丙酮肟测定仪、电导率仪、钠离子分析仪、铁离子分析仪、铜离子分析仪、硅酸根分析仪、磷酸根分析仪、分光光度计等常规水质分析设备等</w:t>
                  </w:r>
                </w:p>
              </w:tc>
              <w:tc>
                <w:tcPr>
                  <w:tcW w:w="426" w:type="pct"/>
                  <w:vMerge w:val="continue"/>
                  <w:tcBorders>
                    <w:tl2br w:val="nil"/>
                    <w:tr2bl w:val="nil"/>
                  </w:tcBorders>
                  <w:noWrap w:val="0"/>
                  <w:vAlign w:val="center"/>
                </w:tcPr>
                <w:p w14:paraId="7F2306A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r>
            <w:tr w14:paraId="58DDC9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right w:val="single" w:color="000000" w:sz="4" w:space="0"/>
                    <w:tl2br w:val="nil"/>
                    <w:tr2bl w:val="nil"/>
                  </w:tcBorders>
                  <w:noWrap w:val="0"/>
                  <w:vAlign w:val="center"/>
                </w:tcPr>
                <w:p w14:paraId="39F4719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eastAsia="zh-CN"/>
                    </w:rPr>
                  </w:pPr>
                </w:p>
              </w:tc>
              <w:tc>
                <w:tcPr>
                  <w:tcW w:w="548" w:type="pct"/>
                  <w:tcBorders>
                    <w:left w:val="single" w:color="000000" w:sz="4" w:space="0"/>
                    <w:tl2br w:val="nil"/>
                    <w:tr2bl w:val="nil"/>
                  </w:tcBorders>
                  <w:noWrap w:val="0"/>
                  <w:vAlign w:val="center"/>
                </w:tcPr>
                <w:p w14:paraId="75E89B0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除盐水站</w:t>
                  </w:r>
                </w:p>
              </w:tc>
              <w:tc>
                <w:tcPr>
                  <w:tcW w:w="3588" w:type="pct"/>
                  <w:tcBorders>
                    <w:tl2br w:val="nil"/>
                    <w:tr2bl w:val="nil"/>
                  </w:tcBorders>
                  <w:noWrap w:val="0"/>
                  <w:vAlign w:val="center"/>
                </w:tcPr>
                <w:p w14:paraId="416A1F8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位于锅炉辅助楼±0.00m层其中一跨，内设有30m</w:t>
                  </w:r>
                  <w:r>
                    <w:rPr>
                      <w:rFonts w:hint="default" w:ascii="Times New Roman" w:hAnsi="Times New Roman" w:cs="Times New Roman"/>
                      <w:color w:val="auto"/>
                      <w:sz w:val="21"/>
                      <w:szCs w:val="21"/>
                      <w:vertAlign w:val="superscript"/>
                      <w:lang w:val="en-US" w:eastAsia="zh-CN"/>
                    </w:rPr>
                    <w:t>3</w:t>
                  </w:r>
                  <w:r>
                    <w:rPr>
                      <w:rFonts w:hint="default" w:ascii="Times New Roman" w:hAnsi="Times New Roman" w:cs="Times New Roman"/>
                      <w:color w:val="auto"/>
                      <w:sz w:val="21"/>
                      <w:szCs w:val="21"/>
                      <w:lang w:val="en-US" w:eastAsia="zh-CN"/>
                    </w:rPr>
                    <w:t>超滤产水箱1个，20m</w:t>
                  </w:r>
                  <w:r>
                    <w:rPr>
                      <w:rFonts w:hint="default" w:ascii="Times New Roman" w:hAnsi="Times New Roman" w:cs="Times New Roman"/>
                      <w:color w:val="auto"/>
                      <w:sz w:val="21"/>
                      <w:szCs w:val="21"/>
                      <w:vertAlign w:val="superscript"/>
                      <w:lang w:val="en-US" w:eastAsia="zh-CN"/>
                    </w:rPr>
                    <w:t>3</w:t>
                  </w:r>
                  <w:r>
                    <w:rPr>
                      <w:rFonts w:hint="default" w:ascii="Times New Roman" w:hAnsi="Times New Roman" w:cs="Times New Roman"/>
                      <w:color w:val="auto"/>
                      <w:sz w:val="21"/>
                      <w:szCs w:val="21"/>
                      <w:lang w:val="en-US" w:eastAsia="zh-CN"/>
                    </w:rPr>
                    <w:t>一级反渗透产水箱1个，10m</w:t>
                  </w:r>
                  <w:r>
                    <w:rPr>
                      <w:rFonts w:hint="default" w:ascii="Times New Roman" w:hAnsi="Times New Roman" w:cs="Times New Roman"/>
                      <w:color w:val="auto"/>
                      <w:sz w:val="21"/>
                      <w:szCs w:val="21"/>
                      <w:vertAlign w:val="superscript"/>
                      <w:lang w:val="en-US" w:eastAsia="zh-CN"/>
                    </w:rPr>
                    <w:t>3</w:t>
                  </w:r>
                  <w:r>
                    <w:rPr>
                      <w:rFonts w:hint="default" w:ascii="Times New Roman" w:hAnsi="Times New Roman" w:cs="Times New Roman"/>
                      <w:color w:val="auto"/>
                      <w:sz w:val="21"/>
                      <w:szCs w:val="21"/>
                      <w:lang w:val="en-US" w:eastAsia="zh-CN"/>
                    </w:rPr>
                    <w:t>二级反渗透产水箱1个，室外设有100m</w:t>
                  </w:r>
                  <w:r>
                    <w:rPr>
                      <w:rFonts w:hint="default" w:ascii="Times New Roman" w:hAnsi="Times New Roman" w:cs="Times New Roman"/>
                      <w:color w:val="auto"/>
                      <w:sz w:val="21"/>
                      <w:szCs w:val="21"/>
                      <w:vertAlign w:val="superscript"/>
                      <w:lang w:val="en-US" w:eastAsia="zh-CN"/>
                    </w:rPr>
                    <w:t>3</w:t>
                  </w:r>
                  <w:r>
                    <w:rPr>
                      <w:rFonts w:hint="default" w:ascii="Times New Roman" w:hAnsi="Times New Roman" w:cs="Times New Roman"/>
                      <w:color w:val="auto"/>
                      <w:sz w:val="21"/>
                      <w:szCs w:val="21"/>
                      <w:lang w:val="en-US" w:eastAsia="zh-CN"/>
                    </w:rPr>
                    <w:t>除盐水箱（保温）2个</w:t>
                  </w:r>
                </w:p>
              </w:tc>
              <w:tc>
                <w:tcPr>
                  <w:tcW w:w="426" w:type="pct"/>
                  <w:vMerge w:val="continue"/>
                  <w:tcBorders>
                    <w:tl2br w:val="nil"/>
                    <w:tr2bl w:val="nil"/>
                  </w:tcBorders>
                  <w:noWrap w:val="0"/>
                  <w:vAlign w:val="center"/>
                </w:tcPr>
                <w:p w14:paraId="37E3E82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r>
            <w:tr w14:paraId="024B05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right w:val="single" w:color="000000" w:sz="4" w:space="0"/>
                    <w:tl2br w:val="nil"/>
                    <w:tr2bl w:val="nil"/>
                  </w:tcBorders>
                  <w:noWrap w:val="0"/>
                  <w:vAlign w:val="center"/>
                </w:tcPr>
                <w:p w14:paraId="649DB1B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eastAsia="zh-CN"/>
                    </w:rPr>
                  </w:pPr>
                </w:p>
              </w:tc>
              <w:tc>
                <w:tcPr>
                  <w:tcW w:w="548" w:type="pct"/>
                  <w:tcBorders>
                    <w:left w:val="single" w:color="000000" w:sz="4" w:space="0"/>
                    <w:tl2br w:val="nil"/>
                    <w:tr2bl w:val="nil"/>
                  </w:tcBorders>
                  <w:noWrap w:val="0"/>
                  <w:vAlign w:val="center"/>
                </w:tcPr>
                <w:p w14:paraId="12D0EA9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空冷配电室</w:t>
                  </w:r>
                </w:p>
              </w:tc>
              <w:tc>
                <w:tcPr>
                  <w:tcW w:w="3588" w:type="pct"/>
                  <w:tcBorders>
                    <w:tl2br w:val="nil"/>
                    <w:tr2bl w:val="nil"/>
                  </w:tcBorders>
                  <w:noWrap w:val="0"/>
                  <w:vAlign w:val="center"/>
                </w:tcPr>
                <w:p w14:paraId="58C2E62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位于空冷配电室下方，空冷结构形式为钢筋混凝土框架结构，独立基础，单层框架抗震等级二级，抗震构造措施二级</w:t>
                  </w:r>
                </w:p>
              </w:tc>
              <w:tc>
                <w:tcPr>
                  <w:tcW w:w="426" w:type="pct"/>
                  <w:vMerge w:val="continue"/>
                  <w:tcBorders>
                    <w:tl2br w:val="nil"/>
                    <w:tr2bl w:val="nil"/>
                  </w:tcBorders>
                  <w:noWrap w:val="0"/>
                  <w:vAlign w:val="center"/>
                </w:tcPr>
                <w:p w14:paraId="1025D5D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r>
            <w:tr w14:paraId="65DE96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right w:val="single" w:color="000000" w:sz="4" w:space="0"/>
                    <w:tl2br w:val="nil"/>
                    <w:tr2bl w:val="nil"/>
                  </w:tcBorders>
                  <w:noWrap w:val="0"/>
                  <w:vAlign w:val="center"/>
                </w:tcPr>
                <w:p w14:paraId="086CFBC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eastAsia="zh-CN"/>
                    </w:rPr>
                  </w:pPr>
                </w:p>
              </w:tc>
              <w:tc>
                <w:tcPr>
                  <w:tcW w:w="548" w:type="pct"/>
                  <w:tcBorders>
                    <w:left w:val="single" w:color="000000" w:sz="4" w:space="0"/>
                    <w:tl2br w:val="nil"/>
                    <w:tr2bl w:val="nil"/>
                  </w:tcBorders>
                  <w:noWrap w:val="0"/>
                  <w:vAlign w:val="center"/>
                </w:tcPr>
                <w:p w14:paraId="71B5B01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空压站</w:t>
                  </w:r>
                </w:p>
              </w:tc>
              <w:tc>
                <w:tcPr>
                  <w:tcW w:w="3588" w:type="pct"/>
                  <w:tcBorders>
                    <w:tl2br w:val="nil"/>
                    <w:tr2bl w:val="nil"/>
                  </w:tcBorders>
                  <w:noWrap w:val="0"/>
                  <w:vAlign w:val="center"/>
                </w:tcPr>
                <w:p w14:paraId="2FA0A02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位于</w:t>
                  </w:r>
                  <w:r>
                    <w:rPr>
                      <w:rFonts w:hint="default" w:ascii="Times New Roman" w:hAnsi="Times New Roman" w:eastAsia="宋体" w:cs="Times New Roman"/>
                      <w:color w:val="auto"/>
                      <w:kern w:val="0"/>
                      <w:sz w:val="21"/>
                      <w:szCs w:val="21"/>
                      <w:vertAlign w:val="baseline"/>
                      <w:lang w:val="en-US" w:eastAsia="zh-CN"/>
                    </w:rPr>
                    <w:t>辅助车间综合楼</w:t>
                  </w:r>
                  <w:r>
                    <w:rPr>
                      <w:rFonts w:hint="default" w:ascii="Times New Roman" w:hAnsi="Times New Roman" w:eastAsia="宋体" w:cs="Times New Roman"/>
                      <w:color w:val="auto"/>
                      <w:sz w:val="21"/>
                      <w:szCs w:val="21"/>
                      <w:lang w:val="en-US" w:eastAsia="zh-CN"/>
                    </w:rPr>
                    <w:t>±0.00m层</w:t>
                  </w:r>
                  <w:r>
                    <w:rPr>
                      <w:rFonts w:hint="default" w:ascii="Times New Roman" w:hAnsi="Times New Roman" w:cs="Times New Roman"/>
                      <w:color w:val="auto"/>
                      <w:sz w:val="21"/>
                      <w:szCs w:val="21"/>
                      <w:lang w:val="en-US" w:eastAsia="zh-CN"/>
                    </w:rPr>
                    <w:t>，以满足本发电机组的用气需求</w:t>
                  </w:r>
                </w:p>
              </w:tc>
              <w:tc>
                <w:tcPr>
                  <w:tcW w:w="426" w:type="pct"/>
                  <w:vMerge w:val="continue"/>
                  <w:tcBorders>
                    <w:tl2br w:val="nil"/>
                    <w:tr2bl w:val="nil"/>
                  </w:tcBorders>
                  <w:noWrap w:val="0"/>
                  <w:vAlign w:val="center"/>
                </w:tcPr>
                <w:p w14:paraId="620CD93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r>
            <w:tr w14:paraId="47CF9E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right w:val="single" w:color="000000" w:sz="4" w:space="0"/>
                    <w:tl2br w:val="nil"/>
                    <w:tr2bl w:val="nil"/>
                  </w:tcBorders>
                  <w:noWrap w:val="0"/>
                  <w:vAlign w:val="center"/>
                </w:tcPr>
                <w:p w14:paraId="5199A40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eastAsia="zh-CN"/>
                    </w:rPr>
                  </w:pPr>
                </w:p>
              </w:tc>
              <w:tc>
                <w:tcPr>
                  <w:tcW w:w="548" w:type="pct"/>
                  <w:tcBorders>
                    <w:left w:val="single" w:color="000000" w:sz="4" w:space="0"/>
                    <w:tl2br w:val="nil"/>
                    <w:tr2bl w:val="nil"/>
                  </w:tcBorders>
                  <w:noWrap w:val="0"/>
                  <w:vAlign w:val="center"/>
                </w:tcPr>
                <w:p w14:paraId="575C5EA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制氮机站</w:t>
                  </w:r>
                </w:p>
              </w:tc>
              <w:tc>
                <w:tcPr>
                  <w:tcW w:w="3588" w:type="pct"/>
                  <w:tcBorders>
                    <w:tl2br w:val="nil"/>
                    <w:tr2bl w:val="nil"/>
                  </w:tcBorders>
                  <w:noWrap w:val="0"/>
                  <w:vAlign w:val="center"/>
                </w:tcPr>
                <w:p w14:paraId="697480E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位于辅助车间综合楼一楼，出力为1200m</w:t>
                  </w:r>
                  <w:r>
                    <w:rPr>
                      <w:rFonts w:hint="default" w:ascii="Times New Roman" w:hAnsi="Times New Roman" w:cs="Times New Roman"/>
                      <w:color w:val="auto"/>
                      <w:sz w:val="21"/>
                      <w:szCs w:val="21"/>
                      <w:vertAlign w:val="superscript"/>
                      <w:lang w:val="en-US" w:eastAsia="zh-CN"/>
                    </w:rPr>
                    <w:t>3</w:t>
                  </w:r>
                  <w:r>
                    <w:rPr>
                      <w:rFonts w:hint="default" w:ascii="Times New Roman" w:hAnsi="Times New Roman" w:cs="Times New Roman"/>
                      <w:color w:val="auto"/>
                      <w:sz w:val="21"/>
                      <w:szCs w:val="21"/>
                      <w:lang w:val="en-US" w:eastAsia="zh-CN"/>
                    </w:rPr>
                    <w:t>/h，用于煤气管道设有氮气吹扫系统；氮气主要用于：煤气紧急切断后的清扫置换气（同时预留蒸汽吹扫接口）；锅炉检修吹扫和检修后的保护气</w:t>
                  </w:r>
                </w:p>
              </w:tc>
              <w:tc>
                <w:tcPr>
                  <w:tcW w:w="426" w:type="pct"/>
                  <w:vMerge w:val="continue"/>
                  <w:tcBorders>
                    <w:tl2br w:val="nil"/>
                    <w:tr2bl w:val="nil"/>
                  </w:tcBorders>
                  <w:noWrap w:val="0"/>
                  <w:vAlign w:val="center"/>
                </w:tcPr>
                <w:p w14:paraId="7EB4661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r>
            <w:tr w14:paraId="2E9E29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90" w:hRule="atLeast"/>
                <w:jc w:val="center"/>
              </w:trPr>
              <w:tc>
                <w:tcPr>
                  <w:tcW w:w="436" w:type="pct"/>
                  <w:vMerge w:val="continue"/>
                  <w:tcBorders>
                    <w:right w:val="single" w:color="000000" w:sz="4" w:space="0"/>
                    <w:tl2br w:val="nil"/>
                    <w:tr2bl w:val="nil"/>
                  </w:tcBorders>
                  <w:noWrap w:val="0"/>
                  <w:vAlign w:val="center"/>
                </w:tcPr>
                <w:p w14:paraId="50943D1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eastAsia="zh-CN"/>
                    </w:rPr>
                  </w:pPr>
                </w:p>
              </w:tc>
              <w:tc>
                <w:tcPr>
                  <w:tcW w:w="548" w:type="pct"/>
                  <w:tcBorders>
                    <w:left w:val="single" w:color="000000" w:sz="4" w:space="0"/>
                    <w:tl2br w:val="nil"/>
                    <w:tr2bl w:val="nil"/>
                  </w:tcBorders>
                  <w:shd w:val="clear" w:color="auto" w:fill="auto"/>
                  <w:noWrap w:val="0"/>
                  <w:vAlign w:val="center"/>
                </w:tcPr>
                <w:p w14:paraId="2DCE45A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综合水泵房</w:t>
                  </w:r>
                </w:p>
              </w:tc>
              <w:tc>
                <w:tcPr>
                  <w:tcW w:w="3588" w:type="pct"/>
                  <w:tcBorders>
                    <w:tl2br w:val="nil"/>
                    <w:tr2bl w:val="nil"/>
                  </w:tcBorders>
                  <w:shd w:val="clear" w:color="auto" w:fill="auto"/>
                  <w:noWrap w:val="0"/>
                  <w:vAlign w:val="center"/>
                </w:tcPr>
                <w:p w14:paraId="26DD0B49">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vertAlign w:val="baseline"/>
                      <w:lang w:val="en-US" w:eastAsia="zh-CN"/>
                    </w:rPr>
                    <w:t>占地面积184m</w:t>
                  </w:r>
                  <w:r>
                    <w:rPr>
                      <w:rFonts w:hint="default" w:ascii="Times New Roman" w:hAnsi="Times New Roman" w:cs="Times New Roman"/>
                      <w:color w:val="auto"/>
                      <w:sz w:val="21"/>
                      <w:szCs w:val="21"/>
                      <w:vertAlign w:val="superscript"/>
                      <w:lang w:val="en-US" w:eastAsia="zh-CN"/>
                    </w:rPr>
                    <w:t>2</w:t>
                  </w:r>
                  <w:r>
                    <w:rPr>
                      <w:rFonts w:hint="default" w:ascii="Times New Roman" w:hAnsi="Times New Roman" w:cs="Times New Roman"/>
                      <w:color w:val="auto"/>
                      <w:sz w:val="21"/>
                      <w:szCs w:val="21"/>
                      <w:vertAlign w:val="baseline"/>
                      <w:lang w:val="en-US" w:eastAsia="zh-CN"/>
                    </w:rPr>
                    <w:t>，长23m，宽8m</w:t>
                  </w:r>
                </w:p>
              </w:tc>
              <w:tc>
                <w:tcPr>
                  <w:tcW w:w="426" w:type="pct"/>
                  <w:vMerge w:val="continue"/>
                  <w:tcBorders>
                    <w:tl2br w:val="nil"/>
                    <w:tr2bl w:val="nil"/>
                  </w:tcBorders>
                  <w:noWrap w:val="0"/>
                  <w:vAlign w:val="center"/>
                </w:tcPr>
                <w:p w14:paraId="222ECF2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r>
            <w:tr w14:paraId="076F8F4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right w:val="single" w:color="000000" w:sz="4" w:space="0"/>
                    <w:tl2br w:val="nil"/>
                    <w:tr2bl w:val="nil"/>
                  </w:tcBorders>
                  <w:noWrap w:val="0"/>
                  <w:vAlign w:val="center"/>
                </w:tcPr>
                <w:p w14:paraId="1302CA7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eastAsia="zh-CN"/>
                    </w:rPr>
                  </w:pPr>
                </w:p>
              </w:tc>
              <w:tc>
                <w:tcPr>
                  <w:tcW w:w="824" w:type="dxa"/>
                  <w:tcBorders>
                    <w:left w:val="single" w:color="000000" w:sz="4" w:space="0"/>
                    <w:tl2br w:val="nil"/>
                    <w:tr2bl w:val="nil"/>
                  </w:tcBorders>
                  <w:shd w:val="clear" w:color="auto" w:fill="auto"/>
                  <w:noWrap w:val="0"/>
                  <w:vAlign w:val="center"/>
                </w:tcPr>
                <w:p w14:paraId="68C16A7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事故油池</w:t>
                  </w:r>
                </w:p>
              </w:tc>
              <w:tc>
                <w:tcPr>
                  <w:tcW w:w="5394" w:type="dxa"/>
                  <w:tcBorders>
                    <w:tl2br w:val="nil"/>
                    <w:tr2bl w:val="nil"/>
                  </w:tcBorders>
                  <w:shd w:val="clear" w:color="auto" w:fill="auto"/>
                  <w:noWrap w:val="0"/>
                  <w:vAlign w:val="center"/>
                </w:tcPr>
                <w:p w14:paraId="7C4EF7F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位于汽机间的南侧，设置事故集油坑，容积30</w:t>
                  </w:r>
                  <w:r>
                    <w:rPr>
                      <w:rFonts w:hint="default" w:ascii="Times New Roman" w:hAnsi="Times New Roman" w:cs="Times New Roman"/>
                      <w:color w:val="auto"/>
                      <w:sz w:val="21"/>
                      <w:szCs w:val="21"/>
                      <w:vertAlign w:val="baseline"/>
                      <w:lang w:val="en-US" w:eastAsia="zh-CN"/>
                    </w:rPr>
                    <w:t>m</w:t>
                  </w:r>
                  <w:r>
                    <w:rPr>
                      <w:rFonts w:hint="default" w:ascii="Times New Roman" w:hAnsi="Times New Roman" w:cs="Times New Roman"/>
                      <w:color w:val="auto"/>
                      <w:sz w:val="21"/>
                      <w:szCs w:val="21"/>
                      <w:vertAlign w:val="superscript"/>
                      <w:lang w:val="en-US" w:eastAsia="zh-CN"/>
                    </w:rPr>
                    <w:t>3</w:t>
                  </w:r>
                </w:p>
              </w:tc>
              <w:tc>
                <w:tcPr>
                  <w:tcW w:w="426" w:type="pct"/>
                  <w:vMerge w:val="continue"/>
                  <w:tcBorders>
                    <w:tl2br w:val="nil"/>
                    <w:tr2bl w:val="nil"/>
                  </w:tcBorders>
                  <w:noWrap w:val="0"/>
                  <w:vAlign w:val="center"/>
                </w:tcPr>
                <w:p w14:paraId="13C7F99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r>
            <w:tr w14:paraId="12F61E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right w:val="single" w:color="000000" w:sz="4" w:space="0"/>
                    <w:tl2br w:val="nil"/>
                    <w:tr2bl w:val="nil"/>
                  </w:tcBorders>
                  <w:noWrap w:val="0"/>
                  <w:vAlign w:val="center"/>
                </w:tcPr>
                <w:p w14:paraId="722D444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eastAsia="zh-CN"/>
                    </w:rPr>
                  </w:pPr>
                </w:p>
              </w:tc>
              <w:tc>
                <w:tcPr>
                  <w:tcW w:w="548" w:type="pct"/>
                  <w:tcBorders>
                    <w:left w:val="single" w:color="000000" w:sz="4" w:space="0"/>
                    <w:tl2br w:val="nil"/>
                    <w:tr2bl w:val="nil"/>
                  </w:tcBorders>
                  <w:shd w:val="clear" w:color="auto" w:fill="auto"/>
                  <w:noWrap w:val="0"/>
                  <w:vAlign w:val="center"/>
                </w:tcPr>
                <w:p w14:paraId="3D60CBA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事故浆液池</w:t>
                  </w:r>
                </w:p>
              </w:tc>
              <w:tc>
                <w:tcPr>
                  <w:tcW w:w="3588" w:type="pct"/>
                  <w:tcBorders>
                    <w:tl2br w:val="nil"/>
                    <w:tr2bl w:val="nil"/>
                  </w:tcBorders>
                  <w:shd w:val="clear" w:color="auto" w:fill="auto"/>
                  <w:noWrap w:val="0"/>
                  <w:vAlign w:val="center"/>
                </w:tcPr>
                <w:p w14:paraId="7235CA7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位于脱硫综合楼一层地下，钢筋混凝土水池，用于脱硫浆液应急收集，容积370</w:t>
                  </w:r>
                  <w:r>
                    <w:rPr>
                      <w:rFonts w:hint="default" w:ascii="Times New Roman" w:hAnsi="Times New Roman" w:cs="Times New Roman"/>
                      <w:color w:val="auto"/>
                      <w:sz w:val="21"/>
                      <w:szCs w:val="21"/>
                      <w:vertAlign w:val="baseline"/>
                      <w:lang w:val="en-US" w:eastAsia="zh-CN"/>
                    </w:rPr>
                    <w:t>m</w:t>
                  </w:r>
                  <w:r>
                    <w:rPr>
                      <w:rFonts w:hint="default" w:ascii="Times New Roman" w:hAnsi="Times New Roman" w:cs="Times New Roman"/>
                      <w:color w:val="auto"/>
                      <w:sz w:val="21"/>
                      <w:szCs w:val="21"/>
                      <w:vertAlign w:val="superscript"/>
                      <w:lang w:val="en-US" w:eastAsia="zh-CN"/>
                    </w:rPr>
                    <w:t>3</w:t>
                  </w:r>
                </w:p>
              </w:tc>
              <w:tc>
                <w:tcPr>
                  <w:tcW w:w="426" w:type="pct"/>
                  <w:vMerge w:val="continue"/>
                  <w:tcBorders>
                    <w:tl2br w:val="nil"/>
                    <w:tr2bl w:val="nil"/>
                  </w:tcBorders>
                  <w:noWrap w:val="0"/>
                  <w:vAlign w:val="center"/>
                </w:tcPr>
                <w:p w14:paraId="4438301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r>
            <w:tr w14:paraId="383310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restart"/>
                  <w:tcBorders>
                    <w:tl2br w:val="nil"/>
                    <w:tr2bl w:val="nil"/>
                  </w:tcBorders>
                  <w:noWrap w:val="0"/>
                  <w:vAlign w:val="center"/>
                </w:tcPr>
                <w:p w14:paraId="32B30D9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储运工程</w:t>
                  </w:r>
                </w:p>
              </w:tc>
              <w:tc>
                <w:tcPr>
                  <w:tcW w:w="548" w:type="pct"/>
                  <w:tcBorders>
                    <w:tl2br w:val="nil"/>
                    <w:tr2bl w:val="nil"/>
                  </w:tcBorders>
                  <w:noWrap w:val="0"/>
                  <w:vAlign w:val="center"/>
                </w:tcPr>
                <w:p w14:paraId="622E4E5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煤气输送</w:t>
                  </w:r>
                </w:p>
              </w:tc>
              <w:tc>
                <w:tcPr>
                  <w:tcW w:w="3588" w:type="pct"/>
                  <w:tcBorders>
                    <w:tl2br w:val="nil"/>
                    <w:tr2bl w:val="nil"/>
                  </w:tcBorders>
                  <w:noWrap w:val="0"/>
                  <w:vAlign w:val="center"/>
                </w:tcPr>
                <w:p w14:paraId="39E8B9DA">
                  <w:pPr>
                    <w:numPr>
                      <w:ilvl w:val="0"/>
                      <w:numId w:val="0"/>
                    </w:numPr>
                    <w:ind w:firstLine="210" w:firstLineChars="100"/>
                    <w:jc w:val="center"/>
                    <w:rPr>
                      <w:rFonts w:hint="default" w:ascii="Times New Roman" w:hAnsi="Times New Roman" w:cs="Times New Roman"/>
                      <w:color w:val="auto"/>
                      <w:lang w:eastAsia="zh-CN"/>
                    </w:rPr>
                  </w:pPr>
                  <w:r>
                    <w:rPr>
                      <w:rFonts w:hint="default" w:ascii="Times New Roman" w:hAnsi="Times New Roman" w:cs="Times New Roman"/>
                      <w:color w:val="auto"/>
                      <w:lang w:val="en-US" w:eastAsia="zh-CN"/>
                    </w:rPr>
                    <w:t>厂内</w:t>
                  </w:r>
                  <w:r>
                    <w:rPr>
                      <w:rFonts w:hint="default" w:ascii="Times New Roman" w:hAnsi="Times New Roman" w:cs="Times New Roman"/>
                      <w:color w:val="auto"/>
                      <w:lang w:eastAsia="zh-CN"/>
                    </w:rPr>
                    <w:t>煤气母管</w:t>
                  </w:r>
                  <w:r>
                    <w:rPr>
                      <w:rFonts w:hint="default" w:ascii="Times New Roman" w:hAnsi="Times New Roman" w:cs="Times New Roman"/>
                      <w:color w:val="auto"/>
                      <w:lang w:val="en-US" w:eastAsia="zh-CN"/>
                    </w:rPr>
                    <w:t>DN1600，长度约130m；支管DN600，分为6根支管，每根支管长度约6m，共计36m。</w:t>
                  </w:r>
                </w:p>
                <w:p w14:paraId="2E31D3CE">
                  <w:pPr>
                    <w:numPr>
                      <w:ilvl w:val="0"/>
                      <w:numId w:val="0"/>
                    </w:numPr>
                    <w:ind w:leftChars="0"/>
                    <w:jc w:val="center"/>
                    <w:rPr>
                      <w:rFonts w:hint="default" w:ascii="Times New Roman" w:hAnsi="Times New Roman" w:cs="Times New Roman"/>
                      <w:color w:val="auto"/>
                      <w:lang w:val="en-US" w:eastAsia="zh-CN"/>
                    </w:rPr>
                  </w:pPr>
                  <w:r>
                    <w:rPr>
                      <w:rFonts w:hint="default" w:ascii="Times New Roman" w:hAnsi="Times New Roman" w:cs="Times New Roman"/>
                      <w:color w:val="auto"/>
                      <w:lang w:eastAsia="zh-CN"/>
                    </w:rPr>
                    <w:t>煤气加压风机：单台风机，煤气加压风机的布置位置为锅炉西侧，</w:t>
                  </w:r>
                  <w:r>
                    <w:rPr>
                      <w:rFonts w:hint="default" w:ascii="Times New Roman" w:hAnsi="Times New Roman" w:cs="Times New Roman"/>
                      <w:color w:val="auto"/>
                      <w:lang w:val="en-US" w:eastAsia="zh-CN"/>
                    </w:rPr>
                    <w:t>为架空管道。</w:t>
                  </w:r>
                </w:p>
              </w:tc>
              <w:tc>
                <w:tcPr>
                  <w:tcW w:w="426" w:type="pct"/>
                  <w:tcBorders>
                    <w:tl2br w:val="nil"/>
                    <w:tr2bl w:val="nil"/>
                  </w:tcBorders>
                  <w:noWrap w:val="0"/>
                  <w:vAlign w:val="center"/>
                </w:tcPr>
                <w:p w14:paraId="345E059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r w14:paraId="0BEA0A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7309D16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p>
              </w:tc>
              <w:tc>
                <w:tcPr>
                  <w:tcW w:w="548" w:type="pct"/>
                  <w:tcBorders>
                    <w:tl2br w:val="nil"/>
                    <w:tr2bl w:val="nil"/>
                  </w:tcBorders>
                  <w:noWrap w:val="0"/>
                  <w:vAlign w:val="center"/>
                </w:tcPr>
                <w:p w14:paraId="318EC93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石灰石粉仓</w:t>
                  </w:r>
                </w:p>
              </w:tc>
              <w:tc>
                <w:tcPr>
                  <w:tcW w:w="3588" w:type="pct"/>
                  <w:tcBorders>
                    <w:tl2br w:val="nil"/>
                    <w:tr2bl w:val="nil"/>
                  </w:tcBorders>
                  <w:noWrap w:val="0"/>
                  <w:vAlign w:val="center"/>
                </w:tcPr>
                <w:p w14:paraId="7EBD7CF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位于脱硫综合楼，直径φ5.5m，直段高8m，容积200m</w:t>
                  </w:r>
                  <w:r>
                    <w:rPr>
                      <w:rFonts w:hint="default" w:ascii="Times New Roman" w:hAnsi="Times New Roman" w:cs="Times New Roman"/>
                      <w:color w:val="auto"/>
                      <w:kern w:val="0"/>
                      <w:sz w:val="21"/>
                      <w:szCs w:val="21"/>
                      <w:vertAlign w:val="superscript"/>
                      <w:lang w:val="en-US" w:eastAsia="zh-CN"/>
                    </w:rPr>
                    <w:t>3</w:t>
                  </w:r>
                </w:p>
              </w:tc>
              <w:tc>
                <w:tcPr>
                  <w:tcW w:w="426" w:type="pct"/>
                  <w:tcBorders>
                    <w:tl2br w:val="nil"/>
                    <w:tr2bl w:val="nil"/>
                  </w:tcBorders>
                  <w:noWrap w:val="0"/>
                  <w:vAlign w:val="center"/>
                </w:tcPr>
                <w:p w14:paraId="451BD7C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r w14:paraId="7D73BA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1131EDF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p>
              </w:tc>
              <w:tc>
                <w:tcPr>
                  <w:tcW w:w="548" w:type="pct"/>
                  <w:tcBorders>
                    <w:tl2br w:val="nil"/>
                    <w:tr2bl w:val="nil"/>
                  </w:tcBorders>
                  <w:noWrap w:val="0"/>
                  <w:vAlign w:val="center"/>
                </w:tcPr>
                <w:p w14:paraId="59B810C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尿素贮仓</w:t>
                  </w:r>
                </w:p>
              </w:tc>
              <w:tc>
                <w:tcPr>
                  <w:tcW w:w="3588" w:type="pct"/>
                  <w:tcBorders>
                    <w:tl2br w:val="nil"/>
                    <w:tr2bl w:val="nil"/>
                  </w:tcBorders>
                  <w:noWrap w:val="0"/>
                  <w:vAlign w:val="center"/>
                </w:tcPr>
                <w:p w14:paraId="42FD8D9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位于辅助车间综合楼，尿素颗粒储仓的容量按全厂脱硝系统设计工况下连续运行3～5d（每天按24h计）</w:t>
                  </w:r>
                </w:p>
              </w:tc>
              <w:tc>
                <w:tcPr>
                  <w:tcW w:w="426" w:type="pct"/>
                  <w:tcBorders>
                    <w:tl2br w:val="nil"/>
                    <w:tr2bl w:val="nil"/>
                  </w:tcBorders>
                  <w:noWrap w:val="0"/>
                  <w:vAlign w:val="center"/>
                </w:tcPr>
                <w:p w14:paraId="3A3CB4D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新建</w:t>
                  </w:r>
                </w:p>
              </w:tc>
            </w:tr>
            <w:tr w14:paraId="77A707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263E8AF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p>
              </w:tc>
              <w:tc>
                <w:tcPr>
                  <w:tcW w:w="548" w:type="pct"/>
                  <w:tcBorders>
                    <w:tl2br w:val="nil"/>
                    <w:tr2bl w:val="nil"/>
                  </w:tcBorders>
                  <w:noWrap w:val="0"/>
                  <w:vAlign w:val="center"/>
                </w:tcPr>
                <w:p w14:paraId="76411C3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回用水池</w:t>
                  </w:r>
                </w:p>
              </w:tc>
              <w:tc>
                <w:tcPr>
                  <w:tcW w:w="3588" w:type="pct"/>
                  <w:tcBorders>
                    <w:tl2br w:val="nil"/>
                    <w:tr2bl w:val="nil"/>
                  </w:tcBorders>
                  <w:noWrap w:val="0"/>
                  <w:vAlign w:val="center"/>
                </w:tcPr>
                <w:p w14:paraId="157923C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用于</w:t>
                  </w:r>
                  <w:r>
                    <w:rPr>
                      <w:rFonts w:hint="default" w:ascii="Times New Roman" w:hAnsi="Times New Roman" w:eastAsia="宋体" w:cs="Times New Roman"/>
                      <w:color w:val="auto"/>
                      <w:spacing w:val="0"/>
                      <w:sz w:val="21"/>
                      <w:szCs w:val="21"/>
                      <w:lang w:val="en-US" w:eastAsia="zh-CN" w:bidi="ar-SA"/>
                    </w:rPr>
                    <w:t>冷却系统排污废水、软水制备废水和中和处理后的化验室常规检验废水的中转，容积10m</w:t>
                  </w:r>
                  <w:r>
                    <w:rPr>
                      <w:rFonts w:hint="default" w:ascii="Times New Roman" w:hAnsi="Times New Roman" w:eastAsia="宋体" w:cs="Times New Roman"/>
                      <w:color w:val="auto"/>
                      <w:spacing w:val="0"/>
                      <w:sz w:val="21"/>
                      <w:szCs w:val="21"/>
                      <w:vertAlign w:val="superscript"/>
                      <w:lang w:val="en-US" w:eastAsia="zh-CN" w:bidi="ar-SA"/>
                    </w:rPr>
                    <w:t>3</w:t>
                  </w:r>
                </w:p>
              </w:tc>
              <w:tc>
                <w:tcPr>
                  <w:tcW w:w="426" w:type="pct"/>
                  <w:tcBorders>
                    <w:tl2br w:val="nil"/>
                    <w:tr2bl w:val="nil"/>
                  </w:tcBorders>
                  <w:noWrap w:val="0"/>
                  <w:vAlign w:val="center"/>
                </w:tcPr>
                <w:p w14:paraId="2B3D293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r w14:paraId="08DEE0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616BFDA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p>
              </w:tc>
              <w:tc>
                <w:tcPr>
                  <w:tcW w:w="548" w:type="pct"/>
                  <w:tcBorders>
                    <w:tl2br w:val="nil"/>
                    <w:tr2bl w:val="nil"/>
                  </w:tcBorders>
                  <w:noWrap w:val="0"/>
                  <w:vAlign w:val="center"/>
                </w:tcPr>
                <w:p w14:paraId="65E85C5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定排坑</w:t>
                  </w:r>
                </w:p>
              </w:tc>
              <w:tc>
                <w:tcPr>
                  <w:tcW w:w="3588" w:type="pct"/>
                  <w:tcBorders>
                    <w:tl2br w:val="nil"/>
                    <w:tr2bl w:val="nil"/>
                  </w:tcBorders>
                  <w:noWrap w:val="0"/>
                  <w:vAlign w:val="center"/>
                </w:tcPr>
                <w:p w14:paraId="47D73E4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pacing w:val="0"/>
                      <w:sz w:val="21"/>
                      <w:szCs w:val="21"/>
                      <w:lang w:val="en-US" w:eastAsia="zh-CN" w:bidi="ar-SA"/>
                    </w:rPr>
                    <w:t>锅炉定期排污水通过排污扩容器减压后排至排污降温池，与新鲜水进行混合冷却，降温后用于脱硫系统，容积50m</w:t>
                  </w:r>
                  <w:r>
                    <w:rPr>
                      <w:rFonts w:hint="default" w:ascii="Times New Roman" w:hAnsi="Times New Roman" w:eastAsia="宋体" w:cs="Times New Roman"/>
                      <w:color w:val="auto"/>
                      <w:spacing w:val="0"/>
                      <w:sz w:val="21"/>
                      <w:szCs w:val="21"/>
                      <w:vertAlign w:val="superscript"/>
                      <w:lang w:val="en-US" w:eastAsia="zh-CN" w:bidi="ar-SA"/>
                    </w:rPr>
                    <w:t>3</w:t>
                  </w:r>
                </w:p>
              </w:tc>
              <w:tc>
                <w:tcPr>
                  <w:tcW w:w="426" w:type="pct"/>
                  <w:tcBorders>
                    <w:tl2br w:val="nil"/>
                    <w:tr2bl w:val="nil"/>
                  </w:tcBorders>
                  <w:noWrap w:val="0"/>
                  <w:vAlign w:val="center"/>
                </w:tcPr>
                <w:p w14:paraId="3DC9537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r w14:paraId="3D49D5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restart"/>
                  <w:tcBorders>
                    <w:tl2br w:val="nil"/>
                    <w:tr2bl w:val="nil"/>
                  </w:tcBorders>
                  <w:noWrap w:val="0"/>
                  <w:vAlign w:val="center"/>
                </w:tcPr>
                <w:p w14:paraId="28EE223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公用工程</w:t>
                  </w:r>
                </w:p>
              </w:tc>
              <w:tc>
                <w:tcPr>
                  <w:tcW w:w="548" w:type="pct"/>
                  <w:tcBorders>
                    <w:tl2br w:val="nil"/>
                    <w:tr2bl w:val="nil"/>
                  </w:tcBorders>
                  <w:noWrap w:val="0"/>
                  <w:vAlign w:val="center"/>
                </w:tcPr>
                <w:p w14:paraId="47799480">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供热</w:t>
                  </w:r>
                </w:p>
              </w:tc>
              <w:tc>
                <w:tcPr>
                  <w:tcW w:w="3588" w:type="pct"/>
                  <w:tcBorders>
                    <w:tl2br w:val="nil"/>
                    <w:tr2bl w:val="nil"/>
                  </w:tcBorders>
                  <w:noWrap w:val="0"/>
                  <w:vAlign w:val="center"/>
                </w:tcPr>
                <w:p w14:paraId="724BB4B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兰炭区域采暖热水由本机组新建换热站提供，换热站热源为汽轮机第四级抽汽蒸汽，同时供给本机组主厂房及辅助用房采暖。</w:t>
                  </w:r>
                </w:p>
              </w:tc>
              <w:tc>
                <w:tcPr>
                  <w:tcW w:w="426" w:type="pct"/>
                  <w:tcBorders>
                    <w:tl2br w:val="nil"/>
                    <w:tr2bl w:val="nil"/>
                  </w:tcBorders>
                  <w:noWrap w:val="0"/>
                  <w:vAlign w:val="center"/>
                </w:tcPr>
                <w:p w14:paraId="0B804C4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新建</w:t>
                  </w:r>
                </w:p>
              </w:tc>
            </w:tr>
            <w:tr w14:paraId="50A65B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0CDF3F5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tcBorders>
                    <w:tl2br w:val="nil"/>
                    <w:tr2bl w:val="nil"/>
                  </w:tcBorders>
                  <w:noWrap w:val="0"/>
                  <w:vAlign w:val="center"/>
                </w:tcPr>
                <w:p w14:paraId="42A057E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供气</w:t>
                  </w:r>
                </w:p>
              </w:tc>
              <w:tc>
                <w:tcPr>
                  <w:tcW w:w="3588" w:type="pct"/>
                  <w:tcBorders>
                    <w:tl2br w:val="nil"/>
                    <w:tr2bl w:val="nil"/>
                  </w:tcBorders>
                  <w:noWrap w:val="0"/>
                  <w:vAlign w:val="center"/>
                </w:tcPr>
                <w:p w14:paraId="2E46376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吉木萨尔县恒信煤炭制品工贸有限公司120万吨煤制品深加工升级改造项目兰炭副产煤气，煤气母管目前已敷设至本项目北侧红线外约50m处，管径为DN1600</w:t>
                  </w:r>
                </w:p>
              </w:tc>
              <w:tc>
                <w:tcPr>
                  <w:tcW w:w="426" w:type="pct"/>
                  <w:tcBorders>
                    <w:tl2br w:val="nil"/>
                    <w:tr2bl w:val="nil"/>
                  </w:tcBorders>
                  <w:noWrap w:val="0"/>
                  <w:vAlign w:val="center"/>
                </w:tcPr>
                <w:p w14:paraId="07E47F3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依托</w:t>
                  </w:r>
                </w:p>
              </w:tc>
            </w:tr>
            <w:tr w14:paraId="049FDA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90" w:hRule="atLeast"/>
                <w:jc w:val="center"/>
              </w:trPr>
              <w:tc>
                <w:tcPr>
                  <w:tcW w:w="436" w:type="pct"/>
                  <w:vMerge w:val="continue"/>
                  <w:tcBorders>
                    <w:tl2br w:val="nil"/>
                    <w:tr2bl w:val="nil"/>
                  </w:tcBorders>
                  <w:noWrap w:val="0"/>
                  <w:vAlign w:val="center"/>
                </w:tcPr>
                <w:p w14:paraId="48DF5F8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tcBorders>
                    <w:tl2br w:val="nil"/>
                    <w:tr2bl w:val="nil"/>
                  </w:tcBorders>
                  <w:noWrap w:val="0"/>
                  <w:vAlign w:val="center"/>
                </w:tcPr>
                <w:p w14:paraId="0E85F51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供电</w:t>
                  </w:r>
                </w:p>
              </w:tc>
              <w:tc>
                <w:tcPr>
                  <w:tcW w:w="3588" w:type="pct"/>
                  <w:tcBorders>
                    <w:tl2br w:val="nil"/>
                    <w:tr2bl w:val="nil"/>
                  </w:tcBorders>
                  <w:noWrap w:val="0"/>
                  <w:vAlign w:val="center"/>
                </w:tcPr>
                <w:p w14:paraId="64D255A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发电厂设置1套启动/备用电源系统，电源引自厂区内业主指定的35</w:t>
                  </w:r>
                  <w:r>
                    <w:rPr>
                      <w:rFonts w:hint="eastAsia" w:cs="Times New Roman"/>
                      <w:color w:val="auto"/>
                      <w:sz w:val="21"/>
                      <w:szCs w:val="21"/>
                      <w:lang w:val="en-US" w:eastAsia="zh-CN"/>
                    </w:rPr>
                    <w:t>kV</w:t>
                  </w:r>
                  <w:r>
                    <w:rPr>
                      <w:rFonts w:hint="default" w:ascii="Times New Roman" w:hAnsi="Times New Roman" w:cs="Times New Roman"/>
                      <w:color w:val="auto"/>
                      <w:spacing w:val="16"/>
                      <w:sz w:val="21"/>
                      <w:szCs w:val="21"/>
                      <w:lang w:val="en-US" w:eastAsia="zh-CN"/>
                    </w:rPr>
                    <w:t>升压</w:t>
                  </w:r>
                  <w:r>
                    <w:rPr>
                      <w:rFonts w:hint="default" w:ascii="Times New Roman" w:hAnsi="Times New Roman" w:cs="Times New Roman"/>
                      <w:color w:val="auto"/>
                      <w:spacing w:val="16"/>
                      <w:sz w:val="21"/>
                      <w:szCs w:val="21"/>
                    </w:rPr>
                    <w:t>站</w:t>
                  </w:r>
                  <w:r>
                    <w:rPr>
                      <w:rFonts w:hint="default" w:ascii="Times New Roman" w:hAnsi="Times New Roman" w:cs="Times New Roman"/>
                      <w:color w:val="auto"/>
                      <w:sz w:val="21"/>
                      <w:szCs w:val="21"/>
                      <w:lang w:val="en-US" w:eastAsia="zh-CN"/>
                    </w:rPr>
                    <w:t>10</w:t>
                  </w:r>
                  <w:r>
                    <w:rPr>
                      <w:rFonts w:hint="eastAsia" w:cs="Times New Roman"/>
                      <w:color w:val="auto"/>
                      <w:sz w:val="21"/>
                      <w:szCs w:val="21"/>
                      <w:lang w:val="en-US" w:eastAsia="zh-CN"/>
                    </w:rPr>
                    <w:t>kV</w:t>
                  </w:r>
                  <w:r>
                    <w:rPr>
                      <w:rFonts w:hint="default" w:ascii="Times New Roman" w:hAnsi="Times New Roman" w:cs="Times New Roman"/>
                      <w:color w:val="auto"/>
                      <w:sz w:val="21"/>
                      <w:szCs w:val="21"/>
                      <w:lang w:val="en-US" w:eastAsia="zh-CN"/>
                    </w:rPr>
                    <w:t>母线段。10</w:t>
                  </w:r>
                  <w:r>
                    <w:rPr>
                      <w:rFonts w:hint="eastAsia" w:cs="Times New Roman"/>
                      <w:color w:val="auto"/>
                      <w:sz w:val="21"/>
                      <w:szCs w:val="21"/>
                      <w:lang w:val="en-US" w:eastAsia="zh-CN"/>
                    </w:rPr>
                    <w:t>kV</w:t>
                  </w:r>
                  <w:r>
                    <w:rPr>
                      <w:rFonts w:hint="default" w:ascii="Times New Roman" w:hAnsi="Times New Roman" w:cs="Times New Roman"/>
                      <w:color w:val="auto"/>
                      <w:sz w:val="21"/>
                      <w:szCs w:val="21"/>
                      <w:lang w:val="en-US" w:eastAsia="zh-CN"/>
                    </w:rPr>
                    <w:t>启备电源配电装置采用单母线接线方式，并通过1母联断路器及隔离柜与机组的10</w:t>
                  </w:r>
                  <w:r>
                    <w:rPr>
                      <w:rFonts w:hint="eastAsia" w:cs="Times New Roman"/>
                      <w:color w:val="auto"/>
                      <w:sz w:val="21"/>
                      <w:szCs w:val="21"/>
                      <w:lang w:val="en-US" w:eastAsia="zh-CN"/>
                    </w:rPr>
                    <w:t>kV</w:t>
                  </w:r>
                  <w:r>
                    <w:rPr>
                      <w:rFonts w:hint="default" w:ascii="Times New Roman" w:hAnsi="Times New Roman" w:cs="Times New Roman"/>
                      <w:color w:val="auto"/>
                      <w:sz w:val="21"/>
                      <w:szCs w:val="21"/>
                      <w:lang w:val="en-US" w:eastAsia="zh-CN"/>
                    </w:rPr>
                    <w:t>厂用电系统联接</w:t>
                  </w:r>
                </w:p>
              </w:tc>
              <w:tc>
                <w:tcPr>
                  <w:tcW w:w="426" w:type="pct"/>
                  <w:tcBorders>
                    <w:tl2br w:val="nil"/>
                    <w:tr2bl w:val="nil"/>
                  </w:tcBorders>
                  <w:noWrap w:val="0"/>
                  <w:vAlign w:val="center"/>
                </w:tcPr>
                <w:p w14:paraId="359F760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en-US" w:eastAsia="zh-CN"/>
                    </w:rPr>
                    <w:t>新建，</w:t>
                  </w:r>
                  <w:r>
                    <w:rPr>
                      <w:rFonts w:hint="default" w:ascii="Times New Roman" w:hAnsi="Times New Roman" w:eastAsia="宋体" w:cs="Times New Roman"/>
                      <w:color w:val="auto"/>
                      <w:sz w:val="21"/>
                      <w:szCs w:val="21"/>
                    </w:rPr>
                    <w:t>依托</w:t>
                  </w:r>
                </w:p>
              </w:tc>
            </w:tr>
            <w:tr w14:paraId="3A9EA2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5A9F779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tcBorders>
                    <w:tl2br w:val="nil"/>
                    <w:tr2bl w:val="nil"/>
                  </w:tcBorders>
                  <w:noWrap w:val="0"/>
                  <w:vAlign w:val="center"/>
                </w:tcPr>
                <w:p w14:paraId="73053D7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供水</w:t>
                  </w:r>
                </w:p>
              </w:tc>
              <w:tc>
                <w:tcPr>
                  <w:tcW w:w="3588" w:type="pct"/>
                  <w:tcBorders>
                    <w:tl2br w:val="nil"/>
                    <w:tr2bl w:val="nil"/>
                  </w:tcBorders>
                  <w:noWrap w:val="0"/>
                  <w:vAlign w:val="center"/>
                </w:tcPr>
                <w:p w14:paraId="0454816B">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生产给水系统、消防给水系统、生活给水系统分别就近接厂区现有生产给水管网、消防给水管网及生活给水管网。</w:t>
                  </w:r>
                </w:p>
              </w:tc>
              <w:tc>
                <w:tcPr>
                  <w:tcW w:w="426" w:type="pct"/>
                  <w:tcBorders>
                    <w:tl2br w:val="nil"/>
                    <w:tr2bl w:val="nil"/>
                  </w:tcBorders>
                  <w:noWrap w:val="0"/>
                  <w:vAlign w:val="center"/>
                </w:tcPr>
                <w:p w14:paraId="7172676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依托</w:t>
                  </w:r>
                </w:p>
              </w:tc>
            </w:tr>
            <w:tr w14:paraId="7192F77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192CFB5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tcBorders>
                    <w:tl2br w:val="nil"/>
                    <w:tr2bl w:val="nil"/>
                  </w:tcBorders>
                  <w:noWrap w:val="0"/>
                  <w:vAlign w:val="center"/>
                </w:tcPr>
                <w:p w14:paraId="452060E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排水</w:t>
                  </w:r>
                </w:p>
              </w:tc>
              <w:tc>
                <w:tcPr>
                  <w:tcW w:w="3588" w:type="pct"/>
                  <w:tcBorders>
                    <w:tl2br w:val="nil"/>
                    <w:tr2bl w:val="nil"/>
                  </w:tcBorders>
                  <w:noWrap w:val="0"/>
                  <w:vAlign w:val="center"/>
                </w:tcPr>
                <w:p w14:paraId="476BCF6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厂内建设排污管道排至吉木萨尔县恒信煤炭制品工贸有限公司120万吨煤制品深加工升级改造项目厂内食宿区生活区的地埋式一体化污水处理设备处理后，冬储夏灌。</w:t>
                  </w:r>
                </w:p>
              </w:tc>
              <w:tc>
                <w:tcPr>
                  <w:tcW w:w="426" w:type="pct"/>
                  <w:tcBorders>
                    <w:tl2br w:val="nil"/>
                    <w:tr2bl w:val="nil"/>
                  </w:tcBorders>
                  <w:noWrap w:val="0"/>
                  <w:vAlign w:val="center"/>
                </w:tcPr>
                <w:p w14:paraId="365B746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依托</w:t>
                  </w:r>
                </w:p>
              </w:tc>
            </w:tr>
            <w:tr w14:paraId="64323E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restart"/>
                  <w:tcBorders>
                    <w:tl2br w:val="nil"/>
                    <w:tr2bl w:val="nil"/>
                  </w:tcBorders>
                  <w:noWrap w:val="0"/>
                  <w:vAlign w:val="center"/>
                </w:tcPr>
                <w:p w14:paraId="6B93AD6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环保</w:t>
                  </w:r>
                </w:p>
                <w:p w14:paraId="05F1E07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工程</w:t>
                  </w:r>
                </w:p>
              </w:tc>
              <w:tc>
                <w:tcPr>
                  <w:tcW w:w="548" w:type="pct"/>
                  <w:vMerge w:val="restart"/>
                  <w:tcBorders>
                    <w:tl2br w:val="nil"/>
                    <w:tr2bl w:val="nil"/>
                  </w:tcBorders>
                  <w:noWrap w:val="0"/>
                  <w:vAlign w:val="center"/>
                </w:tcPr>
                <w:p w14:paraId="42BE8FA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val="en-US" w:eastAsia="zh-CN" w:bidi="ar-SA"/>
                    </w:rPr>
                    <w:t>废气</w:t>
                  </w:r>
                </w:p>
              </w:tc>
              <w:tc>
                <w:tcPr>
                  <w:tcW w:w="3588" w:type="pct"/>
                  <w:tcBorders>
                    <w:tl2br w:val="nil"/>
                    <w:tr2bl w:val="nil"/>
                  </w:tcBorders>
                  <w:noWrap w:val="0"/>
                  <w:vAlign w:val="center"/>
                </w:tcPr>
                <w:p w14:paraId="1165806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（1）煤气燃烧烟气：经“低氮燃烧器+SCR脱硝（去除效率80%）+</w:t>
                  </w:r>
                  <w:r>
                    <w:rPr>
                      <w:rFonts w:hint="default" w:ascii="Times New Roman" w:hAnsi="Times New Roman" w:eastAsia="宋体" w:cs="Times New Roman"/>
                      <w:i w:val="0"/>
                      <w:iCs w:val="0"/>
                      <w:color w:val="auto"/>
                      <w:kern w:val="0"/>
                      <w:sz w:val="21"/>
                      <w:szCs w:val="21"/>
                      <w:u w:val="none"/>
                      <w:lang w:val="en-US" w:eastAsia="zh-CN" w:bidi="ar"/>
                    </w:rPr>
                    <w:t>石灰（石）-石膏湿法脱硫+高效除雾器协同除尘+湿式电除尘器</w:t>
                  </w:r>
                  <w:r>
                    <w:rPr>
                      <w:rFonts w:hint="default" w:ascii="Times New Roman" w:hAnsi="Times New Roman" w:cs="Times New Roman"/>
                      <w:color w:val="auto"/>
                      <w:sz w:val="21"/>
                      <w:szCs w:val="21"/>
                      <w:lang w:val="en-US" w:eastAsia="zh-CN"/>
                    </w:rPr>
                    <w:t>（二氧化硫去除效率95%，颗粒物去除效率95%）”处理后，通过60m高排气筒（DA001）排放</w:t>
                  </w:r>
                  <w:r>
                    <w:rPr>
                      <w:rFonts w:hint="default" w:ascii="Times New Roman" w:hAnsi="Times New Roman" w:eastAsia="宋体" w:cs="Times New Roman"/>
                      <w:color w:val="auto"/>
                      <w:sz w:val="21"/>
                      <w:szCs w:val="21"/>
                      <w:lang w:val="en-US" w:eastAsia="zh-CN"/>
                    </w:rPr>
                    <w:t>至大气环境中，并安装在线监测系统（CEMS）</w:t>
                  </w:r>
                </w:p>
              </w:tc>
              <w:tc>
                <w:tcPr>
                  <w:tcW w:w="426" w:type="pct"/>
                  <w:tcBorders>
                    <w:tl2br w:val="nil"/>
                    <w:tr2bl w:val="nil"/>
                  </w:tcBorders>
                  <w:noWrap w:val="0"/>
                  <w:vAlign w:val="center"/>
                </w:tcPr>
                <w:p w14:paraId="14F4756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r>
            <w:tr w14:paraId="6E7D8C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028146E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vMerge w:val="continue"/>
                  <w:tcBorders>
                    <w:tl2br w:val="nil"/>
                    <w:tr2bl w:val="nil"/>
                  </w:tcBorders>
                  <w:noWrap w:val="0"/>
                  <w:vAlign w:val="center"/>
                </w:tcPr>
                <w:p w14:paraId="7DBD4FC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pacing w:val="0"/>
                      <w:sz w:val="21"/>
                      <w:szCs w:val="21"/>
                      <w:lang w:val="en-US" w:eastAsia="zh-CN" w:bidi="ar-SA"/>
                    </w:rPr>
                  </w:pPr>
                </w:p>
              </w:tc>
              <w:tc>
                <w:tcPr>
                  <w:tcW w:w="3588" w:type="pct"/>
                  <w:tcBorders>
                    <w:tl2br w:val="nil"/>
                    <w:tr2bl w:val="nil"/>
                  </w:tcBorders>
                  <w:noWrap w:val="0"/>
                  <w:vAlign w:val="center"/>
                </w:tcPr>
                <w:p w14:paraId="65EFB55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（2）脱硝过程氨还原剂需符合《火电厂烟气脱硝工程技术规范选择性催化还原法》（HJ562-2010）中6.3.3尿素还原剂的相关要求</w:t>
                  </w:r>
                </w:p>
              </w:tc>
              <w:tc>
                <w:tcPr>
                  <w:tcW w:w="426" w:type="pct"/>
                  <w:tcBorders>
                    <w:tl2br w:val="nil"/>
                    <w:tr2bl w:val="nil"/>
                  </w:tcBorders>
                  <w:noWrap w:val="0"/>
                  <w:vAlign w:val="center"/>
                </w:tcPr>
                <w:p w14:paraId="7DDABFD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r>
            <w:tr w14:paraId="198A26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2F9E40E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vMerge w:val="continue"/>
                  <w:tcBorders>
                    <w:tl2br w:val="nil"/>
                    <w:tr2bl w:val="nil"/>
                  </w:tcBorders>
                  <w:noWrap w:val="0"/>
                  <w:vAlign w:val="center"/>
                </w:tcPr>
                <w:p w14:paraId="53E31C7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pacing w:val="0"/>
                      <w:sz w:val="21"/>
                      <w:szCs w:val="21"/>
                      <w:lang w:val="en-US" w:eastAsia="zh-CN" w:bidi="ar-SA"/>
                    </w:rPr>
                  </w:pPr>
                </w:p>
              </w:tc>
              <w:tc>
                <w:tcPr>
                  <w:tcW w:w="3588" w:type="pct"/>
                  <w:tcBorders>
                    <w:tl2br w:val="nil"/>
                    <w:tr2bl w:val="nil"/>
                  </w:tcBorders>
                  <w:noWrap w:val="0"/>
                  <w:vAlign w:val="center"/>
                </w:tcPr>
                <w:p w14:paraId="6B3F9E8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val="en-US" w:eastAsia="zh-CN" w:bidi="ar-SA"/>
                    </w:rPr>
                    <w:t>（3）石灰石粉装卸采用密闭罐车配置卸载设备，石灰石粉投料粉尘经粉仓自带脉冲式袋式除尘器处理后（除尘效率99%）经仓顶排气口以无组织的形式排放至大气环境中</w:t>
                  </w:r>
                </w:p>
              </w:tc>
              <w:tc>
                <w:tcPr>
                  <w:tcW w:w="426" w:type="pct"/>
                  <w:tcBorders>
                    <w:tl2br w:val="nil"/>
                    <w:tr2bl w:val="nil"/>
                  </w:tcBorders>
                  <w:noWrap w:val="0"/>
                  <w:vAlign w:val="center"/>
                </w:tcPr>
                <w:p w14:paraId="016A9C7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r>
            <w:tr w14:paraId="6102A0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4BB5E7F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vMerge w:val="restart"/>
                  <w:tcBorders>
                    <w:tl2br w:val="nil"/>
                    <w:tr2bl w:val="nil"/>
                  </w:tcBorders>
                  <w:noWrap w:val="0"/>
                  <w:vAlign w:val="center"/>
                </w:tcPr>
                <w:p w14:paraId="7440869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废水</w:t>
                  </w:r>
                </w:p>
              </w:tc>
              <w:tc>
                <w:tcPr>
                  <w:tcW w:w="3588" w:type="pct"/>
                  <w:tcBorders>
                    <w:tl2br w:val="nil"/>
                    <w:tr2bl w:val="nil"/>
                  </w:tcBorders>
                  <w:noWrap w:val="0"/>
                  <w:vAlign w:val="center"/>
                </w:tcPr>
                <w:p w14:paraId="4BC1A1E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val="en-US" w:eastAsia="zh-CN" w:bidi="ar-SA"/>
                    </w:rPr>
                    <w:t>（1）生活污水：厂内建设排污管道排至吉木萨尔县恒信煤炭制品工贸有限公司120万吨煤制品深加工升级改造项目厂内食宿区生活区的地埋式一体化污水处理设备处理后，冬储夏灌</w:t>
                  </w:r>
                </w:p>
              </w:tc>
              <w:tc>
                <w:tcPr>
                  <w:tcW w:w="426" w:type="pct"/>
                  <w:tcBorders>
                    <w:tl2br w:val="nil"/>
                    <w:tr2bl w:val="nil"/>
                  </w:tcBorders>
                  <w:noWrap w:val="0"/>
                  <w:vAlign w:val="center"/>
                </w:tcPr>
                <w:p w14:paraId="613AF4C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en-US" w:eastAsia="zh-CN"/>
                    </w:rPr>
                    <w:t>/</w:t>
                  </w:r>
                </w:p>
              </w:tc>
            </w:tr>
            <w:tr w14:paraId="3F209C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90" w:hRule="atLeast"/>
                <w:jc w:val="center"/>
              </w:trPr>
              <w:tc>
                <w:tcPr>
                  <w:tcW w:w="436" w:type="pct"/>
                  <w:vMerge w:val="continue"/>
                  <w:tcBorders>
                    <w:tl2br w:val="nil"/>
                    <w:tr2bl w:val="nil"/>
                  </w:tcBorders>
                  <w:noWrap w:val="0"/>
                  <w:vAlign w:val="center"/>
                </w:tcPr>
                <w:p w14:paraId="366506D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vMerge w:val="continue"/>
                  <w:tcBorders>
                    <w:tl2br w:val="nil"/>
                    <w:tr2bl w:val="nil"/>
                  </w:tcBorders>
                  <w:noWrap w:val="0"/>
                  <w:vAlign w:val="center"/>
                </w:tcPr>
                <w:p w14:paraId="741EB6F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lang w:val="en-US" w:eastAsia="zh-CN"/>
                    </w:rPr>
                  </w:pPr>
                </w:p>
              </w:tc>
              <w:tc>
                <w:tcPr>
                  <w:tcW w:w="3588" w:type="pct"/>
                  <w:tcBorders>
                    <w:tl2br w:val="nil"/>
                    <w:tr2bl w:val="nil"/>
                  </w:tcBorders>
                  <w:noWrap w:val="0"/>
                  <w:vAlign w:val="center"/>
                </w:tcPr>
                <w:p w14:paraId="544DE20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val="en-US" w:eastAsia="zh-CN" w:bidi="ar-SA"/>
                    </w:rPr>
                    <w:t>（2）生产废水：锅炉定期排污废水排入定排坑、冷却系统排污废水、软水制备废水和中和处理后的化验室常规检验废水均排入回收水池后作为脱硫系统用水，定期排污水的脱硫废水，用于石灰石粉卸料和运输过程抑尘。无外排生产废水</w:t>
                  </w:r>
                </w:p>
              </w:tc>
              <w:tc>
                <w:tcPr>
                  <w:tcW w:w="426" w:type="pct"/>
                  <w:tcBorders>
                    <w:tl2br w:val="nil"/>
                    <w:tr2bl w:val="nil"/>
                  </w:tcBorders>
                  <w:noWrap w:val="0"/>
                  <w:vAlign w:val="center"/>
                </w:tcPr>
                <w:p w14:paraId="66D8ADE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r>
            <w:tr w14:paraId="26AF9C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635ED34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tcBorders>
                    <w:tl2br w:val="nil"/>
                    <w:tr2bl w:val="nil"/>
                  </w:tcBorders>
                  <w:noWrap w:val="0"/>
                  <w:vAlign w:val="center"/>
                </w:tcPr>
                <w:p w14:paraId="36E5446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噪声</w:t>
                  </w:r>
                </w:p>
              </w:tc>
              <w:tc>
                <w:tcPr>
                  <w:tcW w:w="3588" w:type="pct"/>
                  <w:tcBorders>
                    <w:tl2br w:val="nil"/>
                    <w:tr2bl w:val="nil"/>
                  </w:tcBorders>
                  <w:noWrap w:val="0"/>
                  <w:vAlign w:val="center"/>
                </w:tcPr>
                <w:p w14:paraId="5E110879">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val="en-US" w:eastAsia="zh-CN" w:bidi="ar-SA"/>
                    </w:rPr>
                    <w:t>选用低噪声设备，对高噪音设备减振弹性垫层铺设，在设备底座与基础之间加装减振垫/减振器，利用墙体阻隔衰减，确保厂界噪声达标</w:t>
                  </w:r>
                </w:p>
              </w:tc>
              <w:tc>
                <w:tcPr>
                  <w:tcW w:w="426" w:type="pct"/>
                  <w:tcBorders>
                    <w:tl2br w:val="nil"/>
                    <w:tr2bl w:val="nil"/>
                  </w:tcBorders>
                  <w:noWrap w:val="0"/>
                  <w:vAlign w:val="center"/>
                </w:tcPr>
                <w:p w14:paraId="377B7A52">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en-US" w:eastAsia="zh-CN"/>
                    </w:rPr>
                    <w:t>/</w:t>
                  </w:r>
                </w:p>
              </w:tc>
            </w:tr>
            <w:tr w14:paraId="4BC59B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28B6A72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tcBorders>
                    <w:right w:val="single" w:color="auto" w:sz="4" w:space="0"/>
                    <w:tl2br w:val="nil"/>
                    <w:tr2bl w:val="nil"/>
                  </w:tcBorders>
                  <w:noWrap w:val="0"/>
                  <w:vAlign w:val="center"/>
                </w:tcPr>
                <w:p w14:paraId="5BAAAB0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生活垃圾</w:t>
                  </w:r>
                </w:p>
              </w:tc>
              <w:tc>
                <w:tcPr>
                  <w:tcW w:w="3588" w:type="pct"/>
                  <w:tcBorders>
                    <w:right w:val="single" w:color="000000" w:sz="4" w:space="0"/>
                    <w:tl2br w:val="nil"/>
                    <w:tr2bl w:val="nil"/>
                  </w:tcBorders>
                  <w:noWrap w:val="0"/>
                  <w:vAlign w:val="center"/>
                </w:tcPr>
                <w:p w14:paraId="27DD648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val="en-US" w:eastAsia="zh-CN" w:bidi="ar-SA"/>
                    </w:rPr>
                    <w:t>在厂区内</w:t>
                  </w:r>
                  <w:r>
                    <w:rPr>
                      <w:rFonts w:hint="default" w:ascii="Times New Roman" w:hAnsi="Times New Roman" w:cs="Times New Roman"/>
                      <w:color w:val="auto"/>
                      <w:spacing w:val="0"/>
                      <w:sz w:val="21"/>
                      <w:szCs w:val="21"/>
                      <w:lang w:val="en-US" w:eastAsia="zh-CN" w:bidi="ar-SA"/>
                    </w:rPr>
                    <w:t>设置</w:t>
                  </w:r>
                  <w:r>
                    <w:rPr>
                      <w:rFonts w:hint="default" w:ascii="Times New Roman" w:hAnsi="Times New Roman" w:eastAsia="宋体" w:cs="Times New Roman"/>
                      <w:color w:val="auto"/>
                      <w:spacing w:val="0"/>
                      <w:sz w:val="21"/>
                      <w:szCs w:val="21"/>
                      <w:lang w:val="en-US" w:eastAsia="zh-CN" w:bidi="ar-SA"/>
                    </w:rPr>
                    <w:t>垃圾箱，及时收集清理至周边垃圾转运站，由环卫部门集中清运处置</w:t>
                  </w:r>
                </w:p>
              </w:tc>
              <w:tc>
                <w:tcPr>
                  <w:tcW w:w="426" w:type="pct"/>
                  <w:tcBorders>
                    <w:tl2br w:val="nil"/>
                    <w:tr2bl w:val="nil"/>
                  </w:tcBorders>
                  <w:noWrap w:val="0"/>
                  <w:vAlign w:val="center"/>
                </w:tcPr>
                <w:p w14:paraId="37046C8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en-US" w:eastAsia="zh-CN"/>
                    </w:rPr>
                    <w:t>/</w:t>
                  </w:r>
                </w:p>
              </w:tc>
            </w:tr>
            <w:tr w14:paraId="75D46A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3F6B135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vMerge w:val="restart"/>
                  <w:tcBorders>
                    <w:tl2br w:val="nil"/>
                    <w:tr2bl w:val="nil"/>
                  </w:tcBorders>
                  <w:noWrap w:val="0"/>
                  <w:vAlign w:val="center"/>
                </w:tcPr>
                <w:p w14:paraId="3253129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val="en-US" w:eastAsia="zh-CN" w:bidi="ar-SA"/>
                    </w:rPr>
                    <w:t>一般工业固体废</w:t>
                  </w:r>
                </w:p>
              </w:tc>
              <w:tc>
                <w:tcPr>
                  <w:tcW w:w="3588" w:type="pct"/>
                  <w:tcBorders>
                    <w:right w:val="single" w:color="000000" w:sz="4" w:space="0"/>
                    <w:tl2br w:val="nil"/>
                    <w:tr2bl w:val="nil"/>
                  </w:tcBorders>
                  <w:noWrap w:val="0"/>
                  <w:vAlign w:val="center"/>
                </w:tcPr>
                <w:p w14:paraId="3D8B4448">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cs="Times New Roman"/>
                      <w:color w:val="auto"/>
                      <w:spacing w:val="0"/>
                      <w:sz w:val="21"/>
                      <w:szCs w:val="21"/>
                      <w:lang w:val="en-US" w:eastAsia="zh-CN" w:bidi="ar-SA"/>
                    </w:rPr>
                    <w:t>废滤膜</w:t>
                  </w:r>
                  <w:r>
                    <w:rPr>
                      <w:rFonts w:hint="default" w:ascii="Times New Roman" w:hAnsi="Times New Roman" w:eastAsia="宋体" w:cs="Times New Roman"/>
                      <w:color w:val="auto"/>
                      <w:spacing w:val="0"/>
                      <w:sz w:val="21"/>
                      <w:szCs w:val="21"/>
                      <w:lang w:val="en-US" w:eastAsia="zh-CN" w:bidi="ar-SA"/>
                    </w:rPr>
                    <w:t>更换时由更换厂家定期清运处置</w:t>
                  </w:r>
                </w:p>
              </w:tc>
              <w:tc>
                <w:tcPr>
                  <w:tcW w:w="426" w:type="pct"/>
                  <w:tcBorders>
                    <w:tl2br w:val="nil"/>
                    <w:tr2bl w:val="nil"/>
                  </w:tcBorders>
                  <w:noWrap w:val="0"/>
                  <w:vAlign w:val="center"/>
                </w:tcPr>
                <w:p w14:paraId="2063DC2F">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en-US" w:eastAsia="zh-CN"/>
                    </w:rPr>
                    <w:t>/</w:t>
                  </w:r>
                </w:p>
              </w:tc>
            </w:tr>
            <w:tr w14:paraId="53B4DD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09994AFA">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vMerge w:val="continue"/>
                  <w:tcBorders>
                    <w:tl2br w:val="nil"/>
                    <w:tr2bl w:val="nil"/>
                  </w:tcBorders>
                  <w:noWrap w:val="0"/>
                  <w:vAlign w:val="center"/>
                </w:tcPr>
                <w:p w14:paraId="465C189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pacing w:val="0"/>
                      <w:sz w:val="21"/>
                      <w:szCs w:val="21"/>
                      <w:lang w:val="en-US" w:eastAsia="zh-CN" w:bidi="ar-SA"/>
                    </w:rPr>
                  </w:pPr>
                </w:p>
              </w:tc>
              <w:tc>
                <w:tcPr>
                  <w:tcW w:w="3588" w:type="pct"/>
                  <w:tcBorders>
                    <w:right w:val="single" w:color="000000" w:sz="4" w:space="0"/>
                    <w:tl2br w:val="nil"/>
                    <w:tr2bl w:val="nil"/>
                  </w:tcBorders>
                  <w:noWrap w:val="0"/>
                  <w:vAlign w:val="center"/>
                </w:tcPr>
                <w:p w14:paraId="2E24309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val="en-US" w:eastAsia="zh-CN" w:bidi="ar-SA"/>
                    </w:rPr>
                    <w:t>脱硫石膏集中收集后，暂存至</w:t>
                  </w:r>
                  <w:r>
                    <w:rPr>
                      <w:rFonts w:hint="default" w:ascii="Times New Roman" w:hAnsi="Times New Roman" w:cs="Times New Roman"/>
                      <w:color w:val="auto"/>
                      <w:spacing w:val="0"/>
                      <w:sz w:val="21"/>
                      <w:szCs w:val="21"/>
                      <w:lang w:val="en-US" w:eastAsia="zh-CN" w:bidi="ar-SA"/>
                    </w:rPr>
                    <w:t>石膏间</w:t>
                  </w:r>
                  <w:r>
                    <w:rPr>
                      <w:rFonts w:hint="default" w:ascii="Times New Roman" w:hAnsi="Times New Roman" w:eastAsia="宋体" w:cs="Times New Roman"/>
                      <w:color w:val="auto"/>
                      <w:spacing w:val="0"/>
                      <w:sz w:val="21"/>
                      <w:szCs w:val="21"/>
                      <w:lang w:val="en-US" w:eastAsia="zh-CN" w:bidi="ar-SA"/>
                    </w:rPr>
                    <w:t>定期外售至建筑材料制造企业进行综合利用</w:t>
                  </w:r>
                </w:p>
              </w:tc>
              <w:tc>
                <w:tcPr>
                  <w:tcW w:w="426" w:type="pct"/>
                  <w:tcBorders>
                    <w:tl2br w:val="nil"/>
                    <w:tr2bl w:val="nil"/>
                  </w:tcBorders>
                  <w:noWrap w:val="0"/>
                  <w:vAlign w:val="center"/>
                </w:tcPr>
                <w:p w14:paraId="73FABA6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r>
            <w:tr w14:paraId="5F19CA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692A8BE1">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vMerge w:val="continue"/>
                  <w:tcBorders>
                    <w:tl2br w:val="nil"/>
                    <w:tr2bl w:val="nil"/>
                  </w:tcBorders>
                  <w:noWrap w:val="0"/>
                  <w:vAlign w:val="center"/>
                </w:tcPr>
                <w:p w14:paraId="173B11F3">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pacing w:val="0"/>
                      <w:sz w:val="21"/>
                      <w:szCs w:val="21"/>
                      <w:lang w:val="en-US" w:eastAsia="zh-CN" w:bidi="ar-SA"/>
                    </w:rPr>
                  </w:pPr>
                </w:p>
              </w:tc>
              <w:tc>
                <w:tcPr>
                  <w:tcW w:w="3588" w:type="pct"/>
                  <w:tcBorders>
                    <w:right w:val="single" w:color="000000" w:sz="4" w:space="0"/>
                    <w:tl2br w:val="nil"/>
                    <w:tr2bl w:val="nil"/>
                  </w:tcBorders>
                  <w:noWrap w:val="0"/>
                  <w:vAlign w:val="center"/>
                </w:tcPr>
                <w:p w14:paraId="41F4D4E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val="en-US" w:eastAsia="zh-CN" w:bidi="ar-SA"/>
                    </w:rPr>
                    <w:t>凝结水过滤废物定期外售至建筑材料制造企业进行综合利用</w:t>
                  </w:r>
                </w:p>
              </w:tc>
              <w:tc>
                <w:tcPr>
                  <w:tcW w:w="426" w:type="pct"/>
                  <w:tcBorders>
                    <w:tl2br w:val="nil"/>
                    <w:tr2bl w:val="nil"/>
                  </w:tcBorders>
                  <w:noWrap w:val="0"/>
                  <w:vAlign w:val="center"/>
                </w:tcPr>
                <w:p w14:paraId="666D18FC">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r>
            <w:tr w14:paraId="1CD668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3CEF3E9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tcBorders>
                    <w:tl2br w:val="nil"/>
                    <w:tr2bl w:val="nil"/>
                  </w:tcBorders>
                  <w:noWrap w:val="0"/>
                  <w:vAlign w:val="center"/>
                </w:tcPr>
                <w:p w14:paraId="703253A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危险废物</w:t>
                  </w:r>
                </w:p>
              </w:tc>
              <w:tc>
                <w:tcPr>
                  <w:tcW w:w="3588" w:type="pct"/>
                  <w:tcBorders>
                    <w:right w:val="single" w:color="000000" w:sz="4" w:space="0"/>
                    <w:tl2br w:val="nil"/>
                    <w:tr2bl w:val="nil"/>
                  </w:tcBorders>
                  <w:noWrap w:val="0"/>
                  <w:vAlign w:val="center"/>
                </w:tcPr>
                <w:p w14:paraId="165E131E">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pacing w:val="0"/>
                      <w:sz w:val="21"/>
                      <w:szCs w:val="21"/>
                      <w:lang w:val="en-US" w:eastAsia="zh-CN" w:bidi="ar-SA"/>
                    </w:rPr>
                    <w:t>废机油、废催化剂和</w:t>
                  </w:r>
                  <w:r>
                    <w:rPr>
                      <w:rFonts w:hint="default" w:ascii="Times New Roman" w:hAnsi="Times New Roman" w:cs="Times New Roman"/>
                      <w:color w:val="auto"/>
                      <w:spacing w:val="0"/>
                      <w:sz w:val="21"/>
                      <w:szCs w:val="21"/>
                      <w:lang w:val="en-US" w:eastAsia="zh-CN" w:bidi="ar-SA"/>
                    </w:rPr>
                    <w:t>实验室化验废液</w:t>
                  </w:r>
                  <w:r>
                    <w:rPr>
                      <w:rFonts w:hint="default" w:ascii="Times New Roman" w:hAnsi="Times New Roman" w:eastAsia="宋体" w:cs="Times New Roman"/>
                      <w:color w:val="auto"/>
                      <w:spacing w:val="0"/>
                      <w:sz w:val="21"/>
                      <w:szCs w:val="21"/>
                      <w:lang w:val="en-US" w:eastAsia="zh-CN" w:bidi="ar-SA"/>
                    </w:rPr>
                    <w:t>采用专用容器收集后暂存至危废贮存点</w:t>
                  </w:r>
                  <w:r>
                    <w:rPr>
                      <w:rFonts w:hint="default" w:ascii="Times New Roman" w:hAnsi="Times New Roman" w:cs="Times New Roman"/>
                      <w:color w:val="auto"/>
                      <w:spacing w:val="0"/>
                      <w:sz w:val="21"/>
                      <w:szCs w:val="21"/>
                      <w:lang w:val="en-US" w:eastAsia="zh-CN" w:bidi="ar-SA"/>
                    </w:rPr>
                    <w:t>（20m</w:t>
                  </w:r>
                  <w:r>
                    <w:rPr>
                      <w:rFonts w:hint="default" w:ascii="Times New Roman" w:hAnsi="Times New Roman" w:cs="Times New Roman"/>
                      <w:color w:val="auto"/>
                      <w:spacing w:val="0"/>
                      <w:sz w:val="21"/>
                      <w:szCs w:val="21"/>
                      <w:vertAlign w:val="superscript"/>
                      <w:lang w:val="en-US" w:eastAsia="zh-CN" w:bidi="ar-SA"/>
                    </w:rPr>
                    <w:t>2</w:t>
                  </w:r>
                  <w:r>
                    <w:rPr>
                      <w:rFonts w:hint="default" w:ascii="Times New Roman" w:hAnsi="Times New Roman" w:cs="Times New Roman"/>
                      <w:color w:val="auto"/>
                      <w:spacing w:val="0"/>
                      <w:sz w:val="21"/>
                      <w:szCs w:val="21"/>
                      <w:lang w:val="en-US" w:eastAsia="zh-CN" w:bidi="ar-SA"/>
                    </w:rPr>
                    <w:t>）</w:t>
                  </w:r>
                  <w:r>
                    <w:rPr>
                      <w:rFonts w:hint="default" w:ascii="Times New Roman" w:hAnsi="Times New Roman" w:eastAsia="宋体" w:cs="Times New Roman"/>
                      <w:color w:val="auto"/>
                      <w:spacing w:val="0"/>
                      <w:sz w:val="21"/>
                      <w:szCs w:val="21"/>
                      <w:lang w:val="en-US" w:eastAsia="zh-CN" w:bidi="ar-SA"/>
                    </w:rPr>
                    <w:t>，定期委托有相关危废处理资质的单位进行处置</w:t>
                  </w:r>
                </w:p>
              </w:tc>
              <w:tc>
                <w:tcPr>
                  <w:tcW w:w="426" w:type="pct"/>
                  <w:tcBorders>
                    <w:tl2br w:val="nil"/>
                    <w:tr2bl w:val="nil"/>
                  </w:tcBorders>
                  <w:noWrap w:val="0"/>
                  <w:vAlign w:val="center"/>
                </w:tcPr>
                <w:p w14:paraId="0FAB4006">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en-US" w:eastAsia="zh-CN"/>
                    </w:rPr>
                    <w:t>/</w:t>
                  </w:r>
                </w:p>
              </w:tc>
            </w:tr>
            <w:tr w14:paraId="29D6A0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68" w:type="dxa"/>
                  <w:bottom w:w="0" w:type="dxa"/>
                  <w:right w:w="68" w:type="dxa"/>
                </w:tblCellMar>
              </w:tblPrEx>
              <w:trPr>
                <w:cantSplit/>
                <w:trHeight w:val="57" w:hRule="atLeast"/>
                <w:jc w:val="center"/>
              </w:trPr>
              <w:tc>
                <w:tcPr>
                  <w:tcW w:w="436" w:type="pct"/>
                  <w:vMerge w:val="continue"/>
                  <w:tcBorders>
                    <w:tl2br w:val="nil"/>
                    <w:tr2bl w:val="nil"/>
                  </w:tcBorders>
                  <w:noWrap w:val="0"/>
                  <w:vAlign w:val="center"/>
                </w:tcPr>
                <w:p w14:paraId="14512B75">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rPr>
                  </w:pPr>
                </w:p>
              </w:tc>
              <w:tc>
                <w:tcPr>
                  <w:tcW w:w="548" w:type="pct"/>
                  <w:tcBorders>
                    <w:tl2br w:val="nil"/>
                    <w:tr2bl w:val="nil"/>
                  </w:tcBorders>
                  <w:noWrap w:val="0"/>
                  <w:vAlign w:val="center"/>
                </w:tcPr>
                <w:p w14:paraId="0229C1D4">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风险</w:t>
                  </w:r>
                </w:p>
              </w:tc>
              <w:tc>
                <w:tcPr>
                  <w:tcW w:w="3588" w:type="pct"/>
                  <w:tcBorders>
                    <w:right w:val="single" w:color="000000" w:sz="4" w:space="0"/>
                    <w:tl2br w:val="nil"/>
                    <w:tr2bl w:val="nil"/>
                  </w:tcBorders>
                  <w:noWrap w:val="0"/>
                  <w:vAlign w:val="center"/>
                </w:tcPr>
                <w:p w14:paraId="02750502">
                  <w:pPr>
                    <w:keepNext w:val="0"/>
                    <w:keepLines w:val="0"/>
                    <w:pageBreakBefore w:val="0"/>
                    <w:numPr>
                      <w:ilvl w:val="0"/>
                      <w:numId w:val="5"/>
                    </w:numPr>
                    <w:kinsoku/>
                    <w:wordWrap/>
                    <w:overflowPunct/>
                    <w:topLinePunct w:val="0"/>
                    <w:autoSpaceDE/>
                    <w:autoSpaceDN/>
                    <w:bidi w:val="0"/>
                    <w:adjustRightInd/>
                    <w:snapToGrid w:val="0"/>
                    <w:spacing w:line="240" w:lineRule="auto"/>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针对</w:t>
                  </w:r>
                  <w:r>
                    <w:rPr>
                      <w:rFonts w:hint="default" w:ascii="Times New Roman" w:hAnsi="Times New Roman" w:eastAsia="宋体" w:cs="Times New Roman"/>
                      <w:color w:val="auto"/>
                      <w:sz w:val="21"/>
                      <w:szCs w:val="21"/>
                      <w:lang w:eastAsia="zh-CN"/>
                    </w:rPr>
                    <w:t>风险物质储存：</w:t>
                  </w:r>
                  <w:r>
                    <w:rPr>
                      <w:rFonts w:hint="default" w:ascii="Times New Roman" w:hAnsi="Times New Roman" w:eastAsia="宋体" w:cs="Times New Roman"/>
                      <w:color w:val="auto"/>
                      <w:sz w:val="21"/>
                      <w:szCs w:val="21"/>
                      <w:lang w:val="en-US" w:eastAsia="zh-CN"/>
                    </w:rPr>
                    <w:t>项目危险废物贮存点进行防渗处理，采用专用收集桶收集后，暂存于危险废物贮存点，交由有资质的单位定期清运处置，并设立台账管理。危险废物贮存点地面及裙角进行防渗，危废间设置规范标识标牌。少量泄漏、滴漏不会流出储存所在场所，不会对厂区环境构成威胁。岗位人员发现后立即向上级领导汇报，通知技术人员，组织人员回收泄漏物，并修复现场。事后做好事件记录存档等工作；</w:t>
                  </w:r>
                </w:p>
                <w:p w14:paraId="21D73D5C">
                  <w:pPr>
                    <w:keepNext w:val="0"/>
                    <w:keepLines w:val="0"/>
                    <w:pageBreakBefore w:val="0"/>
                    <w:kinsoku/>
                    <w:wordWrap/>
                    <w:overflowPunct/>
                    <w:topLinePunct w:val="0"/>
                    <w:autoSpaceDE/>
                    <w:autoSpaceDN/>
                    <w:bidi w:val="0"/>
                    <w:adjustRightInd/>
                    <w:snapToGrid w:val="0"/>
                    <w:spacing w:line="240" w:lineRule="auto"/>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w:t>
                  </w:r>
                  <w:r>
                    <w:rPr>
                      <w:rFonts w:hint="default" w:ascii="Times New Roman" w:hAnsi="Times New Roman" w:eastAsia="宋体" w:cs="Times New Roman"/>
                      <w:color w:val="auto"/>
                      <w:sz w:val="21"/>
                      <w:szCs w:val="21"/>
                      <w:lang w:val="en-US" w:eastAsia="zh-CN"/>
                    </w:rPr>
                    <w:t>针对煤气管道隐患</w:t>
                  </w:r>
                  <w:r>
                    <w:rPr>
                      <w:rFonts w:hint="default" w:ascii="Times New Roman" w:hAnsi="Times New Roman" w:cs="Times New Roman"/>
                      <w:color w:val="auto"/>
                      <w:sz w:val="21"/>
                      <w:szCs w:val="21"/>
                      <w:lang w:val="en-US" w:eastAsia="zh-CN"/>
                    </w:rPr>
                    <w:t>：对</w:t>
                  </w:r>
                  <w:r>
                    <w:rPr>
                      <w:rFonts w:hint="default" w:ascii="Times New Roman" w:hAnsi="Times New Roman" w:eastAsia="宋体" w:cs="Times New Roman"/>
                      <w:color w:val="auto"/>
                      <w:sz w:val="21"/>
                      <w:szCs w:val="21"/>
                      <w:lang w:val="en-US" w:eastAsia="zh-CN"/>
                    </w:rPr>
                    <w:t>于</w:t>
                  </w:r>
                  <w:r>
                    <w:rPr>
                      <w:rFonts w:hint="default" w:ascii="Times New Roman" w:hAnsi="Times New Roman" w:cs="Times New Roman"/>
                      <w:color w:val="auto"/>
                      <w:sz w:val="21"/>
                      <w:szCs w:val="21"/>
                      <w:lang w:val="en-US" w:eastAsia="zh-CN"/>
                    </w:rPr>
                    <w:t>煤气</w:t>
                  </w:r>
                  <w:r>
                    <w:rPr>
                      <w:rFonts w:hint="default" w:ascii="Times New Roman" w:hAnsi="Times New Roman" w:eastAsia="宋体" w:cs="Times New Roman"/>
                      <w:color w:val="auto"/>
                      <w:sz w:val="21"/>
                      <w:szCs w:val="21"/>
                      <w:lang w:val="en-US" w:eastAsia="zh-CN"/>
                    </w:rPr>
                    <w:t>管道隐患，加强设备、管道、阀门的密封措施，防止泄漏而引起火灾/爆炸事故，并设置可燃气体自动报警系统</w:t>
                  </w:r>
                  <w:r>
                    <w:rPr>
                      <w:rFonts w:hint="default" w:ascii="Times New Roman" w:hAnsi="Times New Roman" w:cs="Times New Roman"/>
                      <w:color w:val="auto"/>
                      <w:sz w:val="21"/>
                      <w:szCs w:val="21"/>
                      <w:lang w:val="en-US" w:eastAsia="zh-CN"/>
                    </w:rPr>
                    <w:t>；</w:t>
                  </w:r>
                </w:p>
                <w:p w14:paraId="051CBB94">
                  <w:pPr>
                    <w:keepNext w:val="0"/>
                    <w:keepLines w:val="0"/>
                    <w:pageBreakBefore w:val="0"/>
                    <w:kinsoku/>
                    <w:wordWrap/>
                    <w:overflowPunct/>
                    <w:topLinePunct w:val="0"/>
                    <w:autoSpaceDE/>
                    <w:autoSpaceDN/>
                    <w:bidi w:val="0"/>
                    <w:adjustRightInd/>
                    <w:snapToGrid w:val="0"/>
                    <w:spacing w:line="240" w:lineRule="auto"/>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r>
                    <w:rPr>
                      <w:rFonts w:hint="default" w:ascii="Times New Roman" w:hAnsi="Times New Roman"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）加强废气治理设施日常维护保证处理效果；明确环保治理设施监管责任人，每日由监管责任人对</w:t>
                  </w:r>
                  <w:r>
                    <w:rPr>
                      <w:rFonts w:hint="default" w:ascii="Times New Roman" w:hAnsi="Times New Roman" w:cs="Times New Roman"/>
                      <w:color w:val="auto"/>
                      <w:sz w:val="21"/>
                      <w:szCs w:val="21"/>
                      <w:lang w:val="en-US" w:eastAsia="zh-CN"/>
                    </w:rPr>
                    <w:t>环境治理</w:t>
                  </w:r>
                  <w:r>
                    <w:rPr>
                      <w:rFonts w:hint="default" w:ascii="Times New Roman" w:hAnsi="Times New Roman" w:eastAsia="宋体" w:cs="Times New Roman"/>
                      <w:color w:val="auto"/>
                      <w:sz w:val="21"/>
                      <w:szCs w:val="21"/>
                      <w:lang w:val="en-US" w:eastAsia="zh-CN"/>
                    </w:rPr>
                    <w:t>设施巡视检查一次，如巡视检查发现问题，应立即上报维修或者更换。经分析环保治理设施发生故障的风险概率较低，采取上述防治措施，则废气治理设施故障事故的影响是可控的；</w:t>
                  </w:r>
                </w:p>
                <w:p w14:paraId="2B14B8EC">
                  <w:pPr>
                    <w:keepNext w:val="0"/>
                    <w:keepLines w:val="0"/>
                    <w:pageBreakBefore w:val="0"/>
                    <w:kinsoku/>
                    <w:wordWrap/>
                    <w:overflowPunct/>
                    <w:topLinePunct w:val="0"/>
                    <w:autoSpaceDE/>
                    <w:autoSpaceDN/>
                    <w:bidi w:val="0"/>
                    <w:adjustRightInd/>
                    <w:snapToGrid w:val="0"/>
                    <w:spacing w:line="240" w:lineRule="auto"/>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w:t>
                  </w:r>
                  <w:r>
                    <w:rPr>
                      <w:rFonts w:hint="default" w:ascii="Times New Roman" w:hAnsi="Times New Roman" w:cs="Times New Roman"/>
                      <w:color w:val="auto"/>
                      <w:sz w:val="21"/>
                      <w:szCs w:val="21"/>
                      <w:lang w:val="en-US" w:eastAsia="zh-CN"/>
                    </w:rPr>
                    <w:t>4</w:t>
                  </w:r>
                  <w:r>
                    <w:rPr>
                      <w:rFonts w:hint="default" w:ascii="Times New Roman" w:hAnsi="Times New Roman" w:eastAsia="宋体" w:cs="Times New Roman"/>
                      <w:color w:val="auto"/>
                      <w:sz w:val="21"/>
                      <w:szCs w:val="21"/>
                      <w:lang w:val="en-US" w:eastAsia="zh-CN"/>
                    </w:rPr>
                    <w:t>）针对事故：本项目在汽机间的南侧，设置汽轮机润滑油的事故集油坑（30m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），事故状态下可将油污集中收集、隔油处理，废油交由有资质单位处置；本项目在</w:t>
                  </w:r>
                  <w:r>
                    <w:rPr>
                      <w:rFonts w:hint="default" w:ascii="Times New Roman" w:hAnsi="Times New Roman" w:cs="Times New Roman"/>
                      <w:color w:val="auto"/>
                      <w:sz w:val="21"/>
                      <w:szCs w:val="21"/>
                      <w:lang w:val="en-US" w:eastAsia="zh-CN"/>
                    </w:rPr>
                    <w:t>脱硫综合楼一层地下</w:t>
                  </w:r>
                  <w:r>
                    <w:rPr>
                      <w:rFonts w:hint="default" w:ascii="Times New Roman" w:hAnsi="Times New Roman" w:eastAsia="宋体" w:cs="Times New Roman"/>
                      <w:color w:val="auto"/>
                      <w:sz w:val="21"/>
                      <w:szCs w:val="21"/>
                      <w:lang w:val="en-US" w:eastAsia="zh-CN"/>
                    </w:rPr>
                    <w:t>，设置脱硫事故浆液池（</w:t>
                  </w:r>
                  <w:r>
                    <w:rPr>
                      <w:rFonts w:hint="default" w:ascii="Times New Roman" w:hAnsi="Times New Roman" w:cs="Times New Roman"/>
                      <w:color w:val="auto"/>
                      <w:sz w:val="21"/>
                      <w:szCs w:val="21"/>
                      <w:lang w:val="en-US" w:eastAsia="zh-CN"/>
                    </w:rPr>
                    <w:t>370</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rPr>
                    <w:t>当脱硫系统发生故障（如吸收塔检修、浆液循环泵跳闸、烟气系统异常、停电停机）时，</w:t>
                  </w:r>
                  <w:r>
                    <w:rPr>
                      <w:rFonts w:hint="default" w:ascii="Times New Roman" w:hAnsi="Times New Roman" w:eastAsia="宋体" w:cs="Times New Roman"/>
                      <w:color w:val="auto"/>
                      <w:sz w:val="21"/>
                      <w:szCs w:val="21"/>
                      <w:lang w:val="en-US" w:eastAsia="zh-CN"/>
                    </w:rPr>
                    <w:t>利用设备和设施本身的富余量及事故池来处理</w:t>
                  </w:r>
                  <w:r>
                    <w:rPr>
                      <w:rFonts w:hint="default" w:ascii="Times New Roman" w:hAnsi="Times New Roman" w:cs="Times New Roman"/>
                      <w:color w:val="auto"/>
                      <w:sz w:val="21"/>
                      <w:szCs w:val="21"/>
                      <w:lang w:val="en-US" w:eastAsia="zh-CN"/>
                    </w:rPr>
                    <w:t>；</w:t>
                  </w:r>
                </w:p>
                <w:p w14:paraId="034FFB47">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left"/>
                    <w:textAlignment w:val="baseline"/>
                    <w:rPr>
                      <w:rFonts w:hint="default" w:ascii="Times New Roman" w:hAnsi="Times New Roman" w:eastAsia="宋体" w:cs="Times New Roman"/>
                      <w:color w:val="auto"/>
                      <w:spacing w:val="0"/>
                      <w:sz w:val="21"/>
                      <w:szCs w:val="21"/>
                      <w:lang w:val="en-US" w:eastAsia="zh-CN" w:bidi="ar-SA"/>
                    </w:rPr>
                  </w:pPr>
                  <w:r>
                    <w:rPr>
                      <w:rFonts w:hint="default" w:ascii="Times New Roman" w:hAnsi="Times New Roman" w:eastAsia="宋体" w:cs="Times New Roman"/>
                      <w:color w:val="auto"/>
                      <w:sz w:val="21"/>
                      <w:szCs w:val="21"/>
                      <w:lang w:val="en-US" w:eastAsia="zh-CN"/>
                    </w:rPr>
                    <w:t>（</w:t>
                  </w:r>
                  <w:r>
                    <w:rPr>
                      <w:rFonts w:hint="default" w:ascii="Times New Roman" w:hAnsi="Times New Roman"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制定应急预案：本环评要求项目制定突发环境事件应急预案，应包含详细调查环境风险源、风险事故防范设施、应急物资储备情况、应急措施、应急演练、应急预案的有效性以及形成与区域环境应急预案的联动机制等内容，届时项目的环境风险事故的应急预案应严格按照其执行。</w:t>
                  </w:r>
                </w:p>
              </w:tc>
              <w:tc>
                <w:tcPr>
                  <w:tcW w:w="426" w:type="pct"/>
                  <w:tcBorders>
                    <w:tl2br w:val="nil"/>
                    <w:tr2bl w:val="nil"/>
                  </w:tcBorders>
                  <w:noWrap w:val="0"/>
                  <w:vAlign w:val="center"/>
                </w:tcPr>
                <w:p w14:paraId="4361D9ED">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r>
          </w:tbl>
          <w:p w14:paraId="6AF827A6">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Chars="0"/>
              <w:jc w:val="both"/>
              <w:textAlignment w:val="auto"/>
              <w:rPr>
                <w:rFonts w:hint="default" w:ascii="Times New Roman" w:hAnsi="Times New Roman" w:eastAsia="宋体" w:cs="Times New Roman"/>
                <w:b/>
                <w:bCs w:val="0"/>
                <w:color w:val="auto"/>
                <w:sz w:val="24"/>
                <w:szCs w:val="24"/>
                <w:lang w:val="en-US" w:eastAsia="zh-CN"/>
              </w:rPr>
            </w:pPr>
            <w:r>
              <w:rPr>
                <w:rFonts w:hint="default" w:ascii="Times New Roman" w:hAnsi="Times New Roman" w:cs="Times New Roman"/>
                <w:b/>
                <w:bCs w:val="0"/>
                <w:color w:val="auto"/>
                <w:sz w:val="24"/>
                <w:szCs w:val="24"/>
                <w:lang w:val="en-US" w:eastAsia="zh-CN"/>
              </w:rPr>
              <w:t>3</w:t>
            </w:r>
            <w:r>
              <w:rPr>
                <w:rFonts w:hint="default" w:ascii="Times New Roman" w:hAnsi="Times New Roman" w:eastAsia="宋体" w:cs="Times New Roman"/>
                <w:b/>
                <w:bCs w:val="0"/>
                <w:color w:val="auto"/>
                <w:sz w:val="24"/>
                <w:szCs w:val="24"/>
                <w:lang w:val="en-US" w:eastAsia="zh-CN"/>
              </w:rPr>
              <w:t>.主要</w:t>
            </w:r>
            <w:r>
              <w:rPr>
                <w:rFonts w:hint="default" w:ascii="Times New Roman" w:hAnsi="Times New Roman" w:eastAsia="宋体" w:cs="Times New Roman"/>
                <w:b/>
                <w:bCs/>
                <w:color w:val="auto"/>
                <w:sz w:val="24"/>
                <w:szCs w:val="24"/>
                <w:lang w:val="en-US" w:eastAsia="zh-CN"/>
              </w:rPr>
              <w:t>生产设</w:t>
            </w:r>
            <w:r>
              <w:rPr>
                <w:rFonts w:hint="default" w:ascii="Times New Roman" w:hAnsi="Times New Roman" w:eastAsia="宋体" w:cs="Times New Roman"/>
                <w:b/>
                <w:bCs w:val="0"/>
                <w:color w:val="auto"/>
                <w:sz w:val="24"/>
                <w:szCs w:val="24"/>
                <w:lang w:val="en-US" w:eastAsia="zh-CN"/>
              </w:rPr>
              <w:t>备</w:t>
            </w:r>
          </w:p>
          <w:p w14:paraId="39DD716A">
            <w:pPr>
              <w:keepNext w:val="0"/>
              <w:keepLines w:val="0"/>
              <w:pageBreakBefore w:val="0"/>
              <w:widowControl w:val="0"/>
              <w:kinsoku/>
              <w:wordWrap/>
              <w:overflowPunct w:val="0"/>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snapToGrid w:val="0"/>
                <w:color w:val="auto"/>
                <w:kern w:val="0"/>
                <w:sz w:val="24"/>
                <w:szCs w:val="24"/>
                <w:lang w:eastAsia="zh-CN"/>
              </w:rPr>
              <w:t>本</w:t>
            </w:r>
            <w:r>
              <w:rPr>
                <w:rFonts w:hint="default" w:ascii="Times New Roman" w:hAnsi="Times New Roman" w:eastAsia="宋体" w:cs="Times New Roman"/>
                <w:snapToGrid w:val="0"/>
                <w:color w:val="auto"/>
                <w:kern w:val="0"/>
                <w:sz w:val="24"/>
                <w:szCs w:val="24"/>
              </w:rPr>
              <w:t>项目主要</w:t>
            </w:r>
            <w:r>
              <w:rPr>
                <w:rFonts w:hint="default" w:ascii="Times New Roman" w:hAnsi="Times New Roman" w:eastAsia="宋体" w:cs="Times New Roman"/>
                <w:b w:val="0"/>
                <w:bCs/>
                <w:color w:val="auto"/>
                <w:sz w:val="24"/>
                <w:szCs w:val="24"/>
                <w:lang w:val="en-US" w:eastAsia="zh-CN"/>
              </w:rPr>
              <w:t>生产设备详见</w:t>
            </w:r>
            <w:r>
              <w:rPr>
                <w:rFonts w:hint="default" w:ascii="Times New Roman" w:hAnsi="Times New Roman" w:eastAsia="宋体" w:cs="Times New Roman"/>
                <w:snapToGrid w:val="0"/>
                <w:color w:val="auto"/>
                <w:kern w:val="0"/>
                <w:sz w:val="24"/>
                <w:szCs w:val="24"/>
              </w:rPr>
              <w:t>表</w:t>
            </w:r>
            <w:r>
              <w:rPr>
                <w:rFonts w:hint="default" w:ascii="Times New Roman" w:hAnsi="Times New Roman" w:eastAsia="宋体" w:cs="Times New Roman"/>
                <w:snapToGrid w:val="0"/>
                <w:color w:val="auto"/>
                <w:kern w:val="0"/>
                <w:sz w:val="24"/>
                <w:szCs w:val="24"/>
                <w:lang w:val="en-US" w:eastAsia="zh-CN"/>
              </w:rPr>
              <w:t>2-</w:t>
            </w:r>
            <w:r>
              <w:rPr>
                <w:rFonts w:hint="default" w:ascii="Times New Roman" w:hAnsi="Times New Roman" w:cs="Times New Roman"/>
                <w:snapToGrid w:val="0"/>
                <w:color w:val="auto"/>
                <w:kern w:val="0"/>
                <w:sz w:val="24"/>
                <w:szCs w:val="24"/>
                <w:lang w:val="en-US" w:eastAsia="zh-CN"/>
              </w:rPr>
              <w:t>2。</w:t>
            </w:r>
          </w:p>
          <w:p w14:paraId="1D453D8B">
            <w:pPr>
              <w:keepNext w:val="0"/>
              <w:keepLines w:val="0"/>
              <w:pageBreakBefore w:val="0"/>
              <w:kinsoku/>
              <w:wordWrap/>
              <w:bidi w:val="0"/>
              <w:adjustRightInd/>
              <w:snapToGrid/>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表2</w:t>
            </w:r>
            <w:r>
              <w:rPr>
                <w:rFonts w:hint="default" w:ascii="Times New Roman" w:hAnsi="Times New Roman" w:eastAsia="宋体" w:cs="Times New Roman"/>
                <w:b/>
                <w:bCs/>
                <w:color w:val="auto"/>
                <w:sz w:val="21"/>
                <w:szCs w:val="21"/>
                <w:lang w:val="en-US" w:eastAsia="zh-CN"/>
              </w:rPr>
              <w:t>-</w:t>
            </w:r>
            <w:r>
              <w:rPr>
                <w:rFonts w:hint="default" w:ascii="Times New Roman" w:hAnsi="Times New Roman" w:cs="Times New Roman"/>
                <w:b/>
                <w:bCs/>
                <w:color w:val="auto"/>
                <w:sz w:val="21"/>
                <w:szCs w:val="21"/>
                <w:lang w:val="en-US" w:eastAsia="zh-CN"/>
              </w:rPr>
              <w:t>2</w:t>
            </w:r>
            <w:r>
              <w:rPr>
                <w:rFonts w:hint="default" w:ascii="Times New Roman" w:hAnsi="Times New Roman" w:eastAsia="宋体" w:cs="Times New Roman"/>
                <w:b/>
                <w:bCs/>
                <w:color w:val="auto"/>
                <w:sz w:val="21"/>
                <w:szCs w:val="21"/>
              </w:rPr>
              <w:t>主要</w:t>
            </w:r>
            <w:r>
              <w:rPr>
                <w:rFonts w:hint="default" w:ascii="Times New Roman" w:hAnsi="Times New Roman" w:eastAsia="宋体" w:cs="Times New Roman"/>
                <w:b/>
                <w:bCs/>
                <w:color w:val="auto"/>
                <w:sz w:val="21"/>
                <w:szCs w:val="21"/>
                <w:lang w:val="en-US" w:eastAsia="zh-CN"/>
              </w:rPr>
              <w:t>生产</w:t>
            </w:r>
            <w:r>
              <w:rPr>
                <w:rFonts w:hint="default" w:ascii="Times New Roman" w:hAnsi="Times New Roman" w:eastAsia="宋体" w:cs="Times New Roman"/>
                <w:b/>
                <w:bCs/>
                <w:color w:val="auto"/>
                <w:sz w:val="21"/>
                <w:szCs w:val="21"/>
              </w:rPr>
              <w:t>设备一览表</w:t>
            </w:r>
          </w:p>
          <w:tbl>
            <w:tblPr>
              <w:tblStyle w:val="33"/>
              <w:tblW w:w="4996"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9"/>
              <w:gridCol w:w="1583"/>
              <w:gridCol w:w="3317"/>
              <w:gridCol w:w="700"/>
              <w:gridCol w:w="683"/>
              <w:gridCol w:w="659"/>
            </w:tblGrid>
            <w:tr w14:paraId="7D249D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tcBorders>
                    <w:tl2br w:val="nil"/>
                    <w:tr2bl w:val="nil"/>
                  </w:tcBorders>
                  <w:noWrap w:val="0"/>
                  <w:vAlign w:val="center"/>
                </w:tcPr>
                <w:p w14:paraId="243DBCD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vertAlign w:val="baseline"/>
                      <w:lang w:val="en-US" w:eastAsia="zh-CN"/>
                    </w:rPr>
                  </w:pPr>
                  <w:r>
                    <w:rPr>
                      <w:rFonts w:hint="default" w:ascii="Times New Roman" w:hAnsi="Times New Roman" w:eastAsia="宋体" w:cs="Times New Roman"/>
                      <w:b/>
                      <w:bCs/>
                      <w:color w:val="auto"/>
                      <w:kern w:val="0"/>
                      <w:sz w:val="21"/>
                      <w:szCs w:val="21"/>
                      <w:vertAlign w:val="baseline"/>
                      <w:lang w:val="en-US" w:eastAsia="zh-CN"/>
                    </w:rPr>
                    <w:t>序号</w:t>
                  </w:r>
                </w:p>
              </w:tc>
              <w:tc>
                <w:tcPr>
                  <w:tcW w:w="1038" w:type="pct"/>
                  <w:tcBorders>
                    <w:tl2br w:val="nil"/>
                    <w:tr2bl w:val="nil"/>
                  </w:tcBorders>
                  <w:noWrap w:val="0"/>
                  <w:vAlign w:val="center"/>
                </w:tcPr>
                <w:p w14:paraId="1479B7C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vertAlign w:val="baseline"/>
                      <w:lang w:val="en-US" w:eastAsia="zh-CN"/>
                    </w:rPr>
                  </w:pPr>
                  <w:r>
                    <w:rPr>
                      <w:rFonts w:hint="default" w:ascii="Times New Roman" w:hAnsi="Times New Roman" w:eastAsia="宋体" w:cs="Times New Roman"/>
                      <w:b/>
                      <w:bCs/>
                      <w:color w:val="auto"/>
                      <w:kern w:val="0"/>
                      <w:sz w:val="21"/>
                      <w:szCs w:val="21"/>
                      <w:vertAlign w:val="baseline"/>
                      <w:lang w:val="en-US" w:eastAsia="zh-CN"/>
                    </w:rPr>
                    <w:t>名称</w:t>
                  </w:r>
                </w:p>
              </w:tc>
              <w:tc>
                <w:tcPr>
                  <w:tcW w:w="2176" w:type="pct"/>
                  <w:tcBorders>
                    <w:tl2br w:val="nil"/>
                    <w:tr2bl w:val="nil"/>
                  </w:tcBorders>
                  <w:noWrap w:val="0"/>
                  <w:vAlign w:val="center"/>
                </w:tcPr>
                <w:p w14:paraId="384614B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vertAlign w:val="baseline"/>
                      <w:lang w:val="en-US" w:eastAsia="zh-CN"/>
                    </w:rPr>
                  </w:pPr>
                  <w:r>
                    <w:rPr>
                      <w:rFonts w:hint="default" w:ascii="Times New Roman" w:hAnsi="Times New Roman" w:cs="Times New Roman"/>
                      <w:b/>
                      <w:bCs/>
                      <w:color w:val="auto"/>
                      <w:kern w:val="0"/>
                      <w:sz w:val="21"/>
                      <w:szCs w:val="21"/>
                      <w:vertAlign w:val="baseline"/>
                      <w:lang w:val="en-US" w:eastAsia="zh-CN"/>
                    </w:rPr>
                    <w:t>型号参数</w:t>
                  </w:r>
                </w:p>
              </w:tc>
              <w:tc>
                <w:tcPr>
                  <w:tcW w:w="459" w:type="pct"/>
                  <w:tcBorders>
                    <w:tl2br w:val="nil"/>
                    <w:tr2bl w:val="nil"/>
                  </w:tcBorders>
                  <w:noWrap w:val="0"/>
                  <w:vAlign w:val="center"/>
                </w:tcPr>
                <w:p w14:paraId="2DAB39C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vertAlign w:val="baseline"/>
                      <w:lang w:val="en-US" w:eastAsia="zh-CN"/>
                    </w:rPr>
                  </w:pPr>
                  <w:r>
                    <w:rPr>
                      <w:rFonts w:hint="default" w:ascii="Times New Roman" w:hAnsi="Times New Roman" w:eastAsia="宋体" w:cs="Times New Roman"/>
                      <w:b/>
                      <w:bCs/>
                      <w:color w:val="auto"/>
                      <w:kern w:val="0"/>
                      <w:sz w:val="21"/>
                      <w:szCs w:val="21"/>
                      <w:vertAlign w:val="baseline"/>
                      <w:lang w:val="en-US" w:eastAsia="zh-CN"/>
                    </w:rPr>
                    <w:t>单位</w:t>
                  </w:r>
                </w:p>
              </w:tc>
              <w:tc>
                <w:tcPr>
                  <w:tcW w:w="448" w:type="pct"/>
                  <w:tcBorders>
                    <w:tl2br w:val="nil"/>
                    <w:tr2bl w:val="nil"/>
                  </w:tcBorders>
                  <w:noWrap w:val="0"/>
                  <w:vAlign w:val="center"/>
                </w:tcPr>
                <w:p w14:paraId="70F9EE8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vertAlign w:val="baseline"/>
                      <w:lang w:val="en-US" w:eastAsia="zh-CN"/>
                    </w:rPr>
                  </w:pPr>
                  <w:r>
                    <w:rPr>
                      <w:rFonts w:hint="default" w:ascii="Times New Roman" w:hAnsi="Times New Roman" w:cs="Times New Roman"/>
                      <w:b/>
                      <w:bCs/>
                      <w:color w:val="auto"/>
                      <w:kern w:val="0"/>
                      <w:sz w:val="21"/>
                      <w:szCs w:val="21"/>
                      <w:vertAlign w:val="baseline"/>
                      <w:lang w:val="en-US" w:eastAsia="zh-CN"/>
                    </w:rPr>
                    <w:t>数量</w:t>
                  </w:r>
                </w:p>
              </w:tc>
              <w:tc>
                <w:tcPr>
                  <w:tcW w:w="432" w:type="pct"/>
                  <w:tcBorders>
                    <w:tl2br w:val="nil"/>
                    <w:tr2bl w:val="nil"/>
                  </w:tcBorders>
                  <w:noWrap w:val="0"/>
                  <w:vAlign w:val="center"/>
                </w:tcPr>
                <w:p w14:paraId="5939698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b/>
                      <w:bCs/>
                      <w:color w:val="auto"/>
                      <w:kern w:val="0"/>
                      <w:sz w:val="21"/>
                      <w:szCs w:val="21"/>
                      <w:vertAlign w:val="baseline"/>
                      <w:lang w:val="en-US" w:eastAsia="zh-CN"/>
                    </w:rPr>
                  </w:pPr>
                  <w:r>
                    <w:rPr>
                      <w:rFonts w:hint="default" w:ascii="Times New Roman" w:hAnsi="Times New Roman" w:eastAsia="宋体" w:cs="Times New Roman"/>
                      <w:b/>
                      <w:bCs/>
                      <w:color w:val="auto"/>
                      <w:kern w:val="0"/>
                      <w:sz w:val="21"/>
                      <w:szCs w:val="21"/>
                      <w:vertAlign w:val="baseline"/>
                      <w:lang w:val="en-US" w:eastAsia="zh-CN"/>
                    </w:rPr>
                    <w:t>备注</w:t>
                  </w:r>
                </w:p>
              </w:tc>
            </w:tr>
            <w:tr w14:paraId="2FF079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tcBorders>
                    <w:tl2br w:val="nil"/>
                    <w:tr2bl w:val="nil"/>
                  </w:tcBorders>
                  <w:noWrap w:val="0"/>
                  <w:vAlign w:val="center"/>
                </w:tcPr>
                <w:p w14:paraId="3B30542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1</w:t>
                  </w:r>
                </w:p>
              </w:tc>
              <w:tc>
                <w:tcPr>
                  <w:tcW w:w="1038" w:type="pct"/>
                  <w:tcBorders>
                    <w:tl2br w:val="nil"/>
                    <w:tr2bl w:val="nil"/>
                  </w:tcBorders>
                  <w:noWrap w:val="0"/>
                  <w:vAlign w:val="center"/>
                </w:tcPr>
                <w:p w14:paraId="368994C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锅炉</w:t>
                  </w:r>
                </w:p>
              </w:tc>
              <w:tc>
                <w:tcPr>
                  <w:tcW w:w="2176" w:type="pct"/>
                  <w:tcBorders>
                    <w:tl2br w:val="nil"/>
                    <w:tr2bl w:val="nil"/>
                  </w:tcBorders>
                  <w:noWrap w:val="0"/>
                  <w:vAlign w:val="center"/>
                </w:tcPr>
                <w:p w14:paraId="29FD305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型式：超高温超高压、自然循环、单炉膛、一次中间再热、平衡通风、全燃气汽包锅炉、全钢构架、π型结构</w:t>
                  </w:r>
                  <w:r>
                    <w:rPr>
                      <w:rFonts w:hint="default" w:ascii="Times New Roman" w:hAnsi="Times New Roman" w:cs="Times New Roman"/>
                      <w:color w:val="auto"/>
                      <w:kern w:val="0"/>
                      <w:sz w:val="21"/>
                      <w:szCs w:val="21"/>
                      <w:vertAlign w:val="baseline"/>
                      <w:lang w:val="en-US" w:eastAsia="zh-CN"/>
                    </w:rPr>
                    <w:t>；</w:t>
                  </w:r>
                  <w:r>
                    <w:rPr>
                      <w:rFonts w:hint="default" w:ascii="Times New Roman" w:hAnsi="Times New Roman" w:eastAsia="宋体" w:cs="Times New Roman"/>
                      <w:color w:val="auto"/>
                      <w:kern w:val="0"/>
                      <w:sz w:val="21"/>
                      <w:szCs w:val="21"/>
                      <w:vertAlign w:val="baseline"/>
                      <w:lang w:val="en-US" w:eastAsia="zh-CN"/>
                    </w:rPr>
                    <w:t>最大连续出力（BMCR）：150t/h</w:t>
                  </w:r>
                  <w:r>
                    <w:rPr>
                      <w:rFonts w:hint="default" w:ascii="Times New Roman" w:hAnsi="Times New Roman" w:cs="Times New Roman"/>
                      <w:color w:val="auto"/>
                      <w:kern w:val="0"/>
                      <w:sz w:val="21"/>
                      <w:szCs w:val="21"/>
                      <w:vertAlign w:val="baseline"/>
                      <w:lang w:val="en-US" w:eastAsia="zh-CN"/>
                    </w:rPr>
                    <w:t>；</w:t>
                  </w:r>
                  <w:r>
                    <w:rPr>
                      <w:rFonts w:hint="default" w:ascii="Times New Roman" w:hAnsi="Times New Roman" w:eastAsia="宋体" w:cs="Times New Roman"/>
                      <w:color w:val="auto"/>
                      <w:kern w:val="0"/>
                      <w:sz w:val="21"/>
                      <w:szCs w:val="21"/>
                      <w:vertAlign w:val="baseline"/>
                      <w:lang w:val="en-US" w:eastAsia="zh-CN"/>
                    </w:rPr>
                    <w:t>过热蒸汽压力：13.7MPa.g</w:t>
                  </w:r>
                  <w:r>
                    <w:rPr>
                      <w:rFonts w:hint="default" w:ascii="Times New Roman" w:hAnsi="Times New Roman" w:cs="Times New Roman"/>
                      <w:color w:val="auto"/>
                      <w:kern w:val="0"/>
                      <w:sz w:val="21"/>
                      <w:szCs w:val="21"/>
                      <w:vertAlign w:val="baseline"/>
                      <w:lang w:val="en-US" w:eastAsia="zh-CN"/>
                    </w:rPr>
                    <w:t>；</w:t>
                  </w:r>
                  <w:r>
                    <w:rPr>
                      <w:rFonts w:hint="default" w:ascii="Times New Roman" w:hAnsi="Times New Roman" w:eastAsia="宋体" w:cs="Times New Roman"/>
                      <w:color w:val="auto"/>
                      <w:kern w:val="0"/>
                      <w:sz w:val="21"/>
                      <w:szCs w:val="21"/>
                      <w:vertAlign w:val="baseline"/>
                      <w:lang w:val="en-US" w:eastAsia="zh-CN"/>
                    </w:rPr>
                    <w:t>过热蒸汽温度：570℃</w:t>
                  </w:r>
                </w:p>
                <w:p w14:paraId="0D30EDC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汽包压力：15.1MPa.g</w:t>
                  </w:r>
                  <w:r>
                    <w:rPr>
                      <w:rFonts w:hint="default" w:ascii="Times New Roman" w:hAnsi="Times New Roman" w:cs="Times New Roman"/>
                      <w:color w:val="auto"/>
                      <w:kern w:val="0"/>
                      <w:sz w:val="21"/>
                      <w:szCs w:val="21"/>
                      <w:vertAlign w:val="baseline"/>
                      <w:lang w:val="en-US" w:eastAsia="zh-CN"/>
                    </w:rPr>
                    <w:t>；</w:t>
                  </w:r>
                  <w:r>
                    <w:rPr>
                      <w:rFonts w:hint="default" w:ascii="Times New Roman" w:hAnsi="Times New Roman" w:eastAsia="宋体" w:cs="Times New Roman"/>
                      <w:color w:val="auto"/>
                      <w:kern w:val="0"/>
                      <w:sz w:val="21"/>
                      <w:szCs w:val="21"/>
                      <w:vertAlign w:val="baseline"/>
                      <w:lang w:val="en-US" w:eastAsia="zh-CN"/>
                    </w:rPr>
                    <w:t>再热蒸汽流量：</w:t>
                  </w:r>
                  <w:r>
                    <w:rPr>
                      <w:rFonts w:hint="default" w:ascii="Times New Roman" w:hAnsi="Times New Roman" w:cs="Times New Roman"/>
                      <w:color w:val="auto"/>
                      <w:kern w:val="0"/>
                      <w:sz w:val="21"/>
                      <w:szCs w:val="21"/>
                      <w:vertAlign w:val="baseline"/>
                      <w:lang w:val="en-US" w:eastAsia="zh-CN"/>
                    </w:rPr>
                    <w:t>114.51</w:t>
                  </w:r>
                  <w:r>
                    <w:rPr>
                      <w:rFonts w:hint="default" w:ascii="Times New Roman" w:hAnsi="Times New Roman" w:eastAsia="宋体" w:cs="Times New Roman"/>
                      <w:color w:val="auto"/>
                      <w:kern w:val="0"/>
                      <w:sz w:val="21"/>
                      <w:szCs w:val="21"/>
                      <w:vertAlign w:val="baseline"/>
                      <w:lang w:val="en-US" w:eastAsia="zh-CN"/>
                    </w:rPr>
                    <w:t>t/h</w:t>
                  </w:r>
                </w:p>
                <w:p w14:paraId="5E8E541B">
                  <w:pPr>
                    <w:keepNext w:val="0"/>
                    <w:keepLines w:val="0"/>
                    <w:widowControl/>
                    <w:suppressLineNumbers w:val="0"/>
                    <w:jc w:val="left"/>
                    <w:rPr>
                      <w:rFonts w:hint="default" w:ascii="Times New Roman" w:hAnsi="Times New Roman" w:cs="Times New Roman"/>
                      <w:color w:val="auto"/>
                    </w:rPr>
                  </w:pPr>
                  <w:r>
                    <w:rPr>
                      <w:rFonts w:hint="default" w:ascii="Times New Roman" w:hAnsi="Times New Roman" w:eastAsia="宋体" w:cs="Times New Roman"/>
                      <w:color w:val="auto"/>
                      <w:kern w:val="0"/>
                      <w:sz w:val="21"/>
                      <w:szCs w:val="21"/>
                      <w:vertAlign w:val="baseline"/>
                      <w:lang w:val="en-US" w:eastAsia="zh-CN"/>
                    </w:rPr>
                    <w:t>再热蒸汽进/出口压力：2.975/2.667MPa.g</w:t>
                  </w:r>
                  <w:r>
                    <w:rPr>
                      <w:rFonts w:hint="default" w:ascii="Times New Roman" w:hAnsi="Times New Roman" w:cs="Times New Roman"/>
                      <w:color w:val="auto"/>
                      <w:kern w:val="0"/>
                      <w:sz w:val="21"/>
                      <w:szCs w:val="21"/>
                      <w:vertAlign w:val="baseline"/>
                      <w:lang w:val="en-US" w:eastAsia="zh-CN"/>
                    </w:rPr>
                    <w:t>；</w:t>
                  </w:r>
                  <w:r>
                    <w:rPr>
                      <w:rFonts w:hint="default" w:ascii="Times New Roman" w:hAnsi="Times New Roman" w:eastAsia="宋体" w:cs="Times New Roman"/>
                      <w:color w:val="auto"/>
                      <w:kern w:val="0"/>
                      <w:sz w:val="21"/>
                      <w:szCs w:val="21"/>
                      <w:vertAlign w:val="baseline"/>
                      <w:lang w:val="en-US" w:eastAsia="zh-CN"/>
                    </w:rPr>
                    <w:t>再热蒸汽进/出口温度：378.2/566℃</w:t>
                  </w:r>
                  <w:r>
                    <w:rPr>
                      <w:rFonts w:hint="default" w:ascii="Times New Roman" w:hAnsi="Times New Roman" w:cs="Times New Roman"/>
                      <w:color w:val="auto"/>
                      <w:kern w:val="0"/>
                      <w:sz w:val="21"/>
                      <w:szCs w:val="21"/>
                      <w:vertAlign w:val="baseline"/>
                      <w:lang w:val="en-US" w:eastAsia="zh-CN"/>
                    </w:rPr>
                    <w:t>；</w:t>
                  </w:r>
                  <w:r>
                    <w:rPr>
                      <w:rFonts w:hint="default" w:ascii="Times New Roman" w:hAnsi="Times New Roman" w:eastAsia="宋体" w:cs="Times New Roman"/>
                      <w:color w:val="auto"/>
                      <w:kern w:val="0"/>
                      <w:sz w:val="21"/>
                      <w:szCs w:val="21"/>
                      <w:vertAlign w:val="baseline"/>
                      <w:lang w:val="en-US" w:eastAsia="zh-CN"/>
                    </w:rPr>
                    <w:t>给水温度（省煤器入口）：255℃</w:t>
                  </w:r>
                  <w:r>
                    <w:rPr>
                      <w:rFonts w:hint="default" w:ascii="Times New Roman" w:hAnsi="Times New Roman" w:cs="Times New Roman"/>
                      <w:color w:val="auto"/>
                      <w:kern w:val="0"/>
                      <w:sz w:val="21"/>
                      <w:szCs w:val="21"/>
                      <w:vertAlign w:val="baseline"/>
                      <w:lang w:val="en-US" w:eastAsia="zh-CN"/>
                    </w:rPr>
                    <w:t>；</w:t>
                  </w:r>
                  <w:r>
                    <w:rPr>
                      <w:rFonts w:hint="default" w:ascii="Times New Roman" w:hAnsi="Times New Roman" w:eastAsia="宋体" w:cs="Times New Roman"/>
                      <w:color w:val="auto"/>
                      <w:kern w:val="0"/>
                      <w:sz w:val="21"/>
                      <w:szCs w:val="21"/>
                      <w:vertAlign w:val="baseline"/>
                      <w:lang w:val="en-US" w:eastAsia="zh-CN"/>
                    </w:rPr>
                    <w:t>锅炉正常排污率：≤1%</w:t>
                  </w:r>
                  <w:r>
                    <w:rPr>
                      <w:rFonts w:hint="default" w:ascii="Times New Roman" w:hAnsi="Times New Roman" w:cs="Times New Roman"/>
                      <w:color w:val="auto"/>
                      <w:kern w:val="0"/>
                      <w:sz w:val="21"/>
                      <w:szCs w:val="21"/>
                      <w:vertAlign w:val="baseline"/>
                      <w:lang w:val="en-US" w:eastAsia="zh-CN"/>
                    </w:rPr>
                    <w:t>；</w:t>
                  </w:r>
                  <w:r>
                    <w:rPr>
                      <w:rFonts w:hint="default" w:ascii="Times New Roman" w:hAnsi="Times New Roman" w:eastAsia="宋体" w:cs="Times New Roman"/>
                      <w:color w:val="auto"/>
                      <w:kern w:val="0"/>
                      <w:sz w:val="21"/>
                      <w:szCs w:val="21"/>
                      <w:vertAlign w:val="baseline"/>
                      <w:lang w:val="en-US" w:eastAsia="zh-CN"/>
                    </w:rPr>
                    <w:t>空预器出口排烟温度：≤158℃</w:t>
                  </w:r>
                  <w:r>
                    <w:rPr>
                      <w:rFonts w:hint="default" w:ascii="Times New Roman" w:hAnsi="Times New Roman" w:cs="Times New Roman"/>
                      <w:color w:val="auto"/>
                      <w:kern w:val="0"/>
                      <w:sz w:val="21"/>
                      <w:szCs w:val="21"/>
                      <w:vertAlign w:val="baseline"/>
                      <w:lang w:val="en-US" w:eastAsia="zh-CN"/>
                    </w:rPr>
                    <w:t>；</w:t>
                  </w:r>
                  <w:r>
                    <w:rPr>
                      <w:rFonts w:hint="default" w:ascii="Times New Roman" w:hAnsi="Times New Roman" w:eastAsia="宋体" w:cs="Times New Roman"/>
                      <w:color w:val="auto"/>
                      <w:kern w:val="0"/>
                      <w:sz w:val="21"/>
                      <w:szCs w:val="21"/>
                      <w:vertAlign w:val="baseline"/>
                      <w:lang w:val="en-US" w:eastAsia="zh-CN"/>
                    </w:rPr>
                    <w:t>锅炉计算热效率：90.6</w:t>
                  </w:r>
                </w:p>
                <w:p w14:paraId="1DC83BC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%布置方式：紧身封闭</w:t>
                  </w:r>
                </w:p>
                <w:p w14:paraId="6699C4A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锅炉配置2台离心式送风机，配置2台离心式引风机，正常2台同时运行，不设备用</w:t>
                  </w:r>
                </w:p>
              </w:tc>
              <w:tc>
                <w:tcPr>
                  <w:tcW w:w="459" w:type="pct"/>
                  <w:tcBorders>
                    <w:tl2br w:val="nil"/>
                    <w:tr2bl w:val="nil"/>
                  </w:tcBorders>
                  <w:noWrap w:val="0"/>
                  <w:vAlign w:val="center"/>
                </w:tcPr>
                <w:p w14:paraId="2D8629A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台</w:t>
                  </w:r>
                </w:p>
              </w:tc>
              <w:tc>
                <w:tcPr>
                  <w:tcW w:w="448" w:type="pct"/>
                  <w:tcBorders>
                    <w:tl2br w:val="nil"/>
                    <w:tr2bl w:val="nil"/>
                  </w:tcBorders>
                  <w:noWrap w:val="0"/>
                  <w:vAlign w:val="center"/>
                </w:tcPr>
                <w:p w14:paraId="539CD81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1</w:t>
                  </w:r>
                </w:p>
              </w:tc>
              <w:tc>
                <w:tcPr>
                  <w:tcW w:w="432" w:type="pct"/>
                  <w:tcBorders>
                    <w:tl2br w:val="nil"/>
                    <w:tr2bl w:val="nil"/>
                  </w:tcBorders>
                  <w:noWrap w:val="0"/>
                  <w:vAlign w:val="center"/>
                </w:tcPr>
                <w:p w14:paraId="69387CEF">
                  <w:pPr>
                    <w:keepNext w:val="0"/>
                    <w:keepLines w:val="0"/>
                    <w:pageBreakBefore w:val="0"/>
                    <w:wordWrap/>
                    <w:bidi w:val="0"/>
                    <w:jc w:val="center"/>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w:t>
                  </w:r>
                </w:p>
              </w:tc>
            </w:tr>
            <w:tr w14:paraId="7851B9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tcBorders>
                    <w:tl2br w:val="nil"/>
                    <w:tr2bl w:val="nil"/>
                  </w:tcBorders>
                  <w:noWrap w:val="0"/>
                  <w:vAlign w:val="center"/>
                </w:tcPr>
                <w:p w14:paraId="36BC357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2</w:t>
                  </w:r>
                </w:p>
              </w:tc>
              <w:tc>
                <w:tcPr>
                  <w:tcW w:w="1038" w:type="pct"/>
                  <w:tcBorders>
                    <w:tl2br w:val="nil"/>
                    <w:tr2bl w:val="nil"/>
                  </w:tcBorders>
                  <w:noWrap w:val="0"/>
                  <w:vAlign w:val="center"/>
                </w:tcPr>
                <w:p w14:paraId="4FC66BC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脱盐水处理系统</w:t>
                  </w:r>
                </w:p>
              </w:tc>
              <w:tc>
                <w:tcPr>
                  <w:tcW w:w="2176" w:type="pct"/>
                  <w:tcBorders>
                    <w:tl2br w:val="nil"/>
                    <w:tr2bl w:val="nil"/>
                  </w:tcBorders>
                  <w:noWrap w:val="0"/>
                  <w:vAlign w:val="center"/>
                </w:tcPr>
                <w:p w14:paraId="3DEED46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最大出水能力为24t/h（2x12t/h）</w:t>
                  </w:r>
                </w:p>
              </w:tc>
              <w:tc>
                <w:tcPr>
                  <w:tcW w:w="459" w:type="pct"/>
                  <w:tcBorders>
                    <w:tl2br w:val="nil"/>
                    <w:tr2bl w:val="nil"/>
                  </w:tcBorders>
                  <w:noWrap w:val="0"/>
                  <w:vAlign w:val="center"/>
                </w:tcPr>
                <w:p w14:paraId="6B9648A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套</w:t>
                  </w:r>
                </w:p>
              </w:tc>
              <w:tc>
                <w:tcPr>
                  <w:tcW w:w="448" w:type="pct"/>
                  <w:tcBorders>
                    <w:tl2br w:val="nil"/>
                    <w:tr2bl w:val="nil"/>
                  </w:tcBorders>
                  <w:noWrap w:val="0"/>
                  <w:vAlign w:val="center"/>
                </w:tcPr>
                <w:p w14:paraId="68B26B2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1</w:t>
                  </w:r>
                </w:p>
              </w:tc>
              <w:tc>
                <w:tcPr>
                  <w:tcW w:w="432" w:type="pct"/>
                  <w:vMerge w:val="restart"/>
                  <w:tcBorders>
                    <w:tl2br w:val="nil"/>
                    <w:tr2bl w:val="nil"/>
                  </w:tcBorders>
                  <w:noWrap w:val="0"/>
                  <w:vAlign w:val="center"/>
                </w:tcPr>
                <w:p w14:paraId="0738EBC3">
                  <w:pPr>
                    <w:keepNext w:val="0"/>
                    <w:keepLines w:val="0"/>
                    <w:pageBreakBefore w:val="0"/>
                    <w:wordWrap/>
                    <w:bidi w:val="0"/>
                    <w:jc w:val="center"/>
                    <w:rPr>
                      <w:rFonts w:hint="default" w:ascii="Times New Roman" w:hAnsi="Times New Roman"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废气治理系统</w:t>
                  </w:r>
                </w:p>
              </w:tc>
            </w:tr>
            <w:tr w14:paraId="1D9F92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tcBorders>
                    <w:tl2br w:val="nil"/>
                    <w:tr2bl w:val="nil"/>
                  </w:tcBorders>
                  <w:noWrap w:val="0"/>
                  <w:vAlign w:val="center"/>
                </w:tcPr>
                <w:p w14:paraId="74AB3E7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3</w:t>
                  </w:r>
                </w:p>
              </w:tc>
              <w:tc>
                <w:tcPr>
                  <w:tcW w:w="1038" w:type="pct"/>
                  <w:tcBorders>
                    <w:tl2br w:val="nil"/>
                    <w:tr2bl w:val="nil"/>
                  </w:tcBorders>
                  <w:noWrap w:val="0"/>
                  <w:vAlign w:val="center"/>
                </w:tcPr>
                <w:p w14:paraId="2C7978F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脱硫系统风机</w:t>
                  </w:r>
                </w:p>
              </w:tc>
              <w:tc>
                <w:tcPr>
                  <w:tcW w:w="2176" w:type="pct"/>
                  <w:tcBorders>
                    <w:tl2br w:val="nil"/>
                    <w:tr2bl w:val="nil"/>
                  </w:tcBorders>
                  <w:noWrap w:val="0"/>
                  <w:vAlign w:val="center"/>
                </w:tcPr>
                <w:p w14:paraId="2AB83D0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w:t>
                  </w:r>
                </w:p>
              </w:tc>
              <w:tc>
                <w:tcPr>
                  <w:tcW w:w="459" w:type="pct"/>
                  <w:tcBorders>
                    <w:tl2br w:val="nil"/>
                    <w:tr2bl w:val="nil"/>
                  </w:tcBorders>
                  <w:noWrap w:val="0"/>
                  <w:vAlign w:val="center"/>
                </w:tcPr>
                <w:p w14:paraId="739EE7F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台</w:t>
                  </w:r>
                </w:p>
              </w:tc>
              <w:tc>
                <w:tcPr>
                  <w:tcW w:w="448" w:type="pct"/>
                  <w:tcBorders>
                    <w:tl2br w:val="nil"/>
                    <w:tr2bl w:val="nil"/>
                  </w:tcBorders>
                  <w:noWrap w:val="0"/>
                  <w:vAlign w:val="center"/>
                </w:tcPr>
                <w:p w14:paraId="7BAAE3A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2</w:t>
                  </w:r>
                </w:p>
              </w:tc>
              <w:tc>
                <w:tcPr>
                  <w:tcW w:w="432" w:type="pct"/>
                  <w:vMerge w:val="continue"/>
                  <w:tcBorders>
                    <w:tl2br w:val="nil"/>
                    <w:tr2bl w:val="nil"/>
                  </w:tcBorders>
                  <w:noWrap w:val="0"/>
                  <w:vAlign w:val="center"/>
                </w:tcPr>
                <w:p w14:paraId="2CBE2E21">
                  <w:pPr>
                    <w:keepNext w:val="0"/>
                    <w:keepLines w:val="0"/>
                    <w:pageBreakBefore w:val="0"/>
                    <w:wordWrap/>
                    <w:bidi w:val="0"/>
                    <w:jc w:val="center"/>
                    <w:rPr>
                      <w:rFonts w:hint="default" w:ascii="Times New Roman" w:hAnsi="Times New Roman" w:cs="Times New Roman"/>
                      <w:color w:val="auto"/>
                      <w:kern w:val="0"/>
                      <w:sz w:val="21"/>
                      <w:szCs w:val="21"/>
                      <w:vertAlign w:val="baseline"/>
                      <w:lang w:val="en-US" w:eastAsia="zh-CN"/>
                    </w:rPr>
                  </w:pPr>
                </w:p>
              </w:tc>
            </w:tr>
            <w:tr w14:paraId="229C6A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tcBorders>
                    <w:tl2br w:val="nil"/>
                    <w:tr2bl w:val="nil"/>
                  </w:tcBorders>
                  <w:shd w:val="clear" w:color="auto" w:fill="auto"/>
                  <w:noWrap w:val="0"/>
                  <w:vAlign w:val="center"/>
                </w:tcPr>
                <w:p w14:paraId="315952B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bidi="ar-SA"/>
                    </w:rPr>
                  </w:pPr>
                  <w:r>
                    <w:rPr>
                      <w:rFonts w:hint="default" w:ascii="Times New Roman" w:hAnsi="Times New Roman" w:cs="Times New Roman"/>
                      <w:color w:val="auto"/>
                      <w:kern w:val="0"/>
                      <w:sz w:val="21"/>
                      <w:szCs w:val="21"/>
                      <w:vertAlign w:val="baseline"/>
                      <w:lang w:val="en-US" w:eastAsia="zh-CN"/>
                    </w:rPr>
                    <w:t>4</w:t>
                  </w:r>
                </w:p>
              </w:tc>
              <w:tc>
                <w:tcPr>
                  <w:tcW w:w="1038" w:type="pct"/>
                  <w:tcBorders>
                    <w:tl2br w:val="nil"/>
                    <w:tr2bl w:val="nil"/>
                  </w:tcBorders>
                  <w:noWrap w:val="0"/>
                  <w:vAlign w:val="center"/>
                </w:tcPr>
                <w:p w14:paraId="75FA785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脱硫塔</w:t>
                  </w:r>
                </w:p>
              </w:tc>
              <w:tc>
                <w:tcPr>
                  <w:tcW w:w="2176" w:type="pct"/>
                  <w:tcBorders>
                    <w:tl2br w:val="nil"/>
                    <w:tr2bl w:val="nil"/>
                  </w:tcBorders>
                  <w:noWrap w:val="0"/>
                  <w:vAlign w:val="center"/>
                </w:tcPr>
                <w:p w14:paraId="032D824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kern w:val="0"/>
                      <w:sz w:val="21"/>
                      <w:szCs w:val="21"/>
                      <w:vertAlign w:val="baseline"/>
                      <w:lang w:val="en-US" w:eastAsia="zh-CN"/>
                    </w:rPr>
                  </w:pPr>
                </w:p>
              </w:tc>
              <w:tc>
                <w:tcPr>
                  <w:tcW w:w="459" w:type="pct"/>
                  <w:tcBorders>
                    <w:tl2br w:val="nil"/>
                    <w:tr2bl w:val="nil"/>
                  </w:tcBorders>
                  <w:noWrap w:val="0"/>
                  <w:vAlign w:val="center"/>
                </w:tcPr>
                <w:p w14:paraId="143E2E8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个</w:t>
                  </w:r>
                </w:p>
              </w:tc>
              <w:tc>
                <w:tcPr>
                  <w:tcW w:w="448" w:type="pct"/>
                  <w:tcBorders>
                    <w:tl2br w:val="nil"/>
                    <w:tr2bl w:val="nil"/>
                  </w:tcBorders>
                  <w:noWrap w:val="0"/>
                  <w:vAlign w:val="center"/>
                </w:tcPr>
                <w:p w14:paraId="484CA2F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1</w:t>
                  </w:r>
                </w:p>
              </w:tc>
              <w:tc>
                <w:tcPr>
                  <w:tcW w:w="432" w:type="pct"/>
                  <w:vMerge w:val="continue"/>
                  <w:tcBorders>
                    <w:tl2br w:val="nil"/>
                    <w:tr2bl w:val="nil"/>
                  </w:tcBorders>
                  <w:noWrap w:val="0"/>
                  <w:vAlign w:val="center"/>
                </w:tcPr>
                <w:p w14:paraId="1A1664C2">
                  <w:pPr>
                    <w:keepNext w:val="0"/>
                    <w:keepLines w:val="0"/>
                    <w:pageBreakBefore w:val="0"/>
                    <w:wordWrap/>
                    <w:bidi w:val="0"/>
                    <w:jc w:val="center"/>
                    <w:rPr>
                      <w:rFonts w:hint="default" w:ascii="Times New Roman" w:hAnsi="Times New Roman" w:cs="Times New Roman"/>
                      <w:color w:val="auto"/>
                      <w:kern w:val="0"/>
                      <w:sz w:val="21"/>
                      <w:szCs w:val="21"/>
                      <w:vertAlign w:val="baseline"/>
                      <w:lang w:val="en-US" w:eastAsia="zh-CN"/>
                    </w:rPr>
                  </w:pPr>
                </w:p>
              </w:tc>
            </w:tr>
            <w:tr w14:paraId="21D4C6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tcBorders>
                    <w:tl2br w:val="nil"/>
                    <w:tr2bl w:val="nil"/>
                  </w:tcBorders>
                  <w:shd w:val="clear" w:color="auto" w:fill="auto"/>
                  <w:noWrap w:val="0"/>
                  <w:vAlign w:val="center"/>
                </w:tcPr>
                <w:p w14:paraId="7595355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bidi="ar-SA"/>
                    </w:rPr>
                  </w:pPr>
                  <w:r>
                    <w:rPr>
                      <w:rFonts w:hint="default" w:ascii="Times New Roman" w:hAnsi="Times New Roman" w:cs="Times New Roman"/>
                      <w:color w:val="auto"/>
                      <w:kern w:val="0"/>
                      <w:sz w:val="21"/>
                      <w:szCs w:val="21"/>
                      <w:vertAlign w:val="baseline"/>
                      <w:lang w:val="en-US" w:eastAsia="zh-CN"/>
                    </w:rPr>
                    <w:t>5</w:t>
                  </w:r>
                </w:p>
              </w:tc>
              <w:tc>
                <w:tcPr>
                  <w:tcW w:w="1038" w:type="pct"/>
                  <w:tcBorders>
                    <w:tl2br w:val="nil"/>
                    <w:tr2bl w:val="nil"/>
                  </w:tcBorders>
                  <w:noWrap w:val="0"/>
                  <w:vAlign w:val="center"/>
                </w:tcPr>
                <w:p w14:paraId="6D23512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石灰石粉仓</w:t>
                  </w:r>
                </w:p>
              </w:tc>
              <w:tc>
                <w:tcPr>
                  <w:tcW w:w="2176" w:type="pct"/>
                  <w:tcBorders>
                    <w:tl2br w:val="nil"/>
                    <w:tr2bl w:val="nil"/>
                  </w:tcBorders>
                  <w:noWrap w:val="0"/>
                  <w:vAlign w:val="center"/>
                </w:tcPr>
                <w:p w14:paraId="4BA9DC6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满足全15天耗量</w:t>
                  </w:r>
                </w:p>
              </w:tc>
              <w:tc>
                <w:tcPr>
                  <w:tcW w:w="459" w:type="pct"/>
                  <w:tcBorders>
                    <w:tl2br w:val="nil"/>
                    <w:tr2bl w:val="nil"/>
                  </w:tcBorders>
                  <w:noWrap w:val="0"/>
                  <w:vAlign w:val="center"/>
                </w:tcPr>
                <w:p w14:paraId="30A5653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个</w:t>
                  </w:r>
                </w:p>
              </w:tc>
              <w:tc>
                <w:tcPr>
                  <w:tcW w:w="448" w:type="pct"/>
                  <w:tcBorders>
                    <w:tl2br w:val="nil"/>
                    <w:tr2bl w:val="nil"/>
                  </w:tcBorders>
                  <w:noWrap w:val="0"/>
                  <w:vAlign w:val="center"/>
                </w:tcPr>
                <w:p w14:paraId="63D6D87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1</w:t>
                  </w:r>
                </w:p>
              </w:tc>
              <w:tc>
                <w:tcPr>
                  <w:tcW w:w="432" w:type="pct"/>
                  <w:vMerge w:val="continue"/>
                  <w:tcBorders>
                    <w:tl2br w:val="nil"/>
                    <w:tr2bl w:val="nil"/>
                  </w:tcBorders>
                  <w:noWrap w:val="0"/>
                  <w:vAlign w:val="center"/>
                </w:tcPr>
                <w:p w14:paraId="45B02849">
                  <w:pPr>
                    <w:keepNext w:val="0"/>
                    <w:keepLines w:val="0"/>
                    <w:pageBreakBefore w:val="0"/>
                    <w:wordWrap/>
                    <w:bidi w:val="0"/>
                    <w:jc w:val="center"/>
                    <w:rPr>
                      <w:rFonts w:hint="default" w:ascii="Times New Roman" w:hAnsi="Times New Roman" w:cs="Times New Roman"/>
                      <w:color w:val="auto"/>
                      <w:kern w:val="0"/>
                      <w:sz w:val="21"/>
                      <w:szCs w:val="21"/>
                      <w:vertAlign w:val="baseline"/>
                      <w:lang w:val="en-US" w:eastAsia="zh-CN"/>
                    </w:rPr>
                  </w:pPr>
                </w:p>
              </w:tc>
            </w:tr>
            <w:tr w14:paraId="3AEF15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tcBorders>
                    <w:tl2br w:val="nil"/>
                    <w:tr2bl w:val="nil"/>
                  </w:tcBorders>
                  <w:shd w:val="clear" w:color="auto" w:fill="auto"/>
                  <w:noWrap w:val="0"/>
                  <w:vAlign w:val="center"/>
                </w:tcPr>
                <w:p w14:paraId="028001B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bidi="ar-SA"/>
                    </w:rPr>
                  </w:pPr>
                  <w:r>
                    <w:rPr>
                      <w:rFonts w:hint="default" w:ascii="Times New Roman" w:hAnsi="Times New Roman" w:cs="Times New Roman"/>
                      <w:color w:val="auto"/>
                      <w:kern w:val="0"/>
                      <w:sz w:val="21"/>
                      <w:szCs w:val="21"/>
                      <w:vertAlign w:val="baseline"/>
                      <w:lang w:val="en-US" w:eastAsia="zh-CN"/>
                    </w:rPr>
                    <w:t>6</w:t>
                  </w:r>
                </w:p>
              </w:tc>
              <w:tc>
                <w:tcPr>
                  <w:tcW w:w="1038" w:type="pct"/>
                  <w:tcBorders>
                    <w:tl2br w:val="nil"/>
                    <w:tr2bl w:val="nil"/>
                  </w:tcBorders>
                  <w:noWrap w:val="0"/>
                  <w:vAlign w:val="center"/>
                </w:tcPr>
                <w:p w14:paraId="4AB640E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石膏水力旋流器</w:t>
                  </w:r>
                </w:p>
              </w:tc>
              <w:tc>
                <w:tcPr>
                  <w:tcW w:w="2176" w:type="pct"/>
                  <w:tcBorders>
                    <w:tl2br w:val="nil"/>
                    <w:tr2bl w:val="nil"/>
                  </w:tcBorders>
                  <w:noWrap w:val="0"/>
                  <w:vAlign w:val="center"/>
                </w:tcPr>
                <w:p w14:paraId="3AD1C7D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w:t>
                  </w:r>
                </w:p>
              </w:tc>
              <w:tc>
                <w:tcPr>
                  <w:tcW w:w="459" w:type="pct"/>
                  <w:tcBorders>
                    <w:tl2br w:val="nil"/>
                    <w:tr2bl w:val="nil"/>
                  </w:tcBorders>
                  <w:noWrap w:val="0"/>
                  <w:vAlign w:val="center"/>
                </w:tcPr>
                <w:p w14:paraId="47F2340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台</w:t>
                  </w:r>
                </w:p>
              </w:tc>
              <w:tc>
                <w:tcPr>
                  <w:tcW w:w="448" w:type="pct"/>
                  <w:tcBorders>
                    <w:tl2br w:val="nil"/>
                    <w:tr2bl w:val="nil"/>
                  </w:tcBorders>
                  <w:noWrap w:val="0"/>
                  <w:vAlign w:val="center"/>
                </w:tcPr>
                <w:p w14:paraId="20DFEAA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1</w:t>
                  </w:r>
                </w:p>
              </w:tc>
              <w:tc>
                <w:tcPr>
                  <w:tcW w:w="432" w:type="pct"/>
                  <w:vMerge w:val="continue"/>
                  <w:tcBorders>
                    <w:tl2br w:val="nil"/>
                    <w:tr2bl w:val="nil"/>
                  </w:tcBorders>
                  <w:noWrap w:val="0"/>
                  <w:vAlign w:val="center"/>
                </w:tcPr>
                <w:p w14:paraId="310195F5">
                  <w:pPr>
                    <w:keepNext w:val="0"/>
                    <w:keepLines w:val="0"/>
                    <w:pageBreakBefore w:val="0"/>
                    <w:wordWrap/>
                    <w:bidi w:val="0"/>
                    <w:jc w:val="center"/>
                    <w:rPr>
                      <w:rFonts w:hint="default" w:ascii="Times New Roman" w:hAnsi="Times New Roman" w:cs="Times New Roman"/>
                      <w:color w:val="auto"/>
                      <w:kern w:val="0"/>
                      <w:sz w:val="21"/>
                      <w:szCs w:val="21"/>
                      <w:vertAlign w:val="baseline"/>
                      <w:lang w:val="en-US" w:eastAsia="zh-CN"/>
                    </w:rPr>
                  </w:pPr>
                </w:p>
              </w:tc>
            </w:tr>
            <w:tr w14:paraId="1D8E67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tcBorders>
                    <w:tl2br w:val="nil"/>
                    <w:tr2bl w:val="nil"/>
                  </w:tcBorders>
                  <w:shd w:val="clear" w:color="auto" w:fill="auto"/>
                  <w:noWrap w:val="0"/>
                  <w:vAlign w:val="center"/>
                </w:tcPr>
                <w:p w14:paraId="7A761CF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bidi="ar-SA"/>
                    </w:rPr>
                  </w:pPr>
                  <w:r>
                    <w:rPr>
                      <w:rFonts w:hint="default" w:ascii="Times New Roman" w:hAnsi="Times New Roman" w:cs="Times New Roman"/>
                      <w:color w:val="auto"/>
                      <w:kern w:val="0"/>
                      <w:sz w:val="21"/>
                      <w:szCs w:val="21"/>
                      <w:vertAlign w:val="baseline"/>
                      <w:lang w:val="en-US" w:eastAsia="zh-CN"/>
                    </w:rPr>
                    <w:t>7</w:t>
                  </w:r>
                </w:p>
              </w:tc>
              <w:tc>
                <w:tcPr>
                  <w:tcW w:w="1038" w:type="pct"/>
                  <w:tcBorders>
                    <w:tl2br w:val="nil"/>
                    <w:tr2bl w:val="nil"/>
                  </w:tcBorders>
                  <w:noWrap w:val="0"/>
                  <w:vAlign w:val="center"/>
                </w:tcPr>
                <w:p w14:paraId="2949939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真空皮带脱水机</w:t>
                  </w:r>
                </w:p>
              </w:tc>
              <w:tc>
                <w:tcPr>
                  <w:tcW w:w="2176" w:type="pct"/>
                  <w:tcBorders>
                    <w:tl2br w:val="nil"/>
                    <w:tr2bl w:val="nil"/>
                  </w:tcBorders>
                  <w:noWrap w:val="0"/>
                  <w:vAlign w:val="center"/>
                </w:tcPr>
                <w:p w14:paraId="3EB20DD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w:t>
                  </w:r>
                </w:p>
              </w:tc>
              <w:tc>
                <w:tcPr>
                  <w:tcW w:w="459" w:type="pct"/>
                  <w:tcBorders>
                    <w:tl2br w:val="nil"/>
                    <w:tr2bl w:val="nil"/>
                  </w:tcBorders>
                  <w:noWrap w:val="0"/>
                  <w:vAlign w:val="center"/>
                </w:tcPr>
                <w:p w14:paraId="3A6B87E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台</w:t>
                  </w:r>
                </w:p>
              </w:tc>
              <w:tc>
                <w:tcPr>
                  <w:tcW w:w="448" w:type="pct"/>
                  <w:tcBorders>
                    <w:tl2br w:val="nil"/>
                    <w:tr2bl w:val="nil"/>
                  </w:tcBorders>
                  <w:noWrap w:val="0"/>
                  <w:vAlign w:val="center"/>
                </w:tcPr>
                <w:p w14:paraId="63032F8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1</w:t>
                  </w:r>
                </w:p>
              </w:tc>
              <w:tc>
                <w:tcPr>
                  <w:tcW w:w="432" w:type="pct"/>
                  <w:vMerge w:val="continue"/>
                  <w:tcBorders>
                    <w:tl2br w:val="nil"/>
                    <w:tr2bl w:val="nil"/>
                  </w:tcBorders>
                  <w:noWrap w:val="0"/>
                  <w:vAlign w:val="center"/>
                </w:tcPr>
                <w:p w14:paraId="5AFF92B9">
                  <w:pPr>
                    <w:keepNext w:val="0"/>
                    <w:keepLines w:val="0"/>
                    <w:pageBreakBefore w:val="0"/>
                    <w:wordWrap/>
                    <w:bidi w:val="0"/>
                    <w:jc w:val="center"/>
                    <w:rPr>
                      <w:rFonts w:hint="default" w:ascii="Times New Roman" w:hAnsi="Times New Roman" w:cs="Times New Roman"/>
                      <w:color w:val="auto"/>
                      <w:kern w:val="0"/>
                      <w:sz w:val="21"/>
                      <w:szCs w:val="21"/>
                      <w:vertAlign w:val="baseline"/>
                      <w:lang w:val="en-US" w:eastAsia="zh-CN"/>
                    </w:rPr>
                  </w:pPr>
                </w:p>
              </w:tc>
            </w:tr>
            <w:tr w14:paraId="614B2A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tcBorders>
                    <w:tl2br w:val="nil"/>
                    <w:tr2bl w:val="nil"/>
                  </w:tcBorders>
                  <w:shd w:val="clear" w:color="auto" w:fill="auto"/>
                  <w:noWrap w:val="0"/>
                  <w:vAlign w:val="center"/>
                </w:tcPr>
                <w:p w14:paraId="500C9A8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bidi="ar-SA"/>
                    </w:rPr>
                  </w:pPr>
                  <w:r>
                    <w:rPr>
                      <w:rFonts w:hint="default" w:ascii="Times New Roman" w:hAnsi="Times New Roman" w:cs="Times New Roman"/>
                      <w:color w:val="auto"/>
                      <w:kern w:val="0"/>
                      <w:sz w:val="21"/>
                      <w:szCs w:val="21"/>
                      <w:vertAlign w:val="baseline"/>
                      <w:lang w:val="en-US" w:eastAsia="zh-CN"/>
                    </w:rPr>
                    <w:t>8</w:t>
                  </w:r>
                </w:p>
              </w:tc>
              <w:tc>
                <w:tcPr>
                  <w:tcW w:w="1038" w:type="pct"/>
                  <w:tcBorders>
                    <w:tl2br w:val="nil"/>
                    <w:tr2bl w:val="nil"/>
                  </w:tcBorders>
                  <w:noWrap w:val="0"/>
                  <w:vAlign w:val="center"/>
                </w:tcPr>
                <w:p w14:paraId="5B4D51A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真空泵</w:t>
                  </w:r>
                </w:p>
              </w:tc>
              <w:tc>
                <w:tcPr>
                  <w:tcW w:w="2176" w:type="pct"/>
                  <w:tcBorders>
                    <w:tl2br w:val="nil"/>
                    <w:tr2bl w:val="nil"/>
                  </w:tcBorders>
                  <w:noWrap w:val="0"/>
                  <w:vAlign w:val="center"/>
                </w:tcPr>
                <w:p w14:paraId="606D828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w:t>
                  </w:r>
                </w:p>
              </w:tc>
              <w:tc>
                <w:tcPr>
                  <w:tcW w:w="459" w:type="pct"/>
                  <w:tcBorders>
                    <w:tl2br w:val="nil"/>
                    <w:tr2bl w:val="nil"/>
                  </w:tcBorders>
                  <w:noWrap w:val="0"/>
                  <w:vAlign w:val="center"/>
                </w:tcPr>
                <w:p w14:paraId="0FC89AD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台</w:t>
                  </w:r>
                </w:p>
              </w:tc>
              <w:tc>
                <w:tcPr>
                  <w:tcW w:w="448" w:type="pct"/>
                  <w:tcBorders>
                    <w:tl2br w:val="nil"/>
                    <w:tr2bl w:val="nil"/>
                  </w:tcBorders>
                  <w:noWrap w:val="0"/>
                  <w:vAlign w:val="center"/>
                </w:tcPr>
                <w:p w14:paraId="76020DA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1</w:t>
                  </w:r>
                </w:p>
              </w:tc>
              <w:tc>
                <w:tcPr>
                  <w:tcW w:w="432" w:type="pct"/>
                  <w:vMerge w:val="continue"/>
                  <w:tcBorders>
                    <w:tl2br w:val="nil"/>
                    <w:tr2bl w:val="nil"/>
                  </w:tcBorders>
                  <w:noWrap w:val="0"/>
                  <w:vAlign w:val="center"/>
                </w:tcPr>
                <w:p w14:paraId="1934EC23">
                  <w:pPr>
                    <w:keepNext w:val="0"/>
                    <w:keepLines w:val="0"/>
                    <w:pageBreakBefore w:val="0"/>
                    <w:wordWrap/>
                    <w:bidi w:val="0"/>
                    <w:jc w:val="center"/>
                    <w:rPr>
                      <w:rFonts w:hint="default" w:ascii="Times New Roman" w:hAnsi="Times New Roman" w:cs="Times New Roman"/>
                      <w:color w:val="auto"/>
                      <w:kern w:val="0"/>
                      <w:sz w:val="21"/>
                      <w:szCs w:val="21"/>
                      <w:vertAlign w:val="baseline"/>
                      <w:lang w:val="en-US" w:eastAsia="zh-CN"/>
                    </w:rPr>
                  </w:pPr>
                </w:p>
              </w:tc>
            </w:tr>
            <w:tr w14:paraId="73679B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tcBorders>
                    <w:tl2br w:val="nil"/>
                    <w:tr2bl w:val="nil"/>
                  </w:tcBorders>
                  <w:shd w:val="clear" w:color="auto" w:fill="auto"/>
                  <w:noWrap w:val="0"/>
                  <w:vAlign w:val="center"/>
                </w:tcPr>
                <w:p w14:paraId="0A77F85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bidi="ar-SA"/>
                    </w:rPr>
                  </w:pPr>
                  <w:r>
                    <w:rPr>
                      <w:rFonts w:hint="default" w:ascii="Times New Roman" w:hAnsi="Times New Roman" w:cs="Times New Roman"/>
                      <w:color w:val="auto"/>
                      <w:kern w:val="0"/>
                      <w:sz w:val="21"/>
                      <w:szCs w:val="21"/>
                      <w:vertAlign w:val="baseline"/>
                      <w:lang w:val="en-US" w:eastAsia="zh-CN"/>
                    </w:rPr>
                    <w:t>9</w:t>
                  </w:r>
                </w:p>
              </w:tc>
              <w:tc>
                <w:tcPr>
                  <w:tcW w:w="1038" w:type="pct"/>
                  <w:tcBorders>
                    <w:tl2br w:val="nil"/>
                    <w:tr2bl w:val="nil"/>
                  </w:tcBorders>
                  <w:noWrap w:val="0"/>
                  <w:vAlign w:val="center"/>
                </w:tcPr>
                <w:p w14:paraId="2D305AE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尿素热解炉</w:t>
                  </w:r>
                </w:p>
              </w:tc>
              <w:tc>
                <w:tcPr>
                  <w:tcW w:w="2176" w:type="pct"/>
                  <w:tcBorders>
                    <w:tl2br w:val="nil"/>
                    <w:tr2bl w:val="nil"/>
                  </w:tcBorders>
                  <w:noWrap w:val="0"/>
                  <w:vAlign w:val="center"/>
                </w:tcPr>
                <w:p w14:paraId="090B399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w:t>
                  </w:r>
                </w:p>
              </w:tc>
              <w:tc>
                <w:tcPr>
                  <w:tcW w:w="459" w:type="pct"/>
                  <w:tcBorders>
                    <w:tl2br w:val="nil"/>
                    <w:tr2bl w:val="nil"/>
                  </w:tcBorders>
                  <w:noWrap w:val="0"/>
                  <w:vAlign w:val="center"/>
                </w:tcPr>
                <w:p w14:paraId="497D9D5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台</w:t>
                  </w:r>
                </w:p>
              </w:tc>
              <w:tc>
                <w:tcPr>
                  <w:tcW w:w="448" w:type="pct"/>
                  <w:tcBorders>
                    <w:tl2br w:val="nil"/>
                    <w:tr2bl w:val="nil"/>
                  </w:tcBorders>
                  <w:noWrap w:val="0"/>
                  <w:vAlign w:val="center"/>
                </w:tcPr>
                <w:p w14:paraId="3E5308C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1</w:t>
                  </w:r>
                </w:p>
              </w:tc>
              <w:tc>
                <w:tcPr>
                  <w:tcW w:w="432" w:type="pct"/>
                  <w:vMerge w:val="continue"/>
                  <w:tcBorders>
                    <w:tl2br w:val="nil"/>
                    <w:tr2bl w:val="nil"/>
                  </w:tcBorders>
                  <w:noWrap w:val="0"/>
                  <w:vAlign w:val="center"/>
                </w:tcPr>
                <w:p w14:paraId="180573FE">
                  <w:pPr>
                    <w:keepNext w:val="0"/>
                    <w:keepLines w:val="0"/>
                    <w:pageBreakBefore w:val="0"/>
                    <w:wordWrap/>
                    <w:bidi w:val="0"/>
                    <w:jc w:val="center"/>
                    <w:rPr>
                      <w:rFonts w:hint="default" w:ascii="Times New Roman" w:hAnsi="Times New Roman" w:cs="Times New Roman"/>
                      <w:color w:val="auto"/>
                      <w:kern w:val="0"/>
                      <w:sz w:val="21"/>
                      <w:szCs w:val="21"/>
                      <w:vertAlign w:val="baseline"/>
                      <w:lang w:val="en-US" w:eastAsia="zh-CN"/>
                    </w:rPr>
                  </w:pPr>
                </w:p>
              </w:tc>
            </w:tr>
            <w:tr w14:paraId="58C6BB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445" w:type="pct"/>
                  <w:tcBorders>
                    <w:tl2br w:val="nil"/>
                    <w:tr2bl w:val="nil"/>
                  </w:tcBorders>
                  <w:shd w:val="clear" w:color="auto" w:fill="auto"/>
                  <w:noWrap w:val="0"/>
                  <w:vAlign w:val="center"/>
                </w:tcPr>
                <w:p w14:paraId="16A35C6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bidi="ar-SA"/>
                    </w:rPr>
                  </w:pPr>
                  <w:r>
                    <w:rPr>
                      <w:rFonts w:hint="default" w:ascii="Times New Roman" w:hAnsi="Times New Roman" w:cs="Times New Roman"/>
                      <w:color w:val="auto"/>
                      <w:kern w:val="0"/>
                      <w:sz w:val="21"/>
                      <w:szCs w:val="21"/>
                      <w:vertAlign w:val="baseline"/>
                      <w:lang w:val="en-US" w:eastAsia="zh-CN"/>
                    </w:rPr>
                    <w:t>10</w:t>
                  </w:r>
                </w:p>
              </w:tc>
              <w:tc>
                <w:tcPr>
                  <w:tcW w:w="1038" w:type="pct"/>
                  <w:tcBorders>
                    <w:tl2br w:val="nil"/>
                    <w:tr2bl w:val="nil"/>
                  </w:tcBorders>
                  <w:noWrap w:val="0"/>
                  <w:vAlign w:val="center"/>
                </w:tcPr>
                <w:p w14:paraId="52DED12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汽轮机</w:t>
                  </w:r>
                </w:p>
              </w:tc>
              <w:tc>
                <w:tcPr>
                  <w:tcW w:w="2176" w:type="pct"/>
                  <w:tcBorders>
                    <w:tl2br w:val="nil"/>
                    <w:tr2bl w:val="nil"/>
                  </w:tcBorders>
                  <w:noWrap w:val="0"/>
                  <w:vAlign w:val="center"/>
                </w:tcPr>
                <w:p w14:paraId="51D5C73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型式：超高温超高压、中间一次再热、直接空冷、凝汽式汽轮机</w:t>
                  </w:r>
                </w:p>
                <w:p w14:paraId="538FFB9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型号：N45-13.24/566/566</w:t>
                  </w:r>
                </w:p>
                <w:p w14:paraId="4DA702A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额定功率：45MW</w:t>
                  </w:r>
                </w:p>
                <w:p w14:paraId="3F6BC26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主蒸汽阀前额定蒸汽压力：13.24MPa.a</w:t>
                  </w:r>
                </w:p>
                <w:p w14:paraId="25DE294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主蒸汽阀前额定蒸汽温度：566℃</w:t>
                  </w:r>
                </w:p>
                <w:p w14:paraId="7F0CB99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再热蒸汽进汽阀前温度：566℃</w:t>
                  </w:r>
                </w:p>
                <w:p w14:paraId="34164CA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额定背压：15kPa.a</w:t>
                  </w:r>
                </w:p>
                <w:p w14:paraId="40F987F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旋转方向：从汽机端向发电机端看为顺时针</w:t>
                  </w:r>
                </w:p>
                <w:p w14:paraId="513B01E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保证热耗：9150kJ/kWh</w:t>
                  </w:r>
                </w:p>
                <w:p w14:paraId="741D579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回热系统级数：6级（2高加+1除氧+3低加）</w:t>
                  </w:r>
                </w:p>
              </w:tc>
              <w:tc>
                <w:tcPr>
                  <w:tcW w:w="459" w:type="pct"/>
                  <w:tcBorders>
                    <w:tl2br w:val="nil"/>
                    <w:tr2bl w:val="nil"/>
                  </w:tcBorders>
                  <w:noWrap w:val="0"/>
                  <w:vAlign w:val="center"/>
                </w:tcPr>
                <w:p w14:paraId="786816B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台</w:t>
                  </w:r>
                </w:p>
              </w:tc>
              <w:tc>
                <w:tcPr>
                  <w:tcW w:w="448" w:type="pct"/>
                  <w:tcBorders>
                    <w:tl2br w:val="nil"/>
                    <w:tr2bl w:val="nil"/>
                  </w:tcBorders>
                  <w:noWrap w:val="0"/>
                  <w:vAlign w:val="center"/>
                </w:tcPr>
                <w:p w14:paraId="15FE912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1</w:t>
                  </w:r>
                </w:p>
              </w:tc>
              <w:tc>
                <w:tcPr>
                  <w:tcW w:w="432" w:type="pct"/>
                  <w:tcBorders>
                    <w:tl2br w:val="nil"/>
                    <w:tr2bl w:val="nil"/>
                  </w:tcBorders>
                  <w:noWrap w:val="0"/>
                  <w:vAlign w:val="center"/>
                </w:tcPr>
                <w:p w14:paraId="6835FAD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未注明工况处，均为汽轮机额定工况</w:t>
                  </w:r>
                </w:p>
              </w:tc>
            </w:tr>
            <w:tr w14:paraId="51C706F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45" w:type="pct"/>
                  <w:tcBorders>
                    <w:tl2br w:val="nil"/>
                    <w:tr2bl w:val="nil"/>
                  </w:tcBorders>
                  <w:shd w:val="clear" w:color="auto" w:fill="auto"/>
                  <w:noWrap w:val="0"/>
                  <w:vAlign w:val="center"/>
                </w:tcPr>
                <w:p w14:paraId="49DCE63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bidi="ar-SA"/>
                    </w:rPr>
                  </w:pPr>
                  <w:r>
                    <w:rPr>
                      <w:rFonts w:hint="default" w:ascii="Times New Roman" w:hAnsi="Times New Roman" w:cs="Times New Roman"/>
                      <w:color w:val="auto"/>
                      <w:kern w:val="0"/>
                      <w:sz w:val="21"/>
                      <w:szCs w:val="21"/>
                      <w:vertAlign w:val="baseline"/>
                      <w:lang w:val="en-US" w:eastAsia="zh-CN"/>
                    </w:rPr>
                    <w:t>11</w:t>
                  </w:r>
                </w:p>
              </w:tc>
              <w:tc>
                <w:tcPr>
                  <w:tcW w:w="1038" w:type="pct"/>
                  <w:tcBorders>
                    <w:tl2br w:val="nil"/>
                    <w:tr2bl w:val="nil"/>
                  </w:tcBorders>
                  <w:noWrap w:val="0"/>
                  <w:vAlign w:val="center"/>
                </w:tcPr>
                <w:p w14:paraId="1EA054A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发电机</w:t>
                  </w:r>
                </w:p>
              </w:tc>
              <w:tc>
                <w:tcPr>
                  <w:tcW w:w="2176" w:type="pct"/>
                  <w:tcBorders>
                    <w:tl2br w:val="nil"/>
                    <w:tr2bl w:val="nil"/>
                  </w:tcBorders>
                  <w:noWrap w:val="0"/>
                  <w:vAlign w:val="center"/>
                </w:tcPr>
                <w:p w14:paraId="6EBA268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额定功率：45MW；冷却方式：空内冷；功率因数：0.8；额定电压：10.5</w:t>
                  </w:r>
                  <w:r>
                    <w:rPr>
                      <w:rFonts w:hint="eastAsia" w:cs="Times New Roman"/>
                      <w:color w:val="auto"/>
                      <w:kern w:val="0"/>
                      <w:sz w:val="21"/>
                      <w:szCs w:val="21"/>
                      <w:vertAlign w:val="baseline"/>
                      <w:lang w:val="en-US" w:eastAsia="zh-CN"/>
                    </w:rPr>
                    <w:t>kV</w:t>
                  </w:r>
                  <w:r>
                    <w:rPr>
                      <w:rFonts w:hint="default" w:ascii="Times New Roman" w:hAnsi="Times New Roman" w:eastAsia="宋体" w:cs="Times New Roman"/>
                      <w:color w:val="auto"/>
                      <w:kern w:val="0"/>
                      <w:sz w:val="21"/>
                      <w:szCs w:val="21"/>
                      <w:vertAlign w:val="baseline"/>
                      <w:lang w:val="en-US" w:eastAsia="zh-CN"/>
                    </w:rPr>
                    <w:t>；额定转速：3000r/min</w:t>
                  </w:r>
                </w:p>
                <w:p w14:paraId="14FD861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额定频率：50Hz；绝缘等级：F级（按B级考核）励磁方式：静止励磁</w:t>
                  </w:r>
                </w:p>
              </w:tc>
              <w:tc>
                <w:tcPr>
                  <w:tcW w:w="459" w:type="pct"/>
                  <w:tcBorders>
                    <w:tl2br w:val="nil"/>
                    <w:tr2bl w:val="nil"/>
                  </w:tcBorders>
                  <w:noWrap w:val="0"/>
                  <w:vAlign w:val="center"/>
                </w:tcPr>
                <w:p w14:paraId="1146115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台</w:t>
                  </w:r>
                </w:p>
              </w:tc>
              <w:tc>
                <w:tcPr>
                  <w:tcW w:w="448" w:type="pct"/>
                  <w:tcBorders>
                    <w:tl2br w:val="nil"/>
                    <w:tr2bl w:val="nil"/>
                  </w:tcBorders>
                  <w:noWrap w:val="0"/>
                  <w:vAlign w:val="center"/>
                </w:tcPr>
                <w:p w14:paraId="7B238CD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1</w:t>
                  </w:r>
                </w:p>
              </w:tc>
              <w:tc>
                <w:tcPr>
                  <w:tcW w:w="432" w:type="pct"/>
                  <w:tcBorders>
                    <w:tl2br w:val="nil"/>
                    <w:tr2bl w:val="nil"/>
                  </w:tcBorders>
                  <w:noWrap w:val="0"/>
                  <w:vAlign w:val="center"/>
                </w:tcPr>
                <w:p w14:paraId="20D970F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cs="Times New Roman"/>
                      <w:color w:val="auto"/>
                      <w:kern w:val="0"/>
                      <w:sz w:val="21"/>
                      <w:szCs w:val="21"/>
                      <w:vertAlign w:val="baseline"/>
                      <w:lang w:val="en-US" w:eastAsia="zh-CN"/>
                    </w:rPr>
                    <w:t>/</w:t>
                  </w:r>
                </w:p>
              </w:tc>
            </w:tr>
          </w:tbl>
          <w:p w14:paraId="4A1C0C3B">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Chars="0"/>
              <w:jc w:val="left"/>
              <w:textAlignment w:val="auto"/>
              <w:rPr>
                <w:rFonts w:hint="default" w:ascii="Times New Roman" w:hAnsi="Times New Roman" w:eastAsia="宋体" w:cs="Times New Roman"/>
                <w:b/>
                <w:bCs w:val="0"/>
                <w:color w:val="auto"/>
                <w:sz w:val="24"/>
                <w:szCs w:val="24"/>
                <w:lang w:val="en-US" w:eastAsia="zh-CN"/>
              </w:rPr>
            </w:pPr>
            <w:r>
              <w:rPr>
                <w:rFonts w:hint="default" w:ascii="Times New Roman" w:hAnsi="Times New Roman" w:cs="Times New Roman"/>
                <w:b/>
                <w:bCs w:val="0"/>
                <w:color w:val="auto"/>
                <w:sz w:val="24"/>
                <w:szCs w:val="24"/>
                <w:lang w:val="en-US" w:eastAsia="zh-CN"/>
              </w:rPr>
              <w:t>4</w:t>
            </w:r>
            <w:r>
              <w:rPr>
                <w:rFonts w:hint="default" w:ascii="Times New Roman" w:hAnsi="Times New Roman" w:eastAsia="宋体" w:cs="Times New Roman"/>
                <w:b/>
                <w:bCs w:val="0"/>
                <w:color w:val="auto"/>
                <w:sz w:val="24"/>
                <w:szCs w:val="24"/>
                <w:lang w:val="en-US" w:eastAsia="zh-CN"/>
              </w:rPr>
              <w:t>.原辅材料及能源消耗</w:t>
            </w:r>
          </w:p>
          <w:p w14:paraId="44FA929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本项目锅炉燃料为120万吨煤化工制品设备更新改造项目的兰炭副产煤气，兰炭工程一期建设产能40万吨/年，二期建设产能80万吨/年</w:t>
            </w:r>
            <w:r>
              <w:rPr>
                <w:rFonts w:hint="default" w:ascii="Times New Roman" w:hAnsi="Times New Roman" w:cs="Times New Roman"/>
                <w:b w:val="0"/>
                <w:bCs/>
                <w:color w:val="auto"/>
                <w:sz w:val="24"/>
                <w:szCs w:val="24"/>
                <w:lang w:val="en-US" w:eastAsia="zh-CN"/>
              </w:rPr>
              <w:t>，年产煤气为85332万</w:t>
            </w:r>
            <w:r>
              <w:rPr>
                <w:rFonts w:hint="default" w:ascii="Times New Roman" w:hAnsi="Times New Roman" w:cs="Times New Roman"/>
                <w:color w:val="auto"/>
                <w:sz w:val="24"/>
              </w:rPr>
              <w:t>m</w:t>
            </w:r>
            <w:r>
              <w:rPr>
                <w:rFonts w:hint="default" w:ascii="Times New Roman" w:hAnsi="Times New Roman" w:cs="Times New Roman"/>
                <w:color w:val="auto"/>
                <w:sz w:val="24"/>
                <w:vertAlign w:val="superscript"/>
                <w:lang w:val="en-US" w:eastAsia="zh-CN"/>
              </w:rPr>
              <w:t>3</w:t>
            </w:r>
            <w:r>
              <w:rPr>
                <w:rFonts w:hint="default" w:ascii="Times New Roman" w:hAnsi="Times New Roman" w:cs="Times New Roman"/>
                <w:color w:val="auto"/>
                <w:sz w:val="24"/>
              </w:rPr>
              <w:t>/a</w:t>
            </w:r>
            <w:r>
              <w:rPr>
                <w:rFonts w:hint="default" w:ascii="Times New Roman" w:hAnsi="Times New Roman" w:eastAsia="宋体" w:cs="Times New Roman"/>
                <w:b w:val="0"/>
                <w:bCs/>
                <w:color w:val="auto"/>
                <w:sz w:val="24"/>
                <w:szCs w:val="24"/>
                <w:lang w:val="en-US" w:eastAsia="zh-CN"/>
              </w:rPr>
              <w:t>。兰炭</w:t>
            </w:r>
            <w:r>
              <w:rPr>
                <w:rFonts w:hint="default" w:ascii="Times New Roman" w:hAnsi="Times New Roman" w:cs="Times New Roman"/>
                <w:b w:val="0"/>
                <w:bCs/>
                <w:color w:val="auto"/>
                <w:sz w:val="24"/>
                <w:szCs w:val="24"/>
                <w:lang w:val="en-US" w:eastAsia="zh-CN"/>
              </w:rPr>
              <w:t>煤气</w:t>
            </w:r>
            <w:r>
              <w:rPr>
                <w:rFonts w:hint="default" w:ascii="Times New Roman" w:hAnsi="Times New Roman" w:eastAsia="宋体" w:cs="Times New Roman"/>
                <w:b w:val="0"/>
                <w:bCs/>
                <w:color w:val="auto"/>
                <w:sz w:val="24"/>
                <w:szCs w:val="24"/>
                <w:lang w:val="en-US" w:eastAsia="zh-CN"/>
              </w:rPr>
              <w:t>经冷却、净化之后，</w:t>
            </w:r>
            <w:r>
              <w:rPr>
                <w:rFonts w:hint="default" w:ascii="Times New Roman" w:hAnsi="Times New Roman" w:cs="Times New Roman"/>
                <w:b w:val="0"/>
                <w:bCs/>
                <w:color w:val="auto"/>
                <w:sz w:val="24"/>
                <w:szCs w:val="24"/>
                <w:lang w:val="en-US" w:eastAsia="zh-CN"/>
              </w:rPr>
              <w:t>16900万</w:t>
            </w:r>
            <w:r>
              <w:rPr>
                <w:rFonts w:hint="default" w:ascii="Times New Roman" w:hAnsi="Times New Roman" w:cs="Times New Roman"/>
                <w:color w:val="auto"/>
                <w:sz w:val="24"/>
              </w:rPr>
              <w:t>m</w:t>
            </w:r>
            <w:r>
              <w:rPr>
                <w:rFonts w:hint="default" w:ascii="Times New Roman" w:hAnsi="Times New Roman" w:cs="Times New Roman"/>
                <w:color w:val="auto"/>
                <w:sz w:val="24"/>
                <w:vertAlign w:val="superscript"/>
                <w:lang w:val="en-US" w:eastAsia="zh-CN"/>
              </w:rPr>
              <w:t>3</w:t>
            </w:r>
            <w:r>
              <w:rPr>
                <w:rFonts w:hint="default" w:ascii="Times New Roman" w:hAnsi="Times New Roman" w:cs="Times New Roman"/>
                <w:color w:val="auto"/>
                <w:sz w:val="24"/>
              </w:rPr>
              <w:t>/a</w:t>
            </w:r>
            <w:r>
              <w:rPr>
                <w:rFonts w:hint="default" w:ascii="Times New Roman" w:hAnsi="Times New Roman" w:eastAsia="宋体" w:cs="Times New Roman"/>
                <w:b w:val="0"/>
                <w:bCs/>
                <w:color w:val="auto"/>
                <w:sz w:val="24"/>
                <w:szCs w:val="24"/>
                <w:lang w:val="en-US" w:eastAsia="zh-CN"/>
              </w:rPr>
              <w:t>煤气生产自用，68432万m</w:t>
            </w:r>
            <w:r>
              <w:rPr>
                <w:rFonts w:hint="default" w:ascii="Times New Roman" w:hAnsi="Times New Roman" w:eastAsia="宋体" w:cs="Times New Roman"/>
                <w:b w:val="0"/>
                <w:bCs/>
                <w:color w:val="auto"/>
                <w:sz w:val="24"/>
                <w:szCs w:val="24"/>
                <w:vertAlign w:val="superscript"/>
                <w:lang w:val="en-US" w:eastAsia="zh-CN"/>
              </w:rPr>
              <w:t>3</w:t>
            </w:r>
            <w:r>
              <w:rPr>
                <w:rFonts w:hint="default" w:ascii="Times New Roman" w:hAnsi="Times New Roman" w:eastAsia="宋体" w:cs="Times New Roman"/>
                <w:b w:val="0"/>
                <w:bCs/>
                <w:color w:val="auto"/>
                <w:sz w:val="24"/>
                <w:szCs w:val="24"/>
                <w:lang w:val="en-US" w:eastAsia="zh-CN"/>
              </w:rPr>
              <w:t>/a由本次新建的1×45MW发电机组消纳。</w:t>
            </w:r>
          </w:p>
          <w:p w14:paraId="47EAD03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b w:val="0"/>
                <w:bCs/>
                <w:color w:val="auto"/>
                <w:sz w:val="24"/>
                <w:szCs w:val="24"/>
                <w:lang w:val="en-US" w:eastAsia="zh-CN"/>
              </w:rPr>
              <w:t>本项目发电工程依托煤气剩余量设计，</w:t>
            </w:r>
            <w:r>
              <w:rPr>
                <w:rFonts w:hint="default" w:ascii="Times New Roman" w:hAnsi="Times New Roman" w:eastAsia="宋体" w:cs="Times New Roman"/>
                <w:color w:val="auto"/>
                <w:kern w:val="0"/>
                <w:sz w:val="24"/>
                <w:szCs w:val="24"/>
                <w:lang w:val="en-US" w:eastAsia="zh-CN" w:bidi="ar-SA"/>
              </w:rPr>
              <w:t>本项目</w:t>
            </w:r>
            <w:r>
              <w:rPr>
                <w:rFonts w:hint="default" w:ascii="Times New Roman" w:hAnsi="Times New Roman" w:eastAsia="宋体" w:cs="Times New Roman"/>
                <w:color w:val="auto"/>
                <w:sz w:val="24"/>
                <w:szCs w:val="24"/>
              </w:rPr>
              <w:t>最大连续出力工况150t/h</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湿煤气低位热值（Qₙₑₜ）1290kcal/Nm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锅炉设计热效率（η）</w:t>
            </w:r>
            <w:r>
              <w:rPr>
                <w:rFonts w:hint="default" w:ascii="Times New Roman" w:hAnsi="Times New Roman" w:eastAsia="宋体" w:cs="Times New Roman"/>
                <w:color w:val="auto"/>
                <w:sz w:val="24"/>
                <w:szCs w:val="24"/>
                <w:lang w:val="en-US" w:eastAsia="zh-CN"/>
              </w:rPr>
              <w:t>90.6</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锅炉排污率1%、</w:t>
            </w:r>
            <w:r>
              <w:rPr>
                <w:rFonts w:hint="default" w:ascii="Times New Roman" w:hAnsi="Times New Roman" w:eastAsia="宋体" w:cs="Times New Roman"/>
                <w:color w:val="auto"/>
                <w:kern w:val="0"/>
                <w:sz w:val="24"/>
                <w:szCs w:val="24"/>
                <w:lang w:val="en-US" w:eastAsia="zh-CN" w:bidi="ar"/>
              </w:rPr>
              <w:t>蒸汽参数3.82MPa、450℃</w:t>
            </w:r>
            <w:r>
              <w:rPr>
                <w:rFonts w:hint="default" w:ascii="Times New Roman" w:hAnsi="Times New Roman" w:eastAsia="宋体" w:cs="Times New Roman"/>
                <w:color w:val="auto"/>
                <w:sz w:val="24"/>
                <w:szCs w:val="24"/>
                <w:lang w:val="en-US" w:eastAsia="zh-CN"/>
              </w:rPr>
              <w:t>、年运行小时数</w:t>
            </w:r>
            <w:r>
              <w:rPr>
                <w:rFonts w:hint="default" w:ascii="Times New Roman" w:hAnsi="Times New Roman" w:eastAsia="宋体" w:cs="Times New Roman"/>
                <w:color w:val="auto"/>
                <w:sz w:val="24"/>
                <w:szCs w:val="24"/>
              </w:rPr>
              <w:t>8000h/a</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项目煤气消耗量计算如下：</w:t>
            </w:r>
          </w:p>
          <w:p w14:paraId="08B64A1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①</w:t>
            </w:r>
            <w:r>
              <w:rPr>
                <w:rFonts w:hint="default" w:ascii="Times New Roman" w:hAnsi="Times New Roman" w:eastAsia="宋体" w:cs="Times New Roman"/>
                <w:color w:val="auto"/>
                <w:sz w:val="24"/>
                <w:szCs w:val="24"/>
              </w:rPr>
              <w:t>计算锅炉小时有效利用热</w:t>
            </w:r>
          </w:p>
          <w:p w14:paraId="6763D9E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锅炉有效利用热为蒸汽吸热量与排污吸热量之和，计算公式如下：</w:t>
            </w:r>
          </w:p>
          <w:p w14:paraId="2996C3D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Qₐₜₜₑₙₜ=D×1000×[</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h_q-h_gs</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1-P</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h_pw-h_gs</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×P]</w:t>
            </w:r>
          </w:p>
          <w:p w14:paraId="1788696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代入数值计算：</w:t>
            </w:r>
          </w:p>
          <w:p w14:paraId="4173D850">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default" w:ascii="Times New Roman" w:hAnsi="Times New Roman" w:eastAsia="宋体" w:cs="Times New Roman"/>
                <w:color w:val="auto"/>
                <w:sz w:val="24"/>
                <w:szCs w:val="24"/>
              </w:rPr>
            </w:pPr>
            <w:bookmarkStart w:id="7" w:name="heading_5"/>
            <w:r>
              <w:rPr>
                <w:rFonts w:hint="default" w:ascii="Times New Roman" w:hAnsi="Times New Roman" w:eastAsia="宋体" w:cs="Times New Roman"/>
                <w:color w:val="auto"/>
                <w:sz w:val="24"/>
                <w:szCs w:val="24"/>
              </w:rPr>
              <w:t>Qₐₜₜₑₙₜ</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rPr>
              <w:t>150×1000×[</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776.5-104.8</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×0.99+</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277.5-104.8</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×0.01]</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rPr>
              <w:t>99991500kcal/h</w:t>
            </w:r>
          </w:p>
          <w:p w14:paraId="162D281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②</w:t>
            </w:r>
            <w:r>
              <w:rPr>
                <w:rFonts w:hint="default" w:ascii="Times New Roman" w:hAnsi="Times New Roman" w:eastAsia="宋体" w:cs="Times New Roman"/>
                <w:color w:val="auto"/>
                <w:sz w:val="24"/>
                <w:szCs w:val="24"/>
              </w:rPr>
              <w:t>锅炉小时煤气消耗量</w:t>
            </w:r>
            <w:bookmarkEnd w:id="7"/>
          </w:p>
          <w:p w14:paraId="2D0342CE">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根据热平衡关系，燃料输入热量=有效利用热÷热效率，小时耗气量计算公式如下：</w:t>
            </w:r>
          </w:p>
          <w:p w14:paraId="6471A20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Vₕ=Qₐₜₜₑₙₜ÷</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Qₙₑₜ×η</w:t>
            </w:r>
            <w:r>
              <w:rPr>
                <w:rFonts w:hint="eastAsia" w:cs="Times New Roman"/>
                <w:color w:val="auto"/>
                <w:sz w:val="24"/>
                <w:szCs w:val="24"/>
                <w:lang w:eastAsia="zh-CN"/>
              </w:rPr>
              <w:t>）</w:t>
            </w:r>
          </w:p>
          <w:p w14:paraId="47C93375">
            <w:pPr>
              <w:keepNext w:val="0"/>
              <w:keepLines w:val="0"/>
              <w:pageBreakBefore w:val="0"/>
              <w:widowControl w:val="0"/>
              <w:kinsoku/>
              <w:wordWrap/>
              <w:overflowPunct/>
              <w:topLinePunct w:val="0"/>
              <w:autoSpaceDE/>
              <w:autoSpaceDN/>
              <w:bidi w:val="0"/>
              <w:adjustRightInd/>
              <w:snapToGrid/>
              <w:spacing w:line="360" w:lineRule="auto"/>
              <w:ind w:left="479" w:leftChars="228" w:firstLine="0" w:firstLine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代入数值计算：Vₕ=</w:t>
            </w:r>
            <w:r>
              <w:rPr>
                <w:rFonts w:hint="default" w:ascii="Times New Roman" w:hAnsi="Times New Roman" w:eastAsia="宋体" w:cs="Times New Roman"/>
                <w:color w:val="auto"/>
                <w:sz w:val="24"/>
                <w:szCs w:val="24"/>
                <w:lang w:val="en-US" w:eastAsia="zh-CN"/>
              </w:rPr>
              <w:t>99991500</w:t>
            </w:r>
            <w:r>
              <w:rPr>
                <w:rFonts w:hint="default" w:ascii="Times New Roman" w:hAnsi="Times New Roman" w:eastAsia="宋体" w:cs="Times New Roman"/>
                <w:color w:val="auto"/>
                <w:sz w:val="24"/>
                <w:szCs w:val="24"/>
              </w:rPr>
              <w:t>÷</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1290×0.</w:t>
            </w:r>
            <w:r>
              <w:rPr>
                <w:rFonts w:hint="default" w:ascii="Times New Roman" w:hAnsi="Times New Roman" w:eastAsia="宋体" w:cs="Times New Roman"/>
                <w:color w:val="auto"/>
                <w:sz w:val="24"/>
                <w:szCs w:val="24"/>
                <w:lang w:val="en-US" w:eastAsia="zh-CN"/>
              </w:rPr>
              <w:t>90</w:t>
            </w:r>
            <w:r>
              <w:rPr>
                <w:rFonts w:hint="default" w:ascii="Times New Roman" w:hAnsi="Times New Roman" w:cs="Times New Roman"/>
                <w:color w:val="auto"/>
                <w:sz w:val="24"/>
                <w:szCs w:val="24"/>
                <w:lang w:val="en-US" w:eastAsia="zh-CN"/>
              </w:rPr>
              <w:t>6</w:t>
            </w:r>
            <w:r>
              <w:rPr>
                <w:rFonts w:hint="eastAsia" w:cs="Times New Roman"/>
                <w:color w:val="auto"/>
                <w:sz w:val="24"/>
                <w:szCs w:val="24"/>
                <w:lang w:eastAsia="zh-CN"/>
              </w:rPr>
              <w:t>）</w:t>
            </w:r>
            <w:r>
              <w:rPr>
                <w:rFonts w:hint="default" w:ascii="Times New Roman" w:hAnsi="Times New Roman" w:eastAsia="宋体" w:cs="Times New Roman"/>
                <w:color w:val="auto"/>
                <w:sz w:val="24"/>
                <w:szCs w:val="24"/>
              </w:rPr>
              <w:t>≈</w:t>
            </w:r>
            <w:r>
              <w:rPr>
                <w:rFonts w:hint="default" w:ascii="Times New Roman" w:hAnsi="Times New Roman" w:eastAsia="宋体" w:cs="Times New Roman"/>
                <w:color w:val="auto"/>
                <w:kern w:val="0"/>
                <w:sz w:val="24"/>
                <w:szCs w:val="24"/>
                <w:lang w:val="en-US" w:eastAsia="zh-CN" w:bidi="ar"/>
              </w:rPr>
              <w:t>85540</w:t>
            </w:r>
            <w:r>
              <w:rPr>
                <w:rFonts w:hint="default" w:ascii="Times New Roman" w:hAnsi="Times New Roman" w:eastAsia="宋体" w:cs="Times New Roman"/>
                <w:color w:val="auto"/>
                <w:sz w:val="24"/>
                <w:szCs w:val="24"/>
              </w:rPr>
              <w:t>Nm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rPr>
              <w:t>/h</w:t>
            </w:r>
          </w:p>
          <w:p w14:paraId="06174E3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both"/>
              <w:textAlignment w:val="auto"/>
              <w:outlineLvl w:val="1"/>
              <w:rPr>
                <w:rFonts w:hint="default" w:ascii="Times New Roman" w:hAnsi="Times New Roman" w:eastAsia="宋体" w:cs="Times New Roman"/>
                <w:b w:val="0"/>
                <w:bCs/>
                <w:color w:val="auto"/>
                <w:sz w:val="24"/>
                <w:szCs w:val="24"/>
              </w:rPr>
            </w:pPr>
            <w:bookmarkStart w:id="8" w:name="heading_6"/>
            <w:r>
              <w:rPr>
                <w:rFonts w:hint="default" w:ascii="Times New Roman" w:hAnsi="Times New Roman" w:eastAsia="宋体" w:cs="Times New Roman"/>
                <w:b w:val="0"/>
                <w:bCs/>
                <w:color w:val="auto"/>
                <w:sz w:val="24"/>
                <w:szCs w:val="24"/>
                <w:lang w:val="en-US" w:eastAsia="zh-CN"/>
              </w:rPr>
              <w:t>③</w:t>
            </w:r>
            <w:r>
              <w:rPr>
                <w:rFonts w:hint="default" w:ascii="Times New Roman" w:hAnsi="Times New Roman" w:eastAsia="宋体" w:cs="Times New Roman"/>
                <w:b w:val="0"/>
                <w:bCs/>
                <w:color w:val="auto"/>
                <w:sz w:val="24"/>
                <w:szCs w:val="24"/>
              </w:rPr>
              <w:t>计算锅炉年煤气消耗量</w:t>
            </w:r>
            <w:bookmarkEnd w:id="8"/>
          </w:p>
          <w:p w14:paraId="636EE338">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年耗气量=小时耗气量×年运行小时数÷10000（换算为万Nm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rPr>
              <w:t>），计算公式如下：</w:t>
            </w:r>
          </w:p>
          <w:p w14:paraId="52E65F5C">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Vₐ=Vₕ×t÷10000</w:t>
            </w:r>
          </w:p>
          <w:p w14:paraId="2C63C88B">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代入数值计算：Vₐ=</w:t>
            </w:r>
            <w:r>
              <w:rPr>
                <w:rFonts w:hint="default" w:ascii="Times New Roman" w:hAnsi="Times New Roman" w:eastAsia="宋体" w:cs="Times New Roman"/>
                <w:color w:val="auto"/>
                <w:sz w:val="24"/>
                <w:szCs w:val="24"/>
                <w:lang w:val="en-US" w:eastAsia="zh-CN"/>
              </w:rPr>
              <w:t>85540</w:t>
            </w:r>
            <w:r>
              <w:rPr>
                <w:rFonts w:hint="default" w:ascii="Times New Roman" w:hAnsi="Times New Roman" w:eastAsia="宋体" w:cs="Times New Roman"/>
                <w:color w:val="auto"/>
                <w:sz w:val="24"/>
                <w:szCs w:val="24"/>
              </w:rPr>
              <w:t>×8000÷10000=684320000÷10000=68432万Nm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rPr>
              <w:t>/a</w:t>
            </w:r>
            <w:r>
              <w:rPr>
                <w:rFonts w:hint="default" w:ascii="Times New Roman" w:hAnsi="Times New Roman" w:cs="Times New Roman"/>
                <w:color w:val="auto"/>
                <w:sz w:val="24"/>
                <w:szCs w:val="24"/>
                <w:lang w:eastAsia="zh-CN"/>
              </w:rPr>
              <w:t>。</w:t>
            </w:r>
          </w:p>
          <w:p w14:paraId="4AD83A27">
            <w:pPr>
              <w:pStyle w:val="2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b w:val="0"/>
                <w:bCs/>
                <w:color w:val="auto"/>
                <w:kern w:val="2"/>
                <w:sz w:val="24"/>
                <w:szCs w:val="24"/>
                <w:lang w:val="en-US" w:eastAsia="zh-CN" w:bidi="ar-SA"/>
              </w:rPr>
            </w:pPr>
            <w:r>
              <w:rPr>
                <w:rFonts w:hint="default" w:ascii="Times New Roman" w:hAnsi="Times New Roman" w:eastAsia="宋体" w:cs="Times New Roman"/>
                <w:b w:val="0"/>
                <w:bCs/>
                <w:color w:val="auto"/>
                <w:kern w:val="2"/>
                <w:sz w:val="24"/>
                <w:szCs w:val="24"/>
                <w:lang w:val="en-US" w:eastAsia="zh-CN" w:bidi="ar-SA"/>
              </w:rPr>
              <w:t>综上，上游项目煤气量能够满足本项目煤气消耗需求。</w:t>
            </w:r>
          </w:p>
          <w:p w14:paraId="6EF6282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kern w:val="2"/>
                <w:sz w:val="24"/>
                <w:szCs w:val="24"/>
                <w:lang w:val="en-US" w:eastAsia="zh-CN" w:bidi="ar-SA"/>
              </w:rPr>
              <w:t>目前煤气母管已敷设至本项目北侧红线外约50m处，管径为DN1600，本项目所需煤气从该煤气母管上接出，厂内煤气母管DN1600，长度约130m；支管DN600，分为6个支管，每根支管长度约6m，共计36m。煤气加压风机进出口设置蝶阀、盲板阀、水封装置、放散电动蝶阀（带中停功能）。经煤气主管送至锅炉，再由支</w:t>
            </w:r>
            <w:r>
              <w:rPr>
                <w:rFonts w:hint="default" w:ascii="Times New Roman" w:hAnsi="Times New Roman" w:eastAsia="宋体" w:cs="Times New Roman"/>
                <w:b w:val="0"/>
                <w:bCs/>
                <w:color w:val="auto"/>
                <w:sz w:val="24"/>
                <w:szCs w:val="24"/>
                <w:lang w:val="en-US" w:eastAsia="zh-CN"/>
              </w:rPr>
              <w:t>管送至各组燃烧器；煤气总管上设置电动蝶阀、盲板阀、快切阀、流量测量装置及压力变送器、并设有检查门、吹扫管及放散管等。每层燃烧器分支管上设置电动调节蝶阀、阻火器、膨胀节等，可以实现单个燃烧器的负荷调节，锅炉共设6个燃烧器，燃烧器左右墙布置。煤气加压风机的布置位置为锅炉西侧</w:t>
            </w:r>
            <w:r>
              <w:rPr>
                <w:rFonts w:hint="default" w:ascii="Times New Roman" w:hAnsi="Times New Roman" w:cs="Times New Roman"/>
                <w:b w:val="0"/>
                <w:bCs/>
                <w:color w:val="auto"/>
                <w:sz w:val="24"/>
                <w:szCs w:val="24"/>
                <w:lang w:val="en-US" w:eastAsia="zh-CN"/>
              </w:rPr>
              <w:t>。能够满足本项目煤气燃料的输送条件。</w:t>
            </w:r>
          </w:p>
          <w:p w14:paraId="183CBEF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根据建设单位提供的</w:t>
            </w:r>
            <w:r>
              <w:rPr>
                <w:rFonts w:hint="default" w:ascii="Times New Roman" w:hAnsi="Times New Roman" w:cs="Times New Roman"/>
                <w:b w:val="0"/>
                <w:bCs/>
                <w:color w:val="auto"/>
                <w:sz w:val="24"/>
                <w:szCs w:val="24"/>
                <w:lang w:val="en-US" w:eastAsia="zh-CN"/>
              </w:rPr>
              <w:t>本项目检验的煤气</w:t>
            </w:r>
            <w:r>
              <w:rPr>
                <w:rFonts w:hint="default" w:ascii="Times New Roman" w:hAnsi="Times New Roman" w:eastAsia="宋体" w:cs="Times New Roman"/>
                <w:b w:val="0"/>
                <w:bCs/>
                <w:color w:val="auto"/>
                <w:sz w:val="24"/>
                <w:szCs w:val="24"/>
                <w:lang w:val="en-US" w:eastAsia="zh-CN"/>
              </w:rPr>
              <w:t>分析报告，煤气品质</w:t>
            </w:r>
            <w:r>
              <w:rPr>
                <w:rFonts w:hint="default" w:ascii="Times New Roman" w:hAnsi="Times New Roman" w:cs="Times New Roman"/>
                <w:b w:val="0"/>
                <w:bCs/>
                <w:color w:val="auto"/>
                <w:sz w:val="24"/>
                <w:szCs w:val="24"/>
                <w:lang w:val="en-US" w:eastAsia="zh-CN"/>
              </w:rPr>
              <w:t>平均值</w:t>
            </w:r>
            <w:r>
              <w:rPr>
                <w:rFonts w:hint="default" w:ascii="Times New Roman" w:hAnsi="Times New Roman" w:eastAsia="宋体" w:cs="Times New Roman"/>
                <w:b w:val="0"/>
                <w:bCs/>
                <w:color w:val="auto"/>
                <w:sz w:val="24"/>
                <w:szCs w:val="24"/>
                <w:lang w:val="en-US" w:eastAsia="zh-CN"/>
              </w:rPr>
              <w:t>详见表2-</w:t>
            </w:r>
            <w:r>
              <w:rPr>
                <w:rFonts w:hint="default" w:ascii="Times New Roman" w:hAnsi="Times New Roman" w:cs="Times New Roman"/>
                <w:b w:val="0"/>
                <w:bCs/>
                <w:color w:val="auto"/>
                <w:sz w:val="24"/>
                <w:szCs w:val="24"/>
                <w:lang w:val="en-US" w:eastAsia="zh-CN"/>
              </w:rPr>
              <w:t>3，分析报告详见附件。</w:t>
            </w:r>
          </w:p>
          <w:p w14:paraId="34C563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表2-</w:t>
            </w:r>
            <w:r>
              <w:rPr>
                <w:rFonts w:hint="default" w:ascii="Times New Roman" w:hAnsi="Times New Roman" w:cs="Times New Roman"/>
                <w:b/>
                <w:bCs/>
                <w:color w:val="auto"/>
                <w:kern w:val="2"/>
                <w:sz w:val="21"/>
                <w:szCs w:val="21"/>
                <w:highlight w:val="none"/>
                <w:lang w:val="en-US" w:eastAsia="zh-CN" w:bidi="ar-SA"/>
              </w:rPr>
              <w:t>3</w:t>
            </w:r>
            <w:r>
              <w:rPr>
                <w:rFonts w:hint="default" w:ascii="Times New Roman" w:hAnsi="Times New Roman" w:eastAsia="宋体" w:cs="Times New Roman"/>
                <w:b/>
                <w:bCs/>
                <w:color w:val="auto"/>
                <w:kern w:val="2"/>
                <w:sz w:val="21"/>
                <w:szCs w:val="21"/>
                <w:highlight w:val="none"/>
                <w:lang w:val="en-US" w:eastAsia="zh-CN" w:bidi="ar-SA"/>
              </w:rPr>
              <w:t>煤气主要成分及特性表</w:t>
            </w:r>
          </w:p>
          <w:tbl>
            <w:tblPr>
              <w:tblStyle w:val="96"/>
              <w:tblW w:w="4997"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966"/>
              <w:gridCol w:w="1467"/>
              <w:gridCol w:w="3255"/>
              <w:gridCol w:w="934"/>
            </w:tblGrid>
            <w:tr w14:paraId="66D40DC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3" w:hRule="atLeast"/>
              </w:trPr>
              <w:tc>
                <w:tcPr>
                  <w:tcW w:w="1289" w:type="pct"/>
                  <w:vMerge w:val="restart"/>
                  <w:tcBorders>
                    <w:tl2br w:val="nil"/>
                    <w:tr2bl w:val="nil"/>
                  </w:tcBorders>
                  <w:vAlign w:val="center"/>
                </w:tcPr>
                <w:p w14:paraId="27A74C2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bCs/>
                      <w:color w:val="auto"/>
                    </w:rPr>
                  </w:pPr>
                  <w:r>
                    <w:rPr>
                      <w:rFonts w:hint="default" w:ascii="Times New Roman" w:hAnsi="Times New Roman" w:eastAsia="宋体" w:cs="Times New Roman"/>
                      <w:b/>
                      <w:bCs/>
                      <w:color w:val="auto"/>
                      <w:spacing w:val="-3"/>
                    </w:rPr>
                    <w:t>项目</w:t>
                  </w:r>
                </w:p>
              </w:tc>
              <w:tc>
                <w:tcPr>
                  <w:tcW w:w="962" w:type="pct"/>
                  <w:vMerge w:val="restart"/>
                  <w:tcBorders>
                    <w:tl2br w:val="nil"/>
                    <w:tr2bl w:val="nil"/>
                  </w:tcBorders>
                  <w:vAlign w:val="center"/>
                </w:tcPr>
                <w:p w14:paraId="09E8525C">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bCs/>
                      <w:color w:val="auto"/>
                    </w:rPr>
                  </w:pPr>
                  <w:r>
                    <w:rPr>
                      <w:rFonts w:hint="default" w:ascii="Times New Roman" w:hAnsi="Times New Roman" w:eastAsia="宋体" w:cs="Times New Roman"/>
                      <w:b/>
                      <w:bCs/>
                      <w:color w:val="auto"/>
                      <w:spacing w:val="-2"/>
                    </w:rPr>
                    <w:t>单位</w:t>
                  </w:r>
                </w:p>
              </w:tc>
              <w:tc>
                <w:tcPr>
                  <w:tcW w:w="2135" w:type="pct"/>
                  <w:tcBorders>
                    <w:tl2br w:val="nil"/>
                    <w:tr2bl w:val="nil"/>
                  </w:tcBorders>
                  <w:vAlign w:val="center"/>
                </w:tcPr>
                <w:p w14:paraId="4125A4A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bCs/>
                      <w:color w:val="auto"/>
                    </w:rPr>
                  </w:pPr>
                  <w:r>
                    <w:rPr>
                      <w:rFonts w:hint="default" w:ascii="Times New Roman" w:hAnsi="Times New Roman" w:eastAsia="宋体" w:cs="Times New Roman"/>
                      <w:b/>
                      <w:bCs/>
                      <w:color w:val="auto"/>
                      <w:spacing w:val="-2"/>
                    </w:rPr>
                    <w:t>数值</w:t>
                  </w:r>
                </w:p>
              </w:tc>
              <w:tc>
                <w:tcPr>
                  <w:tcW w:w="612" w:type="pct"/>
                  <w:vMerge w:val="restart"/>
                  <w:tcBorders>
                    <w:tl2br w:val="nil"/>
                    <w:tr2bl w:val="nil"/>
                  </w:tcBorders>
                  <w:vAlign w:val="center"/>
                </w:tcPr>
                <w:p w14:paraId="178B0C11">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b/>
                      <w:bCs/>
                      <w:color w:val="auto"/>
                      <w:spacing w:val="-3"/>
                    </w:rPr>
                    <w:t>备注</w:t>
                  </w:r>
                </w:p>
              </w:tc>
            </w:tr>
            <w:tr w14:paraId="5E0A16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3" w:hRule="atLeast"/>
              </w:trPr>
              <w:tc>
                <w:tcPr>
                  <w:tcW w:w="1289" w:type="pct"/>
                  <w:vMerge w:val="continue"/>
                  <w:tcBorders>
                    <w:tl2br w:val="nil"/>
                    <w:tr2bl w:val="nil"/>
                  </w:tcBorders>
                  <w:vAlign w:val="center"/>
                </w:tcPr>
                <w:p w14:paraId="285635B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b/>
                      <w:bCs/>
                      <w:color w:val="auto"/>
                    </w:rPr>
                  </w:pPr>
                </w:p>
              </w:tc>
              <w:tc>
                <w:tcPr>
                  <w:tcW w:w="962" w:type="pct"/>
                  <w:vMerge w:val="continue"/>
                  <w:tcBorders>
                    <w:tl2br w:val="nil"/>
                    <w:tr2bl w:val="nil"/>
                  </w:tcBorders>
                  <w:vAlign w:val="center"/>
                </w:tcPr>
                <w:p w14:paraId="4884AF90">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b/>
                      <w:bCs/>
                      <w:color w:val="auto"/>
                    </w:rPr>
                  </w:pPr>
                </w:p>
              </w:tc>
              <w:tc>
                <w:tcPr>
                  <w:tcW w:w="2135" w:type="pct"/>
                  <w:tcBorders>
                    <w:tl2br w:val="nil"/>
                    <w:tr2bl w:val="nil"/>
                  </w:tcBorders>
                  <w:vAlign w:val="center"/>
                </w:tcPr>
                <w:p w14:paraId="7AA65AF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bCs/>
                      <w:color w:val="auto"/>
                    </w:rPr>
                  </w:pPr>
                  <w:r>
                    <w:rPr>
                      <w:rFonts w:hint="default" w:ascii="Times New Roman" w:hAnsi="Times New Roman" w:eastAsia="宋体" w:cs="Times New Roman"/>
                      <w:b/>
                      <w:bCs/>
                      <w:color w:val="auto"/>
                      <w:spacing w:val="-2"/>
                    </w:rPr>
                    <w:t>兰炭煤气</w:t>
                  </w:r>
                </w:p>
              </w:tc>
              <w:tc>
                <w:tcPr>
                  <w:tcW w:w="612" w:type="pct"/>
                  <w:vMerge w:val="continue"/>
                  <w:tcBorders>
                    <w:tl2br w:val="nil"/>
                    <w:tr2bl w:val="nil"/>
                  </w:tcBorders>
                  <w:vAlign w:val="center"/>
                </w:tcPr>
                <w:p w14:paraId="678D2CA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rPr>
                  </w:pPr>
                </w:p>
              </w:tc>
            </w:tr>
            <w:tr w14:paraId="48AC1D0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3" w:hRule="atLeast"/>
              </w:trPr>
              <w:tc>
                <w:tcPr>
                  <w:tcW w:w="1289" w:type="pct"/>
                  <w:tcBorders>
                    <w:tl2br w:val="nil"/>
                    <w:tr2bl w:val="nil"/>
                  </w:tcBorders>
                  <w:vAlign w:val="center"/>
                </w:tcPr>
                <w:p w14:paraId="771E583B">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13"/>
                      <w:szCs w:val="13"/>
                    </w:rPr>
                  </w:pPr>
                  <w:r>
                    <w:rPr>
                      <w:rFonts w:hint="default" w:ascii="Times New Roman" w:hAnsi="Times New Roman" w:cs="Times New Roman"/>
                      <w:color w:val="auto"/>
                      <w:spacing w:val="1"/>
                      <w:position w:val="1"/>
                      <w:sz w:val="21"/>
                      <w:szCs w:val="21"/>
                    </w:rPr>
                    <w:t>H</w:t>
                  </w:r>
                  <w:r>
                    <w:rPr>
                      <w:rFonts w:hint="default" w:ascii="Times New Roman" w:hAnsi="Times New Roman" w:cs="Times New Roman"/>
                      <w:color w:val="auto"/>
                      <w:spacing w:val="1"/>
                      <w:position w:val="-3"/>
                      <w:sz w:val="13"/>
                      <w:szCs w:val="13"/>
                    </w:rPr>
                    <w:t>2</w:t>
                  </w:r>
                </w:p>
              </w:tc>
              <w:tc>
                <w:tcPr>
                  <w:tcW w:w="962" w:type="pct"/>
                  <w:tcBorders>
                    <w:tl2br w:val="nil"/>
                    <w:tr2bl w:val="nil"/>
                  </w:tcBorders>
                  <w:vAlign w:val="center"/>
                </w:tcPr>
                <w:p w14:paraId="2F8BC767">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Vol%</w:t>
                  </w:r>
                </w:p>
              </w:tc>
              <w:tc>
                <w:tcPr>
                  <w:tcW w:w="2135" w:type="pct"/>
                  <w:tcBorders>
                    <w:tl2br w:val="nil"/>
                    <w:tr2bl w:val="nil"/>
                  </w:tcBorders>
                  <w:vAlign w:val="center"/>
                </w:tcPr>
                <w:p w14:paraId="4240B112">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pacing w:val="-1"/>
                      <w:sz w:val="21"/>
                      <w:szCs w:val="21"/>
                      <w:lang w:val="en-US" w:eastAsia="zh-CN"/>
                    </w:rPr>
                    <w:t>19.83</w:t>
                  </w:r>
                </w:p>
              </w:tc>
              <w:tc>
                <w:tcPr>
                  <w:tcW w:w="612" w:type="pct"/>
                  <w:tcBorders>
                    <w:tl2br w:val="nil"/>
                    <w:tr2bl w:val="nil"/>
                  </w:tcBorders>
                  <w:vAlign w:val="center"/>
                </w:tcPr>
                <w:p w14:paraId="1D23F689">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rPr>
                  </w:pPr>
                </w:p>
              </w:tc>
            </w:tr>
            <w:tr w14:paraId="3A86D0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3" w:hRule="atLeast"/>
              </w:trPr>
              <w:tc>
                <w:tcPr>
                  <w:tcW w:w="1289" w:type="pct"/>
                  <w:tcBorders>
                    <w:tl2br w:val="nil"/>
                    <w:tr2bl w:val="nil"/>
                  </w:tcBorders>
                  <w:vAlign w:val="center"/>
                </w:tcPr>
                <w:p w14:paraId="4ABC3EB5">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13"/>
                      <w:szCs w:val="13"/>
                    </w:rPr>
                  </w:pPr>
                  <w:r>
                    <w:rPr>
                      <w:rFonts w:hint="default" w:ascii="Times New Roman" w:hAnsi="Times New Roman" w:cs="Times New Roman"/>
                      <w:color w:val="auto"/>
                      <w:sz w:val="21"/>
                      <w:szCs w:val="21"/>
                    </w:rPr>
                    <w:t>CO</w:t>
                  </w:r>
                  <w:r>
                    <w:rPr>
                      <w:rFonts w:hint="default" w:ascii="Times New Roman" w:hAnsi="Times New Roman" w:cs="Times New Roman"/>
                      <w:color w:val="auto"/>
                      <w:position w:val="-4"/>
                      <w:sz w:val="13"/>
                      <w:szCs w:val="13"/>
                    </w:rPr>
                    <w:t>2</w:t>
                  </w:r>
                </w:p>
              </w:tc>
              <w:tc>
                <w:tcPr>
                  <w:tcW w:w="962" w:type="pct"/>
                  <w:tcBorders>
                    <w:tl2br w:val="nil"/>
                    <w:tr2bl w:val="nil"/>
                  </w:tcBorders>
                  <w:vAlign w:val="center"/>
                </w:tcPr>
                <w:p w14:paraId="6E999B45">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Vol%</w:t>
                  </w:r>
                </w:p>
              </w:tc>
              <w:tc>
                <w:tcPr>
                  <w:tcW w:w="2135" w:type="pct"/>
                  <w:tcBorders>
                    <w:tl2br w:val="nil"/>
                    <w:tr2bl w:val="nil"/>
                  </w:tcBorders>
                  <w:vAlign w:val="center"/>
                </w:tcPr>
                <w:p w14:paraId="68F796FB">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pacing w:val="-5"/>
                      <w:sz w:val="21"/>
                      <w:szCs w:val="21"/>
                      <w:lang w:val="en-US" w:eastAsia="zh-CN"/>
                    </w:rPr>
                    <w:t>15.07</w:t>
                  </w:r>
                </w:p>
              </w:tc>
              <w:tc>
                <w:tcPr>
                  <w:tcW w:w="612" w:type="pct"/>
                  <w:tcBorders>
                    <w:tl2br w:val="nil"/>
                    <w:tr2bl w:val="nil"/>
                  </w:tcBorders>
                  <w:vAlign w:val="center"/>
                </w:tcPr>
                <w:p w14:paraId="65C16AE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rPr>
                  </w:pPr>
                </w:p>
              </w:tc>
            </w:tr>
            <w:tr w14:paraId="117DE8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3" w:hRule="atLeast"/>
              </w:trPr>
              <w:tc>
                <w:tcPr>
                  <w:tcW w:w="1289" w:type="pct"/>
                  <w:tcBorders>
                    <w:tl2br w:val="nil"/>
                    <w:tr2bl w:val="nil"/>
                  </w:tcBorders>
                  <w:vAlign w:val="center"/>
                </w:tcPr>
                <w:p w14:paraId="6B8FFE58">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CO</w:t>
                  </w:r>
                </w:p>
              </w:tc>
              <w:tc>
                <w:tcPr>
                  <w:tcW w:w="962" w:type="pct"/>
                  <w:tcBorders>
                    <w:tl2br w:val="nil"/>
                    <w:tr2bl w:val="nil"/>
                  </w:tcBorders>
                  <w:vAlign w:val="center"/>
                </w:tcPr>
                <w:p w14:paraId="7CEB430C">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Vol%</w:t>
                  </w:r>
                </w:p>
              </w:tc>
              <w:tc>
                <w:tcPr>
                  <w:tcW w:w="2135" w:type="pct"/>
                  <w:tcBorders>
                    <w:tl2br w:val="nil"/>
                    <w:tr2bl w:val="nil"/>
                  </w:tcBorders>
                  <w:vAlign w:val="center"/>
                </w:tcPr>
                <w:p w14:paraId="7F3B4B28">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pacing w:val="-2"/>
                      <w:sz w:val="21"/>
                      <w:szCs w:val="21"/>
                      <w:lang w:val="en-US" w:eastAsia="zh-CN"/>
                    </w:rPr>
                    <w:t>10.83</w:t>
                  </w:r>
                </w:p>
              </w:tc>
              <w:tc>
                <w:tcPr>
                  <w:tcW w:w="612" w:type="pct"/>
                  <w:tcBorders>
                    <w:tl2br w:val="nil"/>
                    <w:tr2bl w:val="nil"/>
                  </w:tcBorders>
                  <w:vAlign w:val="center"/>
                </w:tcPr>
                <w:p w14:paraId="101C208D">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rPr>
                  </w:pPr>
                </w:p>
              </w:tc>
            </w:tr>
            <w:tr w14:paraId="3977BBE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3" w:hRule="atLeast"/>
              </w:trPr>
              <w:tc>
                <w:tcPr>
                  <w:tcW w:w="1289" w:type="pct"/>
                  <w:tcBorders>
                    <w:tl2br w:val="nil"/>
                    <w:tr2bl w:val="nil"/>
                  </w:tcBorders>
                  <w:vAlign w:val="center"/>
                </w:tcPr>
                <w:p w14:paraId="52444D27">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13"/>
                      <w:szCs w:val="13"/>
                    </w:rPr>
                  </w:pPr>
                  <w:r>
                    <w:rPr>
                      <w:rFonts w:hint="default" w:ascii="Times New Roman" w:hAnsi="Times New Roman" w:cs="Times New Roman"/>
                      <w:color w:val="auto"/>
                      <w:sz w:val="21"/>
                      <w:szCs w:val="21"/>
                    </w:rPr>
                    <w:t>CH</w:t>
                  </w:r>
                  <w:r>
                    <w:rPr>
                      <w:rFonts w:hint="default" w:ascii="Times New Roman" w:hAnsi="Times New Roman" w:cs="Times New Roman"/>
                      <w:color w:val="auto"/>
                      <w:position w:val="-4"/>
                      <w:sz w:val="13"/>
                      <w:szCs w:val="13"/>
                    </w:rPr>
                    <w:t>4</w:t>
                  </w:r>
                </w:p>
              </w:tc>
              <w:tc>
                <w:tcPr>
                  <w:tcW w:w="962" w:type="pct"/>
                  <w:tcBorders>
                    <w:tl2br w:val="nil"/>
                    <w:tr2bl w:val="nil"/>
                  </w:tcBorders>
                  <w:vAlign w:val="center"/>
                </w:tcPr>
                <w:p w14:paraId="6F9BDD93">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Vol%</w:t>
                  </w:r>
                </w:p>
              </w:tc>
              <w:tc>
                <w:tcPr>
                  <w:tcW w:w="2135" w:type="pct"/>
                  <w:tcBorders>
                    <w:tl2br w:val="nil"/>
                    <w:tr2bl w:val="nil"/>
                  </w:tcBorders>
                  <w:vAlign w:val="center"/>
                </w:tcPr>
                <w:p w14:paraId="290F9799">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pacing w:val="-2"/>
                      <w:sz w:val="21"/>
                      <w:szCs w:val="21"/>
                      <w:lang w:val="en-US" w:eastAsia="zh-CN"/>
                    </w:rPr>
                    <w:t>3.28</w:t>
                  </w:r>
                </w:p>
              </w:tc>
              <w:tc>
                <w:tcPr>
                  <w:tcW w:w="612" w:type="pct"/>
                  <w:tcBorders>
                    <w:tl2br w:val="nil"/>
                    <w:tr2bl w:val="nil"/>
                  </w:tcBorders>
                  <w:vAlign w:val="center"/>
                </w:tcPr>
                <w:p w14:paraId="315D42C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rPr>
                  </w:pPr>
                </w:p>
              </w:tc>
            </w:tr>
            <w:tr w14:paraId="49ECA90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3" w:hRule="atLeast"/>
              </w:trPr>
              <w:tc>
                <w:tcPr>
                  <w:tcW w:w="1289" w:type="pct"/>
                  <w:tcBorders>
                    <w:tl2br w:val="nil"/>
                    <w:tr2bl w:val="nil"/>
                  </w:tcBorders>
                  <w:vAlign w:val="center"/>
                </w:tcPr>
                <w:p w14:paraId="1AAE6BC6">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13"/>
                      <w:szCs w:val="13"/>
                    </w:rPr>
                  </w:pPr>
                  <w:r>
                    <w:rPr>
                      <w:rFonts w:hint="default" w:ascii="Times New Roman" w:hAnsi="Times New Roman" w:cs="Times New Roman"/>
                      <w:color w:val="auto"/>
                      <w:spacing w:val="-1"/>
                      <w:position w:val="1"/>
                      <w:sz w:val="21"/>
                      <w:szCs w:val="21"/>
                    </w:rPr>
                    <w:t>O</w:t>
                  </w:r>
                  <w:r>
                    <w:rPr>
                      <w:rFonts w:hint="default" w:ascii="Times New Roman" w:hAnsi="Times New Roman" w:cs="Times New Roman"/>
                      <w:color w:val="auto"/>
                      <w:spacing w:val="-1"/>
                      <w:position w:val="-3"/>
                      <w:sz w:val="13"/>
                      <w:szCs w:val="13"/>
                    </w:rPr>
                    <w:t>2</w:t>
                  </w:r>
                </w:p>
              </w:tc>
              <w:tc>
                <w:tcPr>
                  <w:tcW w:w="962" w:type="pct"/>
                  <w:tcBorders>
                    <w:tl2br w:val="nil"/>
                    <w:tr2bl w:val="nil"/>
                  </w:tcBorders>
                  <w:vAlign w:val="center"/>
                </w:tcPr>
                <w:p w14:paraId="01AE08C4">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3"/>
                      <w:sz w:val="21"/>
                      <w:szCs w:val="21"/>
                    </w:rPr>
                    <w:t>Vol%</w:t>
                  </w:r>
                </w:p>
              </w:tc>
              <w:tc>
                <w:tcPr>
                  <w:tcW w:w="2135" w:type="pct"/>
                  <w:tcBorders>
                    <w:tl2br w:val="nil"/>
                    <w:tr2bl w:val="nil"/>
                  </w:tcBorders>
                  <w:vAlign w:val="center"/>
                </w:tcPr>
                <w:p w14:paraId="05CAEA26">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pacing w:val="-2"/>
                      <w:sz w:val="21"/>
                      <w:szCs w:val="21"/>
                      <w:lang w:val="en-US" w:eastAsia="zh-CN"/>
                    </w:rPr>
                    <w:t>1.77</w:t>
                  </w:r>
                </w:p>
              </w:tc>
              <w:tc>
                <w:tcPr>
                  <w:tcW w:w="612" w:type="pct"/>
                  <w:tcBorders>
                    <w:tl2br w:val="nil"/>
                    <w:tr2bl w:val="nil"/>
                  </w:tcBorders>
                  <w:vAlign w:val="center"/>
                </w:tcPr>
                <w:p w14:paraId="7E14898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rPr>
                  </w:pPr>
                </w:p>
              </w:tc>
            </w:tr>
            <w:tr w14:paraId="1310C4C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3" w:hRule="atLeast"/>
              </w:trPr>
              <w:tc>
                <w:tcPr>
                  <w:tcW w:w="1289" w:type="pct"/>
                  <w:tcBorders>
                    <w:tl2br w:val="nil"/>
                    <w:tr2bl w:val="nil"/>
                  </w:tcBorders>
                  <w:vAlign w:val="center"/>
                </w:tcPr>
                <w:p w14:paraId="15C7D9E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spacing w:val="-2"/>
                    </w:rPr>
                    <w:t>含水量</w:t>
                  </w:r>
                </w:p>
              </w:tc>
              <w:tc>
                <w:tcPr>
                  <w:tcW w:w="962" w:type="pct"/>
                  <w:tcBorders>
                    <w:tl2br w:val="nil"/>
                    <w:tr2bl w:val="nil"/>
                  </w:tcBorders>
                  <w:vAlign w:val="center"/>
                </w:tcPr>
                <w:p w14:paraId="11C009A7">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position w:val="1"/>
                      <w:sz w:val="21"/>
                      <w:szCs w:val="21"/>
                    </w:rPr>
                    <w:t>/</w:t>
                  </w:r>
                </w:p>
              </w:tc>
              <w:tc>
                <w:tcPr>
                  <w:tcW w:w="2135" w:type="pct"/>
                  <w:tcBorders>
                    <w:tl2br w:val="nil"/>
                    <w:tr2bl w:val="nil"/>
                  </w:tcBorders>
                  <w:vAlign w:val="center"/>
                </w:tcPr>
                <w:p w14:paraId="5086117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spacing w:val="-2"/>
                    </w:rPr>
                    <w:t>饱和</w:t>
                  </w:r>
                </w:p>
              </w:tc>
              <w:tc>
                <w:tcPr>
                  <w:tcW w:w="612" w:type="pct"/>
                  <w:tcBorders>
                    <w:tl2br w:val="nil"/>
                    <w:tr2bl w:val="nil"/>
                  </w:tcBorders>
                  <w:vAlign w:val="center"/>
                </w:tcPr>
                <w:p w14:paraId="4D372DF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rPr>
                  </w:pPr>
                </w:p>
              </w:tc>
            </w:tr>
            <w:tr w14:paraId="5852A8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3" w:hRule="atLeast"/>
              </w:trPr>
              <w:tc>
                <w:tcPr>
                  <w:tcW w:w="1289" w:type="pct"/>
                  <w:vMerge w:val="restart"/>
                  <w:tcBorders>
                    <w:tl2br w:val="nil"/>
                    <w:tr2bl w:val="nil"/>
                  </w:tcBorders>
                  <w:vAlign w:val="center"/>
                </w:tcPr>
                <w:p w14:paraId="29695F7C">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spacing w:val="-1"/>
                    </w:rPr>
                    <w:t>低位发热值：正常</w:t>
                  </w:r>
                </w:p>
              </w:tc>
              <w:tc>
                <w:tcPr>
                  <w:tcW w:w="962" w:type="pct"/>
                  <w:vMerge w:val="restart"/>
                  <w:tcBorders>
                    <w:tl2br w:val="nil"/>
                    <w:tr2bl w:val="nil"/>
                  </w:tcBorders>
                  <w:vAlign w:val="center"/>
                </w:tcPr>
                <w:p w14:paraId="0576E569">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13"/>
                      <w:szCs w:val="13"/>
                    </w:rPr>
                  </w:pPr>
                  <w:r>
                    <w:rPr>
                      <w:rFonts w:hint="default" w:ascii="Times New Roman" w:hAnsi="Times New Roman" w:cs="Times New Roman"/>
                      <w:color w:val="auto"/>
                      <w:sz w:val="21"/>
                      <w:szCs w:val="21"/>
                    </w:rPr>
                    <w:t>kcal</w:t>
                  </w:r>
                  <w:r>
                    <w:rPr>
                      <w:rFonts w:hint="default" w:ascii="Times New Roman" w:hAnsi="Times New Roman" w:cs="Times New Roman"/>
                      <w:color w:val="auto"/>
                      <w:spacing w:val="1"/>
                      <w:sz w:val="21"/>
                      <w:szCs w:val="21"/>
                    </w:rPr>
                    <w:t>/</w:t>
                  </w:r>
                  <w:r>
                    <w:rPr>
                      <w:rFonts w:hint="default" w:ascii="Times New Roman" w:hAnsi="Times New Roman" w:cs="Times New Roman"/>
                      <w:color w:val="auto"/>
                      <w:sz w:val="21"/>
                      <w:szCs w:val="21"/>
                    </w:rPr>
                    <w:t>Nm</w:t>
                  </w:r>
                  <w:r>
                    <w:rPr>
                      <w:rFonts w:hint="default" w:ascii="Times New Roman" w:hAnsi="Times New Roman" w:cs="Times New Roman"/>
                      <w:color w:val="auto"/>
                      <w:spacing w:val="1"/>
                      <w:position w:val="9"/>
                      <w:sz w:val="13"/>
                      <w:szCs w:val="13"/>
                    </w:rPr>
                    <w:t>3</w:t>
                  </w:r>
                </w:p>
              </w:tc>
              <w:tc>
                <w:tcPr>
                  <w:tcW w:w="2135" w:type="pct"/>
                  <w:tcBorders>
                    <w:tl2br w:val="nil"/>
                    <w:tr2bl w:val="nil"/>
                  </w:tcBorders>
                  <w:vAlign w:val="center"/>
                </w:tcPr>
                <w:p w14:paraId="7DA382CB">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5"/>
                      <w:sz w:val="21"/>
                      <w:szCs w:val="21"/>
                    </w:rPr>
                    <w:t>1879</w:t>
                  </w:r>
                </w:p>
              </w:tc>
              <w:tc>
                <w:tcPr>
                  <w:tcW w:w="612" w:type="pct"/>
                  <w:tcBorders>
                    <w:tl2br w:val="nil"/>
                    <w:tr2bl w:val="nil"/>
                  </w:tcBorders>
                  <w:vAlign w:val="center"/>
                </w:tcPr>
                <w:p w14:paraId="35FDAE4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spacing w:val="-1"/>
                    </w:rPr>
                    <w:t>干煤气</w:t>
                  </w:r>
                </w:p>
              </w:tc>
            </w:tr>
            <w:tr w14:paraId="4A7C102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3" w:hRule="atLeast"/>
              </w:trPr>
              <w:tc>
                <w:tcPr>
                  <w:tcW w:w="1289" w:type="pct"/>
                  <w:vMerge w:val="continue"/>
                  <w:tcBorders>
                    <w:tl2br w:val="nil"/>
                    <w:tr2bl w:val="nil"/>
                  </w:tcBorders>
                  <w:vAlign w:val="center"/>
                </w:tcPr>
                <w:p w14:paraId="07094A0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rPr>
                  </w:pPr>
                </w:p>
              </w:tc>
              <w:tc>
                <w:tcPr>
                  <w:tcW w:w="962" w:type="pct"/>
                  <w:vMerge w:val="continue"/>
                  <w:tcBorders>
                    <w:tl2br w:val="nil"/>
                    <w:tr2bl w:val="nil"/>
                  </w:tcBorders>
                  <w:vAlign w:val="center"/>
                </w:tcPr>
                <w:p w14:paraId="1859803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rPr>
                  </w:pPr>
                </w:p>
              </w:tc>
              <w:tc>
                <w:tcPr>
                  <w:tcW w:w="2135" w:type="pct"/>
                  <w:tcBorders>
                    <w:tl2br w:val="nil"/>
                    <w:tr2bl w:val="nil"/>
                  </w:tcBorders>
                  <w:vAlign w:val="center"/>
                </w:tcPr>
                <w:p w14:paraId="475997F6">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5"/>
                      <w:sz w:val="21"/>
                      <w:szCs w:val="21"/>
                    </w:rPr>
                    <w:t>1290</w:t>
                  </w:r>
                </w:p>
              </w:tc>
              <w:tc>
                <w:tcPr>
                  <w:tcW w:w="612" w:type="pct"/>
                  <w:tcBorders>
                    <w:tl2br w:val="nil"/>
                    <w:tr2bl w:val="nil"/>
                  </w:tcBorders>
                  <w:vAlign w:val="center"/>
                </w:tcPr>
                <w:p w14:paraId="0F015E0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spacing w:val="-2"/>
                    </w:rPr>
                    <w:t>湿煤气</w:t>
                  </w:r>
                </w:p>
              </w:tc>
            </w:tr>
            <w:tr w14:paraId="7FAB146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3" w:hRule="atLeast"/>
              </w:trPr>
              <w:tc>
                <w:tcPr>
                  <w:tcW w:w="1289" w:type="pct"/>
                  <w:tcBorders>
                    <w:tl2br w:val="nil"/>
                    <w:tr2bl w:val="nil"/>
                  </w:tcBorders>
                  <w:vAlign w:val="center"/>
                </w:tcPr>
                <w:p w14:paraId="068AF594">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spacing w:val="-2"/>
                    </w:rPr>
                    <w:t>焦油</w:t>
                  </w:r>
                </w:p>
              </w:tc>
              <w:tc>
                <w:tcPr>
                  <w:tcW w:w="962" w:type="pct"/>
                  <w:tcBorders>
                    <w:tl2br w:val="nil"/>
                    <w:tr2bl w:val="nil"/>
                  </w:tcBorders>
                  <w:vAlign w:val="center"/>
                </w:tcPr>
                <w:p w14:paraId="155885B0">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13"/>
                      <w:szCs w:val="13"/>
                    </w:rPr>
                  </w:pPr>
                  <w:r>
                    <w:rPr>
                      <w:rFonts w:hint="default" w:ascii="Times New Roman" w:hAnsi="Times New Roman" w:cs="Times New Roman"/>
                      <w:color w:val="auto"/>
                      <w:sz w:val="21"/>
                      <w:szCs w:val="21"/>
                    </w:rPr>
                    <w:t>mg/Nm</w:t>
                  </w:r>
                  <w:r>
                    <w:rPr>
                      <w:rFonts w:hint="default" w:ascii="Times New Roman" w:hAnsi="Times New Roman" w:cs="Times New Roman"/>
                      <w:color w:val="auto"/>
                      <w:position w:val="9"/>
                      <w:sz w:val="13"/>
                      <w:szCs w:val="13"/>
                    </w:rPr>
                    <w:t>3</w:t>
                  </w:r>
                </w:p>
              </w:tc>
              <w:tc>
                <w:tcPr>
                  <w:tcW w:w="2135" w:type="pct"/>
                  <w:tcBorders>
                    <w:tl2br w:val="nil"/>
                    <w:tr2bl w:val="nil"/>
                  </w:tcBorders>
                  <w:vAlign w:val="center"/>
                </w:tcPr>
                <w:p w14:paraId="256DE03B">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spacing w:val="-2"/>
                    </w:rPr>
                    <w:t>待定</w:t>
                  </w:r>
                </w:p>
              </w:tc>
              <w:tc>
                <w:tcPr>
                  <w:tcW w:w="612" w:type="pct"/>
                  <w:tcBorders>
                    <w:tl2br w:val="nil"/>
                    <w:tr2bl w:val="nil"/>
                  </w:tcBorders>
                  <w:vAlign w:val="center"/>
                </w:tcPr>
                <w:p w14:paraId="6778C64E">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rPr>
                  </w:pPr>
                </w:p>
              </w:tc>
            </w:tr>
            <w:tr w14:paraId="687F6B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13" w:hRule="atLeast"/>
              </w:trPr>
              <w:tc>
                <w:tcPr>
                  <w:tcW w:w="1289" w:type="pct"/>
                  <w:tcBorders>
                    <w:tl2br w:val="nil"/>
                    <w:tr2bl w:val="nil"/>
                  </w:tcBorders>
                  <w:vAlign w:val="center"/>
                </w:tcPr>
                <w:p w14:paraId="70E33FE3">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1"/>
                      <w:sz w:val="21"/>
                      <w:szCs w:val="21"/>
                    </w:rPr>
                    <w:t>H</w:t>
                  </w:r>
                  <w:r>
                    <w:rPr>
                      <w:rFonts w:hint="default" w:ascii="Times New Roman" w:hAnsi="Times New Roman" w:cs="Times New Roman"/>
                      <w:color w:val="auto"/>
                      <w:spacing w:val="1"/>
                      <w:position w:val="-4"/>
                      <w:sz w:val="13"/>
                      <w:szCs w:val="13"/>
                    </w:rPr>
                    <w:t>2</w:t>
                  </w:r>
                  <w:r>
                    <w:rPr>
                      <w:rFonts w:hint="default" w:ascii="Times New Roman" w:hAnsi="Times New Roman" w:cs="Times New Roman"/>
                      <w:color w:val="auto"/>
                      <w:spacing w:val="1"/>
                      <w:sz w:val="21"/>
                      <w:szCs w:val="21"/>
                    </w:rPr>
                    <w:t>S</w:t>
                  </w:r>
                </w:p>
              </w:tc>
              <w:tc>
                <w:tcPr>
                  <w:tcW w:w="962" w:type="pct"/>
                  <w:tcBorders>
                    <w:tl2br w:val="nil"/>
                    <w:tr2bl w:val="nil"/>
                  </w:tcBorders>
                  <w:vAlign w:val="center"/>
                </w:tcPr>
                <w:p w14:paraId="6100674F">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13"/>
                      <w:szCs w:val="13"/>
                    </w:rPr>
                  </w:pPr>
                  <w:r>
                    <w:rPr>
                      <w:rFonts w:hint="default" w:ascii="Times New Roman" w:hAnsi="Times New Roman" w:cs="Times New Roman"/>
                      <w:color w:val="auto"/>
                      <w:sz w:val="21"/>
                      <w:szCs w:val="21"/>
                    </w:rPr>
                    <w:t>mg</w:t>
                  </w:r>
                  <w:r>
                    <w:rPr>
                      <w:rFonts w:hint="default" w:ascii="Times New Roman" w:hAnsi="Times New Roman" w:cs="Times New Roman"/>
                      <w:color w:val="auto"/>
                      <w:spacing w:val="1"/>
                      <w:sz w:val="21"/>
                      <w:szCs w:val="21"/>
                    </w:rPr>
                    <w:t>/</w:t>
                  </w:r>
                  <w:r>
                    <w:rPr>
                      <w:rFonts w:hint="default" w:ascii="Times New Roman" w:hAnsi="Times New Roman" w:cs="Times New Roman"/>
                      <w:color w:val="auto"/>
                      <w:sz w:val="21"/>
                      <w:szCs w:val="21"/>
                    </w:rPr>
                    <w:t>Nm</w:t>
                  </w:r>
                  <w:r>
                    <w:rPr>
                      <w:rFonts w:hint="default" w:ascii="Times New Roman" w:hAnsi="Times New Roman" w:cs="Times New Roman"/>
                      <w:color w:val="auto"/>
                      <w:spacing w:val="1"/>
                      <w:position w:val="9"/>
                      <w:sz w:val="13"/>
                      <w:szCs w:val="13"/>
                    </w:rPr>
                    <w:t>3</w:t>
                  </w:r>
                </w:p>
              </w:tc>
              <w:tc>
                <w:tcPr>
                  <w:tcW w:w="2135" w:type="pct"/>
                  <w:tcBorders>
                    <w:tl2br w:val="nil"/>
                    <w:tr2bl w:val="nil"/>
                  </w:tcBorders>
                  <w:vAlign w:val="center"/>
                </w:tcPr>
                <w:p w14:paraId="5203702F">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spacing w:val="-2"/>
                      <w:lang w:val="en-US" w:eastAsia="zh-CN"/>
                    </w:rPr>
                    <w:t>516.07</w:t>
                  </w:r>
                </w:p>
              </w:tc>
              <w:tc>
                <w:tcPr>
                  <w:tcW w:w="612" w:type="pct"/>
                  <w:tcBorders>
                    <w:tl2br w:val="nil"/>
                    <w:tr2bl w:val="nil"/>
                  </w:tcBorders>
                  <w:vAlign w:val="center"/>
                </w:tcPr>
                <w:p w14:paraId="567F838C">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rPr>
                  </w:pPr>
                </w:p>
              </w:tc>
            </w:tr>
          </w:tbl>
          <w:p w14:paraId="7B7D6B18">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jc w:val="left"/>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宋体" w:cs="Times New Roman"/>
                <w:b w:val="0"/>
                <w:bCs/>
                <w:color w:val="auto"/>
                <w:sz w:val="24"/>
                <w:szCs w:val="24"/>
                <w:lang w:val="en-US" w:eastAsia="zh-CN"/>
              </w:rPr>
              <w:t>（2）能源、资源</w:t>
            </w:r>
          </w:p>
          <w:p w14:paraId="15685163">
            <w:pPr>
              <w:pStyle w:val="13"/>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kern w:val="0"/>
                <w:sz w:val="24"/>
                <w:szCs w:val="24"/>
                <w:lang w:val="en-US" w:eastAsia="zh-CN"/>
              </w:rPr>
              <w:t>本项目</w:t>
            </w:r>
            <w:r>
              <w:rPr>
                <w:rFonts w:hint="eastAsia" w:ascii="Times New Roman" w:hAnsi="Times New Roman" w:cs="Times New Roman"/>
                <w:color w:val="auto"/>
                <w:kern w:val="0"/>
                <w:sz w:val="24"/>
                <w:szCs w:val="24"/>
                <w:lang w:val="en-US" w:eastAsia="zh-CN"/>
              </w:rPr>
              <w:t>原辅材料、</w:t>
            </w:r>
            <w:r>
              <w:rPr>
                <w:rFonts w:hint="default" w:ascii="Times New Roman" w:hAnsi="Times New Roman" w:eastAsia="宋体" w:cs="Times New Roman"/>
                <w:color w:val="auto"/>
                <w:kern w:val="0"/>
                <w:sz w:val="24"/>
                <w:szCs w:val="24"/>
                <w:lang w:eastAsia="zh-CN"/>
              </w:rPr>
              <w:t>能源</w:t>
            </w:r>
            <w:r>
              <w:rPr>
                <w:rFonts w:hint="eastAsia" w:ascii="Times New Roman" w:hAnsi="Times New Roman" w:cs="Times New Roman"/>
                <w:color w:val="auto"/>
                <w:kern w:val="0"/>
                <w:sz w:val="24"/>
                <w:szCs w:val="24"/>
                <w:lang w:val="en-US" w:eastAsia="zh-CN"/>
              </w:rPr>
              <w:t>和</w:t>
            </w:r>
            <w:r>
              <w:rPr>
                <w:rFonts w:hint="default" w:ascii="Times New Roman" w:hAnsi="Times New Roman" w:eastAsia="宋体" w:cs="Times New Roman"/>
                <w:color w:val="auto"/>
                <w:kern w:val="0"/>
                <w:sz w:val="24"/>
                <w:szCs w:val="24"/>
                <w:lang w:val="en-US" w:eastAsia="zh-CN"/>
              </w:rPr>
              <w:t>资源</w:t>
            </w:r>
            <w:r>
              <w:rPr>
                <w:rFonts w:hint="default" w:ascii="Times New Roman" w:hAnsi="Times New Roman" w:eastAsia="宋体" w:cs="Times New Roman"/>
                <w:color w:val="auto"/>
                <w:kern w:val="0"/>
                <w:sz w:val="24"/>
                <w:szCs w:val="24"/>
                <w:lang w:eastAsia="zh-CN"/>
              </w:rPr>
              <w:t>消耗情况</w:t>
            </w:r>
            <w:r>
              <w:rPr>
                <w:rFonts w:hint="default" w:ascii="Times New Roman" w:hAnsi="Times New Roman" w:eastAsia="宋体" w:cs="Times New Roman"/>
                <w:color w:val="auto"/>
                <w:sz w:val="24"/>
                <w:szCs w:val="24"/>
                <w:lang w:val="en-US" w:eastAsia="zh-CN"/>
              </w:rPr>
              <w:t>详见表2-</w:t>
            </w:r>
            <w:r>
              <w:rPr>
                <w:rFonts w:hint="default" w:ascii="Times New Roman" w:hAnsi="Times New Roman" w:cs="Times New Roman"/>
                <w:color w:val="auto"/>
                <w:sz w:val="24"/>
                <w:szCs w:val="24"/>
                <w:lang w:val="en-US" w:eastAsia="zh-CN"/>
              </w:rPr>
              <w:t>4</w:t>
            </w:r>
            <w:r>
              <w:rPr>
                <w:rFonts w:hint="default" w:ascii="Times New Roman" w:hAnsi="Times New Roman" w:eastAsia="宋体" w:cs="Times New Roman"/>
                <w:color w:val="auto"/>
                <w:sz w:val="24"/>
                <w:szCs w:val="24"/>
                <w:lang w:val="en-US" w:eastAsia="zh-CN"/>
              </w:rPr>
              <w:t>。</w:t>
            </w:r>
          </w:p>
          <w:p w14:paraId="52F87FA4">
            <w:pPr>
              <w:pStyle w:val="13"/>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snapToGrid w:val="0"/>
                <w:color w:val="auto"/>
                <w:kern w:val="0"/>
                <w:sz w:val="21"/>
                <w:szCs w:val="21"/>
                <w:lang w:val="en-US" w:eastAsia="zh-CN"/>
              </w:rPr>
            </w:pPr>
            <w:r>
              <w:rPr>
                <w:rFonts w:hint="default" w:ascii="Times New Roman" w:hAnsi="Times New Roman" w:eastAsia="宋体" w:cs="Times New Roman"/>
                <w:b/>
                <w:snapToGrid w:val="0"/>
                <w:color w:val="auto"/>
                <w:kern w:val="0"/>
                <w:sz w:val="21"/>
                <w:szCs w:val="21"/>
                <w:lang w:val="en-US" w:eastAsia="zh-CN"/>
              </w:rPr>
              <w:t>表2-</w:t>
            </w:r>
            <w:r>
              <w:rPr>
                <w:rFonts w:hint="default" w:ascii="Times New Roman" w:hAnsi="Times New Roman" w:cs="Times New Roman"/>
                <w:b/>
                <w:snapToGrid w:val="0"/>
                <w:color w:val="auto"/>
                <w:kern w:val="0"/>
                <w:sz w:val="21"/>
                <w:szCs w:val="21"/>
                <w:lang w:val="en-US" w:eastAsia="zh-CN"/>
              </w:rPr>
              <w:t>4</w:t>
            </w:r>
            <w:r>
              <w:rPr>
                <w:rFonts w:hint="default" w:ascii="Times New Roman" w:hAnsi="Times New Roman" w:eastAsia="宋体" w:cs="Times New Roman"/>
                <w:b/>
                <w:snapToGrid w:val="0"/>
                <w:color w:val="auto"/>
                <w:kern w:val="0"/>
                <w:sz w:val="21"/>
                <w:szCs w:val="21"/>
                <w:lang w:val="en-US" w:eastAsia="zh-CN"/>
              </w:rPr>
              <w:t>本项目</w:t>
            </w:r>
            <w:r>
              <w:rPr>
                <w:rFonts w:hint="eastAsia" w:ascii="Times New Roman" w:hAnsi="Times New Roman" w:cs="Times New Roman"/>
                <w:b/>
                <w:snapToGrid w:val="0"/>
                <w:color w:val="auto"/>
                <w:kern w:val="0"/>
                <w:sz w:val="21"/>
                <w:szCs w:val="21"/>
                <w:lang w:val="en-US" w:eastAsia="zh-CN"/>
              </w:rPr>
              <w:t>原辅材料、</w:t>
            </w:r>
            <w:r>
              <w:rPr>
                <w:rFonts w:hint="default" w:ascii="Times New Roman" w:hAnsi="Times New Roman" w:eastAsia="宋体" w:cs="Times New Roman"/>
                <w:b/>
                <w:snapToGrid w:val="0"/>
                <w:color w:val="auto"/>
                <w:kern w:val="0"/>
                <w:sz w:val="21"/>
                <w:szCs w:val="21"/>
                <w:lang w:val="en-US" w:eastAsia="zh-CN"/>
              </w:rPr>
              <w:t>能源</w:t>
            </w:r>
            <w:r>
              <w:rPr>
                <w:rFonts w:hint="eastAsia" w:ascii="Times New Roman" w:hAnsi="Times New Roman" w:cs="Times New Roman"/>
                <w:b/>
                <w:snapToGrid w:val="0"/>
                <w:color w:val="auto"/>
                <w:kern w:val="0"/>
                <w:sz w:val="21"/>
                <w:szCs w:val="21"/>
                <w:lang w:val="en-US" w:eastAsia="zh-CN"/>
              </w:rPr>
              <w:t>和</w:t>
            </w:r>
            <w:r>
              <w:rPr>
                <w:rFonts w:hint="default" w:ascii="Times New Roman" w:hAnsi="Times New Roman" w:cs="Times New Roman"/>
                <w:b/>
                <w:snapToGrid w:val="0"/>
                <w:color w:val="auto"/>
                <w:kern w:val="0"/>
                <w:sz w:val="21"/>
                <w:szCs w:val="21"/>
                <w:lang w:val="en-US" w:eastAsia="zh-CN"/>
              </w:rPr>
              <w:t>资源</w:t>
            </w:r>
            <w:r>
              <w:rPr>
                <w:rFonts w:hint="default" w:ascii="Times New Roman" w:hAnsi="Times New Roman" w:eastAsia="宋体" w:cs="Times New Roman"/>
                <w:b/>
                <w:snapToGrid w:val="0"/>
                <w:color w:val="auto"/>
                <w:kern w:val="0"/>
                <w:sz w:val="21"/>
                <w:szCs w:val="21"/>
                <w:lang w:val="en-US" w:eastAsia="zh-CN"/>
              </w:rPr>
              <w:t>消耗</w:t>
            </w:r>
            <w:r>
              <w:rPr>
                <w:rFonts w:hint="default" w:ascii="Times New Roman" w:hAnsi="Times New Roman" w:cs="Times New Roman"/>
                <w:b/>
                <w:snapToGrid w:val="0"/>
                <w:color w:val="auto"/>
                <w:kern w:val="0"/>
                <w:sz w:val="21"/>
                <w:szCs w:val="21"/>
                <w:lang w:val="en-US" w:eastAsia="zh-CN"/>
              </w:rPr>
              <w:t>情况</w:t>
            </w:r>
          </w:p>
          <w:tbl>
            <w:tblPr>
              <w:tblStyle w:val="32"/>
              <w:tblW w:w="4996"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681"/>
              <w:gridCol w:w="1229"/>
              <w:gridCol w:w="1213"/>
              <w:gridCol w:w="1308"/>
              <w:gridCol w:w="3190"/>
            </w:tblGrid>
            <w:tr w14:paraId="484C067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446" w:type="pct"/>
                  <w:tcBorders>
                    <w:tl2br w:val="nil"/>
                    <w:tr2bl w:val="nil"/>
                  </w:tcBorders>
                  <w:noWrap w:val="0"/>
                  <w:vAlign w:val="center"/>
                </w:tcPr>
                <w:p w14:paraId="69543A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序号</w:t>
                  </w:r>
                </w:p>
              </w:tc>
              <w:tc>
                <w:tcPr>
                  <w:tcW w:w="806" w:type="pct"/>
                  <w:tcBorders>
                    <w:tl2br w:val="nil"/>
                    <w:tr2bl w:val="nil"/>
                  </w:tcBorders>
                  <w:noWrap w:val="0"/>
                  <w:vAlign w:val="center"/>
                </w:tcPr>
                <w:p w14:paraId="3A4951D1">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rPr>
                    <w:t>名称</w:t>
                  </w:r>
                </w:p>
              </w:tc>
              <w:tc>
                <w:tcPr>
                  <w:tcW w:w="795" w:type="pct"/>
                  <w:tcBorders>
                    <w:tl2br w:val="nil"/>
                    <w:tr2bl w:val="nil"/>
                  </w:tcBorders>
                  <w:noWrap w:val="0"/>
                  <w:vAlign w:val="center"/>
                </w:tcPr>
                <w:p w14:paraId="28C8185B">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kern w:val="0"/>
                      <w:sz w:val="21"/>
                      <w:szCs w:val="21"/>
                    </w:rPr>
                    <w:t>计量单位</w:t>
                  </w:r>
                </w:p>
              </w:tc>
              <w:tc>
                <w:tcPr>
                  <w:tcW w:w="858" w:type="pct"/>
                  <w:tcBorders>
                    <w:tl2br w:val="nil"/>
                    <w:tr2bl w:val="nil"/>
                  </w:tcBorders>
                  <w:noWrap w:val="0"/>
                  <w:vAlign w:val="center"/>
                </w:tcPr>
                <w:p w14:paraId="52BA2C89">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eastAsia="宋体" w:cs="Times New Roman"/>
                      <w:b/>
                      <w:bCs/>
                      <w:color w:val="auto"/>
                      <w:kern w:val="0"/>
                      <w:sz w:val="21"/>
                      <w:szCs w:val="21"/>
                      <w:lang w:val="en-US" w:eastAsia="zh-CN"/>
                    </w:rPr>
                  </w:pPr>
                  <w:r>
                    <w:rPr>
                      <w:rFonts w:hint="default" w:ascii="Times New Roman" w:hAnsi="Times New Roman" w:cs="Times New Roman"/>
                      <w:b/>
                      <w:bCs/>
                      <w:color w:val="auto"/>
                      <w:kern w:val="0"/>
                      <w:sz w:val="21"/>
                      <w:szCs w:val="21"/>
                      <w:lang w:val="en-US" w:eastAsia="zh-CN"/>
                    </w:rPr>
                    <w:t>消耗量</w:t>
                  </w:r>
                </w:p>
              </w:tc>
              <w:tc>
                <w:tcPr>
                  <w:tcW w:w="2092" w:type="pct"/>
                  <w:tcBorders>
                    <w:tl2br w:val="nil"/>
                    <w:tr2bl w:val="nil"/>
                  </w:tcBorders>
                  <w:noWrap w:val="0"/>
                  <w:vAlign w:val="center"/>
                </w:tcPr>
                <w:p w14:paraId="7EB15088">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eastAsia="宋体" w:cs="Times New Roman"/>
                      <w:b/>
                      <w:bCs/>
                      <w:color w:val="auto"/>
                      <w:kern w:val="0"/>
                      <w:sz w:val="21"/>
                      <w:szCs w:val="21"/>
                      <w:lang w:val="en-US" w:eastAsia="zh-CN"/>
                    </w:rPr>
                  </w:pPr>
                  <w:r>
                    <w:rPr>
                      <w:rFonts w:hint="default" w:ascii="Times New Roman" w:hAnsi="Times New Roman" w:cs="Times New Roman"/>
                      <w:b/>
                      <w:bCs/>
                      <w:color w:val="auto"/>
                      <w:kern w:val="0"/>
                      <w:sz w:val="21"/>
                      <w:szCs w:val="21"/>
                      <w:lang w:val="en-US" w:eastAsia="zh-CN"/>
                    </w:rPr>
                    <w:t>来源</w:t>
                  </w:r>
                </w:p>
              </w:tc>
            </w:tr>
            <w:tr w14:paraId="7E56406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446" w:type="pct"/>
                  <w:tcBorders>
                    <w:tl2br w:val="nil"/>
                    <w:tr2bl w:val="nil"/>
                  </w:tcBorders>
                  <w:noWrap w:val="0"/>
                  <w:vAlign w:val="center"/>
                </w:tcPr>
                <w:p w14:paraId="002042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val="en-US" w:eastAsia="zh-CN"/>
                    </w:rPr>
                    <w:t>1</w:t>
                  </w:r>
                </w:p>
              </w:tc>
              <w:tc>
                <w:tcPr>
                  <w:tcW w:w="806" w:type="pct"/>
                  <w:tcBorders>
                    <w:tl2br w:val="nil"/>
                    <w:tr2bl w:val="nil"/>
                  </w:tcBorders>
                  <w:noWrap w:val="0"/>
                  <w:vAlign w:val="center"/>
                </w:tcPr>
                <w:p w14:paraId="3CB822C7">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eastAsia="宋体" w:cs="Times New Roman"/>
                      <w:color w:val="auto"/>
                      <w:sz w:val="21"/>
                      <w:szCs w:val="21"/>
                    </w:rPr>
                  </w:pPr>
                  <w:r>
                    <w:rPr>
                      <w:rFonts w:hint="default" w:ascii="Times New Roman" w:hAnsi="Times New Roman" w:cs="Times New Roman"/>
                      <w:color w:val="auto"/>
                      <w:kern w:val="0"/>
                      <w:sz w:val="21"/>
                      <w:szCs w:val="21"/>
                      <w:lang w:val="en-US" w:eastAsia="zh-CN"/>
                    </w:rPr>
                    <w:t>新鲜</w:t>
                  </w:r>
                  <w:r>
                    <w:rPr>
                      <w:rFonts w:hint="default" w:ascii="Times New Roman" w:hAnsi="Times New Roman" w:eastAsia="宋体" w:cs="Times New Roman"/>
                      <w:color w:val="auto"/>
                      <w:kern w:val="0"/>
                      <w:sz w:val="21"/>
                      <w:szCs w:val="21"/>
                    </w:rPr>
                    <w:t>水</w:t>
                  </w:r>
                </w:p>
              </w:tc>
              <w:tc>
                <w:tcPr>
                  <w:tcW w:w="795" w:type="pct"/>
                  <w:tcBorders>
                    <w:tl2br w:val="nil"/>
                    <w:tr2bl w:val="nil"/>
                  </w:tcBorders>
                  <w:noWrap w:val="0"/>
                  <w:vAlign w:val="center"/>
                </w:tcPr>
                <w:p w14:paraId="6255BE52">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en-US" w:eastAsia="zh-CN"/>
                    </w:rPr>
                    <w:t>t</w:t>
                  </w:r>
                  <w:r>
                    <w:rPr>
                      <w:rFonts w:hint="default" w:ascii="Times New Roman" w:hAnsi="Times New Roman" w:eastAsia="宋体" w:cs="Times New Roman"/>
                      <w:color w:val="auto"/>
                      <w:sz w:val="21"/>
                      <w:szCs w:val="21"/>
                    </w:rPr>
                    <w:t>/a</w:t>
                  </w:r>
                </w:p>
              </w:tc>
              <w:tc>
                <w:tcPr>
                  <w:tcW w:w="858" w:type="pct"/>
                  <w:tcBorders>
                    <w:tl2br w:val="nil"/>
                    <w:tr2bl w:val="nil"/>
                  </w:tcBorders>
                  <w:noWrap w:val="0"/>
                  <w:vAlign w:val="center"/>
                </w:tcPr>
                <w:p w14:paraId="23CCF458">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293114.38</w:t>
                  </w:r>
                </w:p>
              </w:tc>
              <w:tc>
                <w:tcPr>
                  <w:tcW w:w="2092" w:type="pct"/>
                  <w:tcBorders>
                    <w:tl2br w:val="nil"/>
                    <w:tr2bl w:val="nil"/>
                  </w:tcBorders>
                  <w:noWrap w:val="0"/>
                  <w:vAlign w:val="center"/>
                </w:tcPr>
                <w:p w14:paraId="6DC7B750">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本项目生产给水系统、消防给水系统、生活给水系统分别就近接厂区现有生产给水管网</w:t>
                  </w:r>
                </w:p>
              </w:tc>
            </w:tr>
            <w:tr w14:paraId="37024B6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88" w:hRule="atLeast"/>
                <w:jc w:val="center"/>
              </w:trPr>
              <w:tc>
                <w:tcPr>
                  <w:tcW w:w="446" w:type="pct"/>
                  <w:tcBorders>
                    <w:tl2br w:val="nil"/>
                    <w:tr2bl w:val="nil"/>
                  </w:tcBorders>
                  <w:noWrap w:val="0"/>
                  <w:vAlign w:val="center"/>
                </w:tcPr>
                <w:p w14:paraId="73607C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w:t>
                  </w:r>
                </w:p>
              </w:tc>
              <w:tc>
                <w:tcPr>
                  <w:tcW w:w="806" w:type="pct"/>
                  <w:tcBorders>
                    <w:tl2br w:val="nil"/>
                    <w:tr2bl w:val="nil"/>
                  </w:tcBorders>
                  <w:noWrap w:val="0"/>
                  <w:vAlign w:val="center"/>
                </w:tcPr>
                <w:p w14:paraId="172A5174">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cs="Times New Roman"/>
                      <w:color w:val="auto"/>
                      <w:kern w:val="0"/>
                      <w:sz w:val="21"/>
                      <w:szCs w:val="21"/>
                      <w:lang w:val="en-US" w:eastAsia="zh-CN"/>
                    </w:rPr>
                  </w:pPr>
                  <w:r>
                    <w:rPr>
                      <w:rFonts w:hint="default" w:ascii="Times New Roman" w:hAnsi="Times New Roman" w:cs="Times New Roman"/>
                      <w:color w:val="auto"/>
                      <w:lang w:val="en-US" w:eastAsia="zh-CN"/>
                    </w:rPr>
                    <w:t>化验室用纯水</w:t>
                  </w:r>
                </w:p>
              </w:tc>
              <w:tc>
                <w:tcPr>
                  <w:tcW w:w="795" w:type="pct"/>
                  <w:tcBorders>
                    <w:tl2br w:val="nil"/>
                    <w:tr2bl w:val="nil"/>
                  </w:tcBorders>
                  <w:noWrap w:val="0"/>
                  <w:vAlign w:val="center"/>
                </w:tcPr>
                <w:p w14:paraId="6D318811">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val="en-US" w:eastAsia="zh-CN"/>
                    </w:rPr>
                    <w:t>t</w:t>
                  </w:r>
                  <w:r>
                    <w:rPr>
                      <w:rFonts w:hint="default" w:ascii="Times New Roman" w:hAnsi="Times New Roman" w:eastAsia="宋体" w:cs="Times New Roman"/>
                      <w:color w:val="auto"/>
                      <w:sz w:val="21"/>
                      <w:szCs w:val="21"/>
                    </w:rPr>
                    <w:t>/a</w:t>
                  </w:r>
                </w:p>
              </w:tc>
              <w:tc>
                <w:tcPr>
                  <w:tcW w:w="858" w:type="pct"/>
                  <w:tcBorders>
                    <w:tl2br w:val="nil"/>
                    <w:tr2bl w:val="nil"/>
                  </w:tcBorders>
                  <w:noWrap w:val="0"/>
                  <w:vAlign w:val="center"/>
                </w:tcPr>
                <w:p w14:paraId="0DC28290">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83.50</w:t>
                  </w:r>
                </w:p>
              </w:tc>
              <w:tc>
                <w:tcPr>
                  <w:tcW w:w="2092" w:type="pct"/>
                  <w:tcBorders>
                    <w:tl2br w:val="nil"/>
                    <w:tr2bl w:val="nil"/>
                  </w:tcBorders>
                  <w:noWrap w:val="0"/>
                  <w:vAlign w:val="center"/>
                </w:tcPr>
                <w:p w14:paraId="597F6252">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外购</w:t>
                  </w:r>
                </w:p>
              </w:tc>
            </w:tr>
            <w:tr w14:paraId="1B666B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446" w:type="pct"/>
                  <w:tcBorders>
                    <w:tl2br w:val="nil"/>
                    <w:tr2bl w:val="nil"/>
                  </w:tcBorders>
                  <w:noWrap w:val="0"/>
                  <w:vAlign w:val="center"/>
                </w:tcPr>
                <w:p w14:paraId="3232F28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3</w:t>
                  </w:r>
                </w:p>
              </w:tc>
              <w:tc>
                <w:tcPr>
                  <w:tcW w:w="806" w:type="pct"/>
                  <w:tcBorders>
                    <w:tl2br w:val="nil"/>
                    <w:tr2bl w:val="nil"/>
                  </w:tcBorders>
                  <w:noWrap w:val="0"/>
                  <w:vAlign w:val="center"/>
                </w:tcPr>
                <w:p w14:paraId="6F5F811B">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煤气</w:t>
                  </w:r>
                </w:p>
              </w:tc>
              <w:tc>
                <w:tcPr>
                  <w:tcW w:w="795" w:type="pct"/>
                  <w:tcBorders>
                    <w:tl2br w:val="nil"/>
                    <w:tr2bl w:val="nil"/>
                  </w:tcBorders>
                  <w:noWrap w:val="0"/>
                  <w:vAlign w:val="center"/>
                </w:tcPr>
                <w:p w14:paraId="787F7A66">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sz w:val="21"/>
                      <w:szCs w:val="21"/>
                      <w:lang w:val="en-US" w:eastAsia="zh-CN"/>
                    </w:rPr>
                    <w:t>万m</w:t>
                  </w:r>
                  <w:r>
                    <w:rPr>
                      <w:rFonts w:hint="default" w:ascii="Times New Roman" w:hAnsi="Times New Roman" w:eastAsia="宋体" w:cs="Times New Roman"/>
                      <w:b w:val="0"/>
                      <w:bCs w:val="0"/>
                      <w:color w:val="auto"/>
                      <w:sz w:val="21"/>
                      <w:szCs w:val="21"/>
                      <w:vertAlign w:val="superscript"/>
                      <w:lang w:val="en-US" w:eastAsia="zh-CN"/>
                    </w:rPr>
                    <w:t>3</w:t>
                  </w:r>
                  <w:r>
                    <w:rPr>
                      <w:rFonts w:hint="default" w:ascii="Times New Roman" w:hAnsi="Times New Roman" w:eastAsia="宋体" w:cs="Times New Roman"/>
                      <w:b w:val="0"/>
                      <w:bCs w:val="0"/>
                      <w:color w:val="auto"/>
                      <w:sz w:val="21"/>
                      <w:szCs w:val="21"/>
                      <w:vertAlign w:val="baseline"/>
                      <w:lang w:val="en-US" w:eastAsia="zh-CN"/>
                    </w:rPr>
                    <w:t>/a</w:t>
                  </w:r>
                </w:p>
              </w:tc>
              <w:tc>
                <w:tcPr>
                  <w:tcW w:w="858" w:type="pct"/>
                  <w:tcBorders>
                    <w:tl2br w:val="nil"/>
                    <w:tr2bl w:val="nil"/>
                  </w:tcBorders>
                  <w:noWrap w:val="0"/>
                  <w:vAlign w:val="center"/>
                </w:tcPr>
                <w:p w14:paraId="63053551">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68432</w:t>
                  </w:r>
                </w:p>
              </w:tc>
              <w:tc>
                <w:tcPr>
                  <w:tcW w:w="2092" w:type="pct"/>
                  <w:tcBorders>
                    <w:tl2br w:val="nil"/>
                    <w:tr2bl w:val="nil"/>
                  </w:tcBorders>
                  <w:noWrap w:val="0"/>
                  <w:vAlign w:val="center"/>
                </w:tcPr>
                <w:p w14:paraId="46BC35AB">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吉木萨尔县恒信煤炭制品工贸有限公司120万吨煤制品深加工升级改造项目</w:t>
                  </w:r>
                </w:p>
              </w:tc>
            </w:tr>
            <w:tr w14:paraId="6CC794F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90" w:hRule="atLeast"/>
                <w:jc w:val="center"/>
              </w:trPr>
              <w:tc>
                <w:tcPr>
                  <w:tcW w:w="446" w:type="pct"/>
                  <w:tcBorders>
                    <w:tl2br w:val="nil"/>
                    <w:tr2bl w:val="nil"/>
                  </w:tcBorders>
                  <w:noWrap w:val="0"/>
                  <w:vAlign w:val="center"/>
                </w:tcPr>
                <w:p w14:paraId="12D5DE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4</w:t>
                  </w:r>
                </w:p>
              </w:tc>
              <w:tc>
                <w:tcPr>
                  <w:tcW w:w="806" w:type="pct"/>
                  <w:tcBorders>
                    <w:tl2br w:val="nil"/>
                    <w:tr2bl w:val="nil"/>
                  </w:tcBorders>
                  <w:noWrap w:val="0"/>
                  <w:vAlign w:val="center"/>
                </w:tcPr>
                <w:p w14:paraId="71D06AF7">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电</w:t>
                  </w:r>
                </w:p>
              </w:tc>
              <w:tc>
                <w:tcPr>
                  <w:tcW w:w="795" w:type="pct"/>
                  <w:tcBorders>
                    <w:tl2br w:val="nil"/>
                    <w:tr2bl w:val="nil"/>
                  </w:tcBorders>
                  <w:noWrap w:val="0"/>
                  <w:vAlign w:val="center"/>
                </w:tcPr>
                <w:p w14:paraId="73CF1675">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cs="Times New Roman"/>
                      <w:color w:val="auto"/>
                      <w:spacing w:val="-2"/>
                      <w:position w:val="1"/>
                      <w:sz w:val="21"/>
                      <w:szCs w:val="21"/>
                    </w:rPr>
                    <w:t>kW.h</w:t>
                  </w:r>
                </w:p>
              </w:tc>
              <w:tc>
                <w:tcPr>
                  <w:tcW w:w="858" w:type="pct"/>
                  <w:tcBorders>
                    <w:tl2br w:val="nil"/>
                    <w:tr2bl w:val="nil"/>
                  </w:tcBorders>
                  <w:noWrap w:val="0"/>
                  <w:vAlign w:val="center"/>
                </w:tcPr>
                <w:p w14:paraId="07256141">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24960</w:t>
                  </w:r>
                </w:p>
              </w:tc>
              <w:tc>
                <w:tcPr>
                  <w:tcW w:w="2092" w:type="pct"/>
                  <w:tcBorders>
                    <w:tl2br w:val="nil"/>
                    <w:tr2bl w:val="nil"/>
                  </w:tcBorders>
                  <w:noWrap w:val="0"/>
                  <w:vAlign w:val="center"/>
                </w:tcPr>
                <w:p w14:paraId="3AD050A4">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厂用分支经零损耗深度限流装置向厂用电系统供电，厂用电10</w:t>
                  </w:r>
                  <w:r>
                    <w:rPr>
                      <w:rFonts w:hint="eastAsia" w:cs="Times New Roman"/>
                      <w:color w:val="auto"/>
                      <w:sz w:val="21"/>
                      <w:szCs w:val="21"/>
                      <w:lang w:val="en-US" w:eastAsia="zh-CN"/>
                    </w:rPr>
                    <w:t>kV</w:t>
                  </w:r>
                  <w:r>
                    <w:rPr>
                      <w:rFonts w:hint="default" w:ascii="Times New Roman" w:hAnsi="Times New Roman" w:cs="Times New Roman"/>
                      <w:color w:val="auto"/>
                      <w:sz w:val="21"/>
                      <w:szCs w:val="21"/>
                      <w:lang w:val="en-US" w:eastAsia="zh-CN"/>
                    </w:rPr>
                    <w:t>系统中性点非直接接地方式</w:t>
                  </w:r>
                </w:p>
              </w:tc>
            </w:tr>
            <w:tr w14:paraId="32624DB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446" w:type="pct"/>
                  <w:tcBorders>
                    <w:tl2br w:val="nil"/>
                    <w:tr2bl w:val="nil"/>
                  </w:tcBorders>
                  <w:noWrap w:val="0"/>
                  <w:vAlign w:val="center"/>
                </w:tcPr>
                <w:p w14:paraId="62D70DA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5</w:t>
                  </w:r>
                </w:p>
              </w:tc>
              <w:tc>
                <w:tcPr>
                  <w:tcW w:w="806" w:type="pct"/>
                  <w:tcBorders>
                    <w:tl2br w:val="nil"/>
                    <w:tr2bl w:val="nil"/>
                  </w:tcBorders>
                  <w:noWrap w:val="0"/>
                  <w:vAlign w:val="center"/>
                </w:tcPr>
                <w:p w14:paraId="61619B35">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石灰石粉（90%纯度）</w:t>
                  </w:r>
                </w:p>
              </w:tc>
              <w:tc>
                <w:tcPr>
                  <w:tcW w:w="795" w:type="pct"/>
                  <w:tcBorders>
                    <w:tl2br w:val="nil"/>
                    <w:tr2bl w:val="nil"/>
                  </w:tcBorders>
                  <w:noWrap w:val="0"/>
                  <w:vAlign w:val="center"/>
                </w:tcPr>
                <w:p w14:paraId="181B6FB8">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eastAsia="宋体" w:cs="Times New Roman"/>
                      <w:color w:val="auto"/>
                      <w:spacing w:val="-2"/>
                      <w:position w:val="1"/>
                      <w:sz w:val="21"/>
                      <w:szCs w:val="21"/>
                      <w:lang w:val="en-US" w:eastAsia="zh-CN"/>
                    </w:rPr>
                  </w:pPr>
                  <w:r>
                    <w:rPr>
                      <w:rFonts w:hint="default" w:ascii="Times New Roman" w:hAnsi="Times New Roman" w:cs="Times New Roman"/>
                      <w:color w:val="auto"/>
                      <w:spacing w:val="-2"/>
                      <w:position w:val="1"/>
                      <w:sz w:val="21"/>
                      <w:szCs w:val="21"/>
                      <w:lang w:val="en-US" w:eastAsia="zh-CN"/>
                    </w:rPr>
                    <w:t>t/a</w:t>
                  </w:r>
                </w:p>
              </w:tc>
              <w:tc>
                <w:tcPr>
                  <w:tcW w:w="858" w:type="pct"/>
                  <w:tcBorders>
                    <w:tl2br w:val="nil"/>
                    <w:tr2bl w:val="nil"/>
                  </w:tcBorders>
                  <w:noWrap w:val="0"/>
                  <w:vAlign w:val="center"/>
                </w:tcPr>
                <w:p w14:paraId="34FC198C">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1130</w:t>
                  </w:r>
                </w:p>
              </w:tc>
              <w:tc>
                <w:tcPr>
                  <w:tcW w:w="2092" w:type="pct"/>
                  <w:tcBorders>
                    <w:tl2br w:val="nil"/>
                    <w:tr2bl w:val="nil"/>
                  </w:tcBorders>
                  <w:noWrap w:val="0"/>
                  <w:vAlign w:val="center"/>
                </w:tcPr>
                <w:p w14:paraId="6DAA41F2">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外购成品石灰石粉</w:t>
                  </w:r>
                </w:p>
              </w:tc>
            </w:tr>
            <w:tr w14:paraId="05B410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jc w:val="center"/>
              </w:trPr>
              <w:tc>
                <w:tcPr>
                  <w:tcW w:w="446" w:type="pct"/>
                  <w:tcBorders>
                    <w:tl2br w:val="nil"/>
                    <w:tr2bl w:val="nil"/>
                  </w:tcBorders>
                  <w:noWrap w:val="0"/>
                  <w:vAlign w:val="center"/>
                </w:tcPr>
                <w:p w14:paraId="1560FC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6</w:t>
                  </w:r>
                </w:p>
              </w:tc>
              <w:tc>
                <w:tcPr>
                  <w:tcW w:w="806" w:type="pct"/>
                  <w:tcBorders>
                    <w:tl2br w:val="nil"/>
                    <w:tr2bl w:val="nil"/>
                  </w:tcBorders>
                  <w:noWrap w:val="0"/>
                  <w:vAlign w:val="center"/>
                </w:tcPr>
                <w:p w14:paraId="54A7B834">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cs="Times New Roman"/>
                      <w:color w:val="auto"/>
                      <w:kern w:val="0"/>
                      <w:sz w:val="21"/>
                      <w:szCs w:val="21"/>
                      <w:lang w:val="en-US" w:eastAsia="zh-CN"/>
                    </w:rPr>
                  </w:pPr>
                  <w:r>
                    <w:rPr>
                      <w:rFonts w:hint="default" w:ascii="Times New Roman" w:hAnsi="Times New Roman" w:cs="Times New Roman"/>
                      <w:color w:val="auto"/>
                      <w:kern w:val="0"/>
                      <w:sz w:val="21"/>
                      <w:szCs w:val="21"/>
                      <w:lang w:val="en-US" w:eastAsia="zh-CN"/>
                    </w:rPr>
                    <w:t>尿素</w:t>
                  </w:r>
                </w:p>
              </w:tc>
              <w:tc>
                <w:tcPr>
                  <w:tcW w:w="795" w:type="pct"/>
                  <w:tcBorders>
                    <w:tl2br w:val="nil"/>
                    <w:tr2bl w:val="nil"/>
                  </w:tcBorders>
                  <w:noWrap w:val="0"/>
                  <w:vAlign w:val="center"/>
                </w:tcPr>
                <w:p w14:paraId="66DCA8B5">
                  <w:pPr>
                    <w:keepNext w:val="0"/>
                    <w:keepLines w:val="0"/>
                    <w:pageBreakBefore w:val="0"/>
                    <w:widowControl w:val="0"/>
                    <w:kinsoku/>
                    <w:wordWrap/>
                    <w:overflowPunct/>
                    <w:topLinePunct w:val="0"/>
                    <w:bidi w:val="0"/>
                    <w:adjustRightInd/>
                    <w:snapToGrid/>
                    <w:spacing w:line="240" w:lineRule="auto"/>
                    <w:jc w:val="center"/>
                    <w:textAlignment w:val="auto"/>
                    <w:rPr>
                      <w:rFonts w:hint="default" w:ascii="Times New Roman" w:hAnsi="Times New Roman" w:cs="Times New Roman"/>
                      <w:color w:val="auto"/>
                      <w:spacing w:val="-2"/>
                      <w:position w:val="1"/>
                      <w:sz w:val="21"/>
                      <w:szCs w:val="21"/>
                      <w:lang w:val="en-US" w:eastAsia="zh-CN"/>
                    </w:rPr>
                  </w:pPr>
                  <w:r>
                    <w:rPr>
                      <w:rFonts w:hint="default" w:ascii="Times New Roman" w:hAnsi="Times New Roman" w:cs="Times New Roman"/>
                      <w:color w:val="auto"/>
                      <w:spacing w:val="-2"/>
                      <w:position w:val="1"/>
                      <w:sz w:val="21"/>
                      <w:szCs w:val="21"/>
                      <w:lang w:val="en-US" w:eastAsia="zh-CN"/>
                    </w:rPr>
                    <w:t>t/a</w:t>
                  </w:r>
                </w:p>
              </w:tc>
              <w:tc>
                <w:tcPr>
                  <w:tcW w:w="858" w:type="pct"/>
                  <w:tcBorders>
                    <w:tl2br w:val="nil"/>
                    <w:tr2bl w:val="nil"/>
                  </w:tcBorders>
                  <w:noWrap w:val="0"/>
                  <w:vAlign w:val="center"/>
                </w:tcPr>
                <w:p w14:paraId="5CBCFD42">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658.42</w:t>
                  </w:r>
                </w:p>
              </w:tc>
              <w:tc>
                <w:tcPr>
                  <w:tcW w:w="2092" w:type="pct"/>
                  <w:tcBorders>
                    <w:tl2br w:val="nil"/>
                    <w:tr2bl w:val="nil"/>
                  </w:tcBorders>
                  <w:noWrap w:val="0"/>
                  <w:vAlign w:val="center"/>
                </w:tcPr>
                <w:p w14:paraId="011D9881">
                  <w:pPr>
                    <w:keepNext w:val="0"/>
                    <w:keepLines w:val="0"/>
                    <w:pageBreakBefore w:val="0"/>
                    <w:widowControl w:val="0"/>
                    <w:kinsoku/>
                    <w:wordWrap/>
                    <w:overflowPunct/>
                    <w:topLinePunct w:val="0"/>
                    <w:autoSpaceDE w:val="0"/>
                    <w:autoSpaceDN w:val="0"/>
                    <w:bidi w:val="0"/>
                    <w:adjustRightInd/>
                    <w:snapToGrid/>
                    <w:spacing w:line="240" w:lineRule="auto"/>
                    <w:contextualSpacing/>
                    <w:jc w:val="center"/>
                    <w:textAlignment w:val="auto"/>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外购</w:t>
                  </w:r>
                </w:p>
              </w:tc>
            </w:tr>
          </w:tbl>
          <w:p w14:paraId="02A80DFE">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ind w:leftChars="0"/>
              <w:jc w:val="left"/>
              <w:textAlignment w:val="auto"/>
              <w:rPr>
                <w:rFonts w:hint="default" w:ascii="Times New Roman" w:hAnsi="Times New Roman" w:eastAsia="宋体" w:cs="Times New Roman"/>
                <w:b/>
                <w:bCs w:val="0"/>
                <w:color w:val="auto"/>
                <w:sz w:val="24"/>
                <w:szCs w:val="24"/>
                <w:lang w:val="en-US" w:eastAsia="zh-CN"/>
              </w:rPr>
            </w:pPr>
            <w:r>
              <w:rPr>
                <w:rFonts w:hint="default" w:ascii="Times New Roman" w:hAnsi="Times New Roman" w:cs="Times New Roman"/>
                <w:b/>
                <w:bCs w:val="0"/>
                <w:color w:val="auto"/>
                <w:sz w:val="24"/>
                <w:szCs w:val="24"/>
                <w:lang w:val="en-US" w:eastAsia="zh-CN"/>
              </w:rPr>
              <w:t>5</w:t>
            </w:r>
            <w:r>
              <w:rPr>
                <w:rFonts w:hint="default" w:ascii="Times New Roman" w:hAnsi="Times New Roman" w:eastAsia="宋体" w:cs="Times New Roman"/>
                <w:b/>
                <w:bCs w:val="0"/>
                <w:color w:val="auto"/>
                <w:sz w:val="24"/>
                <w:szCs w:val="24"/>
                <w:lang w:val="en-US" w:eastAsia="zh-CN"/>
              </w:rPr>
              <w:t>.产品方案</w:t>
            </w:r>
          </w:p>
          <w:p w14:paraId="2931A670">
            <w:pPr>
              <w:keepNext w:val="0"/>
              <w:keepLines w:val="0"/>
              <w:pageBreakBefore w:val="0"/>
              <w:kinsoku/>
              <w:wordWrap/>
              <w:overflowPunct w:val="0"/>
              <w:bidi w:val="0"/>
              <w:adjustRightInd/>
              <w:snapToGrid/>
              <w:spacing w:line="360" w:lineRule="auto"/>
              <w:ind w:firstLine="480" w:firstLineChars="200"/>
              <w:rPr>
                <w:rFonts w:hint="default" w:ascii="Times New Roman" w:hAnsi="Times New Roman" w:eastAsia="宋体" w:cs="Times New Roman"/>
                <w:snapToGrid w:val="0"/>
                <w:color w:val="auto"/>
                <w:kern w:val="0"/>
                <w:sz w:val="24"/>
                <w:szCs w:val="24"/>
                <w:lang w:eastAsia="zh-CN"/>
              </w:rPr>
            </w:pPr>
            <w:r>
              <w:rPr>
                <w:rFonts w:hint="default" w:ascii="Times New Roman" w:hAnsi="Times New Roman" w:eastAsia="宋体" w:cs="Times New Roman"/>
                <w:snapToGrid w:val="0"/>
                <w:color w:val="auto"/>
                <w:kern w:val="0"/>
                <w:sz w:val="24"/>
                <w:szCs w:val="24"/>
                <w:lang w:val="en-US" w:eastAsia="zh-CN"/>
              </w:rPr>
              <w:t>本项目年发电量为3.12</w:t>
            </w:r>
            <w:r>
              <w:rPr>
                <w:rFonts w:hint="default" w:ascii="Times New Roman" w:hAnsi="Times New Roman" w:eastAsia="宋体" w:cs="Times New Roman"/>
                <w:snapToGrid w:val="0"/>
                <w:color w:val="auto"/>
                <w:kern w:val="0"/>
                <w:sz w:val="24"/>
                <w:szCs w:val="24"/>
                <w:lang w:eastAsia="zh-CN"/>
              </w:rPr>
              <w:t>亿kWh，</w:t>
            </w:r>
            <w:r>
              <w:rPr>
                <w:rFonts w:hint="default" w:ascii="Times New Roman" w:hAnsi="Times New Roman" w:eastAsia="宋体" w:cs="Times New Roman"/>
                <w:snapToGrid w:val="0"/>
                <w:color w:val="auto"/>
                <w:kern w:val="0"/>
                <w:sz w:val="24"/>
                <w:szCs w:val="24"/>
                <w:lang w:val="en-US" w:eastAsia="zh-CN"/>
              </w:rPr>
              <w:t>年供电量为2.87</w:t>
            </w:r>
            <w:r>
              <w:rPr>
                <w:rFonts w:hint="default" w:ascii="Times New Roman" w:hAnsi="Times New Roman" w:cs="Times New Roman"/>
                <w:snapToGrid w:val="0"/>
                <w:color w:val="auto"/>
                <w:kern w:val="0"/>
                <w:sz w:val="24"/>
                <w:szCs w:val="24"/>
                <w:lang w:val="en-US" w:eastAsia="zh-CN"/>
              </w:rPr>
              <w:t>亿</w:t>
            </w:r>
            <w:r>
              <w:rPr>
                <w:rFonts w:hint="default" w:ascii="Times New Roman" w:hAnsi="Times New Roman" w:eastAsia="宋体" w:cs="Times New Roman"/>
                <w:snapToGrid w:val="0"/>
                <w:color w:val="auto"/>
                <w:kern w:val="0"/>
                <w:sz w:val="24"/>
                <w:szCs w:val="24"/>
                <w:lang w:eastAsia="zh-CN"/>
              </w:rPr>
              <w:t>kWh，</w:t>
            </w:r>
            <w:r>
              <w:rPr>
                <w:rFonts w:hint="default" w:ascii="Times New Roman" w:hAnsi="Times New Roman" w:eastAsia="宋体" w:cs="Times New Roman"/>
                <w:snapToGrid w:val="0"/>
                <w:color w:val="auto"/>
                <w:kern w:val="0"/>
                <w:sz w:val="24"/>
                <w:szCs w:val="24"/>
                <w:lang w:val="en-US" w:eastAsia="zh-CN"/>
              </w:rPr>
              <w:t>产能</w:t>
            </w:r>
            <w:r>
              <w:rPr>
                <w:rFonts w:hint="default" w:ascii="Times New Roman" w:hAnsi="Times New Roman" w:cs="Times New Roman"/>
                <w:snapToGrid w:val="0"/>
                <w:color w:val="auto"/>
                <w:kern w:val="0"/>
                <w:sz w:val="24"/>
                <w:szCs w:val="24"/>
                <w:lang w:val="en-US" w:eastAsia="zh-CN"/>
              </w:rPr>
              <w:t>情况</w:t>
            </w:r>
            <w:r>
              <w:rPr>
                <w:rFonts w:hint="default" w:ascii="Times New Roman" w:hAnsi="Times New Roman" w:eastAsia="宋体" w:cs="Times New Roman"/>
                <w:snapToGrid w:val="0"/>
                <w:color w:val="auto"/>
                <w:kern w:val="0"/>
                <w:sz w:val="24"/>
                <w:szCs w:val="24"/>
                <w:lang w:val="en-US" w:eastAsia="zh-CN"/>
              </w:rPr>
              <w:t>详见表2-</w:t>
            </w:r>
            <w:r>
              <w:rPr>
                <w:rFonts w:hint="default" w:ascii="Times New Roman" w:hAnsi="Times New Roman" w:cs="Times New Roman"/>
                <w:snapToGrid w:val="0"/>
                <w:color w:val="auto"/>
                <w:kern w:val="0"/>
                <w:sz w:val="24"/>
                <w:szCs w:val="24"/>
                <w:lang w:val="en-US" w:eastAsia="zh-CN"/>
              </w:rPr>
              <w:t>5</w:t>
            </w:r>
            <w:r>
              <w:rPr>
                <w:rFonts w:hint="default" w:ascii="Times New Roman" w:hAnsi="Times New Roman" w:eastAsia="宋体" w:cs="Times New Roman"/>
                <w:snapToGrid w:val="0"/>
                <w:color w:val="auto"/>
                <w:kern w:val="0"/>
                <w:sz w:val="24"/>
                <w:szCs w:val="24"/>
                <w:lang w:val="en-US" w:eastAsia="zh-CN"/>
              </w:rPr>
              <w:t>。</w:t>
            </w:r>
          </w:p>
          <w:p w14:paraId="0270BA1A">
            <w:pPr>
              <w:keepNext w:val="0"/>
              <w:keepLines w:val="0"/>
              <w:pageBreakBefore w:val="0"/>
              <w:kinsoku/>
              <w:wordWrap/>
              <w:bidi w:val="0"/>
              <w:adjustRightInd/>
              <w:snapToGrid/>
              <w:jc w:val="center"/>
              <w:rPr>
                <w:rFonts w:hint="default" w:ascii="Times New Roman" w:hAnsi="Times New Roman" w:cs="Times New Roman"/>
                <w:b/>
                <w:bCs/>
                <w:color w:val="auto"/>
                <w:sz w:val="21"/>
                <w:szCs w:val="21"/>
                <w:lang w:val="en-US" w:eastAsia="zh-CN"/>
              </w:rPr>
            </w:pPr>
            <w:r>
              <w:rPr>
                <w:rFonts w:hint="default" w:ascii="Times New Roman" w:hAnsi="Times New Roman" w:eastAsia="宋体" w:cs="Times New Roman"/>
                <w:b/>
                <w:bCs/>
                <w:color w:val="auto"/>
                <w:sz w:val="21"/>
                <w:szCs w:val="21"/>
              </w:rPr>
              <w:t>表2</w:t>
            </w:r>
            <w:r>
              <w:rPr>
                <w:rFonts w:hint="default" w:ascii="Times New Roman" w:hAnsi="Times New Roman" w:eastAsia="宋体" w:cs="Times New Roman"/>
                <w:b/>
                <w:bCs/>
                <w:color w:val="auto"/>
                <w:sz w:val="21"/>
                <w:szCs w:val="21"/>
                <w:lang w:val="en-US" w:eastAsia="zh-CN"/>
              </w:rPr>
              <w:t>-</w:t>
            </w:r>
            <w:r>
              <w:rPr>
                <w:rFonts w:hint="default" w:ascii="Times New Roman" w:hAnsi="Times New Roman" w:cs="Times New Roman"/>
                <w:b/>
                <w:bCs/>
                <w:color w:val="auto"/>
                <w:sz w:val="21"/>
                <w:szCs w:val="21"/>
                <w:lang w:val="en-US" w:eastAsia="zh-CN"/>
              </w:rPr>
              <w:t>5本项目产能</w:t>
            </w:r>
          </w:p>
          <w:tbl>
            <w:tblPr>
              <w:tblStyle w:val="96"/>
              <w:tblW w:w="7680" w:type="dxa"/>
              <w:tblInd w:w="-3"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788"/>
              <w:gridCol w:w="2470"/>
              <w:gridCol w:w="2542"/>
              <w:gridCol w:w="1880"/>
            </w:tblGrid>
            <w:tr w14:paraId="61AFF0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513" w:type="pct"/>
                  <w:tcBorders>
                    <w:tl2br w:val="nil"/>
                    <w:tr2bl w:val="nil"/>
                  </w:tcBorders>
                  <w:vAlign w:val="center"/>
                </w:tcPr>
                <w:p w14:paraId="3B09E852">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2"/>
                      <w:sz w:val="21"/>
                      <w:szCs w:val="21"/>
                    </w:rPr>
                    <w:t>序号</w:t>
                  </w:r>
                </w:p>
              </w:tc>
              <w:tc>
                <w:tcPr>
                  <w:tcW w:w="1608" w:type="pct"/>
                  <w:tcBorders>
                    <w:tl2br w:val="nil"/>
                    <w:tr2bl w:val="nil"/>
                  </w:tcBorders>
                  <w:vAlign w:val="center"/>
                </w:tcPr>
                <w:p w14:paraId="1C29C837">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3"/>
                      <w:sz w:val="21"/>
                      <w:szCs w:val="21"/>
                    </w:rPr>
                    <w:t>项目</w:t>
                  </w:r>
                </w:p>
              </w:tc>
              <w:tc>
                <w:tcPr>
                  <w:tcW w:w="1654" w:type="pct"/>
                  <w:tcBorders>
                    <w:tl2br w:val="nil"/>
                    <w:tr2bl w:val="nil"/>
                  </w:tcBorders>
                  <w:vAlign w:val="center"/>
                </w:tcPr>
                <w:p w14:paraId="249C2B0E">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2"/>
                      <w:sz w:val="21"/>
                      <w:szCs w:val="21"/>
                    </w:rPr>
                    <w:t>单位</w:t>
                  </w:r>
                </w:p>
              </w:tc>
              <w:tc>
                <w:tcPr>
                  <w:tcW w:w="1223" w:type="pct"/>
                  <w:tcBorders>
                    <w:tl2br w:val="nil"/>
                    <w:tr2bl w:val="nil"/>
                  </w:tcBorders>
                  <w:vAlign w:val="center"/>
                </w:tcPr>
                <w:p w14:paraId="4A8C7223">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2"/>
                      <w:sz w:val="21"/>
                      <w:szCs w:val="21"/>
                    </w:rPr>
                    <w:t>数值</w:t>
                  </w:r>
                </w:p>
              </w:tc>
            </w:tr>
            <w:tr w14:paraId="1DF919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513" w:type="pct"/>
                  <w:tcBorders>
                    <w:tl2br w:val="nil"/>
                    <w:tr2bl w:val="nil"/>
                  </w:tcBorders>
                  <w:vAlign w:val="center"/>
                </w:tcPr>
                <w:p w14:paraId="48583C14">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1608" w:type="pct"/>
                  <w:tcBorders>
                    <w:tl2br w:val="nil"/>
                    <w:tr2bl w:val="nil"/>
                  </w:tcBorders>
                  <w:vAlign w:val="center"/>
                </w:tcPr>
                <w:p w14:paraId="773BB6A5">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汽轮机额定功率</w:t>
                  </w:r>
                </w:p>
              </w:tc>
              <w:tc>
                <w:tcPr>
                  <w:tcW w:w="1654" w:type="pct"/>
                  <w:tcBorders>
                    <w:tl2br w:val="nil"/>
                    <w:tr2bl w:val="nil"/>
                  </w:tcBorders>
                  <w:vAlign w:val="center"/>
                </w:tcPr>
                <w:p w14:paraId="5925E039">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1"/>
                      <w:sz w:val="21"/>
                      <w:szCs w:val="21"/>
                    </w:rPr>
                    <w:t>MW</w:t>
                  </w:r>
                </w:p>
              </w:tc>
              <w:tc>
                <w:tcPr>
                  <w:tcW w:w="1223" w:type="pct"/>
                  <w:tcBorders>
                    <w:tl2br w:val="nil"/>
                    <w:tr2bl w:val="nil"/>
                  </w:tcBorders>
                  <w:vAlign w:val="center"/>
                </w:tcPr>
                <w:p w14:paraId="7C198645">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1"/>
                      <w:sz w:val="21"/>
                      <w:szCs w:val="21"/>
                    </w:rPr>
                    <w:t>45MW</w:t>
                  </w:r>
                </w:p>
              </w:tc>
            </w:tr>
            <w:tr w14:paraId="39EABF1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13" w:type="pct"/>
                  <w:tcBorders>
                    <w:tl2br w:val="nil"/>
                    <w:tr2bl w:val="nil"/>
                  </w:tcBorders>
                  <w:vAlign w:val="center"/>
                </w:tcPr>
                <w:p w14:paraId="18AEFF00">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w:t>
                  </w:r>
                </w:p>
              </w:tc>
              <w:tc>
                <w:tcPr>
                  <w:tcW w:w="1608" w:type="pct"/>
                  <w:tcBorders>
                    <w:tl2br w:val="nil"/>
                    <w:tr2bl w:val="nil"/>
                  </w:tcBorders>
                  <w:vAlign w:val="center"/>
                </w:tcPr>
                <w:p w14:paraId="09C7BA18">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全厂发电热效率</w:t>
                  </w:r>
                </w:p>
              </w:tc>
              <w:tc>
                <w:tcPr>
                  <w:tcW w:w="1654" w:type="pct"/>
                  <w:tcBorders>
                    <w:tl2br w:val="nil"/>
                    <w:tr2bl w:val="nil"/>
                  </w:tcBorders>
                  <w:vAlign w:val="center"/>
                </w:tcPr>
                <w:p w14:paraId="7C955716">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1223" w:type="pct"/>
                  <w:tcBorders>
                    <w:tl2br w:val="nil"/>
                    <w:tr2bl w:val="nil"/>
                  </w:tcBorders>
                  <w:vAlign w:val="center"/>
                </w:tcPr>
                <w:p w14:paraId="7A3CEFC3">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1"/>
                      <w:sz w:val="21"/>
                      <w:szCs w:val="21"/>
                    </w:rPr>
                    <w:t>34.82</w:t>
                  </w:r>
                </w:p>
              </w:tc>
            </w:tr>
            <w:tr w14:paraId="3C17A7A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513" w:type="pct"/>
                  <w:tcBorders>
                    <w:tl2br w:val="nil"/>
                    <w:tr2bl w:val="nil"/>
                  </w:tcBorders>
                  <w:vAlign w:val="center"/>
                </w:tcPr>
                <w:p w14:paraId="3937DD4A">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p>
              </w:tc>
              <w:tc>
                <w:tcPr>
                  <w:tcW w:w="1608" w:type="pct"/>
                  <w:tcBorders>
                    <w:tl2br w:val="nil"/>
                    <w:tr2bl w:val="nil"/>
                  </w:tcBorders>
                  <w:vAlign w:val="center"/>
                </w:tcPr>
                <w:p w14:paraId="215147CA">
                  <w:pPr>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1"/>
                      <w:sz w:val="21"/>
                      <w:szCs w:val="21"/>
                    </w:rPr>
                    <w:t>汽轮发电机组热耗</w:t>
                  </w:r>
                </w:p>
              </w:tc>
              <w:tc>
                <w:tcPr>
                  <w:tcW w:w="1654" w:type="pct"/>
                  <w:tcBorders>
                    <w:tl2br w:val="nil"/>
                    <w:tr2bl w:val="nil"/>
                  </w:tcBorders>
                  <w:vAlign w:val="center"/>
                </w:tcPr>
                <w:p w14:paraId="41023C5D">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position w:val="1"/>
                      <w:sz w:val="21"/>
                      <w:szCs w:val="21"/>
                    </w:rPr>
                    <w:t>kJ/kW•h</w:t>
                  </w:r>
                </w:p>
              </w:tc>
              <w:tc>
                <w:tcPr>
                  <w:tcW w:w="1223" w:type="pct"/>
                  <w:tcBorders>
                    <w:tl2br w:val="nil"/>
                    <w:tr2bl w:val="nil"/>
                  </w:tcBorders>
                  <w:vAlign w:val="center"/>
                </w:tcPr>
                <w:p w14:paraId="12ACDA76">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2"/>
                      <w:sz w:val="21"/>
                      <w:szCs w:val="21"/>
                    </w:rPr>
                    <w:t>9162</w:t>
                  </w:r>
                </w:p>
              </w:tc>
            </w:tr>
            <w:tr w14:paraId="295F02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29" w:hRule="atLeast"/>
              </w:trPr>
              <w:tc>
                <w:tcPr>
                  <w:tcW w:w="513" w:type="pct"/>
                  <w:tcBorders>
                    <w:tl2br w:val="nil"/>
                    <w:tr2bl w:val="nil"/>
                  </w:tcBorders>
                  <w:vAlign w:val="center"/>
                </w:tcPr>
                <w:p w14:paraId="216B5993">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w:t>
                  </w:r>
                </w:p>
              </w:tc>
              <w:tc>
                <w:tcPr>
                  <w:tcW w:w="1608" w:type="pct"/>
                  <w:tcBorders>
                    <w:tl2br w:val="nil"/>
                    <w:tr2bl w:val="nil"/>
                  </w:tcBorders>
                  <w:vAlign w:val="center"/>
                </w:tcPr>
                <w:p w14:paraId="2E4DF419">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锅炉设计热效率</w:t>
                  </w:r>
                </w:p>
              </w:tc>
              <w:tc>
                <w:tcPr>
                  <w:tcW w:w="1654" w:type="pct"/>
                  <w:tcBorders>
                    <w:tl2br w:val="nil"/>
                    <w:tr2bl w:val="nil"/>
                  </w:tcBorders>
                  <w:vAlign w:val="center"/>
                </w:tcPr>
                <w:p w14:paraId="0E092DBA">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w:t>
                  </w:r>
                </w:p>
              </w:tc>
              <w:tc>
                <w:tcPr>
                  <w:tcW w:w="1223" w:type="pct"/>
                  <w:tcBorders>
                    <w:tl2br w:val="nil"/>
                    <w:tr2bl w:val="nil"/>
                  </w:tcBorders>
                  <w:vAlign w:val="center"/>
                </w:tcPr>
                <w:p w14:paraId="260A1D9F">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lang w:val="en-US"/>
                    </w:rPr>
                  </w:pPr>
                  <w:r>
                    <w:rPr>
                      <w:rFonts w:hint="default" w:ascii="Times New Roman" w:hAnsi="Times New Roman" w:cs="Times New Roman"/>
                      <w:color w:val="auto"/>
                      <w:sz w:val="21"/>
                      <w:szCs w:val="21"/>
                      <w:lang w:val="en-US" w:eastAsia="zh-CN"/>
                    </w:rPr>
                    <w:t>90.6</w:t>
                  </w:r>
                </w:p>
              </w:tc>
            </w:tr>
            <w:tr w14:paraId="2048551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513" w:type="pct"/>
                  <w:tcBorders>
                    <w:tl2br w:val="nil"/>
                    <w:tr2bl w:val="nil"/>
                  </w:tcBorders>
                  <w:vAlign w:val="center"/>
                </w:tcPr>
                <w:p w14:paraId="022A45F9">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val="en-US" w:eastAsia="zh-CN"/>
                    </w:rPr>
                    <w:t>5</w:t>
                  </w:r>
                </w:p>
              </w:tc>
              <w:tc>
                <w:tcPr>
                  <w:tcW w:w="1608" w:type="pct"/>
                  <w:tcBorders>
                    <w:tl2br w:val="nil"/>
                    <w:tr2bl w:val="nil"/>
                  </w:tcBorders>
                  <w:vAlign w:val="center"/>
                </w:tcPr>
                <w:p w14:paraId="11D625D9">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年运行时间</w:t>
                  </w:r>
                </w:p>
              </w:tc>
              <w:tc>
                <w:tcPr>
                  <w:tcW w:w="1654" w:type="pct"/>
                  <w:tcBorders>
                    <w:tl2br w:val="nil"/>
                    <w:tr2bl w:val="nil"/>
                  </w:tcBorders>
                  <w:vAlign w:val="center"/>
                </w:tcPr>
                <w:p w14:paraId="15EE7DC0">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h</w:t>
                  </w:r>
                </w:p>
              </w:tc>
              <w:tc>
                <w:tcPr>
                  <w:tcW w:w="1223" w:type="pct"/>
                  <w:tcBorders>
                    <w:tl2br w:val="nil"/>
                    <w:tr2bl w:val="nil"/>
                  </w:tcBorders>
                  <w:vAlign w:val="center"/>
                </w:tcPr>
                <w:p w14:paraId="4150F5EB">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8000</w:t>
                  </w:r>
                </w:p>
              </w:tc>
            </w:tr>
            <w:tr w14:paraId="434E47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513" w:type="pct"/>
                  <w:tcBorders>
                    <w:tl2br w:val="nil"/>
                    <w:tr2bl w:val="nil"/>
                  </w:tcBorders>
                  <w:vAlign w:val="center"/>
                </w:tcPr>
                <w:p w14:paraId="50F053F3">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val="en-US" w:eastAsia="zh-CN"/>
                    </w:rPr>
                    <w:t>7</w:t>
                  </w:r>
                </w:p>
              </w:tc>
              <w:tc>
                <w:tcPr>
                  <w:tcW w:w="1608" w:type="pct"/>
                  <w:tcBorders>
                    <w:tl2br w:val="nil"/>
                    <w:tr2bl w:val="nil"/>
                  </w:tcBorders>
                  <w:vAlign w:val="center"/>
                </w:tcPr>
                <w:p w14:paraId="6142E0CC">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年发电量</w:t>
                  </w:r>
                </w:p>
              </w:tc>
              <w:tc>
                <w:tcPr>
                  <w:tcW w:w="1654" w:type="pct"/>
                  <w:tcBorders>
                    <w:tl2br w:val="nil"/>
                    <w:tr2bl w:val="nil"/>
                  </w:tcBorders>
                  <w:vAlign w:val="center"/>
                </w:tcPr>
                <w:p w14:paraId="6EF57E35">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亿kWh</w:t>
                  </w:r>
                </w:p>
              </w:tc>
              <w:tc>
                <w:tcPr>
                  <w:tcW w:w="1223" w:type="pct"/>
                  <w:tcBorders>
                    <w:tl2br w:val="nil"/>
                    <w:tr2bl w:val="nil"/>
                  </w:tcBorders>
                  <w:vAlign w:val="center"/>
                </w:tcPr>
                <w:p w14:paraId="332B930F">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3.12</w:t>
                  </w:r>
                </w:p>
              </w:tc>
            </w:tr>
            <w:tr w14:paraId="7DE6C4F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513" w:type="pct"/>
                  <w:tcBorders>
                    <w:tl2br w:val="nil"/>
                    <w:tr2bl w:val="nil"/>
                  </w:tcBorders>
                  <w:vAlign w:val="center"/>
                </w:tcPr>
                <w:p w14:paraId="2EB26491">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val="en-US" w:eastAsia="zh-CN"/>
                    </w:rPr>
                    <w:t>8</w:t>
                  </w:r>
                </w:p>
              </w:tc>
              <w:tc>
                <w:tcPr>
                  <w:tcW w:w="1608" w:type="pct"/>
                  <w:tcBorders>
                    <w:tl2br w:val="nil"/>
                    <w:tr2bl w:val="nil"/>
                  </w:tcBorders>
                  <w:vAlign w:val="center"/>
                </w:tcPr>
                <w:p w14:paraId="0CAFA7B2">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年供电量</w:t>
                  </w:r>
                </w:p>
              </w:tc>
              <w:tc>
                <w:tcPr>
                  <w:tcW w:w="1654" w:type="pct"/>
                  <w:tcBorders>
                    <w:tl2br w:val="nil"/>
                    <w:tr2bl w:val="nil"/>
                  </w:tcBorders>
                  <w:vAlign w:val="center"/>
                </w:tcPr>
                <w:p w14:paraId="7919650B">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亿kW.h</w:t>
                  </w:r>
                </w:p>
              </w:tc>
              <w:tc>
                <w:tcPr>
                  <w:tcW w:w="1223" w:type="pct"/>
                  <w:tcBorders>
                    <w:tl2br w:val="nil"/>
                    <w:tr2bl w:val="nil"/>
                  </w:tcBorders>
                  <w:vAlign w:val="center"/>
                </w:tcPr>
                <w:p w14:paraId="7052E4A5">
                  <w:pPr>
                    <w:pStyle w:val="109"/>
                    <w:keepNext w:val="0"/>
                    <w:keepLines w:val="0"/>
                    <w:pageBreakBefore w:val="0"/>
                    <w:widowControl w:val="0"/>
                    <w:kinsoku/>
                    <w:wordWrap/>
                    <w:overflowPunct/>
                    <w:topLinePunct w:val="0"/>
                    <w:autoSpaceDE/>
                    <w:autoSpaceDN/>
                    <w:bidi w:val="0"/>
                    <w:adjustRightInd/>
                    <w:snapToGrid/>
                    <w:spacing w:line="240" w:lineRule="auto"/>
                    <w:ind w:lef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2.87</w:t>
                  </w:r>
                </w:p>
              </w:tc>
            </w:tr>
          </w:tbl>
          <w:p w14:paraId="04A34953">
            <w:pPr>
              <w:keepNext w:val="0"/>
              <w:keepLines w:val="0"/>
              <w:pageBreakBefore w:val="0"/>
              <w:widowControl w:val="0"/>
              <w:numPr>
                <w:ilvl w:val="0"/>
                <w:numId w:val="6"/>
              </w:numPr>
              <w:kinsoku/>
              <w:wordWrap/>
              <w:overflowPunct w:val="0"/>
              <w:topLinePunct w:val="0"/>
              <w:autoSpaceDE/>
              <w:autoSpaceDN/>
              <w:bidi w:val="0"/>
              <w:adjustRightInd/>
              <w:snapToGrid/>
              <w:spacing w:before="157" w:beforeLines="50" w:line="360" w:lineRule="auto"/>
              <w:ind w:leftChars="0"/>
              <w:textAlignment w:val="auto"/>
              <w:rPr>
                <w:rFonts w:hint="default" w:ascii="Times New Roman" w:hAnsi="Times New Roman" w:cs="Times New Roman"/>
                <w:b/>
                <w:color w:val="auto"/>
                <w:sz w:val="24"/>
                <w:szCs w:val="24"/>
                <w:lang w:val="en-US" w:eastAsia="zh-CN"/>
              </w:rPr>
            </w:pPr>
            <w:r>
              <w:rPr>
                <w:rFonts w:hint="default" w:ascii="Times New Roman" w:hAnsi="Times New Roman" w:cs="Times New Roman"/>
                <w:b/>
                <w:color w:val="auto"/>
                <w:sz w:val="24"/>
                <w:szCs w:val="24"/>
                <w:lang w:val="en-US" w:eastAsia="zh-CN"/>
              </w:rPr>
              <w:t>物料平衡</w:t>
            </w:r>
          </w:p>
          <w:p w14:paraId="57A73669">
            <w:pPr>
              <w:keepNext w:val="0"/>
              <w:keepLines w:val="0"/>
              <w:pageBreakBefore w:val="0"/>
              <w:kinsoku/>
              <w:wordWrap/>
              <w:overflowPunct w:val="0"/>
              <w:bidi w:val="0"/>
              <w:adjustRightInd/>
              <w:snapToGrid/>
              <w:spacing w:line="360" w:lineRule="auto"/>
              <w:ind w:firstLine="480" w:firstLineChars="200"/>
              <w:rPr>
                <w:rFonts w:hint="default" w:ascii="Times New Roman" w:hAnsi="Times New Roman" w:eastAsia="宋体" w:cs="Times New Roman"/>
                <w:snapToGrid w:val="0"/>
                <w:color w:val="auto"/>
                <w:kern w:val="0"/>
                <w:sz w:val="24"/>
                <w:szCs w:val="24"/>
                <w:lang w:val="en-US" w:eastAsia="zh-CN"/>
              </w:rPr>
            </w:pPr>
            <w:r>
              <w:rPr>
                <w:rFonts w:hint="default" w:ascii="Times New Roman" w:hAnsi="Times New Roman" w:eastAsia="宋体" w:cs="Times New Roman"/>
                <w:snapToGrid w:val="0"/>
                <w:color w:val="auto"/>
                <w:kern w:val="0"/>
                <w:sz w:val="24"/>
                <w:szCs w:val="24"/>
                <w:lang w:val="en-US" w:eastAsia="zh-CN"/>
              </w:rPr>
              <w:t>本项目硫元素平衡详见表2-6。</w:t>
            </w:r>
          </w:p>
          <w:p w14:paraId="50B0C9CE">
            <w:pPr>
              <w:keepNext w:val="0"/>
              <w:keepLines w:val="0"/>
              <w:pageBreakBefore w:val="0"/>
              <w:kinsoku/>
              <w:wordWrap/>
              <w:bidi w:val="0"/>
              <w:adjustRightInd/>
              <w:snapToGrid/>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表2-6本项目硫元素平衡</w:t>
            </w:r>
          </w:p>
          <w:tbl>
            <w:tblPr>
              <w:tblStyle w:val="32"/>
              <w:tblW w:w="7579" w:type="dxa"/>
              <w:tblInd w:w="-3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980"/>
              <w:gridCol w:w="675"/>
              <w:gridCol w:w="712"/>
              <w:gridCol w:w="1066"/>
              <w:gridCol w:w="1115"/>
              <w:gridCol w:w="1064"/>
              <w:gridCol w:w="912"/>
              <w:gridCol w:w="1055"/>
            </w:tblGrid>
            <w:tr w14:paraId="237A83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9" w:hRule="atLeast"/>
              </w:trPr>
              <w:tc>
                <w:tcPr>
                  <w:tcW w:w="3433" w:type="dxa"/>
                  <w:gridSpan w:val="4"/>
                  <w:tcBorders>
                    <w:tl2br w:val="nil"/>
                    <w:tr2bl w:val="nil"/>
                  </w:tcBorders>
                  <w:shd w:val="clear" w:color="auto" w:fill="auto"/>
                  <w:noWrap/>
                  <w:vAlign w:val="center"/>
                </w:tcPr>
                <w:p w14:paraId="4834D80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产生情况</w:t>
                  </w:r>
                </w:p>
              </w:tc>
              <w:tc>
                <w:tcPr>
                  <w:tcW w:w="4146" w:type="dxa"/>
                  <w:gridSpan w:val="4"/>
                  <w:tcBorders>
                    <w:tl2br w:val="nil"/>
                    <w:tr2bl w:val="nil"/>
                  </w:tcBorders>
                  <w:shd w:val="clear" w:color="auto" w:fill="auto"/>
                  <w:noWrap/>
                  <w:vAlign w:val="center"/>
                </w:tcPr>
                <w:p w14:paraId="42FD17D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排放情况</w:t>
                  </w:r>
                </w:p>
              </w:tc>
            </w:tr>
            <w:tr w14:paraId="2F8A19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655" w:type="dxa"/>
                  <w:gridSpan w:val="2"/>
                  <w:tcBorders>
                    <w:tl2br w:val="nil"/>
                    <w:tr2bl w:val="nil"/>
                  </w:tcBorders>
                  <w:shd w:val="clear" w:color="auto" w:fill="auto"/>
                  <w:noWrap/>
                  <w:vAlign w:val="center"/>
                </w:tcPr>
                <w:p w14:paraId="1E7945D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产生量t/a</w:t>
                  </w:r>
                </w:p>
              </w:tc>
              <w:tc>
                <w:tcPr>
                  <w:tcW w:w="712" w:type="dxa"/>
                  <w:tcBorders>
                    <w:tl2br w:val="nil"/>
                    <w:tr2bl w:val="nil"/>
                  </w:tcBorders>
                  <w:shd w:val="clear" w:color="auto" w:fill="auto"/>
                  <w:noWrap/>
                  <w:vAlign w:val="center"/>
                </w:tcPr>
                <w:p w14:paraId="4BBFDEC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含硫量%</w:t>
                  </w:r>
                </w:p>
              </w:tc>
              <w:tc>
                <w:tcPr>
                  <w:tcW w:w="1066" w:type="dxa"/>
                  <w:tcBorders>
                    <w:tl2br w:val="nil"/>
                    <w:tr2bl w:val="nil"/>
                  </w:tcBorders>
                  <w:shd w:val="clear" w:color="auto" w:fill="auto"/>
                  <w:noWrap/>
                  <w:vAlign w:val="center"/>
                </w:tcPr>
                <w:p w14:paraId="4A09ED1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硫元素t/a</w:t>
                  </w:r>
                </w:p>
              </w:tc>
              <w:tc>
                <w:tcPr>
                  <w:tcW w:w="2179" w:type="dxa"/>
                  <w:gridSpan w:val="2"/>
                  <w:tcBorders>
                    <w:tl2br w:val="nil"/>
                    <w:tr2bl w:val="nil"/>
                  </w:tcBorders>
                  <w:shd w:val="clear" w:color="auto" w:fill="auto"/>
                  <w:noWrap/>
                  <w:vAlign w:val="center"/>
                </w:tcPr>
                <w:p w14:paraId="17AC454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排放量t/a</w:t>
                  </w:r>
                </w:p>
              </w:tc>
              <w:tc>
                <w:tcPr>
                  <w:tcW w:w="912" w:type="dxa"/>
                  <w:tcBorders>
                    <w:tl2br w:val="nil"/>
                    <w:tr2bl w:val="nil"/>
                  </w:tcBorders>
                  <w:shd w:val="clear" w:color="auto" w:fill="auto"/>
                  <w:noWrap/>
                  <w:vAlign w:val="center"/>
                </w:tcPr>
                <w:p w14:paraId="4B3EDC7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含硫量%</w:t>
                  </w:r>
                </w:p>
              </w:tc>
              <w:tc>
                <w:tcPr>
                  <w:tcW w:w="1055" w:type="dxa"/>
                  <w:tcBorders>
                    <w:tl2br w:val="nil"/>
                    <w:tr2bl w:val="nil"/>
                  </w:tcBorders>
                  <w:shd w:val="clear" w:color="auto" w:fill="auto"/>
                  <w:noWrap/>
                  <w:vAlign w:val="center"/>
                </w:tcPr>
                <w:p w14:paraId="330D1F4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硫元素t/a</w:t>
                  </w:r>
                </w:p>
              </w:tc>
            </w:tr>
            <w:tr w14:paraId="557ACE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980" w:type="dxa"/>
                  <w:tcBorders>
                    <w:tl2br w:val="nil"/>
                    <w:tr2bl w:val="nil"/>
                  </w:tcBorders>
                  <w:shd w:val="clear" w:color="auto" w:fill="auto"/>
                  <w:noWrap/>
                  <w:vAlign w:val="center"/>
                </w:tcPr>
                <w:p w14:paraId="479A37D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煤气中的</w:t>
                  </w:r>
                  <w:r>
                    <w:rPr>
                      <w:rFonts w:hint="default" w:ascii="Times New Roman" w:hAnsi="Times New Roman" w:cs="Times New Roman"/>
                      <w:i w:val="0"/>
                      <w:iCs w:val="0"/>
                      <w:color w:val="auto"/>
                      <w:kern w:val="0"/>
                      <w:sz w:val="21"/>
                      <w:szCs w:val="21"/>
                      <w:u w:val="none"/>
                      <w:lang w:val="en-US" w:eastAsia="zh-CN" w:bidi="ar"/>
                    </w:rPr>
                    <w:t>SO</w:t>
                  </w:r>
                  <w:r>
                    <w:rPr>
                      <w:rFonts w:hint="default" w:ascii="Times New Roman" w:hAnsi="Times New Roman" w:cs="Times New Roman"/>
                      <w:i w:val="0"/>
                      <w:iCs w:val="0"/>
                      <w:color w:val="auto"/>
                      <w:kern w:val="0"/>
                      <w:sz w:val="21"/>
                      <w:szCs w:val="21"/>
                      <w:u w:val="none"/>
                      <w:vertAlign w:val="subscript"/>
                      <w:lang w:val="en-US" w:eastAsia="zh-CN" w:bidi="ar"/>
                    </w:rPr>
                    <w:t>2</w:t>
                  </w:r>
                </w:p>
              </w:tc>
              <w:tc>
                <w:tcPr>
                  <w:tcW w:w="675" w:type="dxa"/>
                  <w:tcBorders>
                    <w:tl2br w:val="nil"/>
                    <w:tr2bl w:val="nil"/>
                  </w:tcBorders>
                  <w:shd w:val="clear" w:color="auto" w:fill="auto"/>
                  <w:noWrap/>
                  <w:vAlign w:val="center"/>
                </w:tcPr>
                <w:p w14:paraId="4DB6939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664.769</w:t>
                  </w:r>
                </w:p>
              </w:tc>
              <w:tc>
                <w:tcPr>
                  <w:tcW w:w="712" w:type="dxa"/>
                  <w:tcBorders>
                    <w:tl2br w:val="nil"/>
                    <w:tr2bl w:val="nil"/>
                  </w:tcBorders>
                  <w:shd w:val="clear" w:color="auto" w:fill="auto"/>
                  <w:noWrap/>
                  <w:vAlign w:val="center"/>
                </w:tcPr>
                <w:p w14:paraId="6E45C01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c>
                <w:tcPr>
                  <w:tcW w:w="1066" w:type="dxa"/>
                  <w:tcBorders>
                    <w:tl2br w:val="nil"/>
                    <w:tr2bl w:val="nil"/>
                  </w:tcBorders>
                  <w:shd w:val="clear" w:color="auto" w:fill="auto"/>
                  <w:noWrap/>
                  <w:vAlign w:val="center"/>
                </w:tcPr>
                <w:p w14:paraId="7D96EBB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332.385</w:t>
                  </w:r>
                </w:p>
              </w:tc>
              <w:tc>
                <w:tcPr>
                  <w:tcW w:w="1115" w:type="dxa"/>
                  <w:tcBorders>
                    <w:tl2br w:val="nil"/>
                    <w:tr2bl w:val="nil"/>
                  </w:tcBorders>
                  <w:shd w:val="clear" w:color="auto" w:fill="auto"/>
                  <w:noWrap/>
                  <w:vAlign w:val="center"/>
                </w:tcPr>
                <w:p w14:paraId="17AB5B4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外排</w:t>
                  </w:r>
                  <w:r>
                    <w:rPr>
                      <w:rFonts w:hint="default" w:ascii="Times New Roman" w:hAnsi="Times New Roman" w:cs="Times New Roman"/>
                      <w:i w:val="0"/>
                      <w:iCs w:val="0"/>
                      <w:color w:val="auto"/>
                      <w:kern w:val="0"/>
                      <w:sz w:val="21"/>
                      <w:szCs w:val="21"/>
                      <w:u w:val="none"/>
                      <w:lang w:val="en-US" w:eastAsia="zh-CN" w:bidi="ar"/>
                    </w:rPr>
                    <w:t>SO</w:t>
                  </w:r>
                  <w:r>
                    <w:rPr>
                      <w:rFonts w:hint="default" w:ascii="Times New Roman" w:hAnsi="Times New Roman" w:cs="Times New Roman"/>
                      <w:i w:val="0"/>
                      <w:iCs w:val="0"/>
                      <w:color w:val="auto"/>
                      <w:kern w:val="0"/>
                      <w:sz w:val="21"/>
                      <w:szCs w:val="21"/>
                      <w:u w:val="none"/>
                      <w:vertAlign w:val="subscript"/>
                      <w:lang w:val="en-US" w:eastAsia="zh-CN" w:bidi="ar"/>
                    </w:rPr>
                    <w:t>2</w:t>
                  </w:r>
                </w:p>
              </w:tc>
              <w:tc>
                <w:tcPr>
                  <w:tcW w:w="1064" w:type="dxa"/>
                  <w:tcBorders>
                    <w:tl2br w:val="nil"/>
                    <w:tr2bl w:val="nil"/>
                  </w:tcBorders>
                  <w:shd w:val="clear" w:color="auto" w:fill="auto"/>
                  <w:noWrap/>
                  <w:vAlign w:val="center"/>
                </w:tcPr>
                <w:p w14:paraId="6255C15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33.238</w:t>
                  </w:r>
                </w:p>
              </w:tc>
              <w:tc>
                <w:tcPr>
                  <w:tcW w:w="912" w:type="dxa"/>
                  <w:tcBorders>
                    <w:tl2br w:val="nil"/>
                    <w:tr2bl w:val="nil"/>
                  </w:tcBorders>
                  <w:shd w:val="clear" w:color="auto" w:fill="auto"/>
                  <w:noWrap/>
                  <w:vAlign w:val="center"/>
                </w:tcPr>
                <w:p w14:paraId="37AC096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w:t>
                  </w:r>
                </w:p>
              </w:tc>
              <w:tc>
                <w:tcPr>
                  <w:tcW w:w="1055" w:type="dxa"/>
                  <w:tcBorders>
                    <w:tl2br w:val="nil"/>
                    <w:tr2bl w:val="nil"/>
                  </w:tcBorders>
                  <w:shd w:val="clear" w:color="auto" w:fill="auto"/>
                  <w:noWrap/>
                  <w:vAlign w:val="center"/>
                </w:tcPr>
                <w:p w14:paraId="76AE46A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16.619</w:t>
                  </w:r>
                </w:p>
              </w:tc>
            </w:tr>
            <w:tr w14:paraId="0E4DFF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4" w:hRule="atLeast"/>
              </w:trPr>
              <w:tc>
                <w:tcPr>
                  <w:tcW w:w="980" w:type="dxa"/>
                  <w:tcBorders>
                    <w:tl2br w:val="nil"/>
                    <w:tr2bl w:val="nil"/>
                  </w:tcBorders>
                  <w:shd w:val="clear" w:color="auto" w:fill="auto"/>
                  <w:noWrap/>
                  <w:vAlign w:val="center"/>
                </w:tcPr>
                <w:p w14:paraId="0395A1D1">
                  <w:pPr>
                    <w:jc w:val="center"/>
                    <w:rPr>
                      <w:rFonts w:hint="default" w:ascii="Times New Roman" w:hAnsi="Times New Roman" w:eastAsia="宋体" w:cs="Times New Roman"/>
                      <w:i w:val="0"/>
                      <w:iCs w:val="0"/>
                      <w:color w:val="auto"/>
                      <w:sz w:val="21"/>
                      <w:szCs w:val="21"/>
                      <w:u w:val="none"/>
                    </w:rPr>
                  </w:pPr>
                </w:p>
              </w:tc>
              <w:tc>
                <w:tcPr>
                  <w:tcW w:w="675" w:type="dxa"/>
                  <w:tcBorders>
                    <w:tl2br w:val="nil"/>
                    <w:tr2bl w:val="nil"/>
                  </w:tcBorders>
                  <w:shd w:val="clear" w:color="auto" w:fill="auto"/>
                  <w:noWrap/>
                  <w:vAlign w:val="center"/>
                </w:tcPr>
                <w:p w14:paraId="1B272343">
                  <w:pPr>
                    <w:jc w:val="center"/>
                    <w:rPr>
                      <w:rFonts w:hint="default" w:ascii="Times New Roman" w:hAnsi="Times New Roman" w:eastAsia="宋体" w:cs="Times New Roman"/>
                      <w:i w:val="0"/>
                      <w:iCs w:val="0"/>
                      <w:color w:val="auto"/>
                      <w:sz w:val="21"/>
                      <w:szCs w:val="21"/>
                      <w:u w:val="none"/>
                    </w:rPr>
                  </w:pPr>
                </w:p>
              </w:tc>
              <w:tc>
                <w:tcPr>
                  <w:tcW w:w="712" w:type="dxa"/>
                  <w:tcBorders>
                    <w:tl2br w:val="nil"/>
                    <w:tr2bl w:val="nil"/>
                  </w:tcBorders>
                  <w:shd w:val="clear" w:color="auto" w:fill="auto"/>
                  <w:noWrap/>
                  <w:vAlign w:val="center"/>
                </w:tcPr>
                <w:p w14:paraId="4BF3602F">
                  <w:pPr>
                    <w:jc w:val="center"/>
                    <w:rPr>
                      <w:rFonts w:hint="default" w:ascii="Times New Roman" w:hAnsi="Times New Roman" w:eastAsia="宋体" w:cs="Times New Roman"/>
                      <w:i w:val="0"/>
                      <w:iCs w:val="0"/>
                      <w:color w:val="auto"/>
                      <w:sz w:val="21"/>
                      <w:szCs w:val="21"/>
                      <w:u w:val="none"/>
                    </w:rPr>
                  </w:pPr>
                </w:p>
              </w:tc>
              <w:tc>
                <w:tcPr>
                  <w:tcW w:w="1066" w:type="dxa"/>
                  <w:tcBorders>
                    <w:tl2br w:val="nil"/>
                    <w:tr2bl w:val="nil"/>
                  </w:tcBorders>
                  <w:shd w:val="clear" w:color="auto" w:fill="auto"/>
                  <w:noWrap/>
                  <w:vAlign w:val="center"/>
                </w:tcPr>
                <w:p w14:paraId="6FE76B55">
                  <w:pPr>
                    <w:jc w:val="center"/>
                    <w:rPr>
                      <w:rFonts w:hint="default" w:ascii="Times New Roman" w:hAnsi="Times New Roman" w:eastAsia="宋体" w:cs="Times New Roman"/>
                      <w:i w:val="0"/>
                      <w:iCs w:val="0"/>
                      <w:color w:val="auto"/>
                      <w:sz w:val="21"/>
                      <w:szCs w:val="21"/>
                      <w:u w:val="none"/>
                    </w:rPr>
                  </w:pPr>
                </w:p>
              </w:tc>
              <w:tc>
                <w:tcPr>
                  <w:tcW w:w="1115" w:type="dxa"/>
                  <w:tcBorders>
                    <w:tl2br w:val="nil"/>
                    <w:tr2bl w:val="nil"/>
                  </w:tcBorders>
                  <w:shd w:val="clear" w:color="auto" w:fill="auto"/>
                  <w:noWrap/>
                  <w:vAlign w:val="center"/>
                </w:tcPr>
                <w:p w14:paraId="10C928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脱硫石膏</w:t>
                  </w:r>
                </w:p>
              </w:tc>
              <w:tc>
                <w:tcPr>
                  <w:tcW w:w="1064" w:type="dxa"/>
                  <w:tcBorders>
                    <w:tl2br w:val="nil"/>
                    <w:tr2bl w:val="nil"/>
                  </w:tcBorders>
                  <w:shd w:val="clear" w:color="auto" w:fill="auto"/>
                  <w:noWrap/>
                  <w:vAlign w:val="center"/>
                </w:tcPr>
                <w:p w14:paraId="31F03F4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1698.42</w:t>
                  </w:r>
                </w:p>
              </w:tc>
              <w:tc>
                <w:tcPr>
                  <w:tcW w:w="912" w:type="dxa"/>
                  <w:tcBorders>
                    <w:tl2br w:val="nil"/>
                    <w:tr2bl w:val="nil"/>
                  </w:tcBorders>
                  <w:shd w:val="clear" w:color="auto" w:fill="auto"/>
                  <w:noWrap/>
                  <w:vAlign w:val="center"/>
                </w:tcPr>
                <w:p w14:paraId="6F9B01E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w:t>
                  </w:r>
                </w:p>
              </w:tc>
              <w:tc>
                <w:tcPr>
                  <w:tcW w:w="1055" w:type="dxa"/>
                  <w:tcBorders>
                    <w:tl2br w:val="nil"/>
                    <w:tr2bl w:val="nil"/>
                  </w:tcBorders>
                  <w:shd w:val="clear" w:color="auto" w:fill="auto"/>
                  <w:noWrap/>
                  <w:vAlign w:val="center"/>
                </w:tcPr>
                <w:p w14:paraId="759A253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254.763</w:t>
                  </w:r>
                </w:p>
              </w:tc>
            </w:tr>
            <w:tr w14:paraId="1F9CCB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980" w:type="dxa"/>
                  <w:tcBorders>
                    <w:tl2br w:val="nil"/>
                    <w:tr2bl w:val="nil"/>
                  </w:tcBorders>
                  <w:shd w:val="clear" w:color="auto" w:fill="auto"/>
                  <w:noWrap/>
                  <w:vAlign w:val="center"/>
                </w:tcPr>
                <w:p w14:paraId="440565DA">
                  <w:pPr>
                    <w:jc w:val="center"/>
                    <w:rPr>
                      <w:rFonts w:hint="default" w:ascii="Times New Roman" w:hAnsi="Times New Roman" w:eastAsia="宋体" w:cs="Times New Roman"/>
                      <w:i w:val="0"/>
                      <w:iCs w:val="0"/>
                      <w:color w:val="auto"/>
                      <w:sz w:val="21"/>
                      <w:szCs w:val="21"/>
                      <w:u w:val="none"/>
                    </w:rPr>
                  </w:pPr>
                </w:p>
              </w:tc>
              <w:tc>
                <w:tcPr>
                  <w:tcW w:w="675" w:type="dxa"/>
                  <w:tcBorders>
                    <w:tl2br w:val="nil"/>
                    <w:tr2bl w:val="nil"/>
                  </w:tcBorders>
                  <w:shd w:val="clear" w:color="auto" w:fill="auto"/>
                  <w:noWrap/>
                  <w:vAlign w:val="center"/>
                </w:tcPr>
                <w:p w14:paraId="6E5A1342">
                  <w:pPr>
                    <w:jc w:val="center"/>
                    <w:rPr>
                      <w:rFonts w:hint="default" w:ascii="Times New Roman" w:hAnsi="Times New Roman" w:eastAsia="宋体" w:cs="Times New Roman"/>
                      <w:i w:val="0"/>
                      <w:iCs w:val="0"/>
                      <w:color w:val="auto"/>
                      <w:sz w:val="21"/>
                      <w:szCs w:val="21"/>
                      <w:u w:val="none"/>
                    </w:rPr>
                  </w:pPr>
                </w:p>
              </w:tc>
              <w:tc>
                <w:tcPr>
                  <w:tcW w:w="712" w:type="dxa"/>
                  <w:tcBorders>
                    <w:tl2br w:val="nil"/>
                    <w:tr2bl w:val="nil"/>
                  </w:tcBorders>
                  <w:shd w:val="clear" w:color="auto" w:fill="auto"/>
                  <w:noWrap/>
                  <w:vAlign w:val="center"/>
                </w:tcPr>
                <w:p w14:paraId="3F4B284B">
                  <w:pPr>
                    <w:jc w:val="center"/>
                    <w:rPr>
                      <w:rFonts w:hint="default" w:ascii="Times New Roman" w:hAnsi="Times New Roman" w:eastAsia="宋体" w:cs="Times New Roman"/>
                      <w:i w:val="0"/>
                      <w:iCs w:val="0"/>
                      <w:color w:val="auto"/>
                      <w:sz w:val="21"/>
                      <w:szCs w:val="21"/>
                      <w:u w:val="none"/>
                    </w:rPr>
                  </w:pPr>
                </w:p>
              </w:tc>
              <w:tc>
                <w:tcPr>
                  <w:tcW w:w="1066" w:type="dxa"/>
                  <w:tcBorders>
                    <w:tl2br w:val="nil"/>
                    <w:tr2bl w:val="nil"/>
                  </w:tcBorders>
                  <w:shd w:val="clear" w:color="auto" w:fill="auto"/>
                  <w:noWrap/>
                  <w:vAlign w:val="center"/>
                </w:tcPr>
                <w:p w14:paraId="3677C9D4">
                  <w:pPr>
                    <w:jc w:val="center"/>
                    <w:rPr>
                      <w:rFonts w:hint="default" w:ascii="Times New Roman" w:hAnsi="Times New Roman" w:eastAsia="宋体" w:cs="Times New Roman"/>
                      <w:i w:val="0"/>
                      <w:iCs w:val="0"/>
                      <w:color w:val="auto"/>
                      <w:sz w:val="21"/>
                      <w:szCs w:val="21"/>
                      <w:u w:val="none"/>
                    </w:rPr>
                  </w:pPr>
                </w:p>
              </w:tc>
              <w:tc>
                <w:tcPr>
                  <w:tcW w:w="1115" w:type="dxa"/>
                  <w:tcBorders>
                    <w:tl2br w:val="nil"/>
                    <w:tr2bl w:val="nil"/>
                  </w:tcBorders>
                  <w:shd w:val="clear" w:color="auto" w:fill="auto"/>
                  <w:noWrap/>
                  <w:vAlign w:val="center"/>
                </w:tcPr>
                <w:p w14:paraId="4D62A95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脱硫废水</w:t>
                  </w:r>
                </w:p>
              </w:tc>
              <w:tc>
                <w:tcPr>
                  <w:tcW w:w="1064" w:type="dxa"/>
                  <w:tcBorders>
                    <w:tl2br w:val="nil"/>
                    <w:tr2bl w:val="nil"/>
                  </w:tcBorders>
                  <w:shd w:val="clear" w:color="auto" w:fill="auto"/>
                  <w:noWrap/>
                  <w:vAlign w:val="center"/>
                </w:tcPr>
                <w:p w14:paraId="6C49DC2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9600</w:t>
                  </w:r>
                </w:p>
              </w:tc>
              <w:tc>
                <w:tcPr>
                  <w:tcW w:w="912" w:type="dxa"/>
                  <w:tcBorders>
                    <w:tl2br w:val="nil"/>
                    <w:tr2bl w:val="nil"/>
                  </w:tcBorders>
                  <w:shd w:val="clear" w:color="auto" w:fill="auto"/>
                  <w:noWrap/>
                  <w:vAlign w:val="center"/>
                </w:tcPr>
                <w:p w14:paraId="4915CCC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0.6</w:t>
                  </w:r>
                  <w:r>
                    <w:rPr>
                      <w:rFonts w:hint="default" w:ascii="Times New Roman" w:hAnsi="Times New Roman" w:cs="Times New Roman"/>
                      <w:i w:val="0"/>
                      <w:iCs w:val="0"/>
                      <w:color w:val="auto"/>
                      <w:kern w:val="0"/>
                      <w:sz w:val="21"/>
                      <w:szCs w:val="21"/>
                      <w:u w:val="none"/>
                      <w:lang w:val="en-US" w:eastAsia="zh-CN" w:bidi="ar"/>
                    </w:rPr>
                    <w:t>354</w:t>
                  </w:r>
                </w:p>
              </w:tc>
              <w:tc>
                <w:tcPr>
                  <w:tcW w:w="1055" w:type="dxa"/>
                  <w:tcBorders>
                    <w:tl2br w:val="nil"/>
                    <w:tr2bl w:val="nil"/>
                  </w:tcBorders>
                  <w:shd w:val="clear" w:color="auto" w:fill="auto"/>
                  <w:noWrap/>
                  <w:vAlign w:val="center"/>
                </w:tcPr>
                <w:p w14:paraId="1469A9C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61.003</w:t>
                  </w:r>
                </w:p>
              </w:tc>
            </w:tr>
            <w:tr w14:paraId="6BD98E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4" w:hRule="atLeast"/>
              </w:trPr>
              <w:tc>
                <w:tcPr>
                  <w:tcW w:w="980" w:type="dxa"/>
                  <w:tcBorders>
                    <w:tl2br w:val="nil"/>
                    <w:tr2bl w:val="nil"/>
                  </w:tcBorders>
                  <w:shd w:val="clear" w:color="auto" w:fill="auto"/>
                  <w:noWrap/>
                  <w:vAlign w:val="center"/>
                </w:tcPr>
                <w:p w14:paraId="60456EA2">
                  <w:pPr>
                    <w:jc w:val="center"/>
                    <w:rPr>
                      <w:rFonts w:hint="default" w:ascii="Times New Roman" w:hAnsi="Times New Roman" w:eastAsia="宋体" w:cs="Times New Roman"/>
                      <w:i w:val="0"/>
                      <w:iCs w:val="0"/>
                      <w:color w:val="auto"/>
                      <w:kern w:val="0"/>
                      <w:sz w:val="21"/>
                      <w:szCs w:val="21"/>
                      <w:u w:val="none"/>
                      <w:lang w:val="en-US" w:eastAsia="zh-CN" w:bidi="ar"/>
                    </w:rPr>
                  </w:pPr>
                </w:p>
              </w:tc>
              <w:tc>
                <w:tcPr>
                  <w:tcW w:w="1387" w:type="dxa"/>
                  <w:gridSpan w:val="2"/>
                  <w:tcBorders>
                    <w:tl2br w:val="nil"/>
                    <w:tr2bl w:val="nil"/>
                  </w:tcBorders>
                  <w:shd w:val="clear" w:color="auto" w:fill="auto"/>
                  <w:noWrap/>
                  <w:vAlign w:val="center"/>
                </w:tcPr>
                <w:p w14:paraId="6C7D62B6">
                  <w:pPr>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合计</w:t>
                  </w:r>
                </w:p>
              </w:tc>
              <w:tc>
                <w:tcPr>
                  <w:tcW w:w="1066" w:type="dxa"/>
                  <w:tcBorders>
                    <w:tl2br w:val="nil"/>
                    <w:tr2bl w:val="nil"/>
                  </w:tcBorders>
                  <w:shd w:val="clear" w:color="auto" w:fill="auto"/>
                  <w:noWrap/>
                  <w:vAlign w:val="center"/>
                </w:tcPr>
                <w:p w14:paraId="720AF1E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332.385</w:t>
                  </w:r>
                </w:p>
              </w:tc>
              <w:tc>
                <w:tcPr>
                  <w:tcW w:w="3091" w:type="dxa"/>
                  <w:gridSpan w:val="3"/>
                  <w:tcBorders>
                    <w:tl2br w:val="nil"/>
                    <w:tr2bl w:val="nil"/>
                  </w:tcBorders>
                  <w:shd w:val="clear" w:color="auto" w:fill="auto"/>
                  <w:noWrap/>
                  <w:vAlign w:val="center"/>
                </w:tcPr>
                <w:p w14:paraId="5595403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合计</w:t>
                  </w:r>
                </w:p>
              </w:tc>
              <w:tc>
                <w:tcPr>
                  <w:tcW w:w="1055" w:type="dxa"/>
                  <w:tcBorders>
                    <w:tl2br w:val="nil"/>
                    <w:tr2bl w:val="nil"/>
                  </w:tcBorders>
                  <w:shd w:val="clear" w:color="auto" w:fill="auto"/>
                  <w:noWrap/>
                  <w:vAlign w:val="center"/>
                </w:tcPr>
                <w:p w14:paraId="353FFCD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332.385</w:t>
                  </w:r>
                </w:p>
              </w:tc>
            </w:tr>
          </w:tbl>
          <w:p w14:paraId="5270A99B">
            <w:pPr>
              <w:keepNext w:val="0"/>
              <w:keepLines w:val="0"/>
              <w:pageBreakBefore w:val="0"/>
              <w:widowControl w:val="0"/>
              <w:numPr>
                <w:ilvl w:val="0"/>
                <w:numId w:val="0"/>
              </w:numPr>
              <w:kinsoku/>
              <w:wordWrap/>
              <w:overflowPunct w:val="0"/>
              <w:topLinePunct w:val="0"/>
              <w:autoSpaceDE/>
              <w:autoSpaceDN/>
              <w:bidi w:val="0"/>
              <w:adjustRightInd/>
              <w:snapToGrid/>
              <w:spacing w:before="157" w:beforeLines="50" w:line="360" w:lineRule="auto"/>
              <w:ind w:leftChars="0"/>
              <w:textAlignment w:val="auto"/>
              <w:rPr>
                <w:rFonts w:hint="default" w:ascii="Times New Roman" w:hAnsi="Times New Roman" w:eastAsia="宋体" w:cs="Times New Roman"/>
                <w:b/>
                <w:color w:val="auto"/>
                <w:sz w:val="24"/>
                <w:szCs w:val="24"/>
              </w:rPr>
            </w:pPr>
            <w:r>
              <w:rPr>
                <w:rFonts w:hint="default" w:ascii="Times New Roman" w:hAnsi="Times New Roman" w:cs="Times New Roman"/>
                <w:b/>
                <w:color w:val="auto"/>
                <w:sz w:val="24"/>
                <w:szCs w:val="24"/>
                <w:lang w:val="en-US" w:eastAsia="zh-CN"/>
              </w:rPr>
              <w:t>7</w:t>
            </w:r>
            <w:r>
              <w:rPr>
                <w:rFonts w:hint="default" w:ascii="Times New Roman" w:hAnsi="Times New Roman" w:eastAsia="宋体" w:cs="Times New Roman"/>
                <w:b/>
                <w:color w:val="auto"/>
                <w:sz w:val="24"/>
                <w:szCs w:val="24"/>
                <w:lang w:val="en-US" w:eastAsia="zh-CN"/>
              </w:rPr>
              <w:t>.</w:t>
            </w:r>
            <w:r>
              <w:rPr>
                <w:rFonts w:hint="default" w:ascii="Times New Roman" w:hAnsi="Times New Roman" w:eastAsia="宋体" w:cs="Times New Roman"/>
                <w:b/>
                <w:color w:val="auto"/>
                <w:sz w:val="24"/>
                <w:szCs w:val="24"/>
              </w:rPr>
              <w:t>总平面布置</w:t>
            </w:r>
          </w:p>
          <w:p w14:paraId="3631EDC2">
            <w:pPr>
              <w:keepNext w:val="0"/>
              <w:keepLines w:val="0"/>
              <w:pageBreakBefore w:val="0"/>
              <w:kinsoku/>
              <w:wordWrap/>
              <w:overflowPunct w:val="0"/>
              <w:bidi w:val="0"/>
              <w:adjustRightInd/>
              <w:snapToGrid/>
              <w:spacing w:line="360" w:lineRule="auto"/>
              <w:ind w:firstLine="480" w:firstLineChars="200"/>
              <w:rPr>
                <w:rFonts w:hint="default" w:ascii="Times New Roman" w:hAnsi="Times New Roman" w:eastAsia="宋体" w:cs="Times New Roman"/>
                <w:snapToGrid w:val="0"/>
                <w:color w:val="auto"/>
                <w:kern w:val="0"/>
                <w:sz w:val="24"/>
                <w:szCs w:val="24"/>
                <w:lang w:eastAsia="zh-CN"/>
              </w:rPr>
            </w:pPr>
            <w:bookmarkStart w:id="9" w:name="_Toc272092352"/>
            <w:r>
              <w:rPr>
                <w:rFonts w:hint="default" w:ascii="Times New Roman" w:hAnsi="Times New Roman" w:eastAsia="宋体" w:cs="Times New Roman"/>
                <w:snapToGrid w:val="0"/>
                <w:color w:val="auto"/>
                <w:kern w:val="0"/>
                <w:sz w:val="24"/>
                <w:szCs w:val="24"/>
                <w:lang w:eastAsia="zh-CN"/>
              </w:rPr>
              <w:t>（</w:t>
            </w:r>
            <w:r>
              <w:rPr>
                <w:rFonts w:hint="default" w:ascii="Times New Roman" w:hAnsi="Times New Roman" w:eastAsia="宋体" w:cs="Times New Roman"/>
                <w:snapToGrid w:val="0"/>
                <w:color w:val="auto"/>
                <w:kern w:val="0"/>
                <w:sz w:val="24"/>
                <w:szCs w:val="24"/>
                <w:lang w:val="en-US" w:eastAsia="zh-CN"/>
              </w:rPr>
              <w:t>1</w:t>
            </w:r>
            <w:r>
              <w:rPr>
                <w:rFonts w:hint="default" w:ascii="Times New Roman" w:hAnsi="Times New Roman" w:eastAsia="宋体" w:cs="Times New Roman"/>
                <w:snapToGrid w:val="0"/>
                <w:color w:val="auto"/>
                <w:kern w:val="0"/>
                <w:sz w:val="24"/>
                <w:szCs w:val="24"/>
                <w:lang w:eastAsia="zh-CN"/>
              </w:rPr>
              <w:t>）</w:t>
            </w:r>
            <w:r>
              <w:rPr>
                <w:rFonts w:hint="default" w:ascii="Times New Roman" w:hAnsi="Times New Roman" w:eastAsia="宋体" w:cs="Times New Roman"/>
                <w:snapToGrid w:val="0"/>
                <w:color w:val="auto"/>
                <w:kern w:val="0"/>
                <w:sz w:val="24"/>
                <w:szCs w:val="24"/>
                <w:lang w:val="en-US" w:eastAsia="zh-CN"/>
              </w:rPr>
              <w:t>总平面布置</w:t>
            </w:r>
          </w:p>
          <w:p w14:paraId="1D0D4EFA">
            <w:pPr>
              <w:adjustRightInd w:val="0"/>
              <w:snapToGrid w:val="0"/>
              <w:spacing w:line="360" w:lineRule="auto"/>
              <w:ind w:firstLine="480" w:firstLineChars="200"/>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cs="Times New Roman"/>
                <w:snapToGrid w:val="0"/>
                <w:color w:val="auto"/>
                <w:kern w:val="2"/>
                <w:sz w:val="24"/>
                <w:szCs w:val="24"/>
                <w:lang w:val="en-US" w:eastAsia="zh-CN" w:bidi="ar-SA"/>
              </w:rPr>
              <w:t>本项目厂区按照“一线型”布置形式，由南向北展开布置。厂区最南端布置综合水泵房和机力冷却塔，由南向北依次布置空冷岛→汽机间→除氧间→锅炉岛及辅助车间综合楼→风机房→脱硫系统和烟塔，脱硫综合楼布置在厂区的最北侧，辅助车间综合楼与锅炉房毗邻布置，节约厂区建构筑物用地，食宿区依托</w:t>
            </w:r>
            <w:r>
              <w:rPr>
                <w:rFonts w:hint="default" w:ascii="Times New Roman" w:hAnsi="Times New Roman" w:eastAsia="宋体" w:cs="Times New Roman"/>
                <w:snapToGrid w:val="0"/>
                <w:color w:val="auto"/>
                <w:kern w:val="2"/>
                <w:sz w:val="24"/>
                <w:szCs w:val="24"/>
                <w:lang w:val="en-US" w:eastAsia="zh-CN" w:bidi="ar-SA"/>
              </w:rPr>
              <w:t>120万吨煤化工制品设备更新改造项目</w:t>
            </w:r>
            <w:r>
              <w:rPr>
                <w:rFonts w:hint="default" w:ascii="Times New Roman" w:hAnsi="Times New Roman" w:cs="Times New Roman"/>
                <w:snapToGrid w:val="0"/>
                <w:color w:val="auto"/>
                <w:kern w:val="2"/>
                <w:sz w:val="24"/>
                <w:szCs w:val="24"/>
                <w:lang w:val="en-US" w:eastAsia="zh-CN" w:bidi="ar-SA"/>
              </w:rPr>
              <w:t>，位于项目区北侧</w:t>
            </w:r>
            <w:r>
              <w:rPr>
                <w:rFonts w:hint="default" w:ascii="Times New Roman" w:hAnsi="Times New Roman" w:eastAsia="宋体" w:cs="Times New Roman"/>
                <w:color w:val="auto"/>
                <w:sz w:val="24"/>
                <w:szCs w:val="24"/>
                <w:vertAlign w:val="baseline"/>
                <w:lang w:val="en-US" w:eastAsia="zh-CN"/>
              </w:rPr>
              <w:t>，事故油池位于汽机间南侧，脱硫应急浆液池位于脱硫综合楼</w:t>
            </w:r>
            <w:r>
              <w:rPr>
                <w:rFonts w:hint="default" w:ascii="Times New Roman" w:hAnsi="Times New Roman" w:cs="Times New Roman"/>
                <w:color w:val="auto"/>
                <w:sz w:val="24"/>
                <w:szCs w:val="24"/>
                <w:vertAlign w:val="baseline"/>
                <w:lang w:val="en-US" w:eastAsia="zh-CN"/>
              </w:rPr>
              <w:t>一楼地下</w:t>
            </w:r>
            <w:r>
              <w:rPr>
                <w:rFonts w:hint="default" w:ascii="Times New Roman" w:hAnsi="Times New Roman" w:eastAsia="宋体" w:cs="Times New Roman"/>
                <w:color w:val="auto"/>
                <w:sz w:val="24"/>
                <w:szCs w:val="24"/>
                <w:vertAlign w:val="baseline"/>
                <w:lang w:val="en-US" w:eastAsia="zh-CN"/>
              </w:rPr>
              <w:t>，危废贮存点位于脱硫塔北侧。</w:t>
            </w:r>
          </w:p>
          <w:p w14:paraId="1E6615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auto"/>
                <w:kern w:val="2"/>
                <w:sz w:val="24"/>
                <w:szCs w:val="24"/>
                <w:lang w:val="en-US" w:eastAsia="zh-CN" w:bidi="ar-SA"/>
              </w:rPr>
            </w:pPr>
            <w:r>
              <w:rPr>
                <w:rFonts w:hint="default" w:ascii="Times New Roman" w:hAnsi="Times New Roman" w:eastAsia="宋体" w:cs="Times New Roman"/>
                <w:snapToGrid w:val="0"/>
                <w:color w:val="auto"/>
                <w:kern w:val="2"/>
                <w:sz w:val="24"/>
                <w:szCs w:val="24"/>
                <w:lang w:val="en-US" w:eastAsia="zh-CN" w:bidi="ar-SA"/>
              </w:rPr>
              <w:t>项目</w:t>
            </w:r>
            <w:r>
              <w:rPr>
                <w:rFonts w:hint="default" w:ascii="Times New Roman" w:hAnsi="Times New Roman" w:cs="Times New Roman"/>
                <w:snapToGrid w:val="0"/>
                <w:color w:val="auto"/>
                <w:kern w:val="2"/>
                <w:sz w:val="24"/>
                <w:szCs w:val="24"/>
                <w:lang w:val="en-US" w:eastAsia="zh-CN" w:bidi="ar-SA"/>
              </w:rPr>
              <w:t>地理位置图详见附图1，</w:t>
            </w:r>
            <w:r>
              <w:rPr>
                <w:rFonts w:hint="default" w:ascii="Times New Roman" w:hAnsi="Times New Roman" w:eastAsia="宋体" w:cs="Times New Roman"/>
                <w:snapToGrid w:val="0"/>
                <w:color w:val="auto"/>
                <w:kern w:val="2"/>
                <w:sz w:val="24"/>
                <w:szCs w:val="24"/>
                <w:lang w:val="en-US" w:eastAsia="zh-CN" w:bidi="ar-SA"/>
              </w:rPr>
              <w:t>总平面布置详见附图</w:t>
            </w:r>
            <w:r>
              <w:rPr>
                <w:rFonts w:hint="default" w:ascii="Times New Roman" w:hAnsi="Times New Roman" w:cs="Times New Roman"/>
                <w:snapToGrid w:val="0"/>
                <w:color w:val="auto"/>
                <w:kern w:val="2"/>
                <w:sz w:val="24"/>
                <w:szCs w:val="24"/>
                <w:lang w:val="en-US" w:eastAsia="zh-CN" w:bidi="ar-SA"/>
              </w:rPr>
              <w:t>3</w:t>
            </w:r>
            <w:r>
              <w:rPr>
                <w:rFonts w:hint="default" w:ascii="Times New Roman" w:hAnsi="Times New Roman" w:eastAsia="宋体" w:cs="Times New Roman"/>
                <w:snapToGrid w:val="0"/>
                <w:color w:val="auto"/>
                <w:kern w:val="2"/>
                <w:sz w:val="24"/>
                <w:szCs w:val="24"/>
                <w:lang w:val="en-US" w:eastAsia="zh-CN" w:bidi="ar-SA"/>
              </w:rPr>
              <w:t>。</w:t>
            </w:r>
          </w:p>
          <w:p w14:paraId="5B68C5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auto"/>
                <w:kern w:val="2"/>
                <w:sz w:val="24"/>
                <w:szCs w:val="24"/>
                <w:lang w:val="en-US" w:eastAsia="zh-CN" w:bidi="ar-SA"/>
              </w:rPr>
            </w:pPr>
            <w:r>
              <w:rPr>
                <w:rFonts w:hint="default" w:ascii="Times New Roman" w:hAnsi="Times New Roman" w:eastAsia="宋体" w:cs="Times New Roman"/>
                <w:snapToGrid w:val="0"/>
                <w:color w:val="auto"/>
                <w:kern w:val="2"/>
                <w:sz w:val="24"/>
                <w:szCs w:val="24"/>
                <w:lang w:val="en-US" w:eastAsia="zh-CN" w:bidi="ar-SA"/>
              </w:rPr>
              <w:t>（2）外环境关系</w:t>
            </w:r>
          </w:p>
          <w:p w14:paraId="69E7B9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napToGrid w:val="0"/>
                <w:color w:val="auto"/>
                <w:kern w:val="2"/>
                <w:sz w:val="24"/>
                <w:szCs w:val="24"/>
                <w:lang w:val="en-US" w:eastAsia="zh-CN" w:bidi="ar-SA"/>
              </w:rPr>
            </w:pPr>
            <w:r>
              <w:rPr>
                <w:rFonts w:hint="default" w:ascii="Times New Roman" w:hAnsi="Times New Roman" w:eastAsia="宋体" w:cs="Times New Roman"/>
                <w:snapToGrid w:val="0"/>
                <w:color w:val="auto"/>
                <w:kern w:val="2"/>
                <w:sz w:val="24"/>
                <w:szCs w:val="24"/>
                <w:lang w:val="en-US" w:eastAsia="zh-CN" w:bidi="ar-SA"/>
              </w:rPr>
              <w:t>本项目东侧临近水溪沟，</w:t>
            </w:r>
            <w:r>
              <w:rPr>
                <w:rFonts w:hint="default" w:ascii="Times New Roman" w:hAnsi="Times New Roman" w:cs="Times New Roman"/>
                <w:snapToGrid w:val="0"/>
                <w:color w:val="auto"/>
                <w:kern w:val="2"/>
                <w:sz w:val="24"/>
                <w:szCs w:val="24"/>
                <w:lang w:val="en-US" w:eastAsia="zh-CN" w:bidi="ar-SA"/>
              </w:rPr>
              <w:t>西侧隔沥青道路为空地</w:t>
            </w:r>
            <w:r>
              <w:rPr>
                <w:rFonts w:hint="default" w:ascii="Times New Roman" w:hAnsi="Times New Roman" w:eastAsia="宋体" w:cs="Times New Roman"/>
                <w:snapToGrid w:val="0"/>
                <w:color w:val="auto"/>
                <w:kern w:val="2"/>
                <w:sz w:val="24"/>
                <w:szCs w:val="24"/>
                <w:lang w:val="en-US" w:eastAsia="zh-CN" w:bidi="ar-SA"/>
              </w:rPr>
              <w:t>，北侧为</w:t>
            </w:r>
            <w:r>
              <w:rPr>
                <w:rFonts w:hint="default" w:ascii="Times New Roman" w:hAnsi="Times New Roman" w:cs="Times New Roman"/>
                <w:snapToGrid w:val="0"/>
                <w:color w:val="auto"/>
                <w:kern w:val="2"/>
                <w:sz w:val="24"/>
                <w:szCs w:val="24"/>
                <w:lang w:val="en-US" w:eastAsia="zh-CN" w:bidi="ar-SA"/>
              </w:rPr>
              <w:t>本项目煤气供应方</w:t>
            </w:r>
            <w:r>
              <w:rPr>
                <w:rFonts w:hint="default" w:ascii="Times New Roman" w:hAnsi="Times New Roman" w:eastAsia="宋体" w:cs="Times New Roman"/>
                <w:snapToGrid w:val="0"/>
                <w:color w:val="auto"/>
                <w:kern w:val="2"/>
                <w:sz w:val="24"/>
                <w:szCs w:val="24"/>
                <w:lang w:val="en-US" w:eastAsia="zh-CN" w:bidi="ar-SA"/>
              </w:rPr>
              <w:t>120万吨煤化工制品设备更新改造项目，南侧为空地</w:t>
            </w:r>
            <w:r>
              <w:rPr>
                <w:rFonts w:hint="default" w:ascii="Times New Roman" w:hAnsi="Times New Roman" w:cs="Times New Roman"/>
                <w:snapToGrid w:val="0"/>
                <w:color w:val="auto"/>
                <w:kern w:val="2"/>
                <w:sz w:val="24"/>
                <w:szCs w:val="24"/>
                <w:lang w:val="en-US" w:eastAsia="zh-CN" w:bidi="ar-SA"/>
              </w:rPr>
              <w:t>，</w:t>
            </w:r>
            <w:r>
              <w:rPr>
                <w:rFonts w:hint="default" w:ascii="Times New Roman" w:hAnsi="Times New Roman" w:eastAsia="宋体" w:cs="Times New Roman"/>
                <w:snapToGrid w:val="0"/>
                <w:color w:val="auto"/>
                <w:kern w:val="2"/>
                <w:sz w:val="24"/>
                <w:szCs w:val="24"/>
                <w:lang w:val="en-US" w:eastAsia="zh-CN" w:bidi="ar-SA"/>
              </w:rPr>
              <w:t>北侧7km外与G335公路相接，详见附图</w:t>
            </w:r>
            <w:r>
              <w:rPr>
                <w:rFonts w:hint="default" w:ascii="Times New Roman" w:hAnsi="Times New Roman" w:cs="Times New Roman"/>
                <w:snapToGrid w:val="0"/>
                <w:color w:val="auto"/>
                <w:kern w:val="2"/>
                <w:sz w:val="24"/>
                <w:szCs w:val="24"/>
                <w:lang w:val="en-US" w:eastAsia="zh-CN" w:bidi="ar-SA"/>
              </w:rPr>
              <w:t>4</w:t>
            </w:r>
            <w:r>
              <w:rPr>
                <w:rFonts w:hint="default" w:ascii="Times New Roman" w:hAnsi="Times New Roman" w:eastAsia="宋体" w:cs="Times New Roman"/>
                <w:snapToGrid w:val="0"/>
                <w:color w:val="auto"/>
                <w:kern w:val="2"/>
                <w:sz w:val="24"/>
                <w:szCs w:val="24"/>
                <w:lang w:val="en-US" w:eastAsia="zh-CN" w:bidi="ar-SA"/>
              </w:rPr>
              <w:t>。</w:t>
            </w:r>
          </w:p>
          <w:p w14:paraId="70B98DA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平面布置合理性分析</w:t>
            </w:r>
          </w:p>
          <w:p w14:paraId="0E519A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本项目厂区内部各区域由环形道路连接，项目区内布置集中紧凑，与现有地形相结合，节省用地，物流顺畅。且与生产区有一定的间隔，项目区常年主导风向为</w:t>
            </w:r>
            <w:r>
              <w:rPr>
                <w:rFonts w:hint="default" w:ascii="Times New Roman" w:hAnsi="Times New Roman" w:cs="Times New Roman"/>
                <w:color w:val="auto"/>
                <w:sz w:val="24"/>
                <w:szCs w:val="24"/>
                <w:lang w:val="en-US" w:eastAsia="zh-CN"/>
              </w:rPr>
              <w:t>西北</w:t>
            </w:r>
            <w:r>
              <w:rPr>
                <w:rFonts w:hint="default" w:ascii="Times New Roman" w:hAnsi="Times New Roman" w:eastAsia="宋体" w:cs="Times New Roman"/>
                <w:color w:val="auto"/>
                <w:sz w:val="24"/>
                <w:szCs w:val="24"/>
                <w:lang w:val="en-US" w:eastAsia="zh-CN"/>
              </w:rPr>
              <w:t>风，</w:t>
            </w:r>
            <w:r>
              <w:rPr>
                <w:rFonts w:hint="default" w:ascii="Times New Roman" w:hAnsi="Times New Roman" w:cs="Times New Roman"/>
                <w:color w:val="auto"/>
                <w:sz w:val="24"/>
                <w:szCs w:val="24"/>
                <w:lang w:val="en-US" w:eastAsia="zh-CN"/>
              </w:rPr>
              <w:t>食宿区位于</w:t>
            </w:r>
            <w:r>
              <w:rPr>
                <w:rFonts w:hint="default" w:ascii="Times New Roman" w:hAnsi="Times New Roman" w:eastAsia="宋体" w:cs="Times New Roman"/>
                <w:color w:val="auto"/>
                <w:sz w:val="24"/>
                <w:szCs w:val="24"/>
                <w:lang w:val="en-US" w:eastAsia="zh-CN"/>
              </w:rPr>
              <w:t>项目区</w:t>
            </w:r>
            <w:r>
              <w:rPr>
                <w:rFonts w:hint="default" w:ascii="Times New Roman" w:hAnsi="Times New Roman" w:cs="Times New Roman"/>
                <w:color w:val="auto"/>
                <w:sz w:val="24"/>
                <w:szCs w:val="24"/>
                <w:lang w:val="en-US" w:eastAsia="zh-CN"/>
              </w:rPr>
              <w:t>西北方向</w:t>
            </w:r>
            <w:r>
              <w:rPr>
                <w:rFonts w:hint="default" w:ascii="Times New Roman" w:hAnsi="Times New Roman" w:eastAsia="宋体" w:cs="Times New Roman"/>
                <w:color w:val="auto"/>
                <w:sz w:val="24"/>
                <w:szCs w:val="24"/>
                <w:lang w:val="en-US" w:eastAsia="zh-CN"/>
              </w:rPr>
              <w:t>，属于上风向，能够减少生产过程中产生的废气、噪声等对办公生活环境的影响，保障了办公人员的工作和生活质量，符合环保和卫生要求。</w:t>
            </w:r>
          </w:p>
          <w:p w14:paraId="4D2295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向北依次为空冷岛→汽机间→除氧间→锅炉岛等</w:t>
            </w:r>
            <w:r>
              <w:rPr>
                <w:rFonts w:hint="default" w:ascii="Times New Roman" w:hAnsi="Times New Roman" w:cs="Times New Roman"/>
                <w:color w:val="auto"/>
                <w:sz w:val="24"/>
                <w:szCs w:val="24"/>
                <w:lang w:val="en-US" w:eastAsia="zh-CN"/>
              </w:rPr>
              <w:t>主要</w:t>
            </w:r>
            <w:r>
              <w:rPr>
                <w:rFonts w:hint="default" w:ascii="Times New Roman" w:hAnsi="Times New Roman" w:eastAsia="宋体" w:cs="Times New Roman"/>
                <w:color w:val="auto"/>
                <w:sz w:val="24"/>
                <w:szCs w:val="24"/>
                <w:lang w:val="en-US" w:eastAsia="zh-CN"/>
              </w:rPr>
              <w:t>生产装置，末端布置风机房、烟塔及脱硫综合楼。</w:t>
            </w:r>
            <w:r>
              <w:rPr>
                <w:rFonts w:hint="default" w:ascii="Times New Roman" w:hAnsi="Times New Roman" w:cs="Times New Roman"/>
                <w:color w:val="auto"/>
                <w:sz w:val="24"/>
                <w:szCs w:val="24"/>
                <w:lang w:val="en-US" w:eastAsia="zh-CN"/>
              </w:rPr>
              <w:t>使</w:t>
            </w:r>
            <w:r>
              <w:rPr>
                <w:rFonts w:hint="default" w:ascii="Times New Roman" w:hAnsi="Times New Roman" w:eastAsia="宋体" w:cs="Times New Roman"/>
                <w:color w:val="auto"/>
                <w:sz w:val="24"/>
                <w:szCs w:val="24"/>
                <w:lang w:val="en-US" w:eastAsia="zh-CN"/>
              </w:rPr>
              <w:t>生产流程与污染物治理的空间衔接，锅炉岛产生的烟气可直接向北输送至末端脱硫系统，缩短了烟气输送路径，减少了烟道沿途的烟气泄漏风险；同时，主生产区与环保治理区南北分区，避免了生产过程中噪声、粉尘对脱硫系统运维的干扰。</w:t>
            </w:r>
          </w:p>
          <w:p w14:paraId="0A5B27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事故池布置在事故发生处附近，有利于事故污染物的排放和收集；各生产设备和污染治理设施，相对集中又互不干扰，有利于生产流程的顺畅进行，提高生产效率，符合工业生产的功能布局要求。综上，本项目整体布局基本合理。危废贮存点设置于脱硫塔北侧，远离主生产区及生活依托区，且处于厂区末端相对独立的区域，可有效降低危废贮存过程中对生产装置及人员的环境风险，同时便于危废的集中收集与规范转运。</w:t>
            </w:r>
          </w:p>
          <w:bookmarkEnd w:id="9"/>
          <w:p w14:paraId="11CF305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8</w:t>
            </w:r>
            <w:r>
              <w:rPr>
                <w:rFonts w:hint="default" w:ascii="Times New Roman" w:hAnsi="Times New Roman" w:eastAsia="宋体" w:cs="Times New Roman"/>
                <w:b/>
                <w:bCs/>
                <w:color w:val="auto"/>
                <w:sz w:val="24"/>
                <w:szCs w:val="24"/>
                <w:lang w:val="en-US" w:eastAsia="zh-CN"/>
              </w:rPr>
              <w:t>.劳动定员及工作制度</w:t>
            </w:r>
          </w:p>
          <w:p w14:paraId="403C3436">
            <w:pPr>
              <w:pStyle w:val="47"/>
              <w:keepNext w:val="0"/>
              <w:keepLines w:val="0"/>
              <w:pageBreakBefore w:val="0"/>
              <w:widowControl w:val="0"/>
              <w:kinsoku/>
              <w:wordWrap/>
              <w:overflowPunct w:val="0"/>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kern w:val="2"/>
                <w:sz w:val="24"/>
                <w:szCs w:val="24"/>
                <w:lang w:val="en-US" w:eastAsia="zh-CN" w:bidi="ar-SA"/>
              </w:rPr>
              <w:t>本项目</w:t>
            </w:r>
            <w:r>
              <w:rPr>
                <w:rFonts w:hint="default" w:ascii="Times New Roman" w:hAnsi="Times New Roman" w:eastAsia="宋体" w:cs="Times New Roman"/>
                <w:color w:val="auto"/>
                <w:kern w:val="2"/>
                <w:sz w:val="24"/>
                <w:szCs w:val="24"/>
                <w:lang w:val="en-US" w:eastAsia="zh-CN" w:bidi="ar-SA"/>
              </w:rPr>
              <w:t>劳动定员为</w:t>
            </w:r>
            <w:r>
              <w:rPr>
                <w:rFonts w:hint="default" w:ascii="Times New Roman" w:hAnsi="Times New Roman" w:cs="Times New Roman"/>
                <w:color w:val="auto"/>
                <w:kern w:val="2"/>
                <w:sz w:val="24"/>
                <w:szCs w:val="24"/>
                <w:lang w:val="en-US" w:eastAsia="zh-CN" w:bidi="ar-SA"/>
              </w:rPr>
              <w:t>46</w:t>
            </w:r>
            <w:r>
              <w:rPr>
                <w:rFonts w:hint="default" w:ascii="Times New Roman" w:hAnsi="Times New Roman" w:eastAsia="宋体" w:cs="Times New Roman"/>
                <w:color w:val="auto"/>
                <w:kern w:val="2"/>
                <w:sz w:val="24"/>
                <w:szCs w:val="24"/>
                <w:lang w:val="en-US" w:eastAsia="zh-CN" w:bidi="ar-SA"/>
              </w:rPr>
              <w:t>人，三班8小时工作制</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运行时长24h/d</w:t>
            </w:r>
            <w:r>
              <w:rPr>
                <w:rFonts w:hint="default" w:ascii="Times New Roman" w:hAnsi="Times New Roman" w:cs="Times New Roman"/>
                <w:color w:val="auto"/>
                <w:kern w:val="2"/>
                <w:sz w:val="24"/>
                <w:szCs w:val="24"/>
                <w:lang w:val="en-US" w:eastAsia="zh-CN" w:bidi="ar-SA"/>
              </w:rPr>
              <w:t>，年运行8000</w:t>
            </w:r>
            <w:r>
              <w:rPr>
                <w:rFonts w:hint="default" w:ascii="Times New Roman" w:hAnsi="Times New Roman" w:eastAsia="宋体" w:cs="Times New Roman"/>
                <w:color w:val="auto"/>
                <w:kern w:val="2"/>
                <w:sz w:val="24"/>
                <w:szCs w:val="24"/>
                <w:lang w:val="en-US" w:eastAsia="zh-CN" w:bidi="ar-SA"/>
              </w:rPr>
              <w:t>h/a</w:t>
            </w:r>
            <w:r>
              <w:rPr>
                <w:rFonts w:hint="default" w:ascii="Times New Roman" w:hAnsi="Times New Roman" w:cs="Times New Roman"/>
                <w:color w:val="auto"/>
                <w:kern w:val="2"/>
                <w:sz w:val="24"/>
                <w:szCs w:val="24"/>
                <w:lang w:val="en-US" w:eastAsia="zh-CN" w:bidi="ar-SA"/>
              </w:rPr>
              <w:t>，333.33d，以334d计。</w:t>
            </w:r>
          </w:p>
          <w:p w14:paraId="7CE04212">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eastAsia="宋体" w:cs="Times New Roman"/>
                <w:b/>
                <w:color w:val="auto"/>
                <w:sz w:val="24"/>
                <w:szCs w:val="24"/>
              </w:rPr>
            </w:pPr>
            <w:r>
              <w:rPr>
                <w:rFonts w:hint="default" w:ascii="Times New Roman" w:hAnsi="Times New Roman" w:cs="Times New Roman"/>
                <w:b/>
                <w:color w:val="auto"/>
                <w:sz w:val="24"/>
                <w:szCs w:val="24"/>
                <w:lang w:val="en-US" w:eastAsia="zh-CN"/>
              </w:rPr>
              <w:t>9</w:t>
            </w:r>
            <w:r>
              <w:rPr>
                <w:rFonts w:hint="default" w:ascii="Times New Roman" w:hAnsi="Times New Roman" w:eastAsia="宋体" w:cs="Times New Roman"/>
                <w:b/>
                <w:color w:val="auto"/>
                <w:sz w:val="24"/>
                <w:szCs w:val="24"/>
                <w:lang w:val="en-US" w:eastAsia="zh-CN"/>
              </w:rPr>
              <w:t>.</w:t>
            </w:r>
            <w:r>
              <w:rPr>
                <w:rFonts w:hint="default" w:ascii="Times New Roman" w:hAnsi="Times New Roman" w:eastAsia="宋体" w:cs="Times New Roman"/>
                <w:b/>
                <w:color w:val="auto"/>
                <w:sz w:val="24"/>
                <w:szCs w:val="24"/>
              </w:rPr>
              <w:t>公用工程</w:t>
            </w:r>
          </w:p>
          <w:p w14:paraId="78CEBCF7">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eastAsia="宋体" w:cs="Times New Roman"/>
                <w:b/>
                <w:color w:val="auto"/>
                <w:sz w:val="24"/>
                <w:szCs w:val="24"/>
                <w:lang w:val="en-US" w:eastAsia="zh-CN"/>
              </w:rPr>
            </w:pPr>
            <w:r>
              <w:rPr>
                <w:rFonts w:hint="default" w:ascii="Times New Roman" w:hAnsi="Times New Roman" w:cs="Times New Roman"/>
                <w:b/>
                <w:color w:val="auto"/>
                <w:sz w:val="24"/>
                <w:szCs w:val="24"/>
                <w:lang w:val="en-US" w:eastAsia="zh-CN"/>
              </w:rPr>
              <w:t>9</w:t>
            </w:r>
            <w:r>
              <w:rPr>
                <w:rFonts w:hint="default" w:ascii="Times New Roman" w:hAnsi="Times New Roman" w:eastAsia="宋体" w:cs="Times New Roman"/>
                <w:b/>
                <w:color w:val="auto"/>
                <w:sz w:val="24"/>
                <w:szCs w:val="24"/>
                <w:lang w:val="en-US" w:eastAsia="zh-CN"/>
              </w:rPr>
              <w:t>.1供排水</w:t>
            </w:r>
          </w:p>
          <w:p w14:paraId="06D8C58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napToGrid w:val="0"/>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本项目生产给水系统、消防给水系统、生活给水系统分别就近接厂区现有生产给水管网、消防给水管网及生活给水管网。</w:t>
            </w:r>
            <w:r>
              <w:rPr>
                <w:rFonts w:hint="default" w:ascii="Times New Roman" w:hAnsi="Times New Roman" w:cs="Times New Roman"/>
                <w:snapToGrid w:val="0"/>
                <w:color w:val="auto"/>
                <w:kern w:val="2"/>
                <w:sz w:val="24"/>
                <w:szCs w:val="24"/>
                <w:lang w:val="en-US" w:eastAsia="zh-CN" w:bidi="ar-SA"/>
              </w:rPr>
              <w:t>新建室外生产给水管网，与现有恒信全厂生产给水管拟设1个接点，接点管径暂拟采用DN100（50m</w:t>
            </w:r>
            <w:r>
              <w:rPr>
                <w:rFonts w:hint="default" w:ascii="Times New Roman" w:hAnsi="Times New Roman" w:cs="Times New Roman"/>
                <w:snapToGrid w:val="0"/>
                <w:color w:val="auto"/>
                <w:kern w:val="2"/>
                <w:sz w:val="24"/>
                <w:szCs w:val="24"/>
                <w:vertAlign w:val="superscript"/>
                <w:lang w:val="en-US" w:eastAsia="zh-CN" w:bidi="ar-SA"/>
              </w:rPr>
              <w:t>3</w:t>
            </w:r>
            <w:r>
              <w:rPr>
                <w:rFonts w:hint="default" w:ascii="Times New Roman" w:hAnsi="Times New Roman" w:cs="Times New Roman"/>
                <w:snapToGrid w:val="0"/>
                <w:color w:val="auto"/>
                <w:kern w:val="2"/>
                <w:sz w:val="24"/>
                <w:szCs w:val="24"/>
                <w:lang w:val="en-US" w:eastAsia="zh-CN" w:bidi="ar-SA"/>
              </w:rPr>
              <w:t>/h），接点压力≥0.30MPa。接点处供水主管为DN150，目前只供120万吨煤化工制品设备更新改造项目用水34m</w:t>
            </w:r>
            <w:r>
              <w:rPr>
                <w:rFonts w:hint="default" w:ascii="Times New Roman" w:hAnsi="Times New Roman" w:cs="Times New Roman"/>
                <w:snapToGrid w:val="0"/>
                <w:color w:val="auto"/>
                <w:kern w:val="2"/>
                <w:sz w:val="24"/>
                <w:szCs w:val="24"/>
                <w:vertAlign w:val="superscript"/>
                <w:lang w:val="en-US" w:eastAsia="zh-CN" w:bidi="ar-SA"/>
              </w:rPr>
              <w:t>3</w:t>
            </w:r>
            <w:r>
              <w:rPr>
                <w:rFonts w:hint="default" w:ascii="Times New Roman" w:hAnsi="Times New Roman" w:cs="Times New Roman"/>
                <w:snapToGrid w:val="0"/>
                <w:color w:val="auto"/>
                <w:kern w:val="2"/>
                <w:sz w:val="24"/>
                <w:szCs w:val="24"/>
                <w:lang w:val="en-US" w:eastAsia="zh-CN" w:bidi="ar-SA"/>
              </w:rPr>
              <w:t>/h，主管尚有60m</w:t>
            </w:r>
            <w:r>
              <w:rPr>
                <w:rFonts w:hint="default" w:ascii="Times New Roman" w:hAnsi="Times New Roman" w:cs="Times New Roman"/>
                <w:snapToGrid w:val="0"/>
                <w:color w:val="auto"/>
                <w:kern w:val="2"/>
                <w:sz w:val="24"/>
                <w:szCs w:val="24"/>
                <w:vertAlign w:val="superscript"/>
                <w:lang w:val="en-US" w:eastAsia="zh-CN" w:bidi="ar-SA"/>
              </w:rPr>
              <w:t>3</w:t>
            </w:r>
            <w:r>
              <w:rPr>
                <w:rFonts w:hint="default" w:ascii="Times New Roman" w:hAnsi="Times New Roman" w:cs="Times New Roman"/>
                <w:snapToGrid w:val="0"/>
                <w:color w:val="auto"/>
                <w:kern w:val="2"/>
                <w:sz w:val="24"/>
                <w:szCs w:val="24"/>
                <w:lang w:val="en-US" w:eastAsia="zh-CN" w:bidi="ar-SA"/>
              </w:rPr>
              <w:t>/h富余供水能力，满足本项目用水需求。</w:t>
            </w:r>
          </w:p>
          <w:p w14:paraId="32B8ED85">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cs="Times New Roman"/>
                <w:snapToGrid w:val="0"/>
                <w:color w:val="auto"/>
                <w:kern w:val="2"/>
                <w:sz w:val="24"/>
                <w:szCs w:val="24"/>
                <w:lang w:val="en-US" w:eastAsia="zh-CN" w:bidi="ar-SA"/>
              </w:rPr>
            </w:pPr>
            <w:r>
              <w:rPr>
                <w:rFonts w:hint="default" w:ascii="Times New Roman" w:hAnsi="Times New Roman" w:cs="Times New Roman"/>
                <w:snapToGrid w:val="0"/>
                <w:color w:val="auto"/>
                <w:kern w:val="2"/>
                <w:sz w:val="24"/>
                <w:szCs w:val="24"/>
                <w:lang w:val="en-US" w:eastAsia="zh-CN" w:bidi="ar-SA"/>
              </w:rPr>
              <w:t>（1）生活用、排水</w:t>
            </w:r>
          </w:p>
          <w:p w14:paraId="5738734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cs="Times New Roman"/>
                <w:snapToGrid w:val="0"/>
                <w:color w:val="auto"/>
                <w:kern w:val="2"/>
                <w:sz w:val="24"/>
                <w:szCs w:val="24"/>
                <w:lang w:val="en-US" w:eastAsia="zh-CN" w:bidi="ar-SA"/>
              </w:rPr>
            </w:pPr>
            <w:r>
              <w:rPr>
                <w:rFonts w:hint="default" w:ascii="Times New Roman" w:hAnsi="Times New Roman" w:cs="Times New Roman"/>
                <w:snapToGrid w:val="0"/>
                <w:color w:val="auto"/>
                <w:kern w:val="2"/>
                <w:sz w:val="24"/>
                <w:szCs w:val="24"/>
                <w:lang w:val="en-US" w:eastAsia="zh-CN" w:bidi="ar-SA"/>
              </w:rPr>
              <w:t>本项目劳动定员46人，根据《新疆维吾尔自治区生活用水定额》，生活用水定额100L/人·d计算，年生产时长为8000h/a，本项目以334d计，则生活用水量约为4.60t/d（1536.40t/a）。生活污水产污系数约为0.8，经计算废水产生量为3.68t/d（1229.12t/a），本项目食宿区位于上游项目生活区，厂内仅为员工工作期间生活污水。</w:t>
            </w:r>
          </w:p>
          <w:p w14:paraId="21DBFB4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cs="Times New Roman"/>
                <w:snapToGrid w:val="0"/>
                <w:color w:val="auto"/>
                <w:kern w:val="2"/>
                <w:sz w:val="24"/>
                <w:szCs w:val="24"/>
                <w:lang w:val="en-US" w:eastAsia="zh-CN" w:bidi="ar-SA"/>
              </w:rPr>
            </w:pPr>
            <w:r>
              <w:rPr>
                <w:rFonts w:hint="default" w:ascii="Times New Roman" w:hAnsi="Times New Roman" w:eastAsia="宋体" w:cs="Times New Roman"/>
                <w:color w:val="auto"/>
                <w:spacing w:val="0"/>
                <w:position w:val="0"/>
                <w:sz w:val="24"/>
                <w:szCs w:val="24"/>
                <w:lang w:val="en-US" w:eastAsia="zh-CN"/>
              </w:rPr>
              <w:t>厂内办公区位于辅助车间综合楼，厂内建设排污管道</w:t>
            </w:r>
            <w:r>
              <w:rPr>
                <w:rFonts w:hint="default" w:ascii="Times New Roman" w:hAnsi="Times New Roman" w:cs="Times New Roman"/>
                <w:color w:val="auto"/>
                <w:spacing w:val="0"/>
                <w:position w:val="0"/>
                <w:sz w:val="24"/>
                <w:szCs w:val="24"/>
                <w:lang w:val="en-US" w:eastAsia="zh-CN"/>
              </w:rPr>
              <w:t>，</w:t>
            </w:r>
            <w:r>
              <w:rPr>
                <w:rFonts w:hint="default" w:ascii="Times New Roman" w:hAnsi="Times New Roman" w:eastAsia="宋体" w:cs="Times New Roman"/>
                <w:color w:val="auto"/>
                <w:spacing w:val="0"/>
                <w:position w:val="0"/>
                <w:sz w:val="24"/>
                <w:szCs w:val="24"/>
                <w:lang w:val="en-US" w:eastAsia="zh-CN"/>
              </w:rPr>
              <w:t>排至吉木萨尔县恒信煤炭制品工贸有限公司120万吨煤制品深加工升级改造项目厂内食宿区生活区的地埋式一体化污水处理设备处理后，冬储夏灌</w:t>
            </w:r>
            <w:r>
              <w:rPr>
                <w:rFonts w:hint="default" w:ascii="Times New Roman" w:hAnsi="Times New Roman" w:cs="Times New Roman"/>
                <w:snapToGrid w:val="0"/>
                <w:color w:val="auto"/>
                <w:kern w:val="2"/>
                <w:sz w:val="24"/>
                <w:szCs w:val="24"/>
                <w:lang w:val="en-US" w:eastAsia="zh-CN" w:bidi="ar-SA"/>
              </w:rPr>
              <w:t>。</w:t>
            </w:r>
          </w:p>
          <w:p w14:paraId="146C9ED3">
            <w:pPr>
              <w:pStyle w:val="10"/>
              <w:keepNext w:val="0"/>
              <w:keepLines w:val="0"/>
              <w:pageBreakBefore w:val="0"/>
              <w:wordWrap/>
              <w:bidi w:val="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w:t>
            </w:r>
            <w:r>
              <w:rPr>
                <w:rFonts w:hint="default" w:ascii="Times New Roman" w:hAnsi="Times New Roman" w:cs="Times New Roman"/>
                <w:color w:val="auto"/>
                <w:kern w:val="2"/>
                <w:sz w:val="24"/>
                <w:szCs w:val="24"/>
                <w:lang w:val="en-US" w:eastAsia="zh-CN" w:bidi="ar-SA"/>
              </w:rPr>
              <w:t>2</w:t>
            </w:r>
            <w:r>
              <w:rPr>
                <w:rFonts w:hint="default" w:ascii="Times New Roman" w:hAnsi="Times New Roman" w:eastAsia="宋体" w:cs="Times New Roman"/>
                <w:color w:val="auto"/>
                <w:kern w:val="2"/>
                <w:sz w:val="24"/>
                <w:szCs w:val="24"/>
                <w:lang w:val="en-US" w:eastAsia="zh-CN" w:bidi="ar-SA"/>
              </w:rPr>
              <w:t>）</w:t>
            </w:r>
            <w:r>
              <w:rPr>
                <w:rFonts w:hint="default" w:ascii="Times New Roman" w:hAnsi="Times New Roman" w:cs="Times New Roman"/>
                <w:color w:val="auto"/>
                <w:kern w:val="2"/>
                <w:sz w:val="24"/>
                <w:szCs w:val="24"/>
                <w:lang w:val="en-US" w:eastAsia="zh-CN" w:bidi="ar-SA"/>
              </w:rPr>
              <w:t>生产用、排水</w:t>
            </w:r>
          </w:p>
          <w:p w14:paraId="39E035A4">
            <w:pPr>
              <w:pStyle w:val="10"/>
              <w:keepNext w:val="0"/>
              <w:keepLines w:val="0"/>
              <w:pageBreakBefore w:val="0"/>
              <w:wordWrap/>
              <w:bidi w:val="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kern w:val="2"/>
                <w:sz w:val="24"/>
                <w:szCs w:val="24"/>
                <w:lang w:val="en-US" w:eastAsia="zh-CN" w:bidi="ar-SA"/>
              </w:rPr>
              <w:t>①燃气锅炉</w:t>
            </w:r>
            <w:r>
              <w:rPr>
                <w:rFonts w:hint="default" w:ascii="Times New Roman" w:hAnsi="Times New Roman" w:eastAsia="宋体" w:cs="Times New Roman"/>
                <w:color w:val="auto"/>
                <w:kern w:val="2"/>
                <w:sz w:val="24"/>
                <w:szCs w:val="24"/>
                <w:lang w:val="en-US" w:eastAsia="zh-CN" w:bidi="ar-SA"/>
              </w:rPr>
              <w:t>用</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排水</w:t>
            </w:r>
          </w:p>
          <w:p w14:paraId="6C262B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1）</w:t>
            </w:r>
            <w:r>
              <w:rPr>
                <w:rFonts w:hint="default" w:ascii="Times New Roman" w:hAnsi="Times New Roman" w:eastAsia="宋体" w:cs="Times New Roman"/>
                <w:color w:val="auto"/>
                <w:sz w:val="24"/>
                <w:szCs w:val="24"/>
                <w:lang w:val="en-US" w:eastAsia="zh-CN"/>
              </w:rPr>
              <w:t>锅炉定期排污水补水</w:t>
            </w:r>
          </w:p>
          <w:p w14:paraId="604DD9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本项目</w:t>
            </w:r>
            <w:r>
              <w:rPr>
                <w:rFonts w:hint="default" w:ascii="Times New Roman" w:hAnsi="Times New Roman" w:cs="Times New Roman"/>
                <w:color w:val="auto"/>
                <w:spacing w:val="-4"/>
                <w:sz w:val="24"/>
                <w:szCs w:val="24"/>
              </w:rPr>
              <w:t>锅炉</w:t>
            </w:r>
            <w:r>
              <w:rPr>
                <w:rFonts w:hint="default" w:ascii="Times New Roman" w:hAnsi="Times New Roman" w:cs="Times New Roman"/>
                <w:color w:val="auto"/>
                <w:spacing w:val="-4"/>
                <w:sz w:val="24"/>
                <w:szCs w:val="24"/>
                <w:lang w:val="en-US" w:eastAsia="zh-CN"/>
              </w:rPr>
              <w:t>为150t/h，</w:t>
            </w:r>
            <w:r>
              <w:rPr>
                <w:rFonts w:hint="default" w:ascii="Times New Roman" w:hAnsi="Times New Roman" w:eastAsia="宋体" w:cs="Times New Roman"/>
                <w:color w:val="auto"/>
                <w:sz w:val="24"/>
                <w:szCs w:val="24"/>
                <w:lang w:val="en-US" w:eastAsia="zh-CN"/>
              </w:rPr>
              <w:t>年运行</w:t>
            </w:r>
            <w:r>
              <w:rPr>
                <w:rFonts w:hint="default" w:ascii="Times New Roman" w:hAnsi="Times New Roman" w:cs="Times New Roman"/>
                <w:color w:val="auto"/>
                <w:sz w:val="24"/>
                <w:szCs w:val="24"/>
                <w:lang w:val="en-US" w:eastAsia="zh-CN"/>
              </w:rPr>
              <w:t>8000h/a。由于</w:t>
            </w:r>
            <w:r>
              <w:rPr>
                <w:rFonts w:hint="default" w:ascii="Times New Roman" w:hAnsi="Times New Roman" w:eastAsia="宋体" w:cs="Times New Roman"/>
                <w:color w:val="auto"/>
                <w:sz w:val="24"/>
                <w:szCs w:val="24"/>
                <w:lang w:val="en-US" w:eastAsia="zh-CN"/>
              </w:rPr>
              <w:t>软化处理后的水中仍含有盐离子，蒸发后生成盐浓度较高的锅炉水，容易生成水垢，为保证锅炉的正常运行，需定期进行排污</w:t>
            </w:r>
            <w:r>
              <w:rPr>
                <w:rFonts w:hint="default" w:ascii="Times New Roman" w:hAnsi="Times New Roman" w:cs="Times New Roman"/>
                <w:color w:val="auto"/>
                <w:sz w:val="24"/>
                <w:szCs w:val="24"/>
                <w:lang w:val="en-US" w:eastAsia="zh-CN"/>
              </w:rPr>
              <w:t>。根据锅炉设计资料，排污损失约</w:t>
            </w:r>
            <w:r>
              <w:rPr>
                <w:rFonts w:hint="default" w:ascii="Times New Roman" w:hAnsi="Times New Roman" w:eastAsia="宋体" w:cs="Times New Roman"/>
                <w:color w:val="auto"/>
                <w:sz w:val="24"/>
                <w:szCs w:val="24"/>
                <w:lang w:val="en-US" w:eastAsia="zh-CN"/>
              </w:rPr>
              <w:t>锅炉最大连续蒸发量的1%，</w:t>
            </w:r>
            <w:r>
              <w:rPr>
                <w:rFonts w:hint="default" w:ascii="Times New Roman" w:hAnsi="Times New Roman" w:cs="Times New Roman"/>
                <w:color w:val="auto"/>
                <w:sz w:val="24"/>
                <w:szCs w:val="24"/>
                <w:lang w:val="en-US" w:eastAsia="zh-CN"/>
              </w:rPr>
              <w:t>经计算</w:t>
            </w:r>
            <w:r>
              <w:rPr>
                <w:rFonts w:hint="default" w:ascii="Times New Roman" w:hAnsi="Times New Roman" w:eastAsia="宋体" w:cs="Times New Roman"/>
                <w:color w:val="auto"/>
                <w:sz w:val="24"/>
                <w:szCs w:val="24"/>
                <w:lang w:val="en-US" w:eastAsia="zh-CN"/>
              </w:rPr>
              <w:t>定期排污</w:t>
            </w:r>
            <w:r>
              <w:rPr>
                <w:rFonts w:hint="default" w:ascii="Times New Roman" w:hAnsi="Times New Roman" w:cs="Times New Roman"/>
                <w:color w:val="auto"/>
                <w:sz w:val="24"/>
                <w:szCs w:val="24"/>
                <w:lang w:val="en-US" w:eastAsia="zh-CN"/>
              </w:rPr>
              <w:t>新鲜水</w:t>
            </w:r>
            <w:r>
              <w:rPr>
                <w:rFonts w:hint="default" w:ascii="Times New Roman" w:hAnsi="Times New Roman" w:eastAsia="宋体" w:cs="Times New Roman"/>
                <w:color w:val="auto"/>
                <w:sz w:val="24"/>
                <w:szCs w:val="24"/>
                <w:lang w:val="en-US" w:eastAsia="zh-CN"/>
              </w:rPr>
              <w:t>补水用量约为</w:t>
            </w:r>
            <w:r>
              <w:rPr>
                <w:rFonts w:hint="default" w:ascii="Times New Roman" w:hAnsi="Times New Roman" w:cs="Times New Roman"/>
                <w:color w:val="auto"/>
                <w:sz w:val="24"/>
                <w:szCs w:val="24"/>
                <w:lang w:val="en-US" w:eastAsia="zh-CN"/>
              </w:rPr>
              <w:t>1.5</w:t>
            </w:r>
            <w:r>
              <w:rPr>
                <w:rFonts w:hint="default" w:ascii="Times New Roman" w:hAnsi="Times New Roman" w:eastAsia="宋体" w:cs="Times New Roman"/>
                <w:color w:val="auto"/>
                <w:sz w:val="24"/>
                <w:szCs w:val="24"/>
                <w:lang w:val="en-US" w:eastAsia="zh-CN"/>
              </w:rPr>
              <w:t>t/</w:t>
            </w:r>
            <w:r>
              <w:rPr>
                <w:rFonts w:hint="default" w:ascii="Times New Roman" w:hAnsi="Times New Roman" w:cs="Times New Roman"/>
                <w:color w:val="auto"/>
                <w:sz w:val="24"/>
                <w:szCs w:val="24"/>
                <w:lang w:val="en-US" w:eastAsia="zh-CN"/>
              </w:rPr>
              <w:t>h</w:t>
            </w:r>
            <w:r>
              <w:rPr>
                <w:rFonts w:hint="default" w:ascii="Times New Roman" w:hAnsi="Times New Roman" w:eastAsia="宋体" w:cs="Times New Roman"/>
                <w:color w:val="auto"/>
                <w:sz w:val="24"/>
                <w:szCs w:val="24"/>
                <w:lang w:val="en-US" w:eastAsia="zh-CN"/>
              </w:rPr>
              <w:t>（</w:t>
            </w:r>
            <w:r>
              <w:rPr>
                <w:rFonts w:hint="default" w:ascii="Times New Roman" w:hAnsi="Times New Roman" w:cs="Times New Roman"/>
                <w:color w:val="auto"/>
                <w:sz w:val="24"/>
                <w:szCs w:val="24"/>
                <w:lang w:val="en-US" w:eastAsia="zh-CN"/>
              </w:rPr>
              <w:t>12000</w:t>
            </w:r>
            <w:r>
              <w:rPr>
                <w:rFonts w:hint="default" w:ascii="Times New Roman" w:hAnsi="Times New Roman" w:eastAsia="宋体" w:cs="Times New Roman"/>
                <w:color w:val="auto"/>
                <w:sz w:val="24"/>
                <w:szCs w:val="24"/>
                <w:lang w:val="en-US" w:eastAsia="zh-CN"/>
              </w:rPr>
              <w:t>t/a）</w:t>
            </w:r>
            <w:r>
              <w:rPr>
                <w:rFonts w:hint="default" w:ascii="Times New Roman" w:hAnsi="Times New Roman" w:cs="Times New Roman"/>
                <w:color w:val="auto"/>
                <w:sz w:val="24"/>
                <w:szCs w:val="24"/>
                <w:lang w:val="en-US" w:eastAsia="zh-CN"/>
              </w:rPr>
              <w:t>，为软化水。</w:t>
            </w:r>
            <w:r>
              <w:rPr>
                <w:rFonts w:hint="default" w:ascii="Times New Roman" w:hAnsi="Times New Roman" w:eastAsia="宋体" w:cs="Times New Roman"/>
                <w:color w:val="auto"/>
                <w:sz w:val="24"/>
                <w:szCs w:val="24"/>
                <w:lang w:val="en-US" w:eastAsia="zh-CN"/>
              </w:rPr>
              <w:t>锅炉定期排污水通过排污扩容器减压后排至定排坑</w:t>
            </w:r>
            <w:r>
              <w:rPr>
                <w:rFonts w:hint="default" w:ascii="Times New Roman" w:hAnsi="Times New Roman" w:cs="Times New Roman"/>
                <w:color w:val="auto"/>
                <w:sz w:val="24"/>
                <w:szCs w:val="24"/>
                <w:lang w:val="en-US" w:eastAsia="zh-CN"/>
              </w:rPr>
              <w:t>自然</w:t>
            </w:r>
            <w:r>
              <w:rPr>
                <w:rFonts w:hint="default" w:ascii="Times New Roman" w:hAnsi="Times New Roman" w:eastAsia="宋体" w:cs="Times New Roman"/>
                <w:color w:val="auto"/>
                <w:sz w:val="24"/>
                <w:szCs w:val="24"/>
                <w:lang w:val="en-US" w:eastAsia="zh-CN"/>
              </w:rPr>
              <w:t>冷却，降温至40℃以下后回用于脱硫系统。</w:t>
            </w:r>
          </w:p>
          <w:p w14:paraId="191A1E7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汽水循环损耗补水</w:t>
            </w:r>
          </w:p>
          <w:p w14:paraId="1699C3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本项目锅炉汽水系统在正常运行、启停及维护过程中，会产生未参与有效循环而损耗的蒸汽或锅炉水，属于发电厂热力系统的正常水量损耗.根据锅炉设计资料，损耗量约为锅炉最大连续蒸发量的3</w:t>
            </w:r>
            <w:r>
              <w:rPr>
                <w:rFonts w:hint="default" w:ascii="Times New Roman" w:hAnsi="Times New Roman" w:cs="Times New Roman"/>
                <w:color w:val="auto"/>
                <w:sz w:val="24"/>
                <w:szCs w:val="24"/>
                <w:lang w:val="en-US" w:eastAsia="zh-CN"/>
              </w:rPr>
              <w:t>.33</w:t>
            </w:r>
            <w:r>
              <w:rPr>
                <w:rFonts w:hint="default" w:ascii="Times New Roman" w:hAnsi="Times New Roman" w:eastAsia="宋体" w:cs="Times New Roman"/>
                <w:color w:val="auto"/>
                <w:sz w:val="24"/>
                <w:szCs w:val="24"/>
                <w:lang w:val="en-US" w:eastAsia="zh-CN"/>
              </w:rPr>
              <w:t>%，经计算</w:t>
            </w:r>
            <w:r>
              <w:rPr>
                <w:rFonts w:hint="default" w:ascii="Times New Roman" w:hAnsi="Times New Roman" w:cs="Times New Roman"/>
                <w:color w:val="auto"/>
                <w:sz w:val="24"/>
                <w:szCs w:val="24"/>
                <w:lang w:val="en-US" w:eastAsia="zh-CN"/>
              </w:rPr>
              <w:t>，本项目</w:t>
            </w:r>
            <w:r>
              <w:rPr>
                <w:rFonts w:hint="default" w:ascii="Times New Roman" w:hAnsi="Times New Roman" w:eastAsia="宋体" w:cs="Times New Roman"/>
                <w:color w:val="auto"/>
                <w:sz w:val="24"/>
                <w:szCs w:val="24"/>
                <w:lang w:val="en-US" w:eastAsia="zh-CN"/>
              </w:rPr>
              <w:t>汽水循环损耗定期补水量约为</w:t>
            </w:r>
            <w:r>
              <w:rPr>
                <w:rFonts w:hint="default" w:ascii="Times New Roman" w:hAnsi="Times New Roman" w:cs="Times New Roman"/>
                <w:color w:val="auto"/>
                <w:sz w:val="24"/>
                <w:szCs w:val="24"/>
                <w:lang w:val="en-US" w:eastAsia="zh-CN"/>
              </w:rPr>
              <w:t>5</w:t>
            </w:r>
            <w:r>
              <w:rPr>
                <w:rFonts w:hint="default" w:ascii="Times New Roman" w:hAnsi="Times New Roman" w:eastAsia="宋体" w:cs="Times New Roman"/>
                <w:color w:val="auto"/>
                <w:sz w:val="24"/>
                <w:szCs w:val="24"/>
                <w:lang w:val="en-US" w:eastAsia="zh-CN"/>
              </w:rPr>
              <w:t>t/h（</w:t>
            </w:r>
            <w:r>
              <w:rPr>
                <w:rFonts w:hint="default" w:ascii="Times New Roman" w:hAnsi="Times New Roman" w:cs="Times New Roman"/>
                <w:color w:val="auto"/>
                <w:sz w:val="24"/>
                <w:szCs w:val="24"/>
                <w:lang w:val="en-US" w:eastAsia="zh-CN"/>
              </w:rPr>
              <w:t>40000</w:t>
            </w:r>
            <w:r>
              <w:rPr>
                <w:rFonts w:hint="default" w:ascii="Times New Roman" w:hAnsi="Times New Roman" w:eastAsia="宋体" w:cs="Times New Roman"/>
                <w:color w:val="auto"/>
                <w:sz w:val="24"/>
                <w:szCs w:val="24"/>
                <w:lang w:val="en-US" w:eastAsia="zh-CN"/>
              </w:rPr>
              <w:t>t/a）。</w:t>
            </w:r>
          </w:p>
          <w:p w14:paraId="7F4DD95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经计算，本项目锅炉定期补水（</w:t>
            </w:r>
            <w:r>
              <w:rPr>
                <w:rFonts w:hint="default" w:ascii="Times New Roman" w:hAnsi="Times New Roman" w:cs="Times New Roman"/>
                <w:color w:val="auto"/>
                <w:sz w:val="24"/>
                <w:szCs w:val="24"/>
                <w:lang w:val="en-US" w:eastAsia="zh-CN"/>
              </w:rPr>
              <w:t>软化水</w:t>
            </w:r>
            <w:r>
              <w:rPr>
                <w:rFonts w:hint="default" w:ascii="Times New Roman" w:hAnsi="Times New Roman" w:eastAsia="宋体" w:cs="Times New Roman"/>
                <w:color w:val="auto"/>
                <w:sz w:val="24"/>
                <w:szCs w:val="24"/>
                <w:lang w:val="en-US" w:eastAsia="zh-CN"/>
              </w:rPr>
              <w:t>）量为</w:t>
            </w:r>
            <w:r>
              <w:rPr>
                <w:rFonts w:hint="default" w:ascii="Times New Roman" w:hAnsi="Times New Roman" w:cs="Times New Roman"/>
                <w:color w:val="auto"/>
                <w:sz w:val="24"/>
                <w:szCs w:val="24"/>
                <w:lang w:val="en-US" w:eastAsia="zh-CN"/>
              </w:rPr>
              <w:t>6.5</w:t>
            </w:r>
            <w:r>
              <w:rPr>
                <w:rFonts w:hint="default" w:ascii="Times New Roman" w:hAnsi="Times New Roman" w:eastAsia="宋体" w:cs="Times New Roman"/>
                <w:color w:val="auto"/>
                <w:sz w:val="24"/>
                <w:szCs w:val="24"/>
                <w:lang w:val="en-US" w:eastAsia="zh-CN"/>
              </w:rPr>
              <w:t>t/</w:t>
            </w:r>
            <w:r>
              <w:rPr>
                <w:rFonts w:hint="default" w:ascii="Times New Roman" w:hAnsi="Times New Roman" w:cs="Times New Roman"/>
                <w:color w:val="auto"/>
                <w:sz w:val="24"/>
                <w:szCs w:val="24"/>
                <w:lang w:val="en-US" w:eastAsia="zh-CN"/>
              </w:rPr>
              <w:t>h</w:t>
            </w:r>
            <w:r>
              <w:rPr>
                <w:rFonts w:hint="default" w:ascii="Times New Roman" w:hAnsi="Times New Roman" w:eastAsia="宋体" w:cs="Times New Roman"/>
                <w:color w:val="auto"/>
                <w:sz w:val="24"/>
                <w:szCs w:val="24"/>
                <w:lang w:val="en-US" w:eastAsia="zh-CN"/>
              </w:rPr>
              <w:t>（</w:t>
            </w:r>
            <w:r>
              <w:rPr>
                <w:rFonts w:hint="default" w:ascii="Times New Roman" w:hAnsi="Times New Roman" w:cs="Times New Roman"/>
                <w:color w:val="auto"/>
                <w:sz w:val="24"/>
                <w:szCs w:val="24"/>
                <w:lang w:val="en-US" w:eastAsia="zh-CN"/>
              </w:rPr>
              <w:t>52000</w:t>
            </w:r>
            <w:r>
              <w:rPr>
                <w:rFonts w:hint="default" w:ascii="Times New Roman" w:hAnsi="Times New Roman" w:eastAsia="宋体" w:cs="Times New Roman"/>
                <w:color w:val="auto"/>
                <w:sz w:val="24"/>
                <w:szCs w:val="24"/>
                <w:lang w:val="en-US" w:eastAsia="zh-CN"/>
              </w:rPr>
              <w:t>t/a）。</w:t>
            </w:r>
          </w:p>
          <w:p w14:paraId="2CA8CD95">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cs="Times New Roman"/>
                <w:snapToGrid w:val="0"/>
                <w:color w:val="auto"/>
                <w:kern w:val="2"/>
                <w:sz w:val="24"/>
                <w:szCs w:val="24"/>
                <w:lang w:val="en-US" w:eastAsia="zh-CN" w:bidi="ar-SA"/>
              </w:rPr>
            </w:pPr>
            <w:r>
              <w:rPr>
                <w:rFonts w:hint="default" w:ascii="Times New Roman" w:hAnsi="Times New Roman" w:cs="Times New Roman"/>
                <w:snapToGrid w:val="0"/>
                <w:color w:val="auto"/>
                <w:kern w:val="2"/>
                <w:sz w:val="24"/>
                <w:szCs w:val="24"/>
                <w:lang w:val="en-US" w:eastAsia="zh-CN" w:bidi="ar-SA"/>
              </w:rPr>
              <w:t>②冷却系统用、排水</w:t>
            </w:r>
          </w:p>
          <w:p w14:paraId="7A9553A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cs="Times New Roman"/>
                <w:snapToGrid w:val="0"/>
                <w:color w:val="auto"/>
                <w:kern w:val="2"/>
                <w:sz w:val="24"/>
                <w:szCs w:val="24"/>
                <w:lang w:val="en-US" w:eastAsia="zh-CN" w:bidi="ar-SA"/>
              </w:rPr>
            </w:pPr>
            <w:r>
              <w:rPr>
                <w:rFonts w:hint="default" w:ascii="Times New Roman" w:hAnsi="Times New Roman" w:cs="Times New Roman"/>
                <w:snapToGrid w:val="0"/>
                <w:color w:val="auto"/>
                <w:kern w:val="2"/>
                <w:sz w:val="24"/>
                <w:szCs w:val="24"/>
                <w:lang w:val="en-US" w:eastAsia="zh-CN" w:bidi="ar-SA"/>
              </w:rPr>
              <w:t>本项目循环冷却水系统主要供给发电机空冷器、汽轮机冷油器、水环式真空泵、EH控制油泵站、给水泵电机、给水泵稀油站、凝结水泵轴承冷却、取样冷却器、送风机、引风机等采用闭式循环冷却水冷却。设备间接冷却产生冷却水，该水仅温度升高，不含其他污染物，设置循环水系统，冷却回水经冷却塔冷却后循环使用。</w:t>
            </w:r>
          </w:p>
          <w:p w14:paraId="4E3F61A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cs="Times New Roman"/>
                <w:snapToGrid w:val="0"/>
                <w:color w:val="auto"/>
                <w:kern w:val="2"/>
                <w:sz w:val="24"/>
                <w:szCs w:val="24"/>
                <w:vertAlign w:val="baseline"/>
                <w:lang w:val="en-US" w:eastAsia="zh-CN" w:bidi="ar-SA"/>
              </w:rPr>
            </w:pPr>
            <w:r>
              <w:rPr>
                <w:rFonts w:hint="default" w:ascii="Times New Roman" w:hAnsi="Times New Roman" w:cs="Times New Roman"/>
                <w:snapToGrid w:val="0"/>
                <w:color w:val="auto"/>
                <w:kern w:val="2"/>
                <w:sz w:val="24"/>
                <w:szCs w:val="24"/>
                <w:lang w:val="en-US" w:eastAsia="zh-CN" w:bidi="ar-SA"/>
              </w:rPr>
              <w:t>冷却塔循环水量为667t/h，冷却塔在循环冷却水系统中，冷却塔蒸发损失（P1）、风吹损失（P2）、排污损失（P3）是衡量冷却塔水量消耗的三个核心指标，根据项目工程文件冷却塔蒸发损失P1为1.0%，P2为0.1%，P3为0.4%。经计算冷却塔需定期补充新鲜水量为10t</w:t>
            </w:r>
            <w:r>
              <w:rPr>
                <w:rFonts w:hint="default" w:ascii="Times New Roman" w:hAnsi="Times New Roman" w:cs="Times New Roman"/>
                <w:snapToGrid w:val="0"/>
                <w:color w:val="auto"/>
                <w:kern w:val="2"/>
                <w:sz w:val="24"/>
                <w:szCs w:val="24"/>
                <w:vertAlign w:val="baseline"/>
                <w:lang w:val="en-US" w:eastAsia="zh-CN" w:bidi="ar-SA"/>
              </w:rPr>
              <w:t>/h，80000</w:t>
            </w:r>
            <w:r>
              <w:rPr>
                <w:rFonts w:hint="default" w:ascii="Times New Roman" w:hAnsi="Times New Roman" w:cs="Times New Roman"/>
                <w:snapToGrid w:val="0"/>
                <w:color w:val="auto"/>
                <w:kern w:val="2"/>
                <w:sz w:val="24"/>
                <w:szCs w:val="24"/>
                <w:lang w:val="en-US" w:eastAsia="zh-CN" w:bidi="ar-SA"/>
              </w:rPr>
              <w:t>t</w:t>
            </w:r>
            <w:r>
              <w:rPr>
                <w:rFonts w:hint="default" w:ascii="Times New Roman" w:hAnsi="Times New Roman" w:cs="Times New Roman"/>
                <w:snapToGrid w:val="0"/>
                <w:color w:val="auto"/>
                <w:kern w:val="2"/>
                <w:sz w:val="24"/>
                <w:szCs w:val="24"/>
                <w:vertAlign w:val="baseline"/>
                <w:lang w:val="en-US" w:eastAsia="zh-CN" w:bidi="ar-SA"/>
              </w:rPr>
              <w:t>/a，该新鲜水为软化水。</w:t>
            </w:r>
            <w:r>
              <w:rPr>
                <w:rFonts w:hint="default" w:ascii="Times New Roman" w:hAnsi="Times New Roman" w:cs="Times New Roman"/>
                <w:color w:val="auto"/>
                <w:sz w:val="24"/>
                <w:szCs w:val="24"/>
                <w:lang w:val="en-US" w:eastAsia="zh-CN"/>
              </w:rPr>
              <w:t>循环系统排污水排入厂内回用水池。</w:t>
            </w:r>
          </w:p>
          <w:p w14:paraId="0E97B491">
            <w:pPr>
              <w:keepNext w:val="0"/>
              <w:keepLines w:val="0"/>
              <w:pageBreakBefore w:val="0"/>
              <w:kinsoku/>
              <w:wordWrap/>
              <w:bidi w:val="0"/>
              <w:adjustRightInd/>
              <w:snapToGrid/>
              <w:jc w:val="center"/>
              <w:rPr>
                <w:rFonts w:hint="default" w:ascii="Times New Roman" w:hAnsi="Times New Roman"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表2-7循环冷却水用水量</w:t>
            </w:r>
          </w:p>
          <w:tbl>
            <w:tblPr>
              <w:tblStyle w:val="96"/>
              <w:tblW w:w="4997"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822"/>
              <w:gridCol w:w="2354"/>
              <w:gridCol w:w="1571"/>
              <w:gridCol w:w="1416"/>
              <w:gridCol w:w="1458"/>
            </w:tblGrid>
            <w:tr w14:paraId="2E436A0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jc w:val="center"/>
              </w:trPr>
              <w:tc>
                <w:tcPr>
                  <w:tcW w:w="539" w:type="pct"/>
                  <w:tcBorders>
                    <w:tl2br w:val="nil"/>
                    <w:tr2bl w:val="nil"/>
                  </w:tcBorders>
                  <w:vAlign w:val="center"/>
                </w:tcPr>
                <w:p w14:paraId="438A56F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序号</w:t>
                  </w:r>
                </w:p>
              </w:tc>
              <w:tc>
                <w:tcPr>
                  <w:tcW w:w="1544" w:type="pct"/>
                  <w:tcBorders>
                    <w:tl2br w:val="nil"/>
                    <w:tr2bl w:val="nil"/>
                  </w:tcBorders>
                  <w:vAlign w:val="center"/>
                </w:tcPr>
                <w:p w14:paraId="4CDAA0D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6"/>
                      <w:sz w:val="21"/>
                      <w:szCs w:val="21"/>
                    </w:rPr>
                    <w:t>设备名称</w:t>
                  </w:r>
                </w:p>
              </w:tc>
              <w:tc>
                <w:tcPr>
                  <w:tcW w:w="1030" w:type="pct"/>
                  <w:tcBorders>
                    <w:tl2br w:val="nil"/>
                    <w:tr2bl w:val="nil"/>
                  </w:tcBorders>
                  <w:vAlign w:val="center"/>
                </w:tcPr>
                <w:p w14:paraId="60558DFA">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b/>
                      <w:bCs/>
                      <w:color w:val="auto"/>
                      <w:sz w:val="21"/>
                      <w:szCs w:val="21"/>
                    </w:rPr>
                  </w:pPr>
                  <w:r>
                    <w:rPr>
                      <w:rFonts w:hint="default" w:ascii="Times New Roman" w:hAnsi="Times New Roman" w:eastAsia="宋体" w:cs="Times New Roman"/>
                      <w:b/>
                      <w:bCs/>
                      <w:color w:val="auto"/>
                      <w:spacing w:val="6"/>
                      <w:sz w:val="21"/>
                      <w:szCs w:val="21"/>
                    </w:rPr>
                    <w:t>冷却水量</w:t>
                  </w:r>
                  <w:r>
                    <w:rPr>
                      <w:rFonts w:hint="default" w:ascii="Times New Roman" w:hAnsi="Times New Roman" w:cs="Times New Roman"/>
                      <w:b/>
                      <w:bCs/>
                      <w:color w:val="auto"/>
                      <w:spacing w:val="4"/>
                      <w:sz w:val="21"/>
                      <w:szCs w:val="21"/>
                      <w:lang w:val="en-US" w:eastAsia="zh-CN"/>
                    </w:rPr>
                    <w:t>t</w:t>
                  </w:r>
                  <w:r>
                    <w:rPr>
                      <w:rFonts w:hint="default" w:ascii="Times New Roman" w:hAnsi="Times New Roman" w:cs="Times New Roman"/>
                      <w:b/>
                      <w:bCs/>
                      <w:color w:val="auto"/>
                      <w:spacing w:val="4"/>
                      <w:sz w:val="21"/>
                      <w:szCs w:val="21"/>
                    </w:rPr>
                    <w:t>/h</w:t>
                  </w:r>
                </w:p>
              </w:tc>
              <w:tc>
                <w:tcPr>
                  <w:tcW w:w="929" w:type="pct"/>
                  <w:tcBorders>
                    <w:tl2br w:val="nil"/>
                    <w:tr2bl w:val="nil"/>
                  </w:tcBorders>
                  <w:vAlign w:val="center"/>
                </w:tcPr>
                <w:p w14:paraId="1731D2F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5"/>
                      <w:sz w:val="21"/>
                      <w:szCs w:val="21"/>
                    </w:rPr>
                    <w:t>设计水</w:t>
                  </w:r>
                  <w:r>
                    <w:rPr>
                      <w:rFonts w:hint="default" w:ascii="Times New Roman" w:hAnsi="Times New Roman" w:eastAsia="宋体" w:cs="Times New Roman"/>
                      <w:b/>
                      <w:bCs/>
                      <w:color w:val="auto"/>
                      <w:spacing w:val="4"/>
                      <w:sz w:val="21"/>
                      <w:szCs w:val="21"/>
                    </w:rPr>
                    <w:t>温℃</w:t>
                  </w:r>
                </w:p>
              </w:tc>
              <w:tc>
                <w:tcPr>
                  <w:tcW w:w="956" w:type="pct"/>
                  <w:tcBorders>
                    <w:tl2br w:val="nil"/>
                    <w:tr2bl w:val="nil"/>
                  </w:tcBorders>
                  <w:vAlign w:val="center"/>
                </w:tcPr>
                <w:p w14:paraId="500326B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pacing w:val="6"/>
                      <w:sz w:val="21"/>
                      <w:szCs w:val="21"/>
                    </w:rPr>
                    <w:t>排水温</w:t>
                  </w:r>
                  <w:r>
                    <w:rPr>
                      <w:rFonts w:hint="default" w:ascii="Times New Roman" w:hAnsi="Times New Roman" w:eastAsia="宋体" w:cs="Times New Roman"/>
                      <w:b/>
                      <w:bCs/>
                      <w:color w:val="auto"/>
                      <w:spacing w:val="4"/>
                      <w:sz w:val="21"/>
                      <w:szCs w:val="21"/>
                    </w:rPr>
                    <w:t>升℃</w:t>
                  </w:r>
                </w:p>
              </w:tc>
            </w:tr>
            <w:tr w14:paraId="5B38192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78" w:hRule="atLeast"/>
                <w:jc w:val="center"/>
              </w:trPr>
              <w:tc>
                <w:tcPr>
                  <w:tcW w:w="539" w:type="pct"/>
                  <w:tcBorders>
                    <w:tl2br w:val="nil"/>
                    <w:tr2bl w:val="nil"/>
                  </w:tcBorders>
                  <w:vAlign w:val="center"/>
                </w:tcPr>
                <w:p w14:paraId="71EA69E6">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1544" w:type="pct"/>
                  <w:tcBorders>
                    <w:tl2br w:val="nil"/>
                    <w:tr2bl w:val="nil"/>
                  </w:tcBorders>
                  <w:vAlign w:val="center"/>
                </w:tcPr>
                <w:p w14:paraId="2D56E39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8"/>
                      <w:sz w:val="21"/>
                      <w:szCs w:val="21"/>
                    </w:rPr>
                    <w:t>发电机空气冷却器</w:t>
                  </w:r>
                </w:p>
              </w:tc>
              <w:tc>
                <w:tcPr>
                  <w:tcW w:w="1030" w:type="pct"/>
                  <w:tcBorders>
                    <w:tl2br w:val="nil"/>
                    <w:tr2bl w:val="nil"/>
                  </w:tcBorders>
                  <w:vAlign w:val="center"/>
                </w:tcPr>
                <w:p w14:paraId="456D78CD">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360</w:t>
                  </w:r>
                </w:p>
              </w:tc>
              <w:tc>
                <w:tcPr>
                  <w:tcW w:w="929" w:type="pct"/>
                  <w:tcBorders>
                    <w:tl2br w:val="nil"/>
                    <w:tr2bl w:val="nil"/>
                  </w:tcBorders>
                  <w:vAlign w:val="center"/>
                </w:tcPr>
                <w:p w14:paraId="1C386B10">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≤33</w:t>
                  </w:r>
                </w:p>
              </w:tc>
              <w:tc>
                <w:tcPr>
                  <w:tcW w:w="956" w:type="pct"/>
                  <w:tcBorders>
                    <w:tl2br w:val="nil"/>
                    <w:tr2bl w:val="nil"/>
                  </w:tcBorders>
                  <w:vAlign w:val="center"/>
                </w:tcPr>
                <w:p w14:paraId="7CB7437A">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≤8</w:t>
                  </w:r>
                </w:p>
              </w:tc>
            </w:tr>
            <w:tr w14:paraId="633336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jc w:val="center"/>
              </w:trPr>
              <w:tc>
                <w:tcPr>
                  <w:tcW w:w="539" w:type="pct"/>
                  <w:tcBorders>
                    <w:tl2br w:val="nil"/>
                    <w:tr2bl w:val="nil"/>
                  </w:tcBorders>
                  <w:vAlign w:val="center"/>
                </w:tcPr>
                <w:p w14:paraId="23CB6546">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w:t>
                  </w:r>
                </w:p>
              </w:tc>
              <w:tc>
                <w:tcPr>
                  <w:tcW w:w="1544" w:type="pct"/>
                  <w:tcBorders>
                    <w:tl2br w:val="nil"/>
                    <w:tr2bl w:val="nil"/>
                  </w:tcBorders>
                  <w:vAlign w:val="center"/>
                </w:tcPr>
                <w:p w14:paraId="455AD48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8"/>
                      <w:sz w:val="21"/>
                      <w:szCs w:val="21"/>
                    </w:rPr>
                    <w:t>汽机冷油器</w:t>
                  </w:r>
                </w:p>
              </w:tc>
              <w:tc>
                <w:tcPr>
                  <w:tcW w:w="1030" w:type="pct"/>
                  <w:tcBorders>
                    <w:tl2br w:val="nil"/>
                    <w:tr2bl w:val="nil"/>
                  </w:tcBorders>
                  <w:vAlign w:val="center"/>
                </w:tcPr>
                <w:p w14:paraId="51355301">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pacing w:val="4"/>
                      <w:sz w:val="21"/>
                      <w:szCs w:val="21"/>
                      <w:lang w:eastAsia="zh-CN"/>
                    </w:rPr>
                    <w:t>200</w:t>
                  </w:r>
                </w:p>
              </w:tc>
              <w:tc>
                <w:tcPr>
                  <w:tcW w:w="929" w:type="pct"/>
                  <w:tcBorders>
                    <w:tl2br w:val="nil"/>
                    <w:tr2bl w:val="nil"/>
                  </w:tcBorders>
                  <w:vAlign w:val="center"/>
                </w:tcPr>
                <w:p w14:paraId="35A45D36">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≤33</w:t>
                  </w:r>
                </w:p>
              </w:tc>
              <w:tc>
                <w:tcPr>
                  <w:tcW w:w="956" w:type="pct"/>
                  <w:tcBorders>
                    <w:tl2br w:val="nil"/>
                    <w:tr2bl w:val="nil"/>
                  </w:tcBorders>
                  <w:vAlign w:val="center"/>
                </w:tcPr>
                <w:p w14:paraId="5620FE1C">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≤8</w:t>
                  </w:r>
                </w:p>
              </w:tc>
            </w:tr>
            <w:tr w14:paraId="302160D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jc w:val="center"/>
              </w:trPr>
              <w:tc>
                <w:tcPr>
                  <w:tcW w:w="539" w:type="pct"/>
                  <w:tcBorders>
                    <w:tl2br w:val="nil"/>
                    <w:tr2bl w:val="nil"/>
                  </w:tcBorders>
                  <w:vAlign w:val="center"/>
                </w:tcPr>
                <w:p w14:paraId="27CBD5A9">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p>
              </w:tc>
              <w:tc>
                <w:tcPr>
                  <w:tcW w:w="1544" w:type="pct"/>
                  <w:tcBorders>
                    <w:tl2br w:val="nil"/>
                    <w:tr2bl w:val="nil"/>
                  </w:tcBorders>
                  <w:vAlign w:val="center"/>
                </w:tcPr>
                <w:p w14:paraId="25EB5E52">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lang w:eastAsia="zh-CN"/>
                    </w:rPr>
                    <w:t>EH油系统</w:t>
                  </w:r>
                </w:p>
              </w:tc>
              <w:tc>
                <w:tcPr>
                  <w:tcW w:w="1030" w:type="pct"/>
                  <w:tcBorders>
                    <w:tl2br w:val="nil"/>
                    <w:tr2bl w:val="nil"/>
                  </w:tcBorders>
                  <w:vAlign w:val="center"/>
                </w:tcPr>
                <w:p w14:paraId="3E5E2648">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pacing w:val="3"/>
                      <w:sz w:val="21"/>
                      <w:szCs w:val="21"/>
                      <w:lang w:eastAsia="zh-CN"/>
                    </w:rPr>
                    <w:t>6</w:t>
                  </w:r>
                </w:p>
              </w:tc>
              <w:tc>
                <w:tcPr>
                  <w:tcW w:w="929" w:type="pct"/>
                  <w:tcBorders>
                    <w:tl2br w:val="nil"/>
                    <w:tr2bl w:val="nil"/>
                  </w:tcBorders>
                  <w:vAlign w:val="center"/>
                </w:tcPr>
                <w:p w14:paraId="0298575C">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≤33</w:t>
                  </w:r>
                </w:p>
              </w:tc>
              <w:tc>
                <w:tcPr>
                  <w:tcW w:w="956" w:type="pct"/>
                  <w:tcBorders>
                    <w:tl2br w:val="nil"/>
                    <w:tr2bl w:val="nil"/>
                  </w:tcBorders>
                  <w:vAlign w:val="center"/>
                </w:tcPr>
                <w:p w14:paraId="791A9AC0">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≤8</w:t>
                  </w:r>
                </w:p>
              </w:tc>
            </w:tr>
            <w:tr w14:paraId="1A12E4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jc w:val="center"/>
              </w:trPr>
              <w:tc>
                <w:tcPr>
                  <w:tcW w:w="539" w:type="pct"/>
                  <w:tcBorders>
                    <w:tl2br w:val="nil"/>
                    <w:tr2bl w:val="nil"/>
                  </w:tcBorders>
                  <w:vAlign w:val="center"/>
                </w:tcPr>
                <w:p w14:paraId="615E49BB">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4</w:t>
                  </w:r>
                </w:p>
              </w:tc>
              <w:tc>
                <w:tcPr>
                  <w:tcW w:w="1544" w:type="pct"/>
                  <w:tcBorders>
                    <w:tl2br w:val="nil"/>
                    <w:tr2bl w:val="nil"/>
                  </w:tcBorders>
                  <w:vAlign w:val="center"/>
                </w:tcPr>
                <w:p w14:paraId="32DE268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7"/>
                      <w:sz w:val="21"/>
                      <w:szCs w:val="21"/>
                    </w:rPr>
                  </w:pPr>
                  <w:r>
                    <w:rPr>
                      <w:rFonts w:hint="default" w:ascii="Times New Roman" w:hAnsi="Times New Roman" w:cs="Times New Roman"/>
                      <w:color w:val="auto"/>
                      <w:sz w:val="21"/>
                      <w:szCs w:val="21"/>
                      <w:lang w:eastAsia="zh-CN"/>
                    </w:rPr>
                    <w:t>给水泵</w:t>
                  </w:r>
                </w:p>
              </w:tc>
              <w:tc>
                <w:tcPr>
                  <w:tcW w:w="1030" w:type="pct"/>
                  <w:tcBorders>
                    <w:tl2br w:val="nil"/>
                    <w:tr2bl w:val="nil"/>
                  </w:tcBorders>
                  <w:vAlign w:val="center"/>
                </w:tcPr>
                <w:p w14:paraId="3F998A3C">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3"/>
                      <w:sz w:val="21"/>
                      <w:szCs w:val="21"/>
                      <w:lang w:eastAsia="zh-CN"/>
                    </w:rPr>
                  </w:pPr>
                  <w:r>
                    <w:rPr>
                      <w:rFonts w:hint="default" w:ascii="Times New Roman" w:hAnsi="Times New Roman" w:eastAsia="宋体" w:cs="Times New Roman"/>
                      <w:color w:val="auto"/>
                      <w:spacing w:val="3"/>
                      <w:sz w:val="21"/>
                      <w:szCs w:val="21"/>
                      <w:lang w:eastAsia="zh-CN"/>
                    </w:rPr>
                    <w:t>5</w:t>
                  </w:r>
                </w:p>
              </w:tc>
              <w:tc>
                <w:tcPr>
                  <w:tcW w:w="929" w:type="pct"/>
                  <w:tcBorders>
                    <w:tl2br w:val="nil"/>
                    <w:tr2bl w:val="nil"/>
                  </w:tcBorders>
                  <w:vAlign w:val="center"/>
                </w:tcPr>
                <w:p w14:paraId="195AE36E">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≤33</w:t>
                  </w:r>
                </w:p>
              </w:tc>
              <w:tc>
                <w:tcPr>
                  <w:tcW w:w="956" w:type="pct"/>
                  <w:tcBorders>
                    <w:tl2br w:val="nil"/>
                    <w:tr2bl w:val="nil"/>
                  </w:tcBorders>
                  <w:vAlign w:val="center"/>
                </w:tcPr>
                <w:p w14:paraId="26759ED1">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≤8</w:t>
                  </w:r>
                </w:p>
              </w:tc>
            </w:tr>
            <w:tr w14:paraId="2AC1FEC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jc w:val="center"/>
              </w:trPr>
              <w:tc>
                <w:tcPr>
                  <w:tcW w:w="539" w:type="pct"/>
                  <w:tcBorders>
                    <w:tl2br w:val="nil"/>
                    <w:tr2bl w:val="nil"/>
                  </w:tcBorders>
                  <w:vAlign w:val="center"/>
                </w:tcPr>
                <w:p w14:paraId="20CFAB12">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5</w:t>
                  </w:r>
                </w:p>
              </w:tc>
              <w:tc>
                <w:tcPr>
                  <w:tcW w:w="1544" w:type="pct"/>
                  <w:tcBorders>
                    <w:tl2br w:val="nil"/>
                    <w:tr2bl w:val="nil"/>
                  </w:tcBorders>
                  <w:vAlign w:val="center"/>
                </w:tcPr>
                <w:p w14:paraId="61C3FF3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7"/>
                      <w:sz w:val="21"/>
                      <w:szCs w:val="21"/>
                    </w:rPr>
                  </w:pPr>
                  <w:r>
                    <w:rPr>
                      <w:rFonts w:hint="default" w:ascii="Times New Roman" w:hAnsi="Times New Roman" w:cs="Times New Roman"/>
                      <w:color w:val="auto"/>
                      <w:sz w:val="21"/>
                      <w:szCs w:val="21"/>
                      <w:lang w:eastAsia="zh-CN"/>
                    </w:rPr>
                    <w:t>给水泵稀油站</w:t>
                  </w:r>
                </w:p>
              </w:tc>
              <w:tc>
                <w:tcPr>
                  <w:tcW w:w="1030" w:type="pct"/>
                  <w:tcBorders>
                    <w:tl2br w:val="nil"/>
                    <w:tr2bl w:val="nil"/>
                  </w:tcBorders>
                  <w:vAlign w:val="center"/>
                </w:tcPr>
                <w:p w14:paraId="036F1AA7">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3"/>
                      <w:sz w:val="21"/>
                      <w:szCs w:val="21"/>
                      <w:lang w:eastAsia="zh-CN"/>
                    </w:rPr>
                  </w:pPr>
                  <w:r>
                    <w:rPr>
                      <w:rFonts w:hint="default" w:ascii="Times New Roman" w:hAnsi="Times New Roman" w:eastAsia="宋体" w:cs="Times New Roman"/>
                      <w:color w:val="auto"/>
                      <w:spacing w:val="3"/>
                      <w:sz w:val="21"/>
                      <w:szCs w:val="21"/>
                      <w:lang w:eastAsia="zh-CN"/>
                    </w:rPr>
                    <w:t>5</w:t>
                  </w:r>
                </w:p>
              </w:tc>
              <w:tc>
                <w:tcPr>
                  <w:tcW w:w="929" w:type="pct"/>
                  <w:tcBorders>
                    <w:tl2br w:val="nil"/>
                    <w:tr2bl w:val="nil"/>
                  </w:tcBorders>
                  <w:vAlign w:val="center"/>
                </w:tcPr>
                <w:p w14:paraId="4A9EAC3F">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≤33</w:t>
                  </w:r>
                </w:p>
              </w:tc>
              <w:tc>
                <w:tcPr>
                  <w:tcW w:w="956" w:type="pct"/>
                  <w:tcBorders>
                    <w:tl2br w:val="nil"/>
                    <w:tr2bl w:val="nil"/>
                  </w:tcBorders>
                  <w:vAlign w:val="center"/>
                </w:tcPr>
                <w:p w14:paraId="5131B81C">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≤8</w:t>
                  </w:r>
                </w:p>
              </w:tc>
            </w:tr>
            <w:tr w14:paraId="205667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jc w:val="center"/>
              </w:trPr>
              <w:tc>
                <w:tcPr>
                  <w:tcW w:w="539" w:type="pct"/>
                  <w:tcBorders>
                    <w:tl2br w:val="nil"/>
                    <w:tr2bl w:val="nil"/>
                  </w:tcBorders>
                  <w:vAlign w:val="center"/>
                </w:tcPr>
                <w:p w14:paraId="13F424BA">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6</w:t>
                  </w:r>
                </w:p>
              </w:tc>
              <w:tc>
                <w:tcPr>
                  <w:tcW w:w="1544" w:type="pct"/>
                  <w:tcBorders>
                    <w:tl2br w:val="nil"/>
                    <w:tr2bl w:val="nil"/>
                  </w:tcBorders>
                  <w:vAlign w:val="center"/>
                </w:tcPr>
                <w:p w14:paraId="75253D34">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水环真空泵</w:t>
                  </w:r>
                </w:p>
              </w:tc>
              <w:tc>
                <w:tcPr>
                  <w:tcW w:w="1030" w:type="pct"/>
                  <w:tcBorders>
                    <w:tl2br w:val="nil"/>
                    <w:tr2bl w:val="nil"/>
                  </w:tcBorders>
                  <w:vAlign w:val="center"/>
                </w:tcPr>
                <w:p w14:paraId="1C373F0C">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3"/>
                      <w:sz w:val="21"/>
                      <w:szCs w:val="21"/>
                      <w:lang w:eastAsia="zh-CN"/>
                    </w:rPr>
                  </w:pPr>
                  <w:r>
                    <w:rPr>
                      <w:rFonts w:hint="default" w:ascii="Times New Roman" w:hAnsi="Times New Roman" w:eastAsia="宋体" w:cs="Times New Roman"/>
                      <w:color w:val="auto"/>
                      <w:spacing w:val="3"/>
                      <w:sz w:val="21"/>
                      <w:szCs w:val="21"/>
                      <w:lang w:eastAsia="zh-CN"/>
                    </w:rPr>
                    <w:t>15</w:t>
                  </w:r>
                </w:p>
              </w:tc>
              <w:tc>
                <w:tcPr>
                  <w:tcW w:w="929" w:type="pct"/>
                  <w:tcBorders>
                    <w:tl2br w:val="nil"/>
                    <w:tr2bl w:val="nil"/>
                  </w:tcBorders>
                  <w:vAlign w:val="center"/>
                </w:tcPr>
                <w:p w14:paraId="6274974B">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≤33</w:t>
                  </w:r>
                </w:p>
              </w:tc>
              <w:tc>
                <w:tcPr>
                  <w:tcW w:w="956" w:type="pct"/>
                  <w:tcBorders>
                    <w:tl2br w:val="nil"/>
                    <w:tr2bl w:val="nil"/>
                  </w:tcBorders>
                  <w:vAlign w:val="center"/>
                </w:tcPr>
                <w:p w14:paraId="0ADEBC91">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≤8</w:t>
                  </w:r>
                </w:p>
              </w:tc>
            </w:tr>
            <w:tr w14:paraId="0B0AF9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29" w:hRule="atLeast"/>
                <w:jc w:val="center"/>
              </w:trPr>
              <w:tc>
                <w:tcPr>
                  <w:tcW w:w="539" w:type="pct"/>
                  <w:tcBorders>
                    <w:tl2br w:val="nil"/>
                    <w:tr2bl w:val="nil"/>
                  </w:tcBorders>
                  <w:vAlign w:val="center"/>
                </w:tcPr>
                <w:p w14:paraId="369C32FF">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7</w:t>
                  </w:r>
                </w:p>
              </w:tc>
              <w:tc>
                <w:tcPr>
                  <w:tcW w:w="1544" w:type="pct"/>
                  <w:tcBorders>
                    <w:tl2br w:val="nil"/>
                    <w:tr2bl w:val="nil"/>
                  </w:tcBorders>
                  <w:vAlign w:val="center"/>
                </w:tcPr>
                <w:p w14:paraId="568447C8">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凝结水泵</w:t>
                  </w:r>
                </w:p>
              </w:tc>
              <w:tc>
                <w:tcPr>
                  <w:tcW w:w="1030" w:type="pct"/>
                  <w:tcBorders>
                    <w:tl2br w:val="nil"/>
                    <w:tr2bl w:val="nil"/>
                  </w:tcBorders>
                  <w:vAlign w:val="center"/>
                </w:tcPr>
                <w:p w14:paraId="5EF616DD">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3"/>
                      <w:sz w:val="21"/>
                      <w:szCs w:val="21"/>
                      <w:lang w:eastAsia="zh-CN"/>
                    </w:rPr>
                  </w:pPr>
                  <w:r>
                    <w:rPr>
                      <w:rFonts w:hint="default" w:ascii="Times New Roman" w:hAnsi="Times New Roman" w:eastAsia="宋体" w:cs="Times New Roman"/>
                      <w:color w:val="auto"/>
                      <w:spacing w:val="3"/>
                      <w:sz w:val="21"/>
                      <w:szCs w:val="21"/>
                      <w:lang w:eastAsia="zh-CN"/>
                    </w:rPr>
                    <w:t>3</w:t>
                  </w:r>
                </w:p>
              </w:tc>
              <w:tc>
                <w:tcPr>
                  <w:tcW w:w="929" w:type="pct"/>
                  <w:tcBorders>
                    <w:tl2br w:val="nil"/>
                    <w:tr2bl w:val="nil"/>
                  </w:tcBorders>
                  <w:vAlign w:val="center"/>
                </w:tcPr>
                <w:p w14:paraId="7FDEEBC4">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≤33</w:t>
                  </w:r>
                </w:p>
              </w:tc>
              <w:tc>
                <w:tcPr>
                  <w:tcW w:w="956" w:type="pct"/>
                  <w:tcBorders>
                    <w:tl2br w:val="nil"/>
                    <w:tr2bl w:val="nil"/>
                  </w:tcBorders>
                  <w:vAlign w:val="center"/>
                </w:tcPr>
                <w:p w14:paraId="026AD8E4">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≤8</w:t>
                  </w:r>
                </w:p>
              </w:tc>
            </w:tr>
            <w:tr w14:paraId="7FDC6A3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39" w:type="pct"/>
                  <w:tcBorders>
                    <w:tl2br w:val="nil"/>
                    <w:tr2bl w:val="nil"/>
                  </w:tcBorders>
                  <w:vAlign w:val="center"/>
                </w:tcPr>
                <w:p w14:paraId="346C888E">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8</w:t>
                  </w:r>
                </w:p>
              </w:tc>
              <w:tc>
                <w:tcPr>
                  <w:tcW w:w="1544" w:type="pct"/>
                  <w:tcBorders>
                    <w:tl2br w:val="nil"/>
                    <w:tr2bl w:val="nil"/>
                  </w:tcBorders>
                  <w:vAlign w:val="center"/>
                </w:tcPr>
                <w:p w14:paraId="5654A01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lang w:eastAsia="zh-CN"/>
                    </w:rPr>
                  </w:pPr>
                  <w:r>
                    <w:rPr>
                      <w:rFonts w:hint="default" w:ascii="Times New Roman" w:hAnsi="Times New Roman" w:cs="Times New Roman"/>
                      <w:color w:val="auto"/>
                      <w:sz w:val="21"/>
                      <w:szCs w:val="21"/>
                      <w:lang w:eastAsia="zh-CN"/>
                    </w:rPr>
                    <w:t>疏水泵</w:t>
                  </w:r>
                </w:p>
              </w:tc>
              <w:tc>
                <w:tcPr>
                  <w:tcW w:w="1030" w:type="pct"/>
                  <w:tcBorders>
                    <w:tl2br w:val="nil"/>
                    <w:tr2bl w:val="nil"/>
                  </w:tcBorders>
                  <w:vAlign w:val="center"/>
                </w:tcPr>
                <w:p w14:paraId="2A6EE6AE">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3"/>
                      <w:sz w:val="21"/>
                      <w:szCs w:val="21"/>
                      <w:lang w:eastAsia="zh-CN"/>
                    </w:rPr>
                  </w:pPr>
                  <w:r>
                    <w:rPr>
                      <w:rFonts w:hint="default" w:ascii="Times New Roman" w:hAnsi="Times New Roman" w:eastAsia="宋体" w:cs="Times New Roman"/>
                      <w:color w:val="auto"/>
                      <w:spacing w:val="3"/>
                      <w:sz w:val="21"/>
                      <w:szCs w:val="21"/>
                      <w:lang w:eastAsia="zh-CN"/>
                    </w:rPr>
                    <w:t>3</w:t>
                  </w:r>
                </w:p>
              </w:tc>
              <w:tc>
                <w:tcPr>
                  <w:tcW w:w="929" w:type="pct"/>
                  <w:tcBorders>
                    <w:tl2br w:val="nil"/>
                    <w:tr2bl w:val="nil"/>
                  </w:tcBorders>
                  <w:vAlign w:val="center"/>
                </w:tcPr>
                <w:p w14:paraId="10A222B1">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≤33</w:t>
                  </w:r>
                </w:p>
              </w:tc>
              <w:tc>
                <w:tcPr>
                  <w:tcW w:w="956" w:type="pct"/>
                  <w:tcBorders>
                    <w:tl2br w:val="nil"/>
                    <w:tr2bl w:val="nil"/>
                  </w:tcBorders>
                  <w:vAlign w:val="center"/>
                </w:tcPr>
                <w:p w14:paraId="23198B73">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≤8</w:t>
                  </w:r>
                </w:p>
              </w:tc>
            </w:tr>
            <w:tr w14:paraId="3F7F40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jc w:val="center"/>
              </w:trPr>
              <w:tc>
                <w:tcPr>
                  <w:tcW w:w="539" w:type="pct"/>
                  <w:tcBorders>
                    <w:tl2br w:val="nil"/>
                    <w:tr2bl w:val="nil"/>
                  </w:tcBorders>
                  <w:vAlign w:val="center"/>
                </w:tcPr>
                <w:p w14:paraId="24AD49AD">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pacing w:val="1"/>
                      <w:sz w:val="21"/>
                      <w:szCs w:val="21"/>
                      <w:lang w:eastAsia="zh-CN"/>
                    </w:rPr>
                    <w:t>9</w:t>
                  </w:r>
                </w:p>
              </w:tc>
              <w:tc>
                <w:tcPr>
                  <w:tcW w:w="1544" w:type="pct"/>
                  <w:tcBorders>
                    <w:tl2br w:val="nil"/>
                    <w:tr2bl w:val="nil"/>
                  </w:tcBorders>
                  <w:vAlign w:val="center"/>
                </w:tcPr>
                <w:p w14:paraId="09FAE2B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cs="Times New Roman"/>
                      <w:color w:val="auto"/>
                      <w:sz w:val="21"/>
                      <w:szCs w:val="21"/>
                    </w:rPr>
                    <w:t>汽水取样冷却器</w:t>
                  </w:r>
                </w:p>
              </w:tc>
              <w:tc>
                <w:tcPr>
                  <w:tcW w:w="1030" w:type="pct"/>
                  <w:tcBorders>
                    <w:tl2br w:val="nil"/>
                    <w:tr2bl w:val="nil"/>
                  </w:tcBorders>
                  <w:vAlign w:val="center"/>
                </w:tcPr>
                <w:p w14:paraId="14DD6512">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55</w:t>
                  </w:r>
                </w:p>
              </w:tc>
              <w:tc>
                <w:tcPr>
                  <w:tcW w:w="929" w:type="pct"/>
                  <w:tcBorders>
                    <w:tl2br w:val="nil"/>
                    <w:tr2bl w:val="nil"/>
                  </w:tcBorders>
                  <w:vAlign w:val="center"/>
                </w:tcPr>
                <w:p w14:paraId="58768903">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≤33</w:t>
                  </w:r>
                </w:p>
              </w:tc>
              <w:tc>
                <w:tcPr>
                  <w:tcW w:w="956" w:type="pct"/>
                  <w:tcBorders>
                    <w:tl2br w:val="nil"/>
                    <w:tr2bl w:val="nil"/>
                  </w:tcBorders>
                  <w:vAlign w:val="center"/>
                </w:tcPr>
                <w:p w14:paraId="41F8EEC3">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≤8</w:t>
                  </w:r>
                </w:p>
              </w:tc>
            </w:tr>
            <w:tr w14:paraId="7B39CD9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5" w:hRule="atLeast"/>
                <w:jc w:val="center"/>
              </w:trPr>
              <w:tc>
                <w:tcPr>
                  <w:tcW w:w="539" w:type="pct"/>
                  <w:tcBorders>
                    <w:tl2br w:val="nil"/>
                    <w:tr2bl w:val="nil"/>
                  </w:tcBorders>
                  <w:vAlign w:val="center"/>
                </w:tcPr>
                <w:p w14:paraId="06939D37">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1"/>
                      <w:sz w:val="21"/>
                      <w:szCs w:val="21"/>
                      <w:lang w:eastAsia="zh-CN"/>
                    </w:rPr>
                  </w:pPr>
                  <w:r>
                    <w:rPr>
                      <w:rFonts w:hint="default" w:ascii="Times New Roman" w:hAnsi="Times New Roman" w:eastAsia="宋体" w:cs="Times New Roman"/>
                      <w:color w:val="auto"/>
                      <w:spacing w:val="1"/>
                      <w:sz w:val="21"/>
                      <w:szCs w:val="21"/>
                      <w:lang w:eastAsia="zh-CN"/>
                    </w:rPr>
                    <w:t>10</w:t>
                  </w:r>
                </w:p>
              </w:tc>
              <w:tc>
                <w:tcPr>
                  <w:tcW w:w="1544" w:type="pct"/>
                  <w:tcBorders>
                    <w:tl2br w:val="nil"/>
                    <w:tr2bl w:val="nil"/>
                  </w:tcBorders>
                  <w:vAlign w:val="center"/>
                </w:tcPr>
                <w:p w14:paraId="61E0F8D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pacing w:val="6"/>
                      <w:sz w:val="21"/>
                      <w:szCs w:val="21"/>
                      <w:lang w:eastAsia="zh-CN"/>
                    </w:rPr>
                  </w:pPr>
                  <w:r>
                    <w:rPr>
                      <w:rFonts w:hint="default" w:ascii="Times New Roman" w:hAnsi="Times New Roman" w:eastAsia="宋体" w:cs="Times New Roman"/>
                      <w:color w:val="auto"/>
                      <w:spacing w:val="6"/>
                      <w:sz w:val="21"/>
                      <w:szCs w:val="21"/>
                      <w:lang w:eastAsia="zh-CN"/>
                    </w:rPr>
                    <w:t>风机</w:t>
                  </w:r>
                </w:p>
              </w:tc>
              <w:tc>
                <w:tcPr>
                  <w:tcW w:w="1030" w:type="pct"/>
                  <w:tcBorders>
                    <w:tl2br w:val="nil"/>
                    <w:tr2bl w:val="nil"/>
                  </w:tcBorders>
                  <w:vAlign w:val="center"/>
                </w:tcPr>
                <w:p w14:paraId="3B285F76">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15</w:t>
                  </w:r>
                </w:p>
              </w:tc>
              <w:tc>
                <w:tcPr>
                  <w:tcW w:w="929" w:type="pct"/>
                  <w:tcBorders>
                    <w:tl2br w:val="nil"/>
                    <w:tr2bl w:val="nil"/>
                  </w:tcBorders>
                  <w:vAlign w:val="center"/>
                </w:tcPr>
                <w:p w14:paraId="15F27FF1">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≤33</w:t>
                  </w:r>
                </w:p>
              </w:tc>
              <w:tc>
                <w:tcPr>
                  <w:tcW w:w="956" w:type="pct"/>
                  <w:tcBorders>
                    <w:tl2br w:val="nil"/>
                    <w:tr2bl w:val="nil"/>
                  </w:tcBorders>
                  <w:vAlign w:val="center"/>
                </w:tcPr>
                <w:p w14:paraId="5B6FBEB0">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pacing w:val="4"/>
                      <w:position w:val="2"/>
                      <w:sz w:val="21"/>
                      <w:szCs w:val="21"/>
                    </w:rPr>
                    <w:t>≤8</w:t>
                  </w:r>
                </w:p>
              </w:tc>
            </w:tr>
            <w:tr w14:paraId="7BDD1AB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jc w:val="center"/>
              </w:trPr>
              <w:tc>
                <w:tcPr>
                  <w:tcW w:w="2083" w:type="pct"/>
                  <w:gridSpan w:val="2"/>
                  <w:tcBorders>
                    <w:tl2br w:val="nil"/>
                    <w:tr2bl w:val="nil"/>
                  </w:tcBorders>
                  <w:vAlign w:val="center"/>
                </w:tcPr>
                <w:p w14:paraId="359D9F7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pacing w:val="2"/>
                      <w:sz w:val="21"/>
                      <w:szCs w:val="21"/>
                    </w:rPr>
                    <w:t>小计</w:t>
                  </w:r>
                </w:p>
              </w:tc>
              <w:tc>
                <w:tcPr>
                  <w:tcW w:w="1030" w:type="pct"/>
                  <w:tcBorders>
                    <w:tl2br w:val="nil"/>
                    <w:tr2bl w:val="nil"/>
                  </w:tcBorders>
                  <w:vAlign w:val="center"/>
                </w:tcPr>
                <w:p w14:paraId="6F0816B2">
                  <w:pPr>
                    <w:pStyle w:val="109"/>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pacing w:val="2"/>
                      <w:sz w:val="21"/>
                      <w:szCs w:val="21"/>
                      <w:lang w:eastAsia="zh-CN"/>
                    </w:rPr>
                    <w:t>667</w:t>
                  </w:r>
                </w:p>
              </w:tc>
              <w:tc>
                <w:tcPr>
                  <w:tcW w:w="929" w:type="pct"/>
                  <w:tcBorders>
                    <w:tl2br w:val="nil"/>
                    <w:tr2bl w:val="nil"/>
                  </w:tcBorders>
                  <w:vAlign w:val="center"/>
                </w:tcPr>
                <w:p w14:paraId="3B1BFB9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c>
                <w:tcPr>
                  <w:tcW w:w="956" w:type="pct"/>
                  <w:tcBorders>
                    <w:tl2br w:val="nil"/>
                    <w:tr2bl w:val="nil"/>
                  </w:tcBorders>
                  <w:vAlign w:val="center"/>
                </w:tcPr>
                <w:p w14:paraId="21741A60">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w:t>
                  </w:r>
                </w:p>
              </w:tc>
            </w:tr>
          </w:tbl>
          <w:p w14:paraId="7662A5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③</w:t>
            </w:r>
            <w:r>
              <w:rPr>
                <w:rFonts w:hint="default" w:ascii="Times New Roman" w:hAnsi="Times New Roman" w:eastAsia="宋体" w:cs="Times New Roman"/>
                <w:color w:val="auto"/>
                <w:sz w:val="24"/>
                <w:szCs w:val="24"/>
                <w:lang w:val="en-US" w:eastAsia="zh-CN"/>
              </w:rPr>
              <w:t>软水制备用、排水</w:t>
            </w:r>
          </w:p>
          <w:p w14:paraId="0777E4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根据业主提供资料并参考《除盐水制备技术进展》（2008年4月，第28卷第4期，石油化工科学研究院）文件，</w:t>
            </w:r>
            <w:r>
              <w:rPr>
                <w:rFonts w:hint="default" w:ascii="Times New Roman" w:hAnsi="Times New Roman" w:cs="Times New Roman"/>
                <w:color w:val="auto"/>
                <w:sz w:val="24"/>
                <w:szCs w:val="24"/>
                <w:lang w:val="en-US" w:eastAsia="zh-CN"/>
              </w:rPr>
              <w:t>项目</w:t>
            </w:r>
            <w:r>
              <w:rPr>
                <w:rFonts w:hint="default" w:ascii="Times New Roman" w:hAnsi="Times New Roman" w:eastAsia="宋体" w:cs="Times New Roman"/>
                <w:color w:val="auto"/>
                <w:sz w:val="24"/>
                <w:szCs w:val="24"/>
                <w:lang w:val="en-US" w:eastAsia="zh-CN"/>
              </w:rPr>
              <w:t>软化水产水率</w:t>
            </w:r>
            <w:r>
              <w:rPr>
                <w:rFonts w:hint="default" w:ascii="Times New Roman" w:hAnsi="Times New Roman" w:cs="Times New Roman"/>
                <w:color w:val="auto"/>
                <w:sz w:val="24"/>
                <w:szCs w:val="24"/>
                <w:lang w:val="en-US" w:eastAsia="zh-CN"/>
              </w:rPr>
              <w:t>约为66</w:t>
            </w:r>
            <w:r>
              <w:rPr>
                <w:rFonts w:hint="default" w:ascii="Times New Roman" w:hAnsi="Times New Roman" w:eastAsia="宋体" w:cs="Times New Roman"/>
                <w:color w:val="auto"/>
                <w:sz w:val="24"/>
                <w:szCs w:val="24"/>
                <w:lang w:val="en-US" w:eastAsia="zh-CN"/>
              </w:rPr>
              <w:t>%，锅炉定期排补水</w:t>
            </w:r>
            <w:r>
              <w:rPr>
                <w:rFonts w:hint="default" w:ascii="Times New Roman" w:hAnsi="Times New Roman" w:cs="Times New Roman"/>
                <w:color w:val="auto"/>
                <w:sz w:val="24"/>
                <w:szCs w:val="24"/>
                <w:lang w:val="en-US" w:eastAsia="zh-CN"/>
              </w:rPr>
              <w:t>和冷却塔定期</w:t>
            </w:r>
            <w:r>
              <w:rPr>
                <w:rFonts w:hint="default" w:ascii="Times New Roman" w:hAnsi="Times New Roman" w:eastAsia="宋体" w:cs="Times New Roman"/>
                <w:color w:val="auto"/>
                <w:sz w:val="24"/>
                <w:szCs w:val="24"/>
                <w:lang w:val="en-US" w:eastAsia="zh-CN"/>
              </w:rPr>
              <w:t>补水，合计用量为</w:t>
            </w:r>
            <w:r>
              <w:rPr>
                <w:rFonts w:hint="default" w:ascii="Times New Roman" w:hAnsi="Times New Roman" w:cs="Times New Roman"/>
                <w:color w:val="auto"/>
                <w:sz w:val="24"/>
                <w:szCs w:val="24"/>
                <w:lang w:val="en-US" w:eastAsia="zh-CN"/>
              </w:rPr>
              <w:t>16.5</w:t>
            </w:r>
            <w:r>
              <w:rPr>
                <w:rFonts w:hint="default" w:ascii="Times New Roman" w:hAnsi="Times New Roman" w:eastAsia="宋体" w:cs="Times New Roman"/>
                <w:color w:val="auto"/>
                <w:sz w:val="24"/>
                <w:szCs w:val="24"/>
                <w:lang w:val="en-US" w:eastAsia="zh-CN"/>
              </w:rPr>
              <w:t>t/</w:t>
            </w:r>
            <w:r>
              <w:rPr>
                <w:rFonts w:hint="default" w:ascii="Times New Roman" w:hAnsi="Times New Roman" w:cs="Times New Roman"/>
                <w:color w:val="auto"/>
                <w:sz w:val="24"/>
                <w:szCs w:val="24"/>
                <w:lang w:val="en-US" w:eastAsia="zh-CN"/>
              </w:rPr>
              <w:t>h</w:t>
            </w:r>
            <w:r>
              <w:rPr>
                <w:rFonts w:hint="default" w:ascii="Times New Roman" w:hAnsi="Times New Roman" w:eastAsia="宋体" w:cs="Times New Roman"/>
                <w:color w:val="auto"/>
                <w:sz w:val="24"/>
                <w:szCs w:val="24"/>
                <w:lang w:val="en-US" w:eastAsia="zh-CN"/>
              </w:rPr>
              <w:t>（</w:t>
            </w:r>
            <w:r>
              <w:rPr>
                <w:rFonts w:hint="default" w:ascii="Times New Roman" w:hAnsi="Times New Roman" w:cs="Times New Roman"/>
                <w:color w:val="auto"/>
                <w:sz w:val="24"/>
                <w:szCs w:val="24"/>
                <w:lang w:val="en-US" w:eastAsia="zh-CN"/>
              </w:rPr>
              <w:t>132000</w:t>
            </w:r>
            <w:r>
              <w:rPr>
                <w:rFonts w:hint="default" w:ascii="Times New Roman" w:hAnsi="Times New Roman" w:eastAsia="宋体" w:cs="Times New Roman"/>
                <w:color w:val="auto"/>
                <w:sz w:val="24"/>
                <w:szCs w:val="24"/>
                <w:lang w:val="en-US" w:eastAsia="zh-CN"/>
              </w:rPr>
              <w:t>t/a）</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经计算本项目软化水制备新鲜水用量为</w:t>
            </w:r>
            <w:r>
              <w:rPr>
                <w:rFonts w:hint="default" w:ascii="Times New Roman" w:hAnsi="Times New Roman" w:cs="Times New Roman"/>
                <w:color w:val="auto"/>
                <w:sz w:val="24"/>
                <w:szCs w:val="24"/>
                <w:lang w:val="en-US" w:eastAsia="zh-CN"/>
              </w:rPr>
              <w:t>25</w:t>
            </w:r>
            <w:r>
              <w:rPr>
                <w:rFonts w:hint="default" w:ascii="Times New Roman" w:hAnsi="Times New Roman" w:eastAsia="宋体" w:cs="Times New Roman"/>
                <w:color w:val="auto"/>
                <w:sz w:val="24"/>
                <w:szCs w:val="24"/>
                <w:lang w:val="en-US" w:eastAsia="zh-CN"/>
              </w:rPr>
              <w:t>t/</w:t>
            </w:r>
            <w:r>
              <w:rPr>
                <w:rFonts w:hint="default" w:ascii="Times New Roman" w:hAnsi="Times New Roman" w:cs="Times New Roman"/>
                <w:color w:val="auto"/>
                <w:sz w:val="24"/>
                <w:szCs w:val="24"/>
                <w:lang w:val="en-US" w:eastAsia="zh-CN"/>
              </w:rPr>
              <w:t>h</w:t>
            </w:r>
            <w:r>
              <w:rPr>
                <w:rFonts w:hint="default" w:ascii="Times New Roman" w:hAnsi="Times New Roman" w:eastAsia="宋体" w:cs="Times New Roman"/>
                <w:color w:val="auto"/>
                <w:sz w:val="24"/>
                <w:szCs w:val="24"/>
                <w:lang w:val="en-US" w:eastAsia="zh-CN"/>
              </w:rPr>
              <w:t>（</w:t>
            </w:r>
            <w:r>
              <w:rPr>
                <w:rFonts w:hint="default" w:ascii="Times New Roman" w:hAnsi="Times New Roman" w:cs="Times New Roman"/>
                <w:color w:val="auto"/>
                <w:sz w:val="24"/>
                <w:szCs w:val="24"/>
                <w:lang w:val="en-US" w:eastAsia="zh-CN"/>
              </w:rPr>
              <w:t>200000</w:t>
            </w:r>
            <w:r>
              <w:rPr>
                <w:rFonts w:hint="default" w:ascii="Times New Roman" w:hAnsi="Times New Roman" w:eastAsia="宋体" w:cs="Times New Roman"/>
                <w:color w:val="auto"/>
                <w:sz w:val="24"/>
                <w:szCs w:val="24"/>
                <w:lang w:val="en-US" w:eastAsia="zh-CN"/>
              </w:rPr>
              <w:t>t/a），则年废水产生量为</w:t>
            </w:r>
            <w:r>
              <w:rPr>
                <w:rFonts w:hint="default" w:ascii="Times New Roman" w:hAnsi="Times New Roman" w:cs="Times New Roman"/>
                <w:color w:val="auto"/>
                <w:sz w:val="24"/>
                <w:szCs w:val="24"/>
                <w:lang w:val="en-US" w:eastAsia="zh-CN"/>
              </w:rPr>
              <w:t>8.5</w:t>
            </w:r>
            <w:r>
              <w:rPr>
                <w:rFonts w:hint="default" w:ascii="Times New Roman" w:hAnsi="Times New Roman" w:eastAsia="宋体" w:cs="Times New Roman"/>
                <w:color w:val="auto"/>
                <w:sz w:val="24"/>
                <w:szCs w:val="24"/>
                <w:lang w:val="en-US" w:eastAsia="zh-CN"/>
              </w:rPr>
              <w:t>t/</w:t>
            </w:r>
            <w:r>
              <w:rPr>
                <w:rFonts w:hint="default" w:ascii="Times New Roman" w:hAnsi="Times New Roman" w:cs="Times New Roman"/>
                <w:color w:val="auto"/>
                <w:sz w:val="24"/>
                <w:szCs w:val="24"/>
                <w:lang w:val="en-US" w:eastAsia="zh-CN"/>
              </w:rPr>
              <w:t>h</w:t>
            </w:r>
            <w:r>
              <w:rPr>
                <w:rFonts w:hint="default" w:ascii="Times New Roman" w:hAnsi="Times New Roman" w:eastAsia="宋体" w:cs="Times New Roman"/>
                <w:color w:val="auto"/>
                <w:sz w:val="24"/>
                <w:szCs w:val="24"/>
                <w:lang w:val="en-US" w:eastAsia="zh-CN"/>
              </w:rPr>
              <w:t>（</w:t>
            </w:r>
            <w:r>
              <w:rPr>
                <w:rFonts w:hint="default" w:ascii="Times New Roman" w:hAnsi="Times New Roman" w:cs="Times New Roman"/>
                <w:color w:val="auto"/>
                <w:sz w:val="24"/>
                <w:szCs w:val="24"/>
                <w:lang w:val="en-US" w:eastAsia="zh-CN"/>
              </w:rPr>
              <w:t>68000</w:t>
            </w:r>
            <w:r>
              <w:rPr>
                <w:rFonts w:hint="default" w:ascii="Times New Roman" w:hAnsi="Times New Roman" w:eastAsia="宋体" w:cs="Times New Roman"/>
                <w:color w:val="auto"/>
                <w:sz w:val="24"/>
                <w:szCs w:val="24"/>
                <w:lang w:val="en-US" w:eastAsia="zh-CN"/>
              </w:rPr>
              <w:t>t/a），</w:t>
            </w:r>
            <w:r>
              <w:rPr>
                <w:rFonts w:hint="default" w:ascii="Times New Roman" w:hAnsi="Times New Roman" w:cs="Times New Roman"/>
                <w:color w:val="auto"/>
                <w:sz w:val="24"/>
                <w:szCs w:val="24"/>
                <w:lang w:val="en-US" w:eastAsia="zh-CN"/>
              </w:rPr>
              <w:t>浓盐水排入回用水池，作为脱硫系统补充水。</w:t>
            </w:r>
          </w:p>
          <w:p w14:paraId="52BDEA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④脱硫系统用、排水</w:t>
            </w:r>
          </w:p>
          <w:p w14:paraId="362DDD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spacing w:val="-1"/>
                <w:sz w:val="24"/>
                <w:szCs w:val="24"/>
                <w:lang w:val="en-US" w:eastAsia="zh-CN"/>
              </w:rPr>
            </w:pPr>
            <w:r>
              <w:rPr>
                <w:rFonts w:hint="default" w:ascii="Times New Roman" w:hAnsi="Times New Roman" w:cs="Times New Roman"/>
                <w:color w:val="auto"/>
                <w:sz w:val="24"/>
                <w:szCs w:val="24"/>
                <w:lang w:val="en-US" w:eastAsia="zh-CN"/>
              </w:rPr>
              <w:t>本</w:t>
            </w:r>
            <w:r>
              <w:rPr>
                <w:rFonts w:hint="default" w:ascii="Times New Roman" w:hAnsi="Times New Roman" w:eastAsia="宋体" w:cs="Times New Roman"/>
                <w:color w:val="auto"/>
                <w:spacing w:val="2"/>
                <w:sz w:val="24"/>
                <w:szCs w:val="24"/>
              </w:rPr>
              <w:t>项目</w:t>
            </w:r>
            <w:r>
              <w:rPr>
                <w:rFonts w:hint="default" w:ascii="Times New Roman" w:hAnsi="Times New Roman" w:cs="Times New Roman"/>
                <w:color w:val="auto"/>
                <w:spacing w:val="2"/>
                <w:sz w:val="24"/>
                <w:szCs w:val="24"/>
                <w:lang w:eastAsia="zh-CN"/>
              </w:rPr>
              <w:t>煤气</w:t>
            </w:r>
            <w:r>
              <w:rPr>
                <w:rFonts w:hint="default" w:ascii="Times New Roman" w:hAnsi="Times New Roman" w:eastAsia="宋体" w:cs="Times New Roman"/>
                <w:color w:val="auto"/>
                <w:spacing w:val="2"/>
                <w:sz w:val="24"/>
                <w:szCs w:val="24"/>
              </w:rPr>
              <w:t>成分复杂、含水多，在管道输送过程会产生部分管道凝</w:t>
            </w:r>
            <w:r>
              <w:rPr>
                <w:rFonts w:hint="default" w:ascii="Times New Roman" w:hAnsi="Times New Roman" w:eastAsia="宋体" w:cs="Times New Roman"/>
                <w:color w:val="auto"/>
                <w:spacing w:val="-1"/>
                <w:sz w:val="24"/>
                <w:szCs w:val="24"/>
              </w:rPr>
              <w:t>结水，其基本属酚氨废水，该部分废水主要污染物有</w:t>
            </w:r>
            <w:r>
              <w:rPr>
                <w:rFonts w:hint="default" w:ascii="Times New Roman" w:hAnsi="Times New Roman" w:eastAsia="Times New Roman" w:cs="Times New Roman"/>
                <w:color w:val="auto"/>
                <w:spacing w:val="-1"/>
                <w:sz w:val="24"/>
                <w:szCs w:val="24"/>
              </w:rPr>
              <w:t>COD</w:t>
            </w:r>
            <w:r>
              <w:rPr>
                <w:rFonts w:hint="default" w:ascii="Times New Roman" w:hAnsi="Times New Roman" w:eastAsia="宋体" w:cs="Times New Roman"/>
                <w:color w:val="auto"/>
                <w:spacing w:val="-1"/>
                <w:sz w:val="24"/>
                <w:szCs w:val="24"/>
              </w:rPr>
              <w:t>、</w:t>
            </w:r>
            <w:r>
              <w:rPr>
                <w:rFonts w:hint="default" w:ascii="Times New Roman" w:hAnsi="Times New Roman" w:eastAsia="Times New Roman" w:cs="Times New Roman"/>
                <w:color w:val="auto"/>
                <w:spacing w:val="-1"/>
                <w:sz w:val="24"/>
                <w:szCs w:val="24"/>
              </w:rPr>
              <w:t>NH</w:t>
            </w:r>
            <w:r>
              <w:rPr>
                <w:rFonts w:hint="default" w:ascii="Times New Roman" w:hAnsi="Times New Roman" w:eastAsia="Times New Roman" w:cs="Times New Roman"/>
                <w:color w:val="auto"/>
                <w:spacing w:val="-1"/>
                <w:sz w:val="15"/>
                <w:szCs w:val="15"/>
              </w:rPr>
              <w:t>3</w:t>
            </w:r>
            <w:r>
              <w:rPr>
                <w:rFonts w:hint="default" w:ascii="Times New Roman" w:hAnsi="Times New Roman" w:eastAsia="Times New Roman" w:cs="Times New Roman"/>
                <w:color w:val="auto"/>
                <w:spacing w:val="-1"/>
                <w:sz w:val="24"/>
                <w:szCs w:val="24"/>
              </w:rPr>
              <w:t>-N</w:t>
            </w:r>
            <w:r>
              <w:rPr>
                <w:rFonts w:hint="default" w:ascii="Times New Roman" w:hAnsi="Times New Roman" w:eastAsia="宋体" w:cs="Times New Roman"/>
                <w:color w:val="auto"/>
                <w:spacing w:val="-1"/>
                <w:sz w:val="24"/>
                <w:szCs w:val="24"/>
              </w:rPr>
              <w:t>、石油类、挥发</w:t>
            </w:r>
            <w:r>
              <w:rPr>
                <w:rFonts w:hint="default" w:ascii="Times New Roman" w:hAnsi="Times New Roman" w:eastAsia="宋体" w:cs="Times New Roman"/>
                <w:color w:val="auto"/>
                <w:spacing w:val="2"/>
                <w:sz w:val="24"/>
                <w:szCs w:val="24"/>
              </w:rPr>
              <w:t>酚、硫化物、总氰等，通过管线引入锅炉焚烧处理，焚烧后的废水污染物基本转化</w:t>
            </w:r>
            <w:r>
              <w:rPr>
                <w:rFonts w:hint="default" w:ascii="Times New Roman" w:hAnsi="Times New Roman" w:eastAsia="宋体" w:cs="Times New Roman"/>
                <w:color w:val="auto"/>
                <w:sz w:val="24"/>
                <w:szCs w:val="24"/>
              </w:rPr>
              <w:t>为</w:t>
            </w:r>
            <w:r>
              <w:rPr>
                <w:rFonts w:hint="default" w:ascii="Times New Roman" w:hAnsi="Times New Roman" w:eastAsia="Times New Roman" w:cs="Times New Roman"/>
                <w:color w:val="auto"/>
                <w:sz w:val="24"/>
                <w:szCs w:val="24"/>
              </w:rPr>
              <w:t>N</w:t>
            </w:r>
            <w:r>
              <w:rPr>
                <w:rFonts w:hint="default" w:ascii="Times New Roman" w:hAnsi="Times New Roman" w:eastAsia="Times New Roman" w:cs="Times New Roman"/>
                <w:color w:val="auto"/>
                <w:position w:val="-1"/>
                <w:sz w:val="15"/>
                <w:szCs w:val="15"/>
              </w:rPr>
              <w:t>2</w:t>
            </w:r>
            <w:r>
              <w:rPr>
                <w:rFonts w:hint="default" w:ascii="Times New Roman" w:hAnsi="Times New Roman" w:eastAsia="宋体" w:cs="Times New Roman"/>
                <w:color w:val="auto"/>
                <w:sz w:val="24"/>
                <w:szCs w:val="24"/>
              </w:rPr>
              <w:t>、</w:t>
            </w:r>
            <w:r>
              <w:rPr>
                <w:rFonts w:hint="default" w:ascii="Times New Roman" w:hAnsi="Times New Roman" w:eastAsia="Times New Roman" w:cs="Times New Roman"/>
                <w:color w:val="auto"/>
                <w:sz w:val="24"/>
                <w:szCs w:val="24"/>
              </w:rPr>
              <w:t>CO</w:t>
            </w:r>
            <w:r>
              <w:rPr>
                <w:rFonts w:hint="default" w:ascii="Times New Roman" w:hAnsi="Times New Roman" w:eastAsia="宋体" w:cs="Times New Roman"/>
                <w:color w:val="auto"/>
                <w:sz w:val="24"/>
                <w:szCs w:val="24"/>
              </w:rPr>
              <w:t>、</w:t>
            </w:r>
            <w:r>
              <w:rPr>
                <w:rFonts w:hint="default" w:ascii="Times New Roman" w:hAnsi="Times New Roman" w:eastAsia="Times New Roman" w:cs="Times New Roman"/>
                <w:color w:val="auto"/>
                <w:sz w:val="24"/>
                <w:szCs w:val="24"/>
              </w:rPr>
              <w:t>SO</w:t>
            </w:r>
            <w:r>
              <w:rPr>
                <w:rFonts w:hint="default" w:ascii="Times New Roman" w:hAnsi="Times New Roman" w:eastAsia="Times New Roman" w:cs="Times New Roman"/>
                <w:color w:val="auto"/>
                <w:position w:val="-1"/>
                <w:sz w:val="15"/>
                <w:szCs w:val="15"/>
              </w:rPr>
              <w:t>2</w:t>
            </w:r>
            <w:r>
              <w:rPr>
                <w:rFonts w:hint="default" w:ascii="Times New Roman" w:hAnsi="Times New Roman" w:eastAsia="宋体" w:cs="Times New Roman"/>
                <w:color w:val="auto"/>
                <w:sz w:val="24"/>
                <w:szCs w:val="24"/>
              </w:rPr>
              <w:t>、</w:t>
            </w:r>
            <w:r>
              <w:rPr>
                <w:rFonts w:hint="default" w:ascii="Times New Roman" w:hAnsi="Times New Roman" w:eastAsia="Times New Roman" w:cs="Times New Roman"/>
                <w:color w:val="auto"/>
                <w:sz w:val="24"/>
                <w:szCs w:val="24"/>
              </w:rPr>
              <w:t>CO</w:t>
            </w:r>
            <w:r>
              <w:rPr>
                <w:rFonts w:hint="default" w:ascii="Times New Roman" w:hAnsi="Times New Roman" w:eastAsia="Times New Roman" w:cs="Times New Roman"/>
                <w:color w:val="auto"/>
                <w:position w:val="-1"/>
                <w:sz w:val="15"/>
                <w:szCs w:val="15"/>
              </w:rPr>
              <w:t>2</w:t>
            </w:r>
            <w:r>
              <w:rPr>
                <w:rFonts w:hint="default" w:ascii="Times New Roman" w:hAnsi="Times New Roman" w:eastAsia="宋体" w:cs="Times New Roman"/>
                <w:color w:val="auto"/>
                <w:sz w:val="24"/>
                <w:szCs w:val="24"/>
              </w:rPr>
              <w:t>等气体，最终随项目产生的废气一</w:t>
            </w:r>
            <w:r>
              <w:rPr>
                <w:rFonts w:hint="default" w:ascii="Times New Roman" w:hAnsi="Times New Roman" w:eastAsia="宋体" w:cs="Times New Roman"/>
                <w:color w:val="auto"/>
                <w:spacing w:val="-1"/>
                <w:sz w:val="24"/>
                <w:szCs w:val="24"/>
              </w:rPr>
              <w:t>起进入脱硫循环水系统，</w:t>
            </w:r>
            <w:r>
              <w:rPr>
                <w:rFonts w:hint="default" w:ascii="Times New Roman" w:hAnsi="Times New Roman" w:eastAsia="宋体" w:cs="Times New Roman"/>
                <w:color w:val="auto"/>
                <w:spacing w:val="2"/>
                <w:sz w:val="24"/>
                <w:szCs w:val="24"/>
              </w:rPr>
              <w:t>同时</w:t>
            </w:r>
            <w:r>
              <w:rPr>
                <w:rFonts w:hint="default" w:ascii="Times New Roman" w:hAnsi="Times New Roman" w:cs="Times New Roman"/>
                <w:color w:val="auto"/>
                <w:spacing w:val="2"/>
                <w:sz w:val="24"/>
                <w:szCs w:val="24"/>
                <w:lang w:eastAsia="zh-CN"/>
              </w:rPr>
              <w:t>煤气</w:t>
            </w:r>
            <w:r>
              <w:rPr>
                <w:rFonts w:hint="default" w:ascii="Times New Roman" w:hAnsi="Times New Roman" w:eastAsia="宋体" w:cs="Times New Roman"/>
                <w:color w:val="auto"/>
                <w:spacing w:val="2"/>
                <w:sz w:val="24"/>
                <w:szCs w:val="24"/>
              </w:rPr>
              <w:t>中含水因烟气逐渐冷却进入脱硫循环水系统，</w:t>
            </w:r>
            <w:r>
              <w:rPr>
                <w:rFonts w:hint="default" w:ascii="Times New Roman" w:hAnsi="Times New Roman" w:cs="Times New Roman"/>
                <w:color w:val="auto"/>
                <w:sz w:val="24"/>
                <w:szCs w:val="24"/>
                <w:lang w:val="en-US" w:eastAsia="zh-CN"/>
              </w:rPr>
              <w:t>根据设计文件，脱硫系统循环水量40t</w:t>
            </w:r>
            <w:r>
              <w:rPr>
                <w:rFonts w:hint="default" w:ascii="Times New Roman" w:hAnsi="Times New Roman" w:cs="Times New Roman"/>
                <w:color w:val="auto"/>
                <w:sz w:val="24"/>
                <w:szCs w:val="24"/>
                <w:vertAlign w:val="baseline"/>
                <w:lang w:val="en-US" w:eastAsia="zh-CN"/>
              </w:rPr>
              <w:t>/h，</w:t>
            </w:r>
            <w:r>
              <w:rPr>
                <w:rFonts w:hint="default" w:ascii="Times New Roman" w:hAnsi="Times New Roman" w:cs="Times New Roman"/>
                <w:color w:val="auto"/>
                <w:sz w:val="24"/>
                <w:szCs w:val="24"/>
                <w:lang w:val="en-US" w:eastAsia="zh-CN"/>
              </w:rPr>
              <w:t>为维持脱硫装置正常运行，补充因蒸发、排污、工艺消耗等损失，需要定期进行补水，脱硫系统补</w:t>
            </w:r>
            <w:r>
              <w:rPr>
                <w:rFonts w:hint="default" w:ascii="Times New Roman" w:hAnsi="Times New Roman" w:eastAsia="宋体" w:cs="Times New Roman"/>
                <w:color w:val="auto"/>
                <w:spacing w:val="-1"/>
                <w:sz w:val="24"/>
                <w:szCs w:val="24"/>
                <w:lang w:val="en-US" w:eastAsia="zh-CN"/>
              </w:rPr>
              <w:t>充水量为24t/h，其中</w:t>
            </w:r>
            <w:r>
              <w:rPr>
                <w:rFonts w:hint="default" w:ascii="Times New Roman" w:hAnsi="Times New Roman" w:cs="Times New Roman"/>
                <w:color w:val="auto"/>
                <w:spacing w:val="-1"/>
                <w:sz w:val="24"/>
                <w:szCs w:val="24"/>
                <w:lang w:val="en-US" w:eastAsia="zh-CN"/>
              </w:rPr>
              <w:t>11.31</w:t>
            </w:r>
            <w:r>
              <w:rPr>
                <w:rFonts w:hint="default" w:ascii="Times New Roman" w:hAnsi="Times New Roman" w:eastAsia="宋体" w:cs="Times New Roman"/>
                <w:color w:val="auto"/>
                <w:spacing w:val="-1"/>
                <w:sz w:val="24"/>
                <w:szCs w:val="24"/>
                <w:lang w:val="en-US" w:eastAsia="zh-CN"/>
              </w:rPr>
              <w:t>t/h为新鲜水，</w:t>
            </w:r>
            <w:r>
              <w:rPr>
                <w:rFonts w:hint="default" w:ascii="Times New Roman" w:hAnsi="Times New Roman" w:cs="Times New Roman"/>
                <w:color w:val="auto"/>
                <w:spacing w:val="-1"/>
                <w:sz w:val="24"/>
                <w:szCs w:val="24"/>
                <w:lang w:val="en-US" w:eastAsia="zh-CN"/>
              </w:rPr>
              <w:t>11.19</w:t>
            </w:r>
            <w:r>
              <w:rPr>
                <w:rFonts w:hint="default" w:ascii="Times New Roman" w:hAnsi="Times New Roman" w:eastAsia="宋体" w:cs="Times New Roman"/>
                <w:color w:val="auto"/>
                <w:spacing w:val="-1"/>
                <w:sz w:val="24"/>
                <w:szCs w:val="24"/>
                <w:lang w:val="en-US" w:eastAsia="zh-CN"/>
              </w:rPr>
              <w:t>t/h为回用水池水，</w:t>
            </w:r>
            <w:r>
              <w:rPr>
                <w:rFonts w:hint="default" w:ascii="Times New Roman" w:hAnsi="Times New Roman" w:cs="Times New Roman"/>
                <w:color w:val="auto"/>
                <w:spacing w:val="-1"/>
                <w:sz w:val="24"/>
                <w:szCs w:val="24"/>
                <w:lang w:val="en-US" w:eastAsia="zh-CN"/>
              </w:rPr>
              <w:t>1.50</w:t>
            </w:r>
            <w:r>
              <w:rPr>
                <w:rFonts w:hint="default" w:ascii="Times New Roman" w:hAnsi="Times New Roman" w:eastAsia="宋体" w:cs="Times New Roman"/>
                <w:color w:val="auto"/>
                <w:spacing w:val="-1"/>
                <w:sz w:val="24"/>
                <w:szCs w:val="24"/>
                <w:lang w:val="en-US" w:eastAsia="zh-CN"/>
              </w:rPr>
              <w:t>t/h为厂内定排坑水。石灰石-石膏湿法脱硫系统中，定期排污水</w:t>
            </w:r>
            <w:r>
              <w:rPr>
                <w:rFonts w:hint="default" w:ascii="Times New Roman" w:hAnsi="Times New Roman" w:cs="Times New Roman"/>
                <w:color w:val="auto"/>
                <w:spacing w:val="-1"/>
                <w:sz w:val="24"/>
                <w:szCs w:val="24"/>
                <w:lang w:val="en-US" w:eastAsia="zh-CN"/>
              </w:rPr>
              <w:t>的</w:t>
            </w:r>
            <w:r>
              <w:rPr>
                <w:rFonts w:hint="default" w:ascii="Times New Roman" w:hAnsi="Times New Roman" w:eastAsia="宋体" w:cs="Times New Roman"/>
                <w:color w:val="auto"/>
                <w:spacing w:val="-1"/>
                <w:sz w:val="24"/>
                <w:szCs w:val="24"/>
                <w:lang w:val="en-US" w:eastAsia="zh-CN"/>
              </w:rPr>
              <w:t>脱硫废水占系统总损失</w:t>
            </w:r>
            <w:r>
              <w:rPr>
                <w:rFonts w:hint="default" w:ascii="Times New Roman" w:hAnsi="Times New Roman" w:cs="Times New Roman"/>
                <w:color w:val="auto"/>
                <w:spacing w:val="-1"/>
                <w:sz w:val="24"/>
                <w:szCs w:val="24"/>
                <w:lang w:val="en-US" w:eastAsia="zh-CN"/>
              </w:rPr>
              <w:t>水</w:t>
            </w:r>
            <w:r>
              <w:rPr>
                <w:rFonts w:hint="default" w:ascii="Times New Roman" w:hAnsi="Times New Roman" w:eastAsia="宋体" w:cs="Times New Roman"/>
                <w:color w:val="auto"/>
                <w:spacing w:val="-1"/>
                <w:sz w:val="24"/>
                <w:szCs w:val="24"/>
                <w:lang w:val="en-US" w:eastAsia="zh-CN"/>
              </w:rPr>
              <w:t>的比例</w:t>
            </w:r>
            <w:r>
              <w:rPr>
                <w:rFonts w:hint="default" w:ascii="Times New Roman" w:hAnsi="Times New Roman" w:cs="Times New Roman"/>
                <w:color w:val="auto"/>
                <w:spacing w:val="-1"/>
                <w:sz w:val="24"/>
                <w:szCs w:val="24"/>
                <w:lang w:val="en-US" w:eastAsia="zh-CN"/>
              </w:rPr>
              <w:t>约</w:t>
            </w:r>
            <w:r>
              <w:rPr>
                <w:rFonts w:hint="default" w:ascii="Times New Roman" w:hAnsi="Times New Roman" w:eastAsia="宋体" w:cs="Times New Roman"/>
                <w:color w:val="auto"/>
                <w:spacing w:val="-1"/>
                <w:sz w:val="24"/>
                <w:szCs w:val="24"/>
                <w:lang w:val="en-US" w:eastAsia="zh-CN"/>
              </w:rPr>
              <w:t>为5%</w:t>
            </w:r>
            <w:r>
              <w:rPr>
                <w:rFonts w:hint="default" w:ascii="Times New Roman" w:hAnsi="Times New Roman" w:cs="Times New Roman"/>
                <w:color w:val="auto"/>
                <w:spacing w:val="-1"/>
                <w:sz w:val="24"/>
                <w:szCs w:val="24"/>
                <w:lang w:val="en-US" w:eastAsia="zh-CN"/>
              </w:rPr>
              <w:t>（1.20t/h，9600t</w:t>
            </w:r>
            <w:r>
              <w:rPr>
                <w:rFonts w:hint="default" w:ascii="Times New Roman" w:hAnsi="Times New Roman" w:eastAsia="宋体" w:cs="Times New Roman"/>
                <w:color w:val="auto"/>
                <w:sz w:val="24"/>
                <w:szCs w:val="24"/>
                <w:lang w:val="en-US" w:eastAsia="zh-CN"/>
              </w:rPr>
              <w:t>/a</w:t>
            </w:r>
            <w:r>
              <w:rPr>
                <w:rFonts w:hint="default" w:ascii="Times New Roman" w:hAnsi="Times New Roman" w:cs="Times New Roman"/>
                <w:color w:val="auto"/>
                <w:spacing w:val="-1"/>
                <w:sz w:val="24"/>
                <w:szCs w:val="24"/>
                <w:lang w:val="en-US" w:eastAsia="zh-CN"/>
              </w:rPr>
              <w:t>），用于石灰石粉卸料和运输过程抑尘。</w:t>
            </w:r>
          </w:p>
          <w:p w14:paraId="0CFCD2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⑤化验室检验用水</w:t>
            </w:r>
          </w:p>
          <w:p w14:paraId="51CD94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检验化验任务包括锅炉给水项目、饱和蒸汽、过热蒸汽检验项目和凝结水检验项目等常规水质分析，因需使用各类化学试剂，产生的废水成分复杂，主要包含酸碱、金属离子、有机试剂及反应产物，且可能含有微量重金属或难降解有机物。根据建设单位提供资料，检验用水量为0.5t/d新鲜水，0.25t/d为外购纯水。</w:t>
            </w:r>
          </w:p>
          <w:p w14:paraId="1499EBC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若化验过程仅使用常规试剂，且常规中不含有毒有害特征污染物，经中和处理后，可纳入企业废水处理系统，不属于危险废物。若使用含重金属的显色剂、标准溶液（如铁、铜离子标准液的残液），或废水中重金属浓度超出《污水综合排放标准》（GB8978-1996）限值，则属于HW49其他废物（代码900-047-49，实验室含油化学试剂、药品），化验废液属于危险废物，暂存至危废暂存点，委托有资质的单位定期清运处置。</w:t>
            </w:r>
          </w:p>
          <w:p w14:paraId="22DCF2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其中检验用水约20%（0.15t/h，50.10t/a）为自然损耗，70%（0.53t/h，177.02t/a）为常规检验废水，约10%（0.07t/h，23.38t/a）为危险废物。</w:t>
            </w:r>
          </w:p>
          <w:p w14:paraId="66A1F8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r>
              <w:rPr>
                <w:rFonts w:hint="default" w:ascii="Times New Roman" w:hAnsi="Times New Roman"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）消防用水</w:t>
            </w:r>
          </w:p>
          <w:p w14:paraId="3919C4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本项目室内、外消防灭火系统最大水量按主厂房计算，主厂房建筑高度小于24m，体积小于50000m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，建筑物耐火等级为二级，火灾危险性类别为丁类。因此室内消防水量为不小于20L/s，室外消防水量为不小于20L/s。因此，消防最大水量不小于40L/s，火灾延续时间按2小时考虑。</w:t>
            </w:r>
            <w:r>
              <w:rPr>
                <w:rFonts w:hint="default" w:ascii="Times New Roman" w:hAnsi="Times New Roman" w:cs="Times New Roman"/>
                <w:color w:val="auto"/>
                <w:sz w:val="24"/>
                <w:szCs w:val="24"/>
                <w:lang w:val="en-US" w:eastAsia="zh-CN"/>
              </w:rPr>
              <w:t>经计算，本项目消防用水量为288t/a，为新鲜水。</w:t>
            </w:r>
          </w:p>
          <w:p w14:paraId="0D3835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（4）</w:t>
            </w:r>
            <w:r>
              <w:rPr>
                <w:rFonts w:hint="default" w:ascii="Times New Roman" w:hAnsi="Times New Roman" w:eastAsia="宋体" w:cs="Times New Roman"/>
                <w:color w:val="auto"/>
                <w:sz w:val="24"/>
                <w:szCs w:val="24"/>
                <w:lang w:val="en-US" w:eastAsia="zh-CN"/>
              </w:rPr>
              <w:t>绿化用水</w:t>
            </w:r>
          </w:p>
          <w:p w14:paraId="52EBCF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snapToGrid w:val="0"/>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本项目</w:t>
            </w:r>
            <w:r>
              <w:rPr>
                <w:rFonts w:hint="default" w:ascii="Times New Roman" w:hAnsi="Times New Roman" w:cs="Times New Roman"/>
                <w:color w:val="auto"/>
                <w:sz w:val="24"/>
                <w:szCs w:val="24"/>
                <w:lang w:val="en-US" w:eastAsia="zh-CN"/>
              </w:rPr>
              <w:t>绿化</w:t>
            </w:r>
            <w:r>
              <w:rPr>
                <w:rFonts w:hint="default" w:ascii="Times New Roman" w:hAnsi="Times New Roman" w:eastAsia="宋体" w:cs="Times New Roman"/>
                <w:color w:val="auto"/>
                <w:sz w:val="24"/>
                <w:szCs w:val="24"/>
                <w:lang w:val="en-US" w:eastAsia="zh-CN"/>
              </w:rPr>
              <w:t>面积约</w:t>
            </w:r>
            <w:r>
              <w:rPr>
                <w:rFonts w:hint="default" w:ascii="Times New Roman" w:hAnsi="Times New Roman" w:cs="Times New Roman"/>
                <w:color w:val="auto"/>
                <w:sz w:val="24"/>
                <w:szCs w:val="24"/>
                <w:lang w:val="en-US" w:eastAsia="zh-CN"/>
              </w:rPr>
              <w:t>为2200</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，绿化用水系数为0.002t/m</w:t>
            </w:r>
            <w:r>
              <w:rPr>
                <w:rFonts w:hint="default" w:ascii="Times New Roman" w:hAnsi="Times New Roman" w:eastAsia="宋体" w:cs="Times New Roman"/>
                <w:color w:val="auto"/>
                <w:sz w:val="24"/>
                <w:szCs w:val="24"/>
                <w:vertAlign w:val="superscript"/>
                <w:lang w:val="en-US" w:eastAsia="zh-CN"/>
              </w:rPr>
              <w:t>2</w:t>
            </w:r>
            <w:r>
              <w:rPr>
                <w:rFonts w:hint="default" w:ascii="Times New Roman" w:hAnsi="Times New Roman" w:eastAsia="宋体" w:cs="Times New Roman"/>
                <w:color w:val="auto"/>
                <w:sz w:val="24"/>
                <w:szCs w:val="24"/>
                <w:lang w:val="en-US" w:eastAsia="zh-CN"/>
              </w:rPr>
              <w:t>·d，用水天数以150天计，绿化用水量为4</w:t>
            </w:r>
            <w:r>
              <w:rPr>
                <w:rFonts w:hint="default" w:ascii="Times New Roman" w:hAnsi="Times New Roman" w:cs="Times New Roman"/>
                <w:color w:val="auto"/>
                <w:sz w:val="24"/>
                <w:szCs w:val="24"/>
                <w:lang w:val="en-US" w:eastAsia="zh-CN"/>
              </w:rPr>
              <w:t>.40</w:t>
            </w:r>
            <w:r>
              <w:rPr>
                <w:rFonts w:hint="default" w:ascii="Times New Roman" w:hAnsi="Times New Roman" w:eastAsia="宋体" w:cs="Times New Roman"/>
                <w:color w:val="auto"/>
                <w:sz w:val="24"/>
                <w:szCs w:val="24"/>
                <w:lang w:val="en-US" w:eastAsia="zh-CN"/>
              </w:rPr>
              <w:t>t/d（</w:t>
            </w:r>
            <w:r>
              <w:rPr>
                <w:rFonts w:hint="default" w:ascii="Times New Roman" w:hAnsi="Times New Roman" w:cs="Times New Roman"/>
                <w:color w:val="auto"/>
                <w:sz w:val="24"/>
                <w:szCs w:val="24"/>
                <w:lang w:val="en-US" w:eastAsia="zh-CN"/>
              </w:rPr>
              <w:t>660</w:t>
            </w:r>
            <w:r>
              <w:rPr>
                <w:rFonts w:hint="default" w:ascii="Times New Roman" w:hAnsi="Times New Roman" w:eastAsia="宋体" w:cs="Times New Roman"/>
                <w:color w:val="auto"/>
                <w:sz w:val="24"/>
                <w:szCs w:val="24"/>
                <w:lang w:val="en-US" w:eastAsia="zh-CN"/>
              </w:rPr>
              <w:t>t/a）。</w:t>
            </w:r>
          </w:p>
          <w:p w14:paraId="36730E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综上，本项目新鲜水用水量为</w:t>
            </w:r>
            <w:r>
              <w:rPr>
                <w:rFonts w:hint="default" w:ascii="Times New Roman" w:hAnsi="Times New Roman" w:cs="Times New Roman"/>
                <w:color w:val="auto"/>
                <w:sz w:val="24"/>
                <w:szCs w:val="24"/>
                <w:lang w:val="en-US" w:eastAsia="zh-CN"/>
              </w:rPr>
              <w:t>293114.38</w:t>
            </w:r>
            <w:r>
              <w:rPr>
                <w:rFonts w:hint="default" w:ascii="Times New Roman" w:hAnsi="Times New Roman" w:eastAsia="宋体" w:cs="Times New Roman"/>
                <w:color w:val="auto"/>
                <w:sz w:val="24"/>
                <w:szCs w:val="24"/>
                <w:lang w:val="en-US" w:eastAsia="zh-CN"/>
              </w:rPr>
              <w:t>t/a，</w:t>
            </w:r>
            <w:r>
              <w:rPr>
                <w:rFonts w:hint="default" w:ascii="Times New Roman" w:hAnsi="Times New Roman" w:cs="Times New Roman"/>
                <w:color w:val="auto"/>
                <w:sz w:val="24"/>
                <w:szCs w:val="24"/>
                <w:lang w:val="en-US" w:eastAsia="zh-CN"/>
              </w:rPr>
              <w:t>回用水量为101537.02</w:t>
            </w:r>
            <w:r>
              <w:rPr>
                <w:rFonts w:hint="default" w:ascii="Times New Roman" w:hAnsi="Times New Roman" w:eastAsia="宋体" w:cs="Times New Roman"/>
                <w:color w:val="auto"/>
                <w:sz w:val="24"/>
                <w:szCs w:val="24"/>
                <w:lang w:val="en-US" w:eastAsia="zh-CN"/>
              </w:rPr>
              <w:t>t/a</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外排水量为</w:t>
            </w:r>
            <w:r>
              <w:rPr>
                <w:rFonts w:hint="default" w:ascii="Times New Roman" w:hAnsi="Times New Roman" w:cs="Times New Roman"/>
                <w:color w:val="auto"/>
                <w:sz w:val="24"/>
                <w:szCs w:val="24"/>
                <w:lang w:val="en-US" w:eastAsia="zh-CN"/>
              </w:rPr>
              <w:t>1229.12t/a，</w:t>
            </w:r>
            <w:r>
              <w:rPr>
                <w:rFonts w:hint="default" w:ascii="Times New Roman" w:hAnsi="Times New Roman" w:eastAsia="宋体" w:cs="Times New Roman"/>
                <w:snapToGrid w:val="0"/>
                <w:color w:val="auto"/>
                <w:kern w:val="0"/>
                <w:sz w:val="24"/>
                <w:szCs w:val="24"/>
              </w:rPr>
              <w:t>项目</w:t>
            </w:r>
            <w:r>
              <w:rPr>
                <w:rFonts w:hint="default" w:ascii="Times New Roman" w:hAnsi="Times New Roman" w:eastAsia="宋体" w:cs="Times New Roman"/>
                <w:color w:val="auto"/>
                <w:sz w:val="24"/>
                <w:szCs w:val="24"/>
              </w:rPr>
              <w:t>用、排水情况见表</w:t>
            </w:r>
            <w:r>
              <w:rPr>
                <w:rFonts w:hint="default" w:ascii="Times New Roman" w:hAnsi="Times New Roman" w:eastAsia="宋体" w:cs="Times New Roman"/>
                <w:color w:val="auto"/>
                <w:sz w:val="24"/>
                <w:szCs w:val="24"/>
                <w:lang w:val="en-US" w:eastAsia="zh-CN"/>
              </w:rPr>
              <w:t>2-</w:t>
            </w:r>
            <w:r>
              <w:rPr>
                <w:rFonts w:hint="default" w:ascii="Times New Roman" w:hAnsi="Times New Roman" w:cs="Times New Roman"/>
                <w:color w:val="auto"/>
                <w:sz w:val="24"/>
                <w:szCs w:val="24"/>
                <w:lang w:val="en-US" w:eastAsia="zh-CN"/>
              </w:rPr>
              <w:t>8，</w:t>
            </w:r>
            <w:r>
              <w:rPr>
                <w:rFonts w:hint="default" w:ascii="Times New Roman" w:hAnsi="Times New Roman" w:eastAsia="宋体" w:cs="Times New Roman"/>
                <w:color w:val="auto"/>
                <w:sz w:val="24"/>
                <w:szCs w:val="24"/>
              </w:rPr>
              <w:t>给、排水平衡</w:t>
            </w:r>
            <w:r>
              <w:rPr>
                <w:rFonts w:hint="default" w:ascii="Times New Roman" w:hAnsi="Times New Roman" w:eastAsia="宋体" w:cs="Times New Roman"/>
                <w:color w:val="auto"/>
                <w:sz w:val="24"/>
                <w:szCs w:val="24"/>
                <w:lang w:eastAsia="zh-CN"/>
              </w:rPr>
              <w:t>见</w:t>
            </w:r>
            <w:r>
              <w:rPr>
                <w:rFonts w:hint="default" w:ascii="Times New Roman" w:hAnsi="Times New Roman" w:eastAsia="宋体" w:cs="Times New Roman"/>
                <w:color w:val="auto"/>
                <w:sz w:val="24"/>
                <w:szCs w:val="24"/>
                <w:lang w:val="en-US" w:eastAsia="zh-CN"/>
              </w:rPr>
              <w:t>图2-1</w:t>
            </w:r>
            <w:r>
              <w:rPr>
                <w:rFonts w:hint="default" w:ascii="Times New Roman" w:hAnsi="Times New Roman" w:eastAsia="宋体" w:cs="Times New Roman"/>
                <w:color w:val="auto"/>
                <w:sz w:val="24"/>
                <w:szCs w:val="24"/>
              </w:rPr>
              <w:t>。</w:t>
            </w:r>
          </w:p>
          <w:p w14:paraId="64C9BE99">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eastAsia="宋体" w:cs="Times New Roman"/>
                <w:b/>
                <w:color w:val="auto"/>
                <w:sz w:val="24"/>
                <w:szCs w:val="24"/>
                <w:lang w:val="en-US" w:eastAsia="zh-CN"/>
              </w:rPr>
            </w:pPr>
            <w:r>
              <w:rPr>
                <w:rFonts w:hint="default" w:ascii="Times New Roman" w:hAnsi="Times New Roman" w:cs="Times New Roman"/>
                <w:b/>
                <w:color w:val="auto"/>
                <w:sz w:val="24"/>
                <w:szCs w:val="24"/>
                <w:lang w:val="en-US" w:eastAsia="zh-CN"/>
              </w:rPr>
              <w:t>9</w:t>
            </w:r>
            <w:r>
              <w:rPr>
                <w:rFonts w:hint="default" w:ascii="Times New Roman" w:hAnsi="Times New Roman" w:eastAsia="宋体" w:cs="Times New Roman"/>
                <w:b/>
                <w:color w:val="auto"/>
                <w:sz w:val="24"/>
                <w:szCs w:val="24"/>
                <w:lang w:val="en-US" w:eastAsia="zh-CN"/>
              </w:rPr>
              <w:t>.2供电</w:t>
            </w:r>
          </w:p>
          <w:p w14:paraId="78099B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本项目</w:t>
            </w:r>
            <w:r>
              <w:rPr>
                <w:rFonts w:hint="default" w:ascii="Times New Roman" w:hAnsi="Times New Roman" w:eastAsia="宋体" w:cs="Times New Roman"/>
                <w:color w:val="auto"/>
                <w:sz w:val="24"/>
                <w:szCs w:val="24"/>
                <w:lang w:val="en-US" w:eastAsia="zh-CN"/>
              </w:rPr>
              <w:t>发电厂设置1套启动/备用电源系统，电源引自厂区内业主指定的35</w:t>
            </w:r>
            <w:r>
              <w:rPr>
                <w:rFonts w:hint="eastAsia" w:cs="Times New Roman"/>
                <w:color w:val="auto"/>
                <w:sz w:val="24"/>
                <w:szCs w:val="24"/>
                <w:lang w:val="en-US" w:eastAsia="zh-CN"/>
              </w:rPr>
              <w:t>kV</w:t>
            </w:r>
            <w:r>
              <w:rPr>
                <w:rFonts w:hint="default" w:ascii="Times New Roman" w:hAnsi="Times New Roman" w:eastAsia="宋体" w:cs="Times New Roman"/>
                <w:color w:val="auto"/>
                <w:sz w:val="24"/>
                <w:szCs w:val="24"/>
                <w:lang w:val="en-US" w:eastAsia="zh-CN"/>
              </w:rPr>
              <w:t>变电站10</w:t>
            </w:r>
            <w:r>
              <w:rPr>
                <w:rFonts w:hint="eastAsia" w:cs="Times New Roman"/>
                <w:color w:val="auto"/>
                <w:sz w:val="24"/>
                <w:szCs w:val="24"/>
                <w:lang w:val="en-US" w:eastAsia="zh-CN"/>
              </w:rPr>
              <w:t>kV</w:t>
            </w:r>
            <w:r>
              <w:rPr>
                <w:rFonts w:hint="default" w:ascii="Times New Roman" w:hAnsi="Times New Roman" w:eastAsia="宋体" w:cs="Times New Roman"/>
                <w:color w:val="auto"/>
                <w:sz w:val="24"/>
                <w:szCs w:val="24"/>
                <w:lang w:val="en-US" w:eastAsia="zh-CN"/>
              </w:rPr>
              <w:t>母线段。10</w:t>
            </w:r>
            <w:r>
              <w:rPr>
                <w:rFonts w:hint="eastAsia" w:cs="Times New Roman"/>
                <w:color w:val="auto"/>
                <w:sz w:val="24"/>
                <w:szCs w:val="24"/>
                <w:lang w:val="en-US" w:eastAsia="zh-CN"/>
              </w:rPr>
              <w:t>kV</w:t>
            </w:r>
            <w:r>
              <w:rPr>
                <w:rFonts w:hint="default" w:ascii="Times New Roman" w:hAnsi="Times New Roman" w:eastAsia="宋体" w:cs="Times New Roman"/>
                <w:color w:val="auto"/>
                <w:sz w:val="24"/>
                <w:szCs w:val="24"/>
                <w:lang w:val="en-US" w:eastAsia="zh-CN"/>
              </w:rPr>
              <w:t>启备电源配电装置采用单母线接线方式，并通过1母联断路器及隔离柜与机组的10</w:t>
            </w:r>
            <w:r>
              <w:rPr>
                <w:rFonts w:hint="eastAsia" w:cs="Times New Roman"/>
                <w:color w:val="auto"/>
                <w:sz w:val="24"/>
                <w:szCs w:val="24"/>
                <w:lang w:val="en-US" w:eastAsia="zh-CN"/>
              </w:rPr>
              <w:t>kV</w:t>
            </w:r>
            <w:r>
              <w:rPr>
                <w:rFonts w:hint="default" w:ascii="Times New Roman" w:hAnsi="Times New Roman" w:eastAsia="宋体" w:cs="Times New Roman"/>
                <w:color w:val="auto"/>
                <w:sz w:val="24"/>
                <w:szCs w:val="24"/>
                <w:lang w:val="en-US" w:eastAsia="zh-CN"/>
              </w:rPr>
              <w:t>厂用电系统联接</w:t>
            </w:r>
            <w:r>
              <w:rPr>
                <w:rFonts w:hint="default" w:ascii="Times New Roman" w:hAnsi="Times New Roman" w:cs="Times New Roman"/>
                <w:color w:val="auto"/>
                <w:sz w:val="24"/>
                <w:szCs w:val="24"/>
                <w:lang w:val="en-US" w:eastAsia="zh-CN"/>
              </w:rPr>
              <w:t>。</w:t>
            </w:r>
          </w:p>
          <w:p w14:paraId="2F0E1DBF">
            <w:pPr>
              <w:keepNext w:val="0"/>
              <w:keepLines w:val="0"/>
              <w:pageBreakBefore w:val="0"/>
              <w:widowControl w:val="0"/>
              <w:kinsoku/>
              <w:wordWrap/>
              <w:overflowPunct w:val="0"/>
              <w:topLinePunct w:val="0"/>
              <w:autoSpaceDE/>
              <w:autoSpaceDN/>
              <w:bidi w:val="0"/>
              <w:adjustRightInd/>
              <w:snapToGrid/>
              <w:spacing w:line="360" w:lineRule="auto"/>
              <w:textAlignment w:val="auto"/>
              <w:rPr>
                <w:rFonts w:hint="default" w:ascii="Times New Roman" w:hAnsi="Times New Roman" w:eastAsia="宋体" w:cs="Times New Roman"/>
                <w:b/>
                <w:color w:val="auto"/>
                <w:sz w:val="24"/>
                <w:szCs w:val="24"/>
                <w:lang w:val="en-US" w:eastAsia="zh-CN"/>
              </w:rPr>
            </w:pPr>
            <w:r>
              <w:rPr>
                <w:rFonts w:hint="default" w:ascii="Times New Roman" w:hAnsi="Times New Roman" w:cs="Times New Roman"/>
                <w:b/>
                <w:color w:val="auto"/>
                <w:sz w:val="24"/>
                <w:szCs w:val="24"/>
                <w:lang w:val="en-US" w:eastAsia="zh-CN"/>
              </w:rPr>
              <w:t>9.3</w:t>
            </w:r>
            <w:r>
              <w:rPr>
                <w:rFonts w:hint="default" w:ascii="Times New Roman" w:hAnsi="Times New Roman" w:eastAsia="宋体" w:cs="Times New Roman"/>
                <w:b/>
                <w:color w:val="auto"/>
                <w:sz w:val="24"/>
                <w:szCs w:val="24"/>
                <w:lang w:val="en-US" w:eastAsia="zh-CN"/>
              </w:rPr>
              <w:t>供暖</w:t>
            </w:r>
          </w:p>
          <w:p w14:paraId="4B9C2B3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由本机组新建换热站提供，换热站热源为汽轮机第四级抽汽蒸汽，同时供给本机组主厂房及辅助用房采暖。</w:t>
            </w:r>
          </w:p>
          <w:p w14:paraId="2CD354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p w14:paraId="71D97C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p w14:paraId="3BD963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p w14:paraId="2E97C2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p w14:paraId="5738CB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p w14:paraId="06D219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p w14:paraId="050C4E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p w14:paraId="0D7A2B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p w14:paraId="1B78D4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p w14:paraId="13A61C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p w14:paraId="343BD9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p w14:paraId="03F90E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p w14:paraId="13F189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p w14:paraId="4BE1A1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p w14:paraId="118C35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p w14:paraId="6B7DAD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p w14:paraId="3EF10D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p w14:paraId="1A722D8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p w14:paraId="1406B1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p w14:paraId="3E41F4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p>
        </w:tc>
      </w:tr>
    </w:tbl>
    <w:p w14:paraId="16267931">
      <w:pPr>
        <w:keepNext w:val="0"/>
        <w:keepLines w:val="0"/>
        <w:pageBreakBefore w:val="0"/>
        <w:kinsoku/>
        <w:wordWrap/>
        <w:bidi w:val="0"/>
        <w:adjustRightInd/>
        <w:snapToGrid/>
        <w:spacing w:line="360" w:lineRule="auto"/>
        <w:outlineLvl w:val="0"/>
        <w:rPr>
          <w:rFonts w:hint="default" w:ascii="Times New Roman" w:hAnsi="Times New Roman" w:eastAsia="宋体" w:cs="Times New Roman"/>
          <w:color w:val="auto"/>
          <w:sz w:val="30"/>
        </w:rPr>
        <w:sectPr>
          <w:pgSz w:w="11906" w:h="16838"/>
          <w:pgMar w:top="1701" w:right="1531" w:bottom="1701" w:left="1531" w:header="851" w:footer="1077" w:gutter="0"/>
          <w:pgBorders>
            <w:top w:val="none" w:sz="0" w:space="0"/>
            <w:left w:val="none" w:sz="0" w:space="0"/>
            <w:bottom w:val="none" w:sz="0" w:space="0"/>
            <w:right w:val="none" w:sz="0" w:space="0"/>
          </w:pgBorders>
          <w:pgNumType w:fmt="decimal"/>
          <w:cols w:space="720" w:num="1"/>
          <w:docGrid w:linePitch="312" w:charSpace="0"/>
        </w:sectPr>
      </w:pPr>
    </w:p>
    <w:tbl>
      <w:tblPr>
        <w:tblStyle w:val="32"/>
        <w:tblW w:w="1314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57" w:type="dxa"/>
          <w:left w:w="57" w:type="dxa"/>
          <w:bottom w:w="57" w:type="dxa"/>
          <w:right w:w="57" w:type="dxa"/>
        </w:tblCellMar>
      </w:tblPr>
      <w:tblGrid>
        <w:gridCol w:w="695"/>
        <w:gridCol w:w="12445"/>
      </w:tblGrid>
      <w:tr w14:paraId="5B682C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8184" w:hRule="atLeast"/>
          <w:jc w:val="center"/>
        </w:trPr>
        <w:tc>
          <w:tcPr>
            <w:tcW w:w="695" w:type="dxa"/>
            <w:noWrap w:val="0"/>
            <w:vAlign w:val="center"/>
          </w:tcPr>
          <w:p w14:paraId="16E1381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bCs/>
                <w:color w:val="auto"/>
                <w:kern w:val="2"/>
                <w:sz w:val="24"/>
                <w:szCs w:val="24"/>
              </w:rPr>
            </w:pPr>
          </w:p>
        </w:tc>
        <w:tc>
          <w:tcPr>
            <w:tcW w:w="12445" w:type="dxa"/>
            <w:noWrap w:val="0"/>
            <w:vAlign w:val="top"/>
          </w:tcPr>
          <w:p w14:paraId="2923630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color w:val="auto"/>
                <w:sz w:val="21"/>
                <w:szCs w:val="21"/>
                <w:lang w:eastAsia="zh-CN"/>
              </w:rPr>
            </w:pPr>
            <w:r>
              <w:rPr>
                <w:rFonts w:hint="default" w:ascii="Times New Roman" w:hAnsi="Times New Roman" w:eastAsia="宋体" w:cs="Times New Roman"/>
                <w:b/>
                <w:color w:val="auto"/>
                <w:sz w:val="21"/>
                <w:szCs w:val="21"/>
              </w:rPr>
              <w:t>表</w:t>
            </w:r>
            <w:r>
              <w:rPr>
                <w:rFonts w:hint="default" w:ascii="Times New Roman" w:hAnsi="Times New Roman" w:eastAsia="宋体" w:cs="Times New Roman"/>
                <w:b/>
                <w:color w:val="auto"/>
                <w:sz w:val="21"/>
                <w:szCs w:val="21"/>
                <w:lang w:val="en-US" w:eastAsia="zh-CN"/>
              </w:rPr>
              <w:t>2-</w:t>
            </w:r>
            <w:r>
              <w:rPr>
                <w:rFonts w:hint="default" w:ascii="Times New Roman" w:hAnsi="Times New Roman" w:cs="Times New Roman"/>
                <w:b/>
                <w:color w:val="auto"/>
                <w:sz w:val="21"/>
                <w:szCs w:val="21"/>
                <w:lang w:val="en-US" w:eastAsia="zh-CN"/>
              </w:rPr>
              <w:t>8本项目</w:t>
            </w:r>
            <w:r>
              <w:rPr>
                <w:rFonts w:hint="default" w:ascii="Times New Roman" w:hAnsi="Times New Roman" w:eastAsia="宋体" w:cs="Times New Roman"/>
                <w:b/>
                <w:color w:val="auto"/>
                <w:sz w:val="21"/>
                <w:szCs w:val="21"/>
              </w:rPr>
              <w:t>用、排水标准及情况</w:t>
            </w:r>
          </w:p>
          <w:tbl>
            <w:tblPr>
              <w:tblStyle w:val="32"/>
              <w:tblW w:w="5000"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348"/>
              <w:gridCol w:w="346"/>
              <w:gridCol w:w="346"/>
              <w:gridCol w:w="639"/>
              <w:gridCol w:w="464"/>
              <w:gridCol w:w="669"/>
              <w:gridCol w:w="700"/>
              <w:gridCol w:w="737"/>
              <w:gridCol w:w="584"/>
              <w:gridCol w:w="622"/>
              <w:gridCol w:w="495"/>
              <w:gridCol w:w="630"/>
              <w:gridCol w:w="599"/>
              <w:gridCol w:w="684"/>
              <w:gridCol w:w="754"/>
              <w:gridCol w:w="663"/>
              <w:gridCol w:w="651"/>
              <w:gridCol w:w="1888"/>
              <w:gridCol w:w="463"/>
              <w:gridCol w:w="19"/>
            </w:tblGrid>
            <w:tr w14:paraId="5D1C18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1"/>
                <w:wAfter w:w="7" w:type="pct"/>
                <w:trHeight w:val="57" w:hRule="atLeast"/>
                <w:tblHeader/>
              </w:trPr>
              <w:tc>
                <w:tcPr>
                  <w:tcW w:w="141" w:type="pct"/>
                  <w:vMerge w:val="restart"/>
                  <w:tcBorders>
                    <w:tl2br w:val="nil"/>
                    <w:tr2bl w:val="nil"/>
                  </w:tcBorders>
                  <w:shd w:val="clear" w:color="auto" w:fill="auto"/>
                  <w:vAlign w:val="center"/>
                </w:tcPr>
                <w:p w14:paraId="26CC101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序号</w:t>
                  </w:r>
                </w:p>
              </w:tc>
              <w:tc>
                <w:tcPr>
                  <w:tcW w:w="541" w:type="pct"/>
                  <w:gridSpan w:val="3"/>
                  <w:vMerge w:val="restart"/>
                  <w:tcBorders>
                    <w:tl2br w:val="nil"/>
                    <w:tr2bl w:val="nil"/>
                  </w:tcBorders>
                  <w:shd w:val="clear" w:color="auto" w:fill="auto"/>
                  <w:vAlign w:val="center"/>
                </w:tcPr>
                <w:p w14:paraId="20D443B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用水单元</w:t>
                  </w:r>
                </w:p>
              </w:tc>
              <w:tc>
                <w:tcPr>
                  <w:tcW w:w="188" w:type="pct"/>
                  <w:vMerge w:val="restart"/>
                  <w:tcBorders>
                    <w:tl2br w:val="nil"/>
                    <w:tr2bl w:val="nil"/>
                  </w:tcBorders>
                  <w:shd w:val="clear" w:color="auto" w:fill="auto"/>
                  <w:vAlign w:val="center"/>
                </w:tcPr>
                <w:p w14:paraId="5464D8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天数/小时</w:t>
                  </w:r>
                </w:p>
              </w:tc>
              <w:tc>
                <w:tcPr>
                  <w:tcW w:w="556" w:type="pct"/>
                  <w:gridSpan w:val="2"/>
                  <w:tcBorders>
                    <w:tl2br w:val="nil"/>
                    <w:tr2bl w:val="nil"/>
                  </w:tcBorders>
                  <w:shd w:val="clear" w:color="auto" w:fill="auto"/>
                  <w:vAlign w:val="center"/>
                </w:tcPr>
                <w:p w14:paraId="24FD63F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用水量</w:t>
                  </w:r>
                </w:p>
              </w:tc>
              <w:tc>
                <w:tcPr>
                  <w:tcW w:w="1247" w:type="pct"/>
                  <w:gridSpan w:val="5"/>
                  <w:tcBorders>
                    <w:tl2br w:val="nil"/>
                    <w:tr2bl w:val="nil"/>
                  </w:tcBorders>
                  <w:shd w:val="clear" w:color="auto" w:fill="auto"/>
                  <w:vAlign w:val="center"/>
                </w:tcPr>
                <w:p w14:paraId="7FB86B8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用水来源</w:t>
                  </w:r>
                </w:p>
              </w:tc>
              <w:tc>
                <w:tcPr>
                  <w:tcW w:w="243" w:type="pct"/>
                  <w:vMerge w:val="restart"/>
                  <w:tcBorders>
                    <w:tl2br w:val="nil"/>
                    <w:tr2bl w:val="nil"/>
                  </w:tcBorders>
                  <w:shd w:val="clear" w:color="auto" w:fill="auto"/>
                  <w:vAlign w:val="center"/>
                </w:tcPr>
                <w:p w14:paraId="5135A7B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循环水</w:t>
                  </w:r>
                </w:p>
              </w:tc>
              <w:tc>
                <w:tcPr>
                  <w:tcW w:w="584" w:type="pct"/>
                  <w:gridSpan w:val="2"/>
                  <w:tcBorders>
                    <w:tl2br w:val="nil"/>
                    <w:tr2bl w:val="nil"/>
                  </w:tcBorders>
                  <w:shd w:val="clear" w:color="auto" w:fill="auto"/>
                  <w:vAlign w:val="center"/>
                </w:tcPr>
                <w:p w14:paraId="43BAD88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损耗量</w:t>
                  </w:r>
                </w:p>
              </w:tc>
              <w:tc>
                <w:tcPr>
                  <w:tcW w:w="534" w:type="pct"/>
                  <w:gridSpan w:val="2"/>
                  <w:tcBorders>
                    <w:tl2br w:val="nil"/>
                    <w:tr2bl w:val="nil"/>
                  </w:tcBorders>
                  <w:shd w:val="clear" w:color="auto" w:fill="auto"/>
                  <w:vAlign w:val="center"/>
                </w:tcPr>
                <w:p w14:paraId="3EA5BB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废水量</w:t>
                  </w:r>
                </w:p>
              </w:tc>
              <w:tc>
                <w:tcPr>
                  <w:tcW w:w="767" w:type="pct"/>
                  <w:vMerge w:val="restart"/>
                  <w:tcBorders>
                    <w:tl2br w:val="nil"/>
                    <w:tr2bl w:val="nil"/>
                  </w:tcBorders>
                  <w:shd w:val="clear" w:color="auto" w:fill="auto"/>
                  <w:vAlign w:val="center"/>
                </w:tcPr>
                <w:p w14:paraId="731824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排水去向</w:t>
                  </w:r>
                </w:p>
              </w:tc>
              <w:tc>
                <w:tcPr>
                  <w:tcW w:w="188" w:type="pct"/>
                  <w:vMerge w:val="restart"/>
                  <w:tcBorders>
                    <w:tl2br w:val="nil"/>
                    <w:tr2bl w:val="nil"/>
                  </w:tcBorders>
                  <w:shd w:val="clear" w:color="auto" w:fill="auto"/>
                  <w:vAlign w:val="center"/>
                </w:tcPr>
                <w:p w14:paraId="2B2795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cs="Times New Roman"/>
                      <w:b/>
                      <w:bCs/>
                      <w:i w:val="0"/>
                      <w:iCs w:val="0"/>
                      <w:color w:val="auto"/>
                      <w:kern w:val="0"/>
                      <w:sz w:val="21"/>
                      <w:szCs w:val="21"/>
                      <w:u w:val="none"/>
                      <w:lang w:val="en-US" w:eastAsia="zh-CN" w:bidi="ar"/>
                    </w:rPr>
                    <w:t>外排废水</w:t>
                  </w:r>
                </w:p>
              </w:tc>
            </w:tr>
            <w:tr w14:paraId="654823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1"/>
                <w:wAfter w:w="7" w:type="pct"/>
                <w:trHeight w:val="57" w:hRule="atLeast"/>
                <w:tblHeader/>
              </w:trPr>
              <w:tc>
                <w:tcPr>
                  <w:tcW w:w="141" w:type="pct"/>
                  <w:vMerge w:val="continue"/>
                  <w:tcBorders>
                    <w:tl2br w:val="nil"/>
                    <w:tr2bl w:val="nil"/>
                  </w:tcBorders>
                  <w:shd w:val="clear" w:color="auto" w:fill="auto"/>
                  <w:vAlign w:val="center"/>
                </w:tcPr>
                <w:p w14:paraId="6F9C18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p>
              </w:tc>
              <w:tc>
                <w:tcPr>
                  <w:tcW w:w="541" w:type="pct"/>
                  <w:gridSpan w:val="3"/>
                  <w:vMerge w:val="continue"/>
                  <w:tcBorders>
                    <w:tl2br w:val="nil"/>
                    <w:tr2bl w:val="nil"/>
                  </w:tcBorders>
                  <w:shd w:val="clear" w:color="auto" w:fill="auto"/>
                  <w:vAlign w:val="center"/>
                </w:tcPr>
                <w:p w14:paraId="4B80727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p>
              </w:tc>
              <w:tc>
                <w:tcPr>
                  <w:tcW w:w="188" w:type="pct"/>
                  <w:vMerge w:val="continue"/>
                  <w:tcBorders>
                    <w:tl2br w:val="nil"/>
                    <w:tr2bl w:val="nil"/>
                  </w:tcBorders>
                  <w:shd w:val="clear" w:color="auto" w:fill="auto"/>
                  <w:vAlign w:val="center"/>
                </w:tcPr>
                <w:p w14:paraId="1789D94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p>
              </w:tc>
              <w:tc>
                <w:tcPr>
                  <w:tcW w:w="271" w:type="pct"/>
                  <w:tcBorders>
                    <w:tl2br w:val="nil"/>
                    <w:tr2bl w:val="nil"/>
                  </w:tcBorders>
                  <w:shd w:val="clear" w:color="auto" w:fill="auto"/>
                  <w:vAlign w:val="center"/>
                </w:tcPr>
                <w:p w14:paraId="7B5A06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小时用水</w:t>
                  </w:r>
                </w:p>
              </w:tc>
              <w:tc>
                <w:tcPr>
                  <w:tcW w:w="284" w:type="pct"/>
                  <w:tcBorders>
                    <w:tl2br w:val="nil"/>
                    <w:tr2bl w:val="nil"/>
                  </w:tcBorders>
                  <w:shd w:val="clear" w:color="auto" w:fill="auto"/>
                  <w:vAlign w:val="center"/>
                </w:tcPr>
                <w:p w14:paraId="09A3115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年用水量</w:t>
                  </w:r>
                </w:p>
              </w:tc>
              <w:tc>
                <w:tcPr>
                  <w:tcW w:w="299" w:type="pct"/>
                  <w:tcBorders>
                    <w:tl2br w:val="nil"/>
                    <w:tr2bl w:val="nil"/>
                  </w:tcBorders>
                  <w:shd w:val="clear" w:color="auto" w:fill="auto"/>
                  <w:vAlign w:val="center"/>
                </w:tcPr>
                <w:p w14:paraId="400638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新鲜水</w:t>
                  </w:r>
                </w:p>
              </w:tc>
              <w:tc>
                <w:tcPr>
                  <w:tcW w:w="237" w:type="pct"/>
                  <w:tcBorders>
                    <w:tl2br w:val="nil"/>
                    <w:tr2bl w:val="nil"/>
                  </w:tcBorders>
                  <w:shd w:val="clear" w:color="auto" w:fill="auto"/>
                  <w:vAlign w:val="center"/>
                </w:tcPr>
                <w:p w14:paraId="032A33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软化水</w:t>
                  </w:r>
                </w:p>
              </w:tc>
              <w:tc>
                <w:tcPr>
                  <w:tcW w:w="252" w:type="pct"/>
                  <w:tcBorders>
                    <w:tl2br w:val="nil"/>
                    <w:tr2bl w:val="nil"/>
                  </w:tcBorders>
                  <w:shd w:val="clear" w:color="auto" w:fill="auto"/>
                  <w:vAlign w:val="center"/>
                </w:tcPr>
                <w:p w14:paraId="645D2B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cs="Times New Roman"/>
                      <w:b/>
                      <w:bCs/>
                      <w:i w:val="0"/>
                      <w:iCs w:val="0"/>
                      <w:color w:val="auto"/>
                      <w:kern w:val="0"/>
                      <w:sz w:val="21"/>
                      <w:szCs w:val="21"/>
                      <w:u w:val="none"/>
                      <w:lang w:val="en-US" w:eastAsia="zh-CN" w:bidi="ar"/>
                    </w:rPr>
                    <w:t>回用水池</w:t>
                  </w:r>
                </w:p>
              </w:tc>
              <w:tc>
                <w:tcPr>
                  <w:tcW w:w="201" w:type="pct"/>
                  <w:tcBorders>
                    <w:tl2br w:val="nil"/>
                    <w:tr2bl w:val="nil"/>
                  </w:tcBorders>
                  <w:shd w:val="clear" w:color="auto" w:fill="auto"/>
                  <w:vAlign w:val="center"/>
                </w:tcPr>
                <w:p w14:paraId="5751FD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定排坑</w:t>
                  </w:r>
                </w:p>
              </w:tc>
              <w:tc>
                <w:tcPr>
                  <w:tcW w:w="256" w:type="pct"/>
                  <w:tcBorders>
                    <w:tl2br w:val="nil"/>
                    <w:tr2bl w:val="nil"/>
                  </w:tcBorders>
                  <w:shd w:val="clear" w:color="auto" w:fill="auto"/>
                  <w:vAlign w:val="center"/>
                </w:tcPr>
                <w:p w14:paraId="49515A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外购纯水</w:t>
                  </w:r>
                </w:p>
              </w:tc>
              <w:tc>
                <w:tcPr>
                  <w:tcW w:w="243" w:type="pct"/>
                  <w:vMerge w:val="continue"/>
                  <w:tcBorders>
                    <w:tl2br w:val="nil"/>
                    <w:tr2bl w:val="nil"/>
                  </w:tcBorders>
                  <w:shd w:val="clear" w:color="auto" w:fill="auto"/>
                  <w:vAlign w:val="center"/>
                </w:tcPr>
                <w:p w14:paraId="0B4880E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p>
              </w:tc>
              <w:tc>
                <w:tcPr>
                  <w:tcW w:w="278" w:type="pct"/>
                  <w:tcBorders>
                    <w:tl2br w:val="nil"/>
                    <w:tr2bl w:val="nil"/>
                  </w:tcBorders>
                  <w:shd w:val="clear" w:color="auto" w:fill="auto"/>
                  <w:vAlign w:val="center"/>
                </w:tcPr>
                <w:p w14:paraId="2083839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小时损耗</w:t>
                  </w:r>
                </w:p>
              </w:tc>
              <w:tc>
                <w:tcPr>
                  <w:tcW w:w="306" w:type="pct"/>
                  <w:tcBorders>
                    <w:tl2br w:val="nil"/>
                    <w:tr2bl w:val="nil"/>
                  </w:tcBorders>
                  <w:shd w:val="clear" w:color="auto" w:fill="auto"/>
                  <w:vAlign w:val="center"/>
                </w:tcPr>
                <w:p w14:paraId="33C231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年损耗</w:t>
                  </w:r>
                </w:p>
              </w:tc>
              <w:tc>
                <w:tcPr>
                  <w:tcW w:w="269" w:type="pct"/>
                  <w:tcBorders>
                    <w:tl2br w:val="nil"/>
                    <w:tr2bl w:val="nil"/>
                  </w:tcBorders>
                  <w:shd w:val="clear" w:color="auto" w:fill="auto"/>
                  <w:vAlign w:val="center"/>
                </w:tcPr>
                <w:p w14:paraId="7409164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cs="Times New Roman"/>
                      <w:b/>
                      <w:bCs/>
                      <w:i w:val="0"/>
                      <w:iCs w:val="0"/>
                      <w:color w:val="auto"/>
                      <w:kern w:val="0"/>
                      <w:sz w:val="21"/>
                      <w:szCs w:val="21"/>
                      <w:u w:val="none"/>
                      <w:lang w:val="en-US" w:eastAsia="zh-CN" w:bidi="ar"/>
                    </w:rPr>
                    <w:t>小时</w:t>
                  </w:r>
                  <w:r>
                    <w:rPr>
                      <w:rFonts w:hint="default" w:ascii="Times New Roman" w:hAnsi="Times New Roman" w:eastAsia="宋体" w:cs="Times New Roman"/>
                      <w:b/>
                      <w:bCs/>
                      <w:i w:val="0"/>
                      <w:iCs w:val="0"/>
                      <w:color w:val="auto"/>
                      <w:kern w:val="0"/>
                      <w:sz w:val="21"/>
                      <w:szCs w:val="21"/>
                      <w:u w:val="none"/>
                      <w:lang w:val="en-US" w:eastAsia="zh-CN" w:bidi="ar"/>
                    </w:rPr>
                    <w:t>废水</w:t>
                  </w:r>
                </w:p>
              </w:tc>
              <w:tc>
                <w:tcPr>
                  <w:tcW w:w="264" w:type="pct"/>
                  <w:tcBorders>
                    <w:tl2br w:val="nil"/>
                    <w:tr2bl w:val="nil"/>
                  </w:tcBorders>
                  <w:shd w:val="clear" w:color="auto" w:fill="auto"/>
                  <w:vAlign w:val="center"/>
                </w:tcPr>
                <w:p w14:paraId="1C598C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年废水</w:t>
                  </w:r>
                </w:p>
              </w:tc>
              <w:tc>
                <w:tcPr>
                  <w:tcW w:w="767" w:type="pct"/>
                  <w:vMerge w:val="continue"/>
                  <w:tcBorders>
                    <w:tl2br w:val="nil"/>
                    <w:tr2bl w:val="nil"/>
                  </w:tcBorders>
                  <w:shd w:val="clear" w:color="auto" w:fill="auto"/>
                  <w:vAlign w:val="center"/>
                </w:tcPr>
                <w:p w14:paraId="7422876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8" w:type="pct"/>
                  <w:vMerge w:val="continue"/>
                  <w:tcBorders>
                    <w:tl2br w:val="nil"/>
                    <w:tr2bl w:val="nil"/>
                  </w:tcBorders>
                  <w:shd w:val="clear" w:color="auto" w:fill="auto"/>
                  <w:vAlign w:val="center"/>
                </w:tcPr>
                <w:p w14:paraId="606E07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78530B8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1"/>
                <w:wAfter w:w="7" w:type="pct"/>
                <w:trHeight w:val="57" w:hRule="atLeast"/>
                <w:tblHeader/>
              </w:trPr>
              <w:tc>
                <w:tcPr>
                  <w:tcW w:w="141" w:type="pct"/>
                  <w:vMerge w:val="continue"/>
                  <w:tcBorders>
                    <w:tl2br w:val="nil"/>
                    <w:tr2bl w:val="nil"/>
                  </w:tcBorders>
                  <w:shd w:val="clear" w:color="auto" w:fill="auto"/>
                  <w:vAlign w:val="center"/>
                </w:tcPr>
                <w:p w14:paraId="21A0AB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p>
              </w:tc>
              <w:tc>
                <w:tcPr>
                  <w:tcW w:w="541" w:type="pct"/>
                  <w:gridSpan w:val="3"/>
                  <w:vMerge w:val="continue"/>
                  <w:tcBorders>
                    <w:tl2br w:val="nil"/>
                    <w:tr2bl w:val="nil"/>
                  </w:tcBorders>
                  <w:shd w:val="clear" w:color="auto" w:fill="auto"/>
                  <w:vAlign w:val="center"/>
                </w:tcPr>
                <w:p w14:paraId="5E35802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p>
              </w:tc>
              <w:tc>
                <w:tcPr>
                  <w:tcW w:w="188" w:type="pct"/>
                  <w:vMerge w:val="continue"/>
                  <w:tcBorders>
                    <w:tl2br w:val="nil"/>
                    <w:tr2bl w:val="nil"/>
                  </w:tcBorders>
                  <w:shd w:val="clear" w:color="auto" w:fill="auto"/>
                  <w:vAlign w:val="center"/>
                </w:tcPr>
                <w:p w14:paraId="4FAA54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p>
              </w:tc>
              <w:tc>
                <w:tcPr>
                  <w:tcW w:w="271" w:type="pct"/>
                  <w:tcBorders>
                    <w:tl2br w:val="nil"/>
                    <w:tr2bl w:val="nil"/>
                  </w:tcBorders>
                  <w:shd w:val="clear" w:color="auto" w:fill="auto"/>
                  <w:vAlign w:val="center"/>
                </w:tcPr>
                <w:p w14:paraId="3D8A154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t/h</w:t>
                  </w:r>
                </w:p>
              </w:tc>
              <w:tc>
                <w:tcPr>
                  <w:tcW w:w="284" w:type="pct"/>
                  <w:tcBorders>
                    <w:tl2br w:val="nil"/>
                    <w:tr2bl w:val="nil"/>
                  </w:tcBorders>
                  <w:shd w:val="clear" w:color="auto" w:fill="auto"/>
                  <w:vAlign w:val="center"/>
                </w:tcPr>
                <w:p w14:paraId="58C918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t/a</w:t>
                  </w:r>
                </w:p>
              </w:tc>
              <w:tc>
                <w:tcPr>
                  <w:tcW w:w="299" w:type="pct"/>
                  <w:tcBorders>
                    <w:tl2br w:val="nil"/>
                    <w:tr2bl w:val="nil"/>
                  </w:tcBorders>
                  <w:shd w:val="clear" w:color="auto" w:fill="auto"/>
                  <w:vAlign w:val="center"/>
                </w:tcPr>
                <w:p w14:paraId="63D28F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t/a</w:t>
                  </w:r>
                </w:p>
              </w:tc>
              <w:tc>
                <w:tcPr>
                  <w:tcW w:w="237" w:type="pct"/>
                  <w:tcBorders>
                    <w:tl2br w:val="nil"/>
                    <w:tr2bl w:val="nil"/>
                  </w:tcBorders>
                  <w:shd w:val="clear" w:color="auto" w:fill="auto"/>
                  <w:vAlign w:val="center"/>
                </w:tcPr>
                <w:p w14:paraId="2857B4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t/a</w:t>
                  </w:r>
                </w:p>
              </w:tc>
              <w:tc>
                <w:tcPr>
                  <w:tcW w:w="252" w:type="pct"/>
                  <w:tcBorders>
                    <w:tl2br w:val="nil"/>
                    <w:tr2bl w:val="nil"/>
                  </w:tcBorders>
                  <w:shd w:val="clear" w:color="auto" w:fill="auto"/>
                  <w:vAlign w:val="center"/>
                </w:tcPr>
                <w:p w14:paraId="4805B4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t/a</w:t>
                  </w:r>
                </w:p>
              </w:tc>
              <w:tc>
                <w:tcPr>
                  <w:tcW w:w="201" w:type="pct"/>
                  <w:tcBorders>
                    <w:tl2br w:val="nil"/>
                    <w:tr2bl w:val="nil"/>
                  </w:tcBorders>
                  <w:shd w:val="clear" w:color="auto" w:fill="auto"/>
                  <w:vAlign w:val="center"/>
                </w:tcPr>
                <w:p w14:paraId="5042F4E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t/a</w:t>
                  </w:r>
                </w:p>
              </w:tc>
              <w:tc>
                <w:tcPr>
                  <w:tcW w:w="256" w:type="pct"/>
                  <w:tcBorders>
                    <w:tl2br w:val="nil"/>
                    <w:tr2bl w:val="nil"/>
                  </w:tcBorders>
                  <w:shd w:val="clear" w:color="auto" w:fill="auto"/>
                  <w:vAlign w:val="center"/>
                </w:tcPr>
                <w:p w14:paraId="5ECF98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t/a</w:t>
                  </w:r>
                </w:p>
              </w:tc>
              <w:tc>
                <w:tcPr>
                  <w:tcW w:w="243" w:type="pct"/>
                  <w:tcBorders>
                    <w:tl2br w:val="nil"/>
                    <w:tr2bl w:val="nil"/>
                  </w:tcBorders>
                  <w:shd w:val="clear" w:color="auto" w:fill="auto"/>
                  <w:vAlign w:val="center"/>
                </w:tcPr>
                <w:p w14:paraId="72835A6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t/a</w:t>
                  </w:r>
                </w:p>
              </w:tc>
              <w:tc>
                <w:tcPr>
                  <w:tcW w:w="278" w:type="pct"/>
                  <w:tcBorders>
                    <w:tl2br w:val="nil"/>
                    <w:tr2bl w:val="nil"/>
                  </w:tcBorders>
                  <w:shd w:val="clear" w:color="auto" w:fill="auto"/>
                  <w:vAlign w:val="center"/>
                </w:tcPr>
                <w:p w14:paraId="39DC2F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t/h</w:t>
                  </w:r>
                </w:p>
              </w:tc>
              <w:tc>
                <w:tcPr>
                  <w:tcW w:w="306" w:type="pct"/>
                  <w:tcBorders>
                    <w:tl2br w:val="nil"/>
                    <w:tr2bl w:val="nil"/>
                  </w:tcBorders>
                  <w:shd w:val="clear" w:color="auto" w:fill="auto"/>
                  <w:vAlign w:val="center"/>
                </w:tcPr>
                <w:p w14:paraId="42C315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t/a</w:t>
                  </w:r>
                </w:p>
              </w:tc>
              <w:tc>
                <w:tcPr>
                  <w:tcW w:w="269" w:type="pct"/>
                  <w:tcBorders>
                    <w:tl2br w:val="nil"/>
                    <w:tr2bl w:val="nil"/>
                  </w:tcBorders>
                  <w:shd w:val="clear" w:color="auto" w:fill="auto"/>
                  <w:vAlign w:val="center"/>
                </w:tcPr>
                <w:p w14:paraId="7AC8A01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t/</w:t>
                  </w:r>
                  <w:r>
                    <w:rPr>
                      <w:rFonts w:hint="default" w:ascii="Times New Roman" w:hAnsi="Times New Roman" w:cs="Times New Roman"/>
                      <w:b/>
                      <w:bCs/>
                      <w:i w:val="0"/>
                      <w:iCs w:val="0"/>
                      <w:color w:val="auto"/>
                      <w:kern w:val="0"/>
                      <w:sz w:val="21"/>
                      <w:szCs w:val="21"/>
                      <w:u w:val="none"/>
                      <w:lang w:val="en-US" w:eastAsia="zh-CN" w:bidi="ar"/>
                    </w:rPr>
                    <w:t>h</w:t>
                  </w:r>
                </w:p>
              </w:tc>
              <w:tc>
                <w:tcPr>
                  <w:tcW w:w="264" w:type="pct"/>
                  <w:tcBorders>
                    <w:tl2br w:val="nil"/>
                    <w:tr2bl w:val="nil"/>
                  </w:tcBorders>
                  <w:shd w:val="clear" w:color="auto" w:fill="auto"/>
                  <w:vAlign w:val="center"/>
                </w:tcPr>
                <w:p w14:paraId="560749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t/a</w:t>
                  </w:r>
                </w:p>
              </w:tc>
              <w:tc>
                <w:tcPr>
                  <w:tcW w:w="767" w:type="pct"/>
                  <w:vMerge w:val="continue"/>
                  <w:tcBorders>
                    <w:tl2br w:val="nil"/>
                    <w:tr2bl w:val="nil"/>
                  </w:tcBorders>
                  <w:shd w:val="clear" w:color="auto" w:fill="auto"/>
                  <w:vAlign w:val="center"/>
                </w:tcPr>
                <w:p w14:paraId="03D3A30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8" w:type="pct"/>
                  <w:tcBorders>
                    <w:tl2br w:val="nil"/>
                    <w:tr2bl w:val="nil"/>
                  </w:tcBorders>
                  <w:shd w:val="clear" w:color="auto" w:fill="auto"/>
                  <w:vAlign w:val="center"/>
                </w:tcPr>
                <w:p w14:paraId="338E33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t/a</w:t>
                  </w:r>
                </w:p>
              </w:tc>
            </w:tr>
            <w:tr w14:paraId="066A19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1"/>
                <w:wAfter w:w="7" w:type="pct"/>
                <w:trHeight w:val="648" w:hRule="atLeast"/>
              </w:trPr>
              <w:tc>
                <w:tcPr>
                  <w:tcW w:w="141" w:type="pct"/>
                  <w:tcBorders>
                    <w:tl2br w:val="nil"/>
                    <w:tr2bl w:val="nil"/>
                  </w:tcBorders>
                  <w:shd w:val="clear" w:color="auto" w:fill="auto"/>
                  <w:vAlign w:val="center"/>
                </w:tcPr>
                <w:p w14:paraId="6559A78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p>
              </w:tc>
              <w:tc>
                <w:tcPr>
                  <w:tcW w:w="541" w:type="pct"/>
                  <w:gridSpan w:val="3"/>
                  <w:tcBorders>
                    <w:tl2br w:val="nil"/>
                    <w:tr2bl w:val="nil"/>
                  </w:tcBorders>
                  <w:shd w:val="clear" w:color="auto" w:fill="auto"/>
                  <w:vAlign w:val="center"/>
                </w:tcPr>
                <w:p w14:paraId="2DB4788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生活用水</w:t>
                  </w:r>
                </w:p>
              </w:tc>
              <w:tc>
                <w:tcPr>
                  <w:tcW w:w="188" w:type="pct"/>
                  <w:tcBorders>
                    <w:tl2br w:val="nil"/>
                    <w:tr2bl w:val="nil"/>
                  </w:tcBorders>
                  <w:shd w:val="clear" w:color="auto" w:fill="auto"/>
                  <w:vAlign w:val="center"/>
                </w:tcPr>
                <w:p w14:paraId="2722797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334</w:t>
                  </w:r>
                  <w:r>
                    <w:rPr>
                      <w:rFonts w:hint="default" w:ascii="Times New Roman" w:hAnsi="Times New Roman" w:eastAsia="宋体" w:cs="Times New Roman"/>
                      <w:i w:val="0"/>
                      <w:iCs w:val="0"/>
                      <w:color w:val="auto"/>
                      <w:kern w:val="0"/>
                      <w:sz w:val="21"/>
                      <w:szCs w:val="21"/>
                      <w:u w:val="none"/>
                      <w:lang w:val="en-US" w:eastAsia="zh-CN" w:bidi="ar"/>
                    </w:rPr>
                    <w:t>d</w:t>
                  </w:r>
                </w:p>
              </w:tc>
              <w:tc>
                <w:tcPr>
                  <w:tcW w:w="271" w:type="pct"/>
                  <w:tcBorders>
                    <w:tl2br w:val="nil"/>
                    <w:tr2bl w:val="nil"/>
                  </w:tcBorders>
                  <w:shd w:val="clear" w:color="auto" w:fill="auto"/>
                  <w:vAlign w:val="center"/>
                </w:tcPr>
                <w:p w14:paraId="5D36396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4.60</w:t>
                  </w:r>
                  <w:r>
                    <w:rPr>
                      <w:rFonts w:hint="default" w:ascii="Times New Roman" w:hAnsi="Times New Roman" w:cs="Times New Roman"/>
                      <w:i w:val="0"/>
                      <w:iCs w:val="0"/>
                      <w:color w:val="auto"/>
                      <w:kern w:val="0"/>
                      <w:sz w:val="21"/>
                      <w:szCs w:val="21"/>
                      <w:u w:val="none"/>
                      <w:lang w:val="en-US" w:eastAsia="zh-CN" w:bidi="ar"/>
                    </w:rPr>
                    <w:t>t/d</w:t>
                  </w:r>
                </w:p>
              </w:tc>
              <w:tc>
                <w:tcPr>
                  <w:tcW w:w="284" w:type="pct"/>
                  <w:tcBorders>
                    <w:tl2br w:val="nil"/>
                    <w:tr2bl w:val="nil"/>
                  </w:tcBorders>
                  <w:shd w:val="clear" w:color="auto" w:fill="auto"/>
                  <w:vAlign w:val="center"/>
                </w:tcPr>
                <w:p w14:paraId="7B8E189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1536.40</w:t>
                  </w:r>
                </w:p>
              </w:tc>
              <w:tc>
                <w:tcPr>
                  <w:tcW w:w="299" w:type="pct"/>
                  <w:tcBorders>
                    <w:tl2br w:val="nil"/>
                    <w:tr2bl w:val="nil"/>
                  </w:tcBorders>
                  <w:shd w:val="clear" w:color="auto" w:fill="auto"/>
                  <w:vAlign w:val="center"/>
                </w:tcPr>
                <w:p w14:paraId="5023601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1536.40</w:t>
                  </w:r>
                </w:p>
              </w:tc>
              <w:tc>
                <w:tcPr>
                  <w:tcW w:w="237" w:type="pct"/>
                  <w:tcBorders>
                    <w:tl2br w:val="nil"/>
                    <w:tr2bl w:val="nil"/>
                  </w:tcBorders>
                  <w:shd w:val="clear" w:color="auto" w:fill="auto"/>
                  <w:vAlign w:val="center"/>
                </w:tcPr>
                <w:p w14:paraId="274F2F7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2" w:type="pct"/>
                  <w:tcBorders>
                    <w:tl2br w:val="nil"/>
                    <w:tr2bl w:val="nil"/>
                  </w:tcBorders>
                  <w:shd w:val="clear" w:color="auto" w:fill="auto"/>
                  <w:vAlign w:val="center"/>
                </w:tcPr>
                <w:p w14:paraId="785162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tcBorders>
                    <w:tl2br w:val="nil"/>
                    <w:tr2bl w:val="nil"/>
                  </w:tcBorders>
                  <w:shd w:val="clear" w:color="auto" w:fill="auto"/>
                  <w:vAlign w:val="center"/>
                </w:tcPr>
                <w:p w14:paraId="4459D7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tcBorders>
                    <w:tl2br w:val="nil"/>
                    <w:tr2bl w:val="nil"/>
                  </w:tcBorders>
                  <w:shd w:val="clear" w:color="auto" w:fill="auto"/>
                  <w:vAlign w:val="center"/>
                </w:tcPr>
                <w:p w14:paraId="7DEFB82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2866A3B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78" w:type="pct"/>
                  <w:tcBorders>
                    <w:tl2br w:val="nil"/>
                    <w:tr2bl w:val="nil"/>
                  </w:tcBorders>
                  <w:shd w:val="clear" w:color="auto" w:fill="auto"/>
                  <w:vAlign w:val="center"/>
                </w:tcPr>
                <w:p w14:paraId="142BE1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0.92</w:t>
                  </w:r>
                </w:p>
              </w:tc>
              <w:tc>
                <w:tcPr>
                  <w:tcW w:w="306" w:type="pct"/>
                  <w:tcBorders>
                    <w:tl2br w:val="nil"/>
                    <w:tr2bl w:val="nil"/>
                  </w:tcBorders>
                  <w:shd w:val="clear" w:color="auto" w:fill="auto"/>
                  <w:vAlign w:val="center"/>
                </w:tcPr>
                <w:p w14:paraId="0E29896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307.28</w:t>
                  </w:r>
                </w:p>
              </w:tc>
              <w:tc>
                <w:tcPr>
                  <w:tcW w:w="269" w:type="pct"/>
                  <w:tcBorders>
                    <w:tl2br w:val="nil"/>
                    <w:tr2bl w:val="nil"/>
                  </w:tcBorders>
                  <w:shd w:val="clear" w:color="auto" w:fill="auto"/>
                  <w:vAlign w:val="center"/>
                </w:tcPr>
                <w:p w14:paraId="27D4A8A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3.68</w:t>
                  </w:r>
                  <w:r>
                    <w:rPr>
                      <w:rFonts w:hint="default" w:ascii="Times New Roman" w:hAnsi="Times New Roman" w:cs="Times New Roman"/>
                      <w:i w:val="0"/>
                      <w:iCs w:val="0"/>
                      <w:color w:val="auto"/>
                      <w:kern w:val="0"/>
                      <w:sz w:val="21"/>
                      <w:szCs w:val="21"/>
                      <w:u w:val="none"/>
                      <w:lang w:val="en-US" w:eastAsia="zh-CN" w:bidi="ar"/>
                    </w:rPr>
                    <w:t>t/d</w:t>
                  </w:r>
                </w:p>
              </w:tc>
              <w:tc>
                <w:tcPr>
                  <w:tcW w:w="264" w:type="pct"/>
                  <w:tcBorders>
                    <w:tl2br w:val="nil"/>
                    <w:tr2bl w:val="nil"/>
                  </w:tcBorders>
                  <w:shd w:val="clear" w:color="auto" w:fill="auto"/>
                  <w:vAlign w:val="center"/>
                </w:tcPr>
                <w:p w14:paraId="0D1E649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1229.12</w:t>
                  </w:r>
                </w:p>
              </w:tc>
              <w:tc>
                <w:tcPr>
                  <w:tcW w:w="767" w:type="pct"/>
                  <w:tcBorders>
                    <w:tl2br w:val="nil"/>
                    <w:tr2bl w:val="nil"/>
                  </w:tcBorders>
                  <w:shd w:val="clear" w:color="auto" w:fill="auto"/>
                  <w:vAlign w:val="center"/>
                </w:tcPr>
                <w:p w14:paraId="6969A2B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厂内办公区位于辅助车间综合楼，厂内建设排污管道，排至吉木萨尔县恒信煤炭制品工贸有限公司120万吨煤制品深加工升级改造项目厂内食宿区生活区的地埋式一体化污水处理设备处理后，冬储夏灌</w:t>
                  </w:r>
                </w:p>
              </w:tc>
              <w:tc>
                <w:tcPr>
                  <w:tcW w:w="188" w:type="pct"/>
                  <w:tcBorders>
                    <w:tl2br w:val="nil"/>
                    <w:tr2bl w:val="nil"/>
                  </w:tcBorders>
                  <w:shd w:val="clear" w:color="auto" w:fill="auto"/>
                  <w:vAlign w:val="center"/>
                </w:tcPr>
                <w:p w14:paraId="33AD1E5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1229.12</w:t>
                  </w:r>
                </w:p>
              </w:tc>
            </w:tr>
            <w:tr w14:paraId="6049DE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57" w:hRule="atLeast"/>
              </w:trPr>
              <w:tc>
                <w:tcPr>
                  <w:tcW w:w="141" w:type="pct"/>
                  <w:tcBorders>
                    <w:tl2br w:val="nil"/>
                    <w:tr2bl w:val="nil"/>
                  </w:tcBorders>
                  <w:shd w:val="clear" w:color="auto" w:fill="auto"/>
                  <w:vAlign w:val="center"/>
                </w:tcPr>
                <w:p w14:paraId="4035886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w:t>
                  </w:r>
                </w:p>
              </w:tc>
              <w:tc>
                <w:tcPr>
                  <w:tcW w:w="140" w:type="pct"/>
                  <w:vMerge w:val="restart"/>
                  <w:tcBorders>
                    <w:tl2br w:val="nil"/>
                    <w:tr2bl w:val="nil"/>
                  </w:tcBorders>
                  <w:shd w:val="clear" w:color="auto" w:fill="auto"/>
                  <w:vAlign w:val="center"/>
                </w:tcPr>
                <w:p w14:paraId="3ABA54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生产用水</w:t>
                  </w:r>
                </w:p>
              </w:tc>
              <w:tc>
                <w:tcPr>
                  <w:tcW w:w="400" w:type="pct"/>
                  <w:gridSpan w:val="2"/>
                  <w:tcBorders>
                    <w:tl2br w:val="nil"/>
                    <w:tr2bl w:val="nil"/>
                  </w:tcBorders>
                  <w:shd w:val="clear" w:color="auto" w:fill="auto"/>
                  <w:vAlign w:val="center"/>
                </w:tcPr>
                <w:p w14:paraId="41B6EC6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锅炉定期排污</w:t>
                  </w:r>
                </w:p>
              </w:tc>
              <w:tc>
                <w:tcPr>
                  <w:tcW w:w="188" w:type="pct"/>
                  <w:vMerge w:val="restart"/>
                  <w:tcBorders>
                    <w:tl2br w:val="nil"/>
                    <w:tr2bl w:val="nil"/>
                  </w:tcBorders>
                  <w:shd w:val="clear" w:color="auto" w:fill="auto"/>
                  <w:vAlign w:val="center"/>
                </w:tcPr>
                <w:p w14:paraId="0BA509F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8000h</w:t>
                  </w:r>
                </w:p>
              </w:tc>
              <w:tc>
                <w:tcPr>
                  <w:tcW w:w="271" w:type="pct"/>
                  <w:tcBorders>
                    <w:tl2br w:val="nil"/>
                    <w:tr2bl w:val="nil"/>
                  </w:tcBorders>
                  <w:shd w:val="clear" w:color="auto" w:fill="auto"/>
                  <w:vAlign w:val="center"/>
                </w:tcPr>
                <w:p w14:paraId="6833F84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w:t>
                  </w:r>
                </w:p>
              </w:tc>
              <w:tc>
                <w:tcPr>
                  <w:tcW w:w="284" w:type="pct"/>
                  <w:tcBorders>
                    <w:tl2br w:val="nil"/>
                    <w:tr2bl w:val="nil"/>
                  </w:tcBorders>
                  <w:shd w:val="clear" w:color="auto" w:fill="auto"/>
                  <w:vAlign w:val="center"/>
                </w:tcPr>
                <w:p w14:paraId="340815D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12000</w:t>
                  </w:r>
                </w:p>
              </w:tc>
              <w:tc>
                <w:tcPr>
                  <w:tcW w:w="299" w:type="pct"/>
                  <w:tcBorders>
                    <w:tl2br w:val="nil"/>
                    <w:tr2bl w:val="nil"/>
                  </w:tcBorders>
                  <w:shd w:val="clear" w:color="auto" w:fill="auto"/>
                  <w:vAlign w:val="center"/>
                </w:tcPr>
                <w:p w14:paraId="4171042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37" w:type="pct"/>
                  <w:tcBorders>
                    <w:tl2br w:val="nil"/>
                    <w:tr2bl w:val="nil"/>
                  </w:tcBorders>
                  <w:shd w:val="clear" w:color="auto" w:fill="auto"/>
                  <w:vAlign w:val="center"/>
                </w:tcPr>
                <w:p w14:paraId="00D2577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12000</w:t>
                  </w:r>
                </w:p>
              </w:tc>
              <w:tc>
                <w:tcPr>
                  <w:tcW w:w="252" w:type="pct"/>
                  <w:tcBorders>
                    <w:tl2br w:val="nil"/>
                    <w:tr2bl w:val="nil"/>
                  </w:tcBorders>
                  <w:shd w:val="clear" w:color="auto" w:fill="auto"/>
                  <w:vAlign w:val="center"/>
                </w:tcPr>
                <w:p w14:paraId="40DF218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tcBorders>
                    <w:tl2br w:val="nil"/>
                    <w:tr2bl w:val="nil"/>
                  </w:tcBorders>
                  <w:shd w:val="clear" w:color="auto" w:fill="auto"/>
                  <w:vAlign w:val="center"/>
                </w:tcPr>
                <w:p w14:paraId="796E21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tcBorders>
                    <w:tl2br w:val="nil"/>
                    <w:tr2bl w:val="nil"/>
                  </w:tcBorders>
                  <w:shd w:val="clear" w:color="auto" w:fill="auto"/>
                  <w:vAlign w:val="center"/>
                </w:tcPr>
                <w:p w14:paraId="6816580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60461E1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78" w:type="pct"/>
                  <w:tcBorders>
                    <w:tl2br w:val="nil"/>
                    <w:tr2bl w:val="nil"/>
                  </w:tcBorders>
                  <w:shd w:val="clear" w:color="auto" w:fill="auto"/>
                  <w:vAlign w:val="center"/>
                </w:tcPr>
                <w:p w14:paraId="02AF2A2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306" w:type="pct"/>
                  <w:tcBorders>
                    <w:tl2br w:val="nil"/>
                    <w:tr2bl w:val="nil"/>
                  </w:tcBorders>
                  <w:shd w:val="clear" w:color="auto" w:fill="auto"/>
                  <w:vAlign w:val="center"/>
                </w:tcPr>
                <w:p w14:paraId="77838F8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9" w:type="pct"/>
                  <w:tcBorders>
                    <w:tl2br w:val="nil"/>
                    <w:tr2bl w:val="nil"/>
                  </w:tcBorders>
                  <w:shd w:val="clear" w:color="auto" w:fill="auto"/>
                  <w:vAlign w:val="center"/>
                </w:tcPr>
                <w:p w14:paraId="4EE4C6D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1.50</w:t>
                  </w:r>
                </w:p>
              </w:tc>
              <w:tc>
                <w:tcPr>
                  <w:tcW w:w="264" w:type="pct"/>
                  <w:tcBorders>
                    <w:tl2br w:val="nil"/>
                    <w:tr2bl w:val="nil"/>
                  </w:tcBorders>
                  <w:shd w:val="clear" w:color="auto" w:fill="auto"/>
                  <w:vAlign w:val="center"/>
                </w:tcPr>
                <w:p w14:paraId="4B93D6E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12000</w:t>
                  </w:r>
                </w:p>
              </w:tc>
              <w:tc>
                <w:tcPr>
                  <w:tcW w:w="767" w:type="pct"/>
                  <w:tcBorders>
                    <w:tl2br w:val="nil"/>
                    <w:tr2bl w:val="nil"/>
                  </w:tcBorders>
                  <w:shd w:val="clear" w:color="auto" w:fill="auto"/>
                  <w:noWrap/>
                  <w:vAlign w:val="center"/>
                </w:tcPr>
                <w:p w14:paraId="17A240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排入定排坑，作为脱硫</w:t>
                  </w:r>
                  <w:r>
                    <w:rPr>
                      <w:rFonts w:hint="default" w:ascii="Times New Roman" w:hAnsi="Times New Roman" w:cs="Times New Roman"/>
                      <w:i w:val="0"/>
                      <w:iCs w:val="0"/>
                      <w:color w:val="auto"/>
                      <w:kern w:val="0"/>
                      <w:sz w:val="21"/>
                      <w:szCs w:val="21"/>
                      <w:u w:val="none"/>
                      <w:lang w:val="en-US" w:eastAsia="zh-CN" w:bidi="ar"/>
                    </w:rPr>
                    <w:t>系统补充水</w:t>
                  </w:r>
                </w:p>
              </w:tc>
              <w:tc>
                <w:tcPr>
                  <w:tcW w:w="188" w:type="pct"/>
                  <w:tcBorders>
                    <w:tl2br w:val="nil"/>
                    <w:tr2bl w:val="nil"/>
                  </w:tcBorders>
                  <w:shd w:val="clear" w:color="auto" w:fill="auto"/>
                  <w:noWrap/>
                  <w:vAlign w:val="center"/>
                </w:tcPr>
                <w:p w14:paraId="738111A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r>
            <w:tr w14:paraId="32A738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1"/>
                <w:wAfter w:w="7" w:type="pct"/>
                <w:trHeight w:val="57" w:hRule="atLeast"/>
              </w:trPr>
              <w:tc>
                <w:tcPr>
                  <w:tcW w:w="141" w:type="pct"/>
                  <w:tcBorders>
                    <w:tl2br w:val="nil"/>
                    <w:tr2bl w:val="nil"/>
                  </w:tcBorders>
                  <w:shd w:val="clear" w:color="auto" w:fill="auto"/>
                  <w:vAlign w:val="center"/>
                </w:tcPr>
                <w:p w14:paraId="6E70DA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w:t>
                  </w:r>
                </w:p>
              </w:tc>
              <w:tc>
                <w:tcPr>
                  <w:tcW w:w="140" w:type="pct"/>
                  <w:vMerge w:val="continue"/>
                  <w:tcBorders>
                    <w:tl2br w:val="nil"/>
                    <w:tr2bl w:val="nil"/>
                  </w:tcBorders>
                  <w:shd w:val="clear" w:color="auto" w:fill="auto"/>
                  <w:vAlign w:val="center"/>
                </w:tcPr>
                <w:p w14:paraId="44EA39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00" w:type="pct"/>
                  <w:gridSpan w:val="2"/>
                  <w:tcBorders>
                    <w:tl2br w:val="nil"/>
                    <w:tr2bl w:val="nil"/>
                  </w:tcBorders>
                  <w:shd w:val="clear" w:color="auto" w:fill="auto"/>
                  <w:vAlign w:val="center"/>
                </w:tcPr>
                <w:p w14:paraId="5F2EB9C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锅炉汽水循环</w:t>
                  </w:r>
                </w:p>
              </w:tc>
              <w:tc>
                <w:tcPr>
                  <w:tcW w:w="188" w:type="pct"/>
                  <w:vMerge w:val="continue"/>
                  <w:tcBorders>
                    <w:tl2br w:val="nil"/>
                    <w:tr2bl w:val="nil"/>
                  </w:tcBorders>
                  <w:shd w:val="clear" w:color="auto" w:fill="auto"/>
                  <w:vAlign w:val="center"/>
                </w:tcPr>
                <w:p w14:paraId="7C79D15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71" w:type="pct"/>
                  <w:tcBorders>
                    <w:tl2br w:val="nil"/>
                    <w:tr2bl w:val="nil"/>
                  </w:tcBorders>
                  <w:shd w:val="clear" w:color="auto" w:fill="auto"/>
                  <w:vAlign w:val="center"/>
                </w:tcPr>
                <w:p w14:paraId="52ACAF9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p>
              </w:tc>
              <w:tc>
                <w:tcPr>
                  <w:tcW w:w="284" w:type="pct"/>
                  <w:tcBorders>
                    <w:tl2br w:val="nil"/>
                    <w:tr2bl w:val="nil"/>
                  </w:tcBorders>
                  <w:shd w:val="clear" w:color="auto" w:fill="auto"/>
                  <w:vAlign w:val="center"/>
                </w:tcPr>
                <w:p w14:paraId="3FF118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40000</w:t>
                  </w:r>
                </w:p>
              </w:tc>
              <w:tc>
                <w:tcPr>
                  <w:tcW w:w="299" w:type="pct"/>
                  <w:tcBorders>
                    <w:tl2br w:val="nil"/>
                    <w:tr2bl w:val="nil"/>
                  </w:tcBorders>
                  <w:shd w:val="clear" w:color="auto" w:fill="auto"/>
                  <w:vAlign w:val="center"/>
                </w:tcPr>
                <w:p w14:paraId="7185624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37" w:type="pct"/>
                  <w:tcBorders>
                    <w:tl2br w:val="nil"/>
                    <w:tr2bl w:val="nil"/>
                  </w:tcBorders>
                  <w:shd w:val="clear" w:color="auto" w:fill="auto"/>
                  <w:vAlign w:val="center"/>
                </w:tcPr>
                <w:p w14:paraId="4346311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40000</w:t>
                  </w:r>
                </w:p>
              </w:tc>
              <w:tc>
                <w:tcPr>
                  <w:tcW w:w="252" w:type="pct"/>
                  <w:tcBorders>
                    <w:tl2br w:val="nil"/>
                    <w:tr2bl w:val="nil"/>
                  </w:tcBorders>
                  <w:shd w:val="clear" w:color="auto" w:fill="auto"/>
                  <w:vAlign w:val="center"/>
                </w:tcPr>
                <w:p w14:paraId="546C80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tcBorders>
                    <w:tl2br w:val="nil"/>
                    <w:tr2bl w:val="nil"/>
                  </w:tcBorders>
                  <w:shd w:val="clear" w:color="auto" w:fill="auto"/>
                  <w:vAlign w:val="center"/>
                </w:tcPr>
                <w:p w14:paraId="062CC5A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tcBorders>
                    <w:tl2br w:val="nil"/>
                    <w:tr2bl w:val="nil"/>
                  </w:tcBorders>
                  <w:shd w:val="clear" w:color="auto" w:fill="auto"/>
                  <w:vAlign w:val="center"/>
                </w:tcPr>
                <w:p w14:paraId="2B086BA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146F63A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78" w:type="pct"/>
                  <w:tcBorders>
                    <w:tl2br w:val="nil"/>
                    <w:tr2bl w:val="nil"/>
                  </w:tcBorders>
                  <w:shd w:val="clear" w:color="auto" w:fill="auto"/>
                  <w:vAlign w:val="center"/>
                </w:tcPr>
                <w:p w14:paraId="3D714FF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5.00</w:t>
                  </w:r>
                </w:p>
              </w:tc>
              <w:tc>
                <w:tcPr>
                  <w:tcW w:w="306" w:type="pct"/>
                  <w:tcBorders>
                    <w:tl2br w:val="nil"/>
                    <w:tr2bl w:val="nil"/>
                  </w:tcBorders>
                  <w:shd w:val="clear" w:color="auto" w:fill="auto"/>
                  <w:vAlign w:val="center"/>
                </w:tcPr>
                <w:p w14:paraId="6F06691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40000</w:t>
                  </w:r>
                </w:p>
              </w:tc>
              <w:tc>
                <w:tcPr>
                  <w:tcW w:w="269" w:type="pct"/>
                  <w:tcBorders>
                    <w:tl2br w:val="nil"/>
                    <w:tr2bl w:val="nil"/>
                  </w:tcBorders>
                  <w:shd w:val="clear" w:color="auto" w:fill="auto"/>
                  <w:vAlign w:val="center"/>
                </w:tcPr>
                <w:p w14:paraId="7B08E3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4" w:type="pct"/>
                  <w:tcBorders>
                    <w:tl2br w:val="nil"/>
                    <w:tr2bl w:val="nil"/>
                  </w:tcBorders>
                  <w:shd w:val="clear" w:color="auto" w:fill="auto"/>
                  <w:vAlign w:val="center"/>
                </w:tcPr>
                <w:p w14:paraId="282C8C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67" w:type="pct"/>
                  <w:tcBorders>
                    <w:tl2br w:val="nil"/>
                    <w:tr2bl w:val="nil"/>
                  </w:tcBorders>
                  <w:shd w:val="clear" w:color="auto" w:fill="auto"/>
                  <w:vAlign w:val="center"/>
                </w:tcPr>
                <w:p w14:paraId="16B850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蒸发损耗</w:t>
                  </w:r>
                </w:p>
              </w:tc>
              <w:tc>
                <w:tcPr>
                  <w:tcW w:w="188" w:type="pct"/>
                  <w:tcBorders>
                    <w:tl2br w:val="nil"/>
                    <w:tr2bl w:val="nil"/>
                  </w:tcBorders>
                  <w:shd w:val="clear" w:color="auto" w:fill="auto"/>
                  <w:vAlign w:val="center"/>
                </w:tcPr>
                <w:p w14:paraId="4116F66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r>
            <w:tr w14:paraId="0FC581B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57" w:hRule="atLeast"/>
              </w:trPr>
              <w:tc>
                <w:tcPr>
                  <w:tcW w:w="141" w:type="pct"/>
                  <w:tcBorders>
                    <w:tl2br w:val="nil"/>
                    <w:tr2bl w:val="nil"/>
                  </w:tcBorders>
                  <w:shd w:val="clear" w:color="auto" w:fill="auto"/>
                  <w:vAlign w:val="center"/>
                </w:tcPr>
                <w:p w14:paraId="329618E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p>
              </w:tc>
              <w:tc>
                <w:tcPr>
                  <w:tcW w:w="140" w:type="pct"/>
                  <w:vMerge w:val="continue"/>
                  <w:tcBorders>
                    <w:tl2br w:val="nil"/>
                    <w:tr2bl w:val="nil"/>
                  </w:tcBorders>
                  <w:shd w:val="clear" w:color="auto" w:fill="auto"/>
                  <w:vAlign w:val="center"/>
                </w:tcPr>
                <w:p w14:paraId="1CD790C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00" w:type="pct"/>
                  <w:gridSpan w:val="2"/>
                  <w:tcBorders>
                    <w:tl2br w:val="nil"/>
                    <w:tr2bl w:val="nil"/>
                  </w:tcBorders>
                  <w:shd w:val="clear" w:color="auto" w:fill="auto"/>
                  <w:vAlign w:val="center"/>
                </w:tcPr>
                <w:p w14:paraId="6052207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冷却塔蒸发损失</w:t>
                  </w:r>
                </w:p>
              </w:tc>
              <w:tc>
                <w:tcPr>
                  <w:tcW w:w="188" w:type="pct"/>
                  <w:vMerge w:val="continue"/>
                  <w:tcBorders>
                    <w:tl2br w:val="nil"/>
                    <w:tr2bl w:val="nil"/>
                  </w:tcBorders>
                  <w:shd w:val="clear" w:color="auto" w:fill="auto"/>
                  <w:vAlign w:val="center"/>
                </w:tcPr>
                <w:p w14:paraId="7BE1F59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71" w:type="pct"/>
                  <w:tcBorders>
                    <w:tl2br w:val="nil"/>
                    <w:tr2bl w:val="nil"/>
                  </w:tcBorders>
                  <w:shd w:val="clear" w:color="auto" w:fill="auto"/>
                  <w:vAlign w:val="center"/>
                </w:tcPr>
                <w:p w14:paraId="2ACF55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6.67</w:t>
                  </w:r>
                </w:p>
              </w:tc>
              <w:tc>
                <w:tcPr>
                  <w:tcW w:w="284" w:type="pct"/>
                  <w:tcBorders>
                    <w:tl2br w:val="nil"/>
                    <w:tr2bl w:val="nil"/>
                  </w:tcBorders>
                  <w:shd w:val="clear" w:color="auto" w:fill="auto"/>
                  <w:vAlign w:val="center"/>
                </w:tcPr>
                <w:p w14:paraId="7B675EE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53360</w:t>
                  </w:r>
                </w:p>
              </w:tc>
              <w:tc>
                <w:tcPr>
                  <w:tcW w:w="299" w:type="pct"/>
                  <w:tcBorders>
                    <w:tl2br w:val="nil"/>
                    <w:tr2bl w:val="nil"/>
                  </w:tcBorders>
                  <w:shd w:val="clear" w:color="auto" w:fill="auto"/>
                  <w:vAlign w:val="center"/>
                </w:tcPr>
                <w:p w14:paraId="3C9026B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37" w:type="pct"/>
                  <w:tcBorders>
                    <w:tl2br w:val="nil"/>
                    <w:tr2bl w:val="nil"/>
                  </w:tcBorders>
                  <w:shd w:val="clear" w:color="auto" w:fill="auto"/>
                  <w:vAlign w:val="center"/>
                </w:tcPr>
                <w:p w14:paraId="775A09E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53360</w:t>
                  </w:r>
                </w:p>
              </w:tc>
              <w:tc>
                <w:tcPr>
                  <w:tcW w:w="252" w:type="pct"/>
                  <w:tcBorders>
                    <w:tl2br w:val="nil"/>
                    <w:tr2bl w:val="nil"/>
                  </w:tcBorders>
                  <w:shd w:val="clear" w:color="auto" w:fill="auto"/>
                  <w:vAlign w:val="center"/>
                </w:tcPr>
                <w:p w14:paraId="3493BA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tcBorders>
                    <w:tl2br w:val="nil"/>
                    <w:tr2bl w:val="nil"/>
                  </w:tcBorders>
                  <w:shd w:val="clear" w:color="auto" w:fill="auto"/>
                  <w:vAlign w:val="center"/>
                </w:tcPr>
                <w:p w14:paraId="13F8AD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tcBorders>
                    <w:tl2br w:val="nil"/>
                    <w:tr2bl w:val="nil"/>
                  </w:tcBorders>
                  <w:shd w:val="clear" w:color="auto" w:fill="auto"/>
                  <w:vAlign w:val="center"/>
                </w:tcPr>
                <w:p w14:paraId="3FA555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55DDC6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78" w:type="pct"/>
                  <w:tcBorders>
                    <w:tl2br w:val="nil"/>
                    <w:tr2bl w:val="nil"/>
                  </w:tcBorders>
                  <w:shd w:val="clear" w:color="auto" w:fill="auto"/>
                  <w:vAlign w:val="center"/>
                </w:tcPr>
                <w:p w14:paraId="609064F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6.67</w:t>
                  </w:r>
                </w:p>
              </w:tc>
              <w:tc>
                <w:tcPr>
                  <w:tcW w:w="306" w:type="pct"/>
                  <w:tcBorders>
                    <w:tl2br w:val="nil"/>
                    <w:tr2bl w:val="nil"/>
                  </w:tcBorders>
                  <w:shd w:val="clear" w:color="auto" w:fill="auto"/>
                  <w:vAlign w:val="center"/>
                </w:tcPr>
                <w:p w14:paraId="717A0B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53360</w:t>
                  </w:r>
                </w:p>
              </w:tc>
              <w:tc>
                <w:tcPr>
                  <w:tcW w:w="269" w:type="pct"/>
                  <w:tcBorders>
                    <w:tl2br w:val="nil"/>
                    <w:tr2bl w:val="nil"/>
                  </w:tcBorders>
                  <w:shd w:val="clear" w:color="auto" w:fill="auto"/>
                  <w:vAlign w:val="center"/>
                </w:tcPr>
                <w:p w14:paraId="15A6135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4" w:type="pct"/>
                  <w:tcBorders>
                    <w:tl2br w:val="nil"/>
                    <w:tr2bl w:val="nil"/>
                  </w:tcBorders>
                  <w:shd w:val="clear" w:color="auto" w:fill="auto"/>
                  <w:vAlign w:val="center"/>
                </w:tcPr>
                <w:p w14:paraId="7BA47E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67" w:type="pct"/>
                  <w:tcBorders>
                    <w:tl2br w:val="nil"/>
                    <w:tr2bl w:val="nil"/>
                  </w:tcBorders>
                  <w:shd w:val="clear" w:color="auto" w:fill="auto"/>
                  <w:vAlign w:val="center"/>
                </w:tcPr>
                <w:p w14:paraId="3B811E9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蒸发损失</w:t>
                  </w:r>
                </w:p>
              </w:tc>
              <w:tc>
                <w:tcPr>
                  <w:tcW w:w="188" w:type="pct"/>
                  <w:tcBorders>
                    <w:tl2br w:val="nil"/>
                    <w:tr2bl w:val="nil"/>
                  </w:tcBorders>
                  <w:shd w:val="clear" w:color="auto" w:fill="auto"/>
                  <w:vAlign w:val="center"/>
                </w:tcPr>
                <w:p w14:paraId="498F3A5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r>
            <w:tr w14:paraId="4CC526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57" w:hRule="atLeast"/>
              </w:trPr>
              <w:tc>
                <w:tcPr>
                  <w:tcW w:w="141" w:type="pct"/>
                  <w:tcBorders>
                    <w:tl2br w:val="nil"/>
                    <w:tr2bl w:val="nil"/>
                  </w:tcBorders>
                  <w:shd w:val="clear" w:color="auto" w:fill="auto"/>
                  <w:vAlign w:val="center"/>
                </w:tcPr>
                <w:p w14:paraId="3A23CD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p>
              </w:tc>
              <w:tc>
                <w:tcPr>
                  <w:tcW w:w="140" w:type="pct"/>
                  <w:vMerge w:val="continue"/>
                  <w:tcBorders>
                    <w:tl2br w:val="nil"/>
                    <w:tr2bl w:val="nil"/>
                  </w:tcBorders>
                  <w:shd w:val="clear" w:color="auto" w:fill="auto"/>
                  <w:vAlign w:val="center"/>
                </w:tcPr>
                <w:p w14:paraId="108C96D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00" w:type="pct"/>
                  <w:gridSpan w:val="2"/>
                  <w:tcBorders>
                    <w:tl2br w:val="nil"/>
                    <w:tr2bl w:val="nil"/>
                  </w:tcBorders>
                  <w:shd w:val="clear" w:color="auto" w:fill="auto"/>
                  <w:vAlign w:val="center"/>
                </w:tcPr>
                <w:p w14:paraId="0DB816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冷却塔风吹损失</w:t>
                  </w:r>
                </w:p>
              </w:tc>
              <w:tc>
                <w:tcPr>
                  <w:tcW w:w="188" w:type="pct"/>
                  <w:vMerge w:val="continue"/>
                  <w:tcBorders>
                    <w:tl2br w:val="nil"/>
                    <w:tr2bl w:val="nil"/>
                  </w:tcBorders>
                  <w:shd w:val="clear" w:color="auto" w:fill="auto"/>
                  <w:vAlign w:val="center"/>
                </w:tcPr>
                <w:p w14:paraId="703479D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71" w:type="pct"/>
                  <w:tcBorders>
                    <w:tl2br w:val="nil"/>
                    <w:tr2bl w:val="nil"/>
                  </w:tcBorders>
                  <w:shd w:val="clear" w:color="auto" w:fill="auto"/>
                  <w:vAlign w:val="center"/>
                </w:tcPr>
                <w:p w14:paraId="62CD9C1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0.66</w:t>
                  </w:r>
                </w:p>
              </w:tc>
              <w:tc>
                <w:tcPr>
                  <w:tcW w:w="284" w:type="pct"/>
                  <w:tcBorders>
                    <w:tl2br w:val="nil"/>
                    <w:tr2bl w:val="nil"/>
                  </w:tcBorders>
                  <w:shd w:val="clear" w:color="auto" w:fill="auto"/>
                  <w:vAlign w:val="center"/>
                </w:tcPr>
                <w:p w14:paraId="4B7A09E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5280</w:t>
                  </w:r>
                </w:p>
              </w:tc>
              <w:tc>
                <w:tcPr>
                  <w:tcW w:w="299" w:type="pct"/>
                  <w:tcBorders>
                    <w:tl2br w:val="nil"/>
                    <w:tr2bl w:val="nil"/>
                  </w:tcBorders>
                  <w:shd w:val="clear" w:color="auto" w:fill="auto"/>
                  <w:vAlign w:val="center"/>
                </w:tcPr>
                <w:p w14:paraId="0D353BB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37" w:type="pct"/>
                  <w:tcBorders>
                    <w:tl2br w:val="nil"/>
                    <w:tr2bl w:val="nil"/>
                  </w:tcBorders>
                  <w:shd w:val="clear" w:color="auto" w:fill="auto"/>
                  <w:vAlign w:val="center"/>
                </w:tcPr>
                <w:p w14:paraId="6E3E53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5280</w:t>
                  </w:r>
                </w:p>
              </w:tc>
              <w:tc>
                <w:tcPr>
                  <w:tcW w:w="252" w:type="pct"/>
                  <w:tcBorders>
                    <w:tl2br w:val="nil"/>
                    <w:tr2bl w:val="nil"/>
                  </w:tcBorders>
                  <w:shd w:val="clear" w:color="auto" w:fill="auto"/>
                  <w:vAlign w:val="center"/>
                </w:tcPr>
                <w:p w14:paraId="1603B8F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tcBorders>
                    <w:tl2br w:val="nil"/>
                    <w:tr2bl w:val="nil"/>
                  </w:tcBorders>
                  <w:shd w:val="clear" w:color="auto" w:fill="auto"/>
                  <w:vAlign w:val="center"/>
                </w:tcPr>
                <w:p w14:paraId="2AC18F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tcBorders>
                    <w:tl2br w:val="nil"/>
                    <w:tr2bl w:val="nil"/>
                  </w:tcBorders>
                  <w:shd w:val="clear" w:color="auto" w:fill="auto"/>
                  <w:vAlign w:val="center"/>
                </w:tcPr>
                <w:p w14:paraId="7DF7ED6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37370B8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78" w:type="pct"/>
                  <w:tcBorders>
                    <w:tl2br w:val="nil"/>
                    <w:tr2bl w:val="nil"/>
                  </w:tcBorders>
                  <w:shd w:val="clear" w:color="auto" w:fill="auto"/>
                  <w:vAlign w:val="center"/>
                </w:tcPr>
                <w:p w14:paraId="7F83898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0.66</w:t>
                  </w:r>
                </w:p>
              </w:tc>
              <w:tc>
                <w:tcPr>
                  <w:tcW w:w="306" w:type="pct"/>
                  <w:tcBorders>
                    <w:tl2br w:val="nil"/>
                    <w:tr2bl w:val="nil"/>
                  </w:tcBorders>
                  <w:shd w:val="clear" w:color="auto" w:fill="auto"/>
                  <w:vAlign w:val="center"/>
                </w:tcPr>
                <w:p w14:paraId="5B17E8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5280</w:t>
                  </w:r>
                </w:p>
              </w:tc>
              <w:tc>
                <w:tcPr>
                  <w:tcW w:w="269" w:type="pct"/>
                  <w:tcBorders>
                    <w:tl2br w:val="nil"/>
                    <w:tr2bl w:val="nil"/>
                  </w:tcBorders>
                  <w:shd w:val="clear" w:color="auto" w:fill="auto"/>
                  <w:vAlign w:val="center"/>
                </w:tcPr>
                <w:p w14:paraId="4D660D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4" w:type="pct"/>
                  <w:tcBorders>
                    <w:tl2br w:val="nil"/>
                    <w:tr2bl w:val="nil"/>
                  </w:tcBorders>
                  <w:shd w:val="clear" w:color="auto" w:fill="auto"/>
                  <w:vAlign w:val="center"/>
                </w:tcPr>
                <w:p w14:paraId="18A6513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67" w:type="pct"/>
                  <w:tcBorders>
                    <w:tl2br w:val="nil"/>
                    <w:tr2bl w:val="nil"/>
                  </w:tcBorders>
                  <w:shd w:val="clear" w:color="auto" w:fill="auto"/>
                  <w:vAlign w:val="center"/>
                </w:tcPr>
                <w:p w14:paraId="6575147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风吹损失</w:t>
                  </w:r>
                </w:p>
              </w:tc>
              <w:tc>
                <w:tcPr>
                  <w:tcW w:w="188" w:type="pct"/>
                  <w:tcBorders>
                    <w:tl2br w:val="nil"/>
                    <w:tr2bl w:val="nil"/>
                  </w:tcBorders>
                  <w:shd w:val="clear" w:color="auto" w:fill="auto"/>
                  <w:vAlign w:val="center"/>
                </w:tcPr>
                <w:p w14:paraId="0ABC8BE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r>
            <w:tr w14:paraId="5FE43B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1"/>
                <w:wAfter w:w="7" w:type="pct"/>
                <w:trHeight w:val="57" w:hRule="atLeast"/>
              </w:trPr>
              <w:tc>
                <w:tcPr>
                  <w:tcW w:w="141" w:type="pct"/>
                  <w:tcBorders>
                    <w:tl2br w:val="nil"/>
                    <w:tr2bl w:val="nil"/>
                  </w:tcBorders>
                  <w:shd w:val="clear" w:color="auto" w:fill="auto"/>
                  <w:vAlign w:val="center"/>
                </w:tcPr>
                <w:p w14:paraId="627427B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w:t>
                  </w:r>
                </w:p>
              </w:tc>
              <w:tc>
                <w:tcPr>
                  <w:tcW w:w="140" w:type="pct"/>
                  <w:vMerge w:val="continue"/>
                  <w:tcBorders>
                    <w:tl2br w:val="nil"/>
                    <w:tr2bl w:val="nil"/>
                  </w:tcBorders>
                  <w:shd w:val="clear" w:color="auto" w:fill="auto"/>
                  <w:vAlign w:val="center"/>
                </w:tcPr>
                <w:p w14:paraId="7A2D881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00" w:type="pct"/>
                  <w:gridSpan w:val="2"/>
                  <w:tcBorders>
                    <w:tl2br w:val="nil"/>
                    <w:tr2bl w:val="nil"/>
                  </w:tcBorders>
                  <w:shd w:val="clear" w:color="auto" w:fill="auto"/>
                  <w:vAlign w:val="center"/>
                </w:tcPr>
                <w:p w14:paraId="021C80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冷却塔排污损失</w:t>
                  </w:r>
                </w:p>
              </w:tc>
              <w:tc>
                <w:tcPr>
                  <w:tcW w:w="188" w:type="pct"/>
                  <w:vMerge w:val="continue"/>
                  <w:tcBorders>
                    <w:tl2br w:val="nil"/>
                    <w:tr2bl w:val="nil"/>
                  </w:tcBorders>
                  <w:shd w:val="clear" w:color="auto" w:fill="auto"/>
                  <w:vAlign w:val="center"/>
                </w:tcPr>
                <w:p w14:paraId="0565651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71" w:type="pct"/>
                  <w:tcBorders>
                    <w:tl2br w:val="nil"/>
                    <w:tr2bl w:val="nil"/>
                  </w:tcBorders>
                  <w:shd w:val="clear" w:color="auto" w:fill="auto"/>
                  <w:vAlign w:val="center"/>
                </w:tcPr>
                <w:p w14:paraId="396BDD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2.67</w:t>
                  </w:r>
                </w:p>
              </w:tc>
              <w:tc>
                <w:tcPr>
                  <w:tcW w:w="284" w:type="pct"/>
                  <w:tcBorders>
                    <w:tl2br w:val="nil"/>
                    <w:tr2bl w:val="nil"/>
                  </w:tcBorders>
                  <w:shd w:val="clear" w:color="auto" w:fill="auto"/>
                  <w:vAlign w:val="center"/>
                </w:tcPr>
                <w:p w14:paraId="6CD572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21360</w:t>
                  </w:r>
                </w:p>
              </w:tc>
              <w:tc>
                <w:tcPr>
                  <w:tcW w:w="299" w:type="pct"/>
                  <w:tcBorders>
                    <w:tl2br w:val="nil"/>
                    <w:tr2bl w:val="nil"/>
                  </w:tcBorders>
                  <w:shd w:val="clear" w:color="auto" w:fill="auto"/>
                  <w:vAlign w:val="center"/>
                </w:tcPr>
                <w:p w14:paraId="198EC5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37" w:type="pct"/>
                  <w:tcBorders>
                    <w:tl2br w:val="nil"/>
                    <w:tr2bl w:val="nil"/>
                  </w:tcBorders>
                  <w:shd w:val="clear" w:color="auto" w:fill="auto"/>
                  <w:vAlign w:val="center"/>
                </w:tcPr>
                <w:p w14:paraId="79BF3B8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21360</w:t>
                  </w:r>
                </w:p>
              </w:tc>
              <w:tc>
                <w:tcPr>
                  <w:tcW w:w="252" w:type="pct"/>
                  <w:tcBorders>
                    <w:tl2br w:val="nil"/>
                    <w:tr2bl w:val="nil"/>
                  </w:tcBorders>
                  <w:shd w:val="clear" w:color="auto" w:fill="auto"/>
                  <w:vAlign w:val="center"/>
                </w:tcPr>
                <w:p w14:paraId="697ACD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tcBorders>
                    <w:tl2br w:val="nil"/>
                    <w:tr2bl w:val="nil"/>
                  </w:tcBorders>
                  <w:shd w:val="clear" w:color="auto" w:fill="auto"/>
                  <w:vAlign w:val="center"/>
                </w:tcPr>
                <w:p w14:paraId="5DA31BB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tcBorders>
                    <w:tl2br w:val="nil"/>
                    <w:tr2bl w:val="nil"/>
                  </w:tcBorders>
                  <w:shd w:val="clear" w:color="auto" w:fill="auto"/>
                  <w:vAlign w:val="center"/>
                </w:tcPr>
                <w:p w14:paraId="15D681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4032A29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78" w:type="pct"/>
                  <w:tcBorders>
                    <w:tl2br w:val="nil"/>
                    <w:tr2bl w:val="nil"/>
                  </w:tcBorders>
                  <w:shd w:val="clear" w:color="auto" w:fill="auto"/>
                  <w:noWrap/>
                  <w:vAlign w:val="center"/>
                </w:tcPr>
                <w:p w14:paraId="5EBB29F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306" w:type="pct"/>
                  <w:tcBorders>
                    <w:tl2br w:val="nil"/>
                    <w:tr2bl w:val="nil"/>
                  </w:tcBorders>
                  <w:shd w:val="clear" w:color="auto" w:fill="auto"/>
                  <w:noWrap/>
                  <w:vAlign w:val="center"/>
                </w:tcPr>
                <w:p w14:paraId="5CB253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9" w:type="pct"/>
                  <w:tcBorders>
                    <w:tl2br w:val="nil"/>
                    <w:tr2bl w:val="nil"/>
                  </w:tcBorders>
                  <w:shd w:val="clear" w:color="auto" w:fill="auto"/>
                  <w:vAlign w:val="center"/>
                </w:tcPr>
                <w:p w14:paraId="40AE4A6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2.67</w:t>
                  </w:r>
                </w:p>
              </w:tc>
              <w:tc>
                <w:tcPr>
                  <w:tcW w:w="264" w:type="pct"/>
                  <w:tcBorders>
                    <w:tl2br w:val="nil"/>
                    <w:tr2bl w:val="nil"/>
                  </w:tcBorders>
                  <w:shd w:val="clear" w:color="auto" w:fill="auto"/>
                  <w:vAlign w:val="center"/>
                </w:tcPr>
                <w:p w14:paraId="6272C5A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21360</w:t>
                  </w:r>
                </w:p>
              </w:tc>
              <w:tc>
                <w:tcPr>
                  <w:tcW w:w="767" w:type="pct"/>
                  <w:tcBorders>
                    <w:tl2br w:val="nil"/>
                    <w:tr2bl w:val="nil"/>
                  </w:tcBorders>
                  <w:shd w:val="clear" w:color="auto" w:fill="auto"/>
                  <w:vAlign w:val="center"/>
                </w:tcPr>
                <w:p w14:paraId="24A9B8F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排入</w:t>
                  </w:r>
                  <w:r>
                    <w:rPr>
                      <w:rFonts w:hint="default" w:ascii="Times New Roman" w:hAnsi="Times New Roman" w:cs="Times New Roman"/>
                      <w:i w:val="0"/>
                      <w:iCs w:val="0"/>
                      <w:color w:val="auto"/>
                      <w:kern w:val="0"/>
                      <w:sz w:val="21"/>
                      <w:szCs w:val="21"/>
                      <w:u w:val="none"/>
                      <w:lang w:val="en-US" w:eastAsia="zh-CN" w:bidi="ar"/>
                    </w:rPr>
                    <w:t>回用水池作为脱硫系统补充水</w:t>
                  </w:r>
                </w:p>
              </w:tc>
              <w:tc>
                <w:tcPr>
                  <w:tcW w:w="188" w:type="pct"/>
                  <w:vMerge w:val="restart"/>
                  <w:tcBorders>
                    <w:tl2br w:val="nil"/>
                    <w:tr2bl w:val="nil"/>
                  </w:tcBorders>
                  <w:shd w:val="clear" w:color="auto" w:fill="auto"/>
                  <w:vAlign w:val="center"/>
                </w:tcPr>
                <w:p w14:paraId="754909C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0</w:t>
                  </w:r>
                </w:p>
              </w:tc>
            </w:tr>
            <w:tr w14:paraId="0228F9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57" w:hRule="atLeast"/>
              </w:trPr>
              <w:tc>
                <w:tcPr>
                  <w:tcW w:w="141" w:type="pct"/>
                  <w:tcBorders>
                    <w:tl2br w:val="nil"/>
                    <w:tr2bl w:val="nil"/>
                  </w:tcBorders>
                  <w:shd w:val="clear" w:color="auto" w:fill="auto"/>
                  <w:vAlign w:val="center"/>
                </w:tcPr>
                <w:p w14:paraId="75F7D8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w:t>
                  </w:r>
                </w:p>
              </w:tc>
              <w:tc>
                <w:tcPr>
                  <w:tcW w:w="140" w:type="pct"/>
                  <w:vMerge w:val="continue"/>
                  <w:tcBorders>
                    <w:tl2br w:val="nil"/>
                    <w:tr2bl w:val="nil"/>
                  </w:tcBorders>
                  <w:shd w:val="clear" w:color="auto" w:fill="auto"/>
                  <w:vAlign w:val="center"/>
                </w:tcPr>
                <w:p w14:paraId="6B488EE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00" w:type="pct"/>
                  <w:gridSpan w:val="2"/>
                  <w:tcBorders>
                    <w:tl2br w:val="nil"/>
                    <w:tr2bl w:val="nil"/>
                  </w:tcBorders>
                  <w:shd w:val="clear" w:color="auto" w:fill="auto"/>
                  <w:vAlign w:val="center"/>
                </w:tcPr>
                <w:p w14:paraId="58D47E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软化水制备</w:t>
                  </w:r>
                </w:p>
              </w:tc>
              <w:tc>
                <w:tcPr>
                  <w:tcW w:w="188" w:type="pct"/>
                  <w:vMerge w:val="continue"/>
                  <w:tcBorders>
                    <w:tl2br w:val="nil"/>
                    <w:tr2bl w:val="nil"/>
                  </w:tcBorders>
                  <w:shd w:val="clear" w:color="auto" w:fill="auto"/>
                  <w:vAlign w:val="center"/>
                </w:tcPr>
                <w:p w14:paraId="093650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71" w:type="pct"/>
                  <w:tcBorders>
                    <w:tl2br w:val="nil"/>
                    <w:tr2bl w:val="nil"/>
                  </w:tcBorders>
                  <w:shd w:val="clear" w:color="auto" w:fill="auto"/>
                  <w:noWrap/>
                  <w:vAlign w:val="center"/>
                </w:tcPr>
                <w:p w14:paraId="7D517D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25.00</w:t>
                  </w:r>
                </w:p>
              </w:tc>
              <w:tc>
                <w:tcPr>
                  <w:tcW w:w="284" w:type="pct"/>
                  <w:tcBorders>
                    <w:tl2br w:val="nil"/>
                    <w:tr2bl w:val="nil"/>
                  </w:tcBorders>
                  <w:shd w:val="clear" w:color="auto" w:fill="auto"/>
                  <w:vAlign w:val="center"/>
                </w:tcPr>
                <w:p w14:paraId="1B87DD8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200000</w:t>
                  </w:r>
                </w:p>
              </w:tc>
              <w:tc>
                <w:tcPr>
                  <w:tcW w:w="299" w:type="pct"/>
                  <w:tcBorders>
                    <w:tl2br w:val="nil"/>
                    <w:tr2bl w:val="nil"/>
                  </w:tcBorders>
                  <w:shd w:val="clear" w:color="auto" w:fill="auto"/>
                  <w:vAlign w:val="center"/>
                </w:tcPr>
                <w:p w14:paraId="478F571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200000</w:t>
                  </w:r>
                </w:p>
              </w:tc>
              <w:tc>
                <w:tcPr>
                  <w:tcW w:w="237" w:type="pct"/>
                  <w:tcBorders>
                    <w:tl2br w:val="nil"/>
                    <w:tr2bl w:val="nil"/>
                  </w:tcBorders>
                  <w:shd w:val="clear" w:color="auto" w:fill="auto"/>
                  <w:vAlign w:val="center"/>
                </w:tcPr>
                <w:p w14:paraId="6549B0F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2" w:type="pct"/>
                  <w:tcBorders>
                    <w:tl2br w:val="nil"/>
                    <w:tr2bl w:val="nil"/>
                  </w:tcBorders>
                  <w:shd w:val="clear" w:color="auto" w:fill="auto"/>
                  <w:vAlign w:val="center"/>
                </w:tcPr>
                <w:p w14:paraId="33160F7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tcBorders>
                    <w:tl2br w:val="nil"/>
                    <w:tr2bl w:val="nil"/>
                  </w:tcBorders>
                  <w:shd w:val="clear" w:color="auto" w:fill="auto"/>
                  <w:vAlign w:val="center"/>
                </w:tcPr>
                <w:p w14:paraId="68D317F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tcBorders>
                    <w:tl2br w:val="nil"/>
                    <w:tr2bl w:val="nil"/>
                  </w:tcBorders>
                  <w:shd w:val="clear" w:color="auto" w:fill="auto"/>
                  <w:vAlign w:val="center"/>
                </w:tcPr>
                <w:p w14:paraId="59CBDF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0980789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78" w:type="pct"/>
                  <w:tcBorders>
                    <w:tl2br w:val="nil"/>
                    <w:tr2bl w:val="nil"/>
                  </w:tcBorders>
                  <w:shd w:val="clear" w:color="auto" w:fill="auto"/>
                  <w:vAlign w:val="center"/>
                </w:tcPr>
                <w:p w14:paraId="1C5235E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16.50</w:t>
                  </w:r>
                </w:p>
              </w:tc>
              <w:tc>
                <w:tcPr>
                  <w:tcW w:w="306" w:type="pct"/>
                  <w:tcBorders>
                    <w:tl2br w:val="nil"/>
                    <w:tr2bl w:val="nil"/>
                  </w:tcBorders>
                  <w:shd w:val="clear" w:color="auto" w:fill="auto"/>
                  <w:vAlign w:val="center"/>
                </w:tcPr>
                <w:p w14:paraId="44593FD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132000</w:t>
                  </w:r>
                </w:p>
              </w:tc>
              <w:tc>
                <w:tcPr>
                  <w:tcW w:w="269" w:type="pct"/>
                  <w:tcBorders>
                    <w:tl2br w:val="nil"/>
                    <w:tr2bl w:val="nil"/>
                  </w:tcBorders>
                  <w:shd w:val="clear" w:color="auto" w:fill="auto"/>
                  <w:vAlign w:val="center"/>
                </w:tcPr>
                <w:p w14:paraId="61C36F7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8.50</w:t>
                  </w:r>
                </w:p>
              </w:tc>
              <w:tc>
                <w:tcPr>
                  <w:tcW w:w="264" w:type="pct"/>
                  <w:tcBorders>
                    <w:tl2br w:val="nil"/>
                    <w:tr2bl w:val="nil"/>
                  </w:tcBorders>
                  <w:shd w:val="clear" w:color="auto" w:fill="auto"/>
                  <w:vAlign w:val="center"/>
                </w:tcPr>
                <w:p w14:paraId="340D9E3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68000</w:t>
                  </w:r>
                </w:p>
              </w:tc>
              <w:tc>
                <w:tcPr>
                  <w:tcW w:w="767" w:type="pct"/>
                  <w:tcBorders>
                    <w:tl2br w:val="nil"/>
                    <w:tr2bl w:val="nil"/>
                  </w:tcBorders>
                  <w:shd w:val="clear" w:color="auto" w:fill="auto"/>
                  <w:noWrap/>
                  <w:vAlign w:val="center"/>
                </w:tcPr>
                <w:p w14:paraId="1EBC12A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排入</w:t>
                  </w:r>
                  <w:r>
                    <w:rPr>
                      <w:rFonts w:hint="default" w:ascii="Times New Roman" w:hAnsi="Times New Roman" w:cs="Times New Roman"/>
                      <w:i w:val="0"/>
                      <w:iCs w:val="0"/>
                      <w:color w:val="auto"/>
                      <w:kern w:val="0"/>
                      <w:sz w:val="21"/>
                      <w:szCs w:val="21"/>
                      <w:u w:val="none"/>
                      <w:lang w:val="en-US" w:eastAsia="zh-CN" w:bidi="ar"/>
                    </w:rPr>
                    <w:t>回用水池，作为脱硫系统补充水</w:t>
                  </w:r>
                </w:p>
              </w:tc>
              <w:tc>
                <w:tcPr>
                  <w:tcW w:w="188" w:type="pct"/>
                  <w:vMerge w:val="continue"/>
                  <w:tcBorders>
                    <w:tl2br w:val="nil"/>
                    <w:tr2bl w:val="nil"/>
                  </w:tcBorders>
                  <w:shd w:val="clear" w:color="auto" w:fill="auto"/>
                  <w:noWrap/>
                  <w:vAlign w:val="center"/>
                </w:tcPr>
                <w:p w14:paraId="7BAA659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7E6356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1"/>
                <w:wAfter w:w="7" w:type="pct"/>
                <w:trHeight w:val="57" w:hRule="atLeast"/>
              </w:trPr>
              <w:tc>
                <w:tcPr>
                  <w:tcW w:w="141" w:type="pct"/>
                  <w:tcBorders>
                    <w:tl2br w:val="nil"/>
                    <w:tr2bl w:val="nil"/>
                  </w:tcBorders>
                  <w:shd w:val="clear" w:color="auto" w:fill="auto"/>
                  <w:vAlign w:val="center"/>
                </w:tcPr>
                <w:p w14:paraId="6D7E93A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w:t>
                  </w:r>
                </w:p>
              </w:tc>
              <w:tc>
                <w:tcPr>
                  <w:tcW w:w="140" w:type="pct"/>
                  <w:vMerge w:val="continue"/>
                  <w:tcBorders>
                    <w:tl2br w:val="nil"/>
                    <w:tr2bl w:val="nil"/>
                  </w:tcBorders>
                  <w:shd w:val="clear" w:color="auto" w:fill="auto"/>
                  <w:vAlign w:val="center"/>
                </w:tcPr>
                <w:p w14:paraId="27DE221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00" w:type="pct"/>
                  <w:gridSpan w:val="2"/>
                  <w:tcBorders>
                    <w:tl2br w:val="nil"/>
                    <w:tr2bl w:val="nil"/>
                  </w:tcBorders>
                  <w:shd w:val="clear" w:color="auto" w:fill="auto"/>
                  <w:vAlign w:val="center"/>
                </w:tcPr>
                <w:p w14:paraId="6D2D19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脱硫系统</w:t>
                  </w:r>
                </w:p>
              </w:tc>
              <w:tc>
                <w:tcPr>
                  <w:tcW w:w="188" w:type="pct"/>
                  <w:vMerge w:val="continue"/>
                  <w:tcBorders>
                    <w:tl2br w:val="nil"/>
                    <w:tr2bl w:val="nil"/>
                  </w:tcBorders>
                  <w:shd w:val="clear" w:color="auto" w:fill="auto"/>
                  <w:vAlign w:val="center"/>
                </w:tcPr>
                <w:p w14:paraId="0D7C4BC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71" w:type="pct"/>
                  <w:tcBorders>
                    <w:tl2br w:val="nil"/>
                    <w:tr2bl w:val="nil"/>
                  </w:tcBorders>
                  <w:shd w:val="clear" w:color="auto" w:fill="auto"/>
                  <w:vAlign w:val="center"/>
                </w:tcPr>
                <w:p w14:paraId="68A4B8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24.00</w:t>
                  </w:r>
                </w:p>
              </w:tc>
              <w:tc>
                <w:tcPr>
                  <w:tcW w:w="284" w:type="pct"/>
                  <w:tcBorders>
                    <w:tl2br w:val="nil"/>
                    <w:tr2bl w:val="nil"/>
                  </w:tcBorders>
                  <w:shd w:val="clear" w:color="auto" w:fill="auto"/>
                  <w:vAlign w:val="center"/>
                </w:tcPr>
                <w:p w14:paraId="72A581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192000.00</w:t>
                  </w:r>
                </w:p>
              </w:tc>
              <w:tc>
                <w:tcPr>
                  <w:tcW w:w="299" w:type="pct"/>
                  <w:tcBorders>
                    <w:tl2br w:val="nil"/>
                    <w:tr2bl w:val="nil"/>
                  </w:tcBorders>
                  <w:shd w:val="clear" w:color="auto" w:fill="auto"/>
                  <w:vAlign w:val="center"/>
                </w:tcPr>
                <w:p w14:paraId="06F478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90462.98</w:t>
                  </w:r>
                </w:p>
              </w:tc>
              <w:tc>
                <w:tcPr>
                  <w:tcW w:w="237" w:type="pct"/>
                  <w:tcBorders>
                    <w:tl2br w:val="nil"/>
                    <w:tr2bl w:val="nil"/>
                  </w:tcBorders>
                  <w:shd w:val="clear" w:color="auto" w:fill="auto"/>
                  <w:vAlign w:val="center"/>
                </w:tcPr>
                <w:p w14:paraId="473D96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2" w:type="pct"/>
                  <w:tcBorders>
                    <w:tl2br w:val="nil"/>
                    <w:tr2bl w:val="nil"/>
                  </w:tcBorders>
                  <w:shd w:val="clear" w:color="auto" w:fill="auto"/>
                  <w:vAlign w:val="center"/>
                </w:tcPr>
                <w:p w14:paraId="6B2096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89537.02</w:t>
                  </w:r>
                </w:p>
              </w:tc>
              <w:tc>
                <w:tcPr>
                  <w:tcW w:w="201" w:type="pct"/>
                  <w:tcBorders>
                    <w:tl2br w:val="nil"/>
                    <w:tr2bl w:val="nil"/>
                  </w:tcBorders>
                  <w:shd w:val="clear" w:color="auto" w:fill="auto"/>
                  <w:vAlign w:val="center"/>
                </w:tcPr>
                <w:p w14:paraId="58DA021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12000</w:t>
                  </w:r>
                </w:p>
              </w:tc>
              <w:tc>
                <w:tcPr>
                  <w:tcW w:w="256" w:type="pct"/>
                  <w:tcBorders>
                    <w:tl2br w:val="nil"/>
                    <w:tr2bl w:val="nil"/>
                  </w:tcBorders>
                  <w:shd w:val="clear" w:color="auto" w:fill="auto"/>
                  <w:vAlign w:val="center"/>
                </w:tcPr>
                <w:p w14:paraId="7424BC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42796E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78" w:type="pct"/>
                  <w:tcBorders>
                    <w:tl2br w:val="nil"/>
                    <w:tr2bl w:val="nil"/>
                  </w:tcBorders>
                  <w:shd w:val="clear" w:color="auto" w:fill="auto"/>
                  <w:vAlign w:val="center"/>
                </w:tcPr>
                <w:p w14:paraId="054B6B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22.80</w:t>
                  </w:r>
                </w:p>
              </w:tc>
              <w:tc>
                <w:tcPr>
                  <w:tcW w:w="306" w:type="pct"/>
                  <w:tcBorders>
                    <w:tl2br w:val="nil"/>
                    <w:tr2bl w:val="nil"/>
                  </w:tcBorders>
                  <w:shd w:val="clear" w:color="auto" w:fill="auto"/>
                  <w:vAlign w:val="center"/>
                </w:tcPr>
                <w:p w14:paraId="79F3C9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182400</w:t>
                  </w:r>
                </w:p>
              </w:tc>
              <w:tc>
                <w:tcPr>
                  <w:tcW w:w="269" w:type="pct"/>
                  <w:tcBorders>
                    <w:tl2br w:val="nil"/>
                    <w:tr2bl w:val="nil"/>
                  </w:tcBorders>
                  <w:shd w:val="clear" w:color="auto" w:fill="auto"/>
                  <w:vAlign w:val="center"/>
                </w:tcPr>
                <w:p w14:paraId="5938FDF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1.20</w:t>
                  </w:r>
                </w:p>
              </w:tc>
              <w:tc>
                <w:tcPr>
                  <w:tcW w:w="264" w:type="pct"/>
                  <w:tcBorders>
                    <w:tl2br w:val="nil"/>
                    <w:tr2bl w:val="nil"/>
                  </w:tcBorders>
                  <w:shd w:val="clear" w:color="auto" w:fill="auto"/>
                  <w:vAlign w:val="center"/>
                </w:tcPr>
                <w:p w14:paraId="10CCEC1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9600</w:t>
                  </w:r>
                </w:p>
              </w:tc>
              <w:tc>
                <w:tcPr>
                  <w:tcW w:w="767" w:type="pct"/>
                  <w:tcBorders>
                    <w:tl2br w:val="nil"/>
                    <w:tr2bl w:val="nil"/>
                  </w:tcBorders>
                  <w:shd w:val="clear" w:color="auto" w:fill="auto"/>
                  <w:noWrap/>
                  <w:vAlign w:val="center"/>
                </w:tcPr>
                <w:p w14:paraId="2BAAB1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蒸发、排污、工艺消耗，排污水用于石灰石粉卸料和运输过程抑尘</w:t>
                  </w:r>
                </w:p>
              </w:tc>
              <w:tc>
                <w:tcPr>
                  <w:tcW w:w="188" w:type="pct"/>
                  <w:tcBorders>
                    <w:tl2br w:val="nil"/>
                    <w:tr2bl w:val="nil"/>
                  </w:tcBorders>
                  <w:shd w:val="clear" w:color="auto" w:fill="auto"/>
                  <w:noWrap/>
                  <w:vAlign w:val="center"/>
                </w:tcPr>
                <w:p w14:paraId="2E6E9A7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r>
            <w:tr w14:paraId="4C2188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1"/>
                <w:wAfter w:w="7" w:type="pct"/>
                <w:trHeight w:val="57" w:hRule="atLeast"/>
              </w:trPr>
              <w:tc>
                <w:tcPr>
                  <w:tcW w:w="141" w:type="pct"/>
                  <w:tcBorders>
                    <w:tl2br w:val="nil"/>
                    <w:tr2bl w:val="nil"/>
                  </w:tcBorders>
                  <w:shd w:val="clear" w:color="auto" w:fill="auto"/>
                  <w:vAlign w:val="center"/>
                </w:tcPr>
                <w:p w14:paraId="5A4EC2D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9</w:t>
                  </w:r>
                </w:p>
              </w:tc>
              <w:tc>
                <w:tcPr>
                  <w:tcW w:w="140" w:type="pct"/>
                  <w:vMerge w:val="continue"/>
                  <w:tcBorders>
                    <w:tl2br w:val="nil"/>
                    <w:tr2bl w:val="nil"/>
                  </w:tcBorders>
                  <w:shd w:val="clear" w:color="auto" w:fill="auto"/>
                  <w:vAlign w:val="center"/>
                </w:tcPr>
                <w:p w14:paraId="315E07B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00" w:type="pct"/>
                  <w:gridSpan w:val="2"/>
                  <w:vMerge w:val="restart"/>
                  <w:tcBorders>
                    <w:tl2br w:val="nil"/>
                    <w:tr2bl w:val="nil"/>
                  </w:tcBorders>
                  <w:shd w:val="clear" w:color="auto" w:fill="auto"/>
                  <w:vAlign w:val="center"/>
                </w:tcPr>
                <w:p w14:paraId="39CE5C7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化验室</w:t>
                  </w:r>
                </w:p>
              </w:tc>
              <w:tc>
                <w:tcPr>
                  <w:tcW w:w="188" w:type="pct"/>
                  <w:vMerge w:val="restart"/>
                  <w:tcBorders>
                    <w:tl2br w:val="nil"/>
                    <w:tr2bl w:val="nil"/>
                  </w:tcBorders>
                  <w:shd w:val="clear" w:color="auto" w:fill="auto"/>
                  <w:vAlign w:val="center"/>
                </w:tcPr>
                <w:p w14:paraId="1E84E1E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33</w:t>
                  </w:r>
                  <w:r>
                    <w:rPr>
                      <w:rFonts w:hint="default" w:ascii="Times New Roman" w:hAnsi="Times New Roman" w:cs="Times New Roman"/>
                      <w:i w:val="0"/>
                      <w:iCs w:val="0"/>
                      <w:color w:val="auto"/>
                      <w:kern w:val="0"/>
                      <w:sz w:val="21"/>
                      <w:szCs w:val="21"/>
                      <w:u w:val="none"/>
                      <w:lang w:val="en-US" w:eastAsia="zh-CN" w:bidi="ar"/>
                    </w:rPr>
                    <w:t>4</w:t>
                  </w:r>
                  <w:r>
                    <w:rPr>
                      <w:rFonts w:hint="default" w:ascii="Times New Roman" w:hAnsi="Times New Roman" w:eastAsia="宋体" w:cs="Times New Roman"/>
                      <w:i w:val="0"/>
                      <w:iCs w:val="0"/>
                      <w:color w:val="auto"/>
                      <w:kern w:val="0"/>
                      <w:sz w:val="21"/>
                      <w:szCs w:val="21"/>
                      <w:u w:val="none"/>
                      <w:lang w:val="en-US" w:eastAsia="zh-CN" w:bidi="ar"/>
                    </w:rPr>
                    <w:t>d</w:t>
                  </w:r>
                </w:p>
              </w:tc>
              <w:tc>
                <w:tcPr>
                  <w:tcW w:w="271" w:type="pct"/>
                  <w:vMerge w:val="restart"/>
                  <w:tcBorders>
                    <w:tl2br w:val="nil"/>
                    <w:tr2bl w:val="nil"/>
                  </w:tcBorders>
                  <w:shd w:val="clear" w:color="auto" w:fill="auto"/>
                  <w:vAlign w:val="center"/>
                </w:tcPr>
                <w:p w14:paraId="31424FC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0.75</w:t>
                  </w:r>
                </w:p>
              </w:tc>
              <w:tc>
                <w:tcPr>
                  <w:tcW w:w="284" w:type="pct"/>
                  <w:vMerge w:val="restart"/>
                  <w:tcBorders>
                    <w:tl2br w:val="nil"/>
                    <w:tr2bl w:val="nil"/>
                  </w:tcBorders>
                  <w:shd w:val="clear" w:color="auto" w:fill="auto"/>
                  <w:vAlign w:val="center"/>
                </w:tcPr>
                <w:p w14:paraId="17CFE37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250.50</w:t>
                  </w:r>
                </w:p>
              </w:tc>
              <w:tc>
                <w:tcPr>
                  <w:tcW w:w="299" w:type="pct"/>
                  <w:vMerge w:val="restart"/>
                  <w:tcBorders>
                    <w:tl2br w:val="nil"/>
                    <w:tr2bl w:val="nil"/>
                  </w:tcBorders>
                  <w:shd w:val="clear" w:color="auto" w:fill="auto"/>
                  <w:vAlign w:val="center"/>
                </w:tcPr>
                <w:p w14:paraId="5D6D821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167.00</w:t>
                  </w:r>
                </w:p>
              </w:tc>
              <w:tc>
                <w:tcPr>
                  <w:tcW w:w="237" w:type="pct"/>
                  <w:vMerge w:val="restart"/>
                  <w:tcBorders>
                    <w:tl2br w:val="nil"/>
                    <w:tr2bl w:val="nil"/>
                  </w:tcBorders>
                  <w:shd w:val="clear" w:color="auto" w:fill="auto"/>
                  <w:vAlign w:val="center"/>
                </w:tcPr>
                <w:p w14:paraId="43FF65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2" w:type="pct"/>
                  <w:vMerge w:val="restart"/>
                  <w:tcBorders>
                    <w:tl2br w:val="nil"/>
                    <w:tr2bl w:val="nil"/>
                  </w:tcBorders>
                  <w:shd w:val="clear" w:color="auto" w:fill="auto"/>
                  <w:vAlign w:val="center"/>
                </w:tcPr>
                <w:p w14:paraId="332DE7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vMerge w:val="restart"/>
                  <w:tcBorders>
                    <w:tl2br w:val="nil"/>
                    <w:tr2bl w:val="nil"/>
                  </w:tcBorders>
                  <w:shd w:val="clear" w:color="auto" w:fill="auto"/>
                  <w:vAlign w:val="center"/>
                </w:tcPr>
                <w:p w14:paraId="0342EA4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vMerge w:val="restart"/>
                  <w:tcBorders>
                    <w:tl2br w:val="nil"/>
                    <w:tr2bl w:val="nil"/>
                  </w:tcBorders>
                  <w:shd w:val="clear" w:color="auto" w:fill="auto"/>
                  <w:vAlign w:val="center"/>
                </w:tcPr>
                <w:p w14:paraId="11D5EA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83.50</w:t>
                  </w:r>
                </w:p>
              </w:tc>
              <w:tc>
                <w:tcPr>
                  <w:tcW w:w="243" w:type="pct"/>
                  <w:vMerge w:val="restart"/>
                  <w:tcBorders>
                    <w:tl2br w:val="nil"/>
                    <w:tr2bl w:val="nil"/>
                  </w:tcBorders>
                  <w:shd w:val="clear" w:color="auto" w:fill="auto"/>
                  <w:vAlign w:val="center"/>
                </w:tcPr>
                <w:p w14:paraId="77A470F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78" w:type="pct"/>
                  <w:vMerge w:val="restart"/>
                  <w:tcBorders>
                    <w:tl2br w:val="nil"/>
                    <w:tr2bl w:val="nil"/>
                  </w:tcBorders>
                  <w:shd w:val="clear" w:color="auto" w:fill="auto"/>
                  <w:vAlign w:val="center"/>
                </w:tcPr>
                <w:p w14:paraId="738EC0C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0.15</w:t>
                  </w:r>
                </w:p>
              </w:tc>
              <w:tc>
                <w:tcPr>
                  <w:tcW w:w="306" w:type="pct"/>
                  <w:vMerge w:val="restart"/>
                  <w:tcBorders>
                    <w:tl2br w:val="nil"/>
                    <w:tr2bl w:val="nil"/>
                  </w:tcBorders>
                  <w:shd w:val="clear" w:color="auto" w:fill="auto"/>
                  <w:vAlign w:val="center"/>
                </w:tcPr>
                <w:p w14:paraId="30058C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50.10</w:t>
                  </w:r>
                </w:p>
              </w:tc>
              <w:tc>
                <w:tcPr>
                  <w:tcW w:w="269" w:type="pct"/>
                  <w:tcBorders>
                    <w:tl2br w:val="nil"/>
                    <w:tr2bl w:val="nil"/>
                  </w:tcBorders>
                  <w:shd w:val="clear" w:color="auto" w:fill="auto"/>
                  <w:vAlign w:val="center"/>
                </w:tcPr>
                <w:p w14:paraId="0BFBC9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0.53</w:t>
                  </w:r>
                </w:p>
              </w:tc>
              <w:tc>
                <w:tcPr>
                  <w:tcW w:w="264" w:type="pct"/>
                  <w:tcBorders>
                    <w:tl2br w:val="nil"/>
                    <w:tr2bl w:val="nil"/>
                  </w:tcBorders>
                  <w:shd w:val="clear" w:color="auto" w:fill="auto"/>
                  <w:vAlign w:val="center"/>
                </w:tcPr>
                <w:p w14:paraId="5661FB0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177.02</w:t>
                  </w:r>
                </w:p>
              </w:tc>
              <w:tc>
                <w:tcPr>
                  <w:tcW w:w="767" w:type="pct"/>
                  <w:tcBorders>
                    <w:tl2br w:val="nil"/>
                    <w:tr2bl w:val="nil"/>
                  </w:tcBorders>
                  <w:shd w:val="clear" w:color="auto" w:fill="auto"/>
                  <w:noWrap/>
                  <w:vAlign w:val="center"/>
                </w:tcPr>
                <w:p w14:paraId="78D584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中和处理后</w:t>
                  </w:r>
                  <w:r>
                    <w:rPr>
                      <w:rFonts w:hint="default" w:ascii="Times New Roman" w:hAnsi="Times New Roman"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排入回用水池</w:t>
                  </w:r>
                  <w:r>
                    <w:rPr>
                      <w:rFonts w:hint="default" w:ascii="Times New Roman" w:hAnsi="Times New Roman" w:cs="Times New Roman"/>
                      <w:i w:val="0"/>
                      <w:iCs w:val="0"/>
                      <w:color w:val="auto"/>
                      <w:kern w:val="0"/>
                      <w:sz w:val="21"/>
                      <w:szCs w:val="21"/>
                      <w:u w:val="none"/>
                      <w:lang w:val="en-US" w:eastAsia="zh-CN" w:bidi="ar"/>
                    </w:rPr>
                    <w:t>，作为脱硫系统补充</w:t>
                  </w:r>
                </w:p>
              </w:tc>
              <w:tc>
                <w:tcPr>
                  <w:tcW w:w="188" w:type="pct"/>
                  <w:tcBorders>
                    <w:tl2br w:val="nil"/>
                    <w:tr2bl w:val="nil"/>
                  </w:tcBorders>
                  <w:shd w:val="clear" w:color="auto" w:fill="auto"/>
                  <w:noWrap/>
                  <w:vAlign w:val="center"/>
                </w:tcPr>
                <w:p w14:paraId="4B8D00D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0</w:t>
                  </w:r>
                </w:p>
              </w:tc>
            </w:tr>
            <w:tr w14:paraId="4CF16AA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1"/>
                <w:wAfter w:w="7" w:type="pct"/>
                <w:trHeight w:val="57" w:hRule="atLeast"/>
              </w:trPr>
              <w:tc>
                <w:tcPr>
                  <w:tcW w:w="141" w:type="pct"/>
                  <w:tcBorders>
                    <w:tl2br w:val="nil"/>
                    <w:tr2bl w:val="nil"/>
                  </w:tcBorders>
                  <w:shd w:val="clear" w:color="auto" w:fill="auto"/>
                  <w:vAlign w:val="center"/>
                </w:tcPr>
                <w:p w14:paraId="721C9F7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r>
                    <w:rPr>
                      <w:rFonts w:hint="default" w:ascii="Times New Roman" w:hAnsi="Times New Roman" w:cs="Times New Roman"/>
                      <w:i w:val="0"/>
                      <w:iCs w:val="0"/>
                      <w:color w:val="auto"/>
                      <w:kern w:val="0"/>
                      <w:sz w:val="21"/>
                      <w:szCs w:val="21"/>
                      <w:u w:val="none"/>
                      <w:lang w:val="en-US" w:eastAsia="zh-CN" w:bidi="ar"/>
                    </w:rPr>
                    <w:t>0</w:t>
                  </w:r>
                </w:p>
              </w:tc>
              <w:tc>
                <w:tcPr>
                  <w:tcW w:w="140" w:type="pct"/>
                  <w:vMerge w:val="continue"/>
                  <w:tcBorders>
                    <w:tl2br w:val="nil"/>
                    <w:tr2bl w:val="nil"/>
                  </w:tcBorders>
                  <w:shd w:val="clear" w:color="auto" w:fill="auto"/>
                  <w:vAlign w:val="center"/>
                </w:tcPr>
                <w:p w14:paraId="725B5A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400" w:type="pct"/>
                  <w:gridSpan w:val="2"/>
                  <w:vMerge w:val="continue"/>
                  <w:tcBorders>
                    <w:tl2br w:val="nil"/>
                    <w:tr2bl w:val="nil"/>
                  </w:tcBorders>
                  <w:shd w:val="clear" w:color="auto" w:fill="auto"/>
                  <w:vAlign w:val="center"/>
                </w:tcPr>
                <w:p w14:paraId="73B234E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8" w:type="pct"/>
                  <w:vMerge w:val="continue"/>
                  <w:tcBorders>
                    <w:tl2br w:val="nil"/>
                    <w:tr2bl w:val="nil"/>
                  </w:tcBorders>
                  <w:shd w:val="clear" w:color="auto" w:fill="auto"/>
                  <w:vAlign w:val="center"/>
                </w:tcPr>
                <w:p w14:paraId="4A9747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71" w:type="pct"/>
                  <w:vMerge w:val="continue"/>
                  <w:tcBorders>
                    <w:tl2br w:val="nil"/>
                    <w:tr2bl w:val="nil"/>
                  </w:tcBorders>
                  <w:shd w:val="clear" w:color="auto" w:fill="auto"/>
                  <w:vAlign w:val="center"/>
                </w:tcPr>
                <w:p w14:paraId="318CB0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84" w:type="pct"/>
                  <w:vMerge w:val="continue"/>
                  <w:tcBorders>
                    <w:tl2br w:val="nil"/>
                    <w:tr2bl w:val="nil"/>
                  </w:tcBorders>
                  <w:shd w:val="clear" w:color="auto" w:fill="auto"/>
                  <w:vAlign w:val="center"/>
                </w:tcPr>
                <w:p w14:paraId="236BE96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99" w:type="pct"/>
                  <w:vMerge w:val="continue"/>
                  <w:tcBorders>
                    <w:tl2br w:val="nil"/>
                    <w:tr2bl w:val="nil"/>
                  </w:tcBorders>
                  <w:shd w:val="clear" w:color="auto" w:fill="auto"/>
                  <w:vAlign w:val="center"/>
                </w:tcPr>
                <w:p w14:paraId="1D4BCE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37" w:type="pct"/>
                  <w:vMerge w:val="continue"/>
                  <w:tcBorders>
                    <w:tl2br w:val="nil"/>
                    <w:tr2bl w:val="nil"/>
                  </w:tcBorders>
                  <w:shd w:val="clear" w:color="auto" w:fill="auto"/>
                  <w:vAlign w:val="center"/>
                </w:tcPr>
                <w:p w14:paraId="71F2E59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52" w:type="pct"/>
                  <w:vMerge w:val="continue"/>
                  <w:tcBorders>
                    <w:tl2br w:val="nil"/>
                    <w:tr2bl w:val="nil"/>
                  </w:tcBorders>
                  <w:shd w:val="clear" w:color="auto" w:fill="auto"/>
                  <w:vAlign w:val="center"/>
                </w:tcPr>
                <w:p w14:paraId="4727600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01" w:type="pct"/>
                  <w:vMerge w:val="continue"/>
                  <w:tcBorders>
                    <w:tl2br w:val="nil"/>
                    <w:tr2bl w:val="nil"/>
                  </w:tcBorders>
                  <w:shd w:val="clear" w:color="auto" w:fill="auto"/>
                  <w:vAlign w:val="center"/>
                </w:tcPr>
                <w:p w14:paraId="16C5BB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56" w:type="pct"/>
                  <w:vMerge w:val="continue"/>
                  <w:tcBorders>
                    <w:tl2br w:val="nil"/>
                    <w:tr2bl w:val="nil"/>
                  </w:tcBorders>
                  <w:shd w:val="clear" w:color="auto" w:fill="auto"/>
                  <w:vAlign w:val="center"/>
                </w:tcPr>
                <w:p w14:paraId="2CE08B4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43" w:type="pct"/>
                  <w:vMerge w:val="continue"/>
                  <w:tcBorders>
                    <w:tl2br w:val="nil"/>
                    <w:tr2bl w:val="nil"/>
                  </w:tcBorders>
                  <w:shd w:val="clear" w:color="auto" w:fill="auto"/>
                  <w:vAlign w:val="center"/>
                </w:tcPr>
                <w:p w14:paraId="39C56FF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78" w:type="pct"/>
                  <w:vMerge w:val="continue"/>
                  <w:tcBorders>
                    <w:tl2br w:val="nil"/>
                    <w:tr2bl w:val="nil"/>
                  </w:tcBorders>
                  <w:shd w:val="clear" w:color="auto" w:fill="auto"/>
                  <w:vAlign w:val="center"/>
                </w:tcPr>
                <w:p w14:paraId="47D64BF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306" w:type="pct"/>
                  <w:vMerge w:val="continue"/>
                  <w:tcBorders>
                    <w:tl2br w:val="nil"/>
                    <w:tr2bl w:val="nil"/>
                  </w:tcBorders>
                  <w:shd w:val="clear" w:color="auto" w:fill="auto"/>
                  <w:vAlign w:val="center"/>
                </w:tcPr>
                <w:p w14:paraId="2197E81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69" w:type="pct"/>
                  <w:tcBorders>
                    <w:tl2br w:val="nil"/>
                    <w:tr2bl w:val="nil"/>
                  </w:tcBorders>
                  <w:shd w:val="clear" w:color="auto" w:fill="auto"/>
                  <w:vAlign w:val="center"/>
                </w:tcPr>
                <w:p w14:paraId="570920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0.07</w:t>
                  </w:r>
                </w:p>
              </w:tc>
              <w:tc>
                <w:tcPr>
                  <w:tcW w:w="264" w:type="pct"/>
                  <w:tcBorders>
                    <w:tl2br w:val="nil"/>
                    <w:tr2bl w:val="nil"/>
                  </w:tcBorders>
                  <w:shd w:val="clear" w:color="auto" w:fill="auto"/>
                  <w:vAlign w:val="center"/>
                </w:tcPr>
                <w:p w14:paraId="1E22B0A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23.38</w:t>
                  </w:r>
                </w:p>
              </w:tc>
              <w:tc>
                <w:tcPr>
                  <w:tcW w:w="767" w:type="pct"/>
                  <w:tcBorders>
                    <w:tl2br w:val="nil"/>
                    <w:tr2bl w:val="nil"/>
                  </w:tcBorders>
                  <w:shd w:val="clear" w:color="auto" w:fill="auto"/>
                  <w:noWrap/>
                  <w:vAlign w:val="center"/>
                </w:tcPr>
                <w:p w14:paraId="7888573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作为</w:t>
                  </w:r>
                  <w:r>
                    <w:rPr>
                      <w:rFonts w:hint="default" w:ascii="Times New Roman" w:hAnsi="Times New Roman" w:cs="Times New Roman"/>
                      <w:i w:val="0"/>
                      <w:iCs w:val="0"/>
                      <w:color w:val="auto"/>
                      <w:kern w:val="0"/>
                      <w:sz w:val="21"/>
                      <w:szCs w:val="21"/>
                      <w:u w:val="none"/>
                      <w:lang w:val="en-US" w:eastAsia="zh-CN" w:bidi="ar"/>
                    </w:rPr>
                    <w:t>危险</w:t>
                  </w:r>
                  <w:r>
                    <w:rPr>
                      <w:rFonts w:hint="default" w:ascii="Times New Roman" w:hAnsi="Times New Roman" w:eastAsia="宋体" w:cs="Times New Roman"/>
                      <w:i w:val="0"/>
                      <w:iCs w:val="0"/>
                      <w:color w:val="auto"/>
                      <w:kern w:val="0"/>
                      <w:sz w:val="21"/>
                      <w:szCs w:val="21"/>
                      <w:u w:val="none"/>
                      <w:lang w:val="en-US" w:eastAsia="zh-CN" w:bidi="ar"/>
                    </w:rPr>
                    <w:t>废物进行管理</w:t>
                  </w:r>
                </w:p>
              </w:tc>
              <w:tc>
                <w:tcPr>
                  <w:tcW w:w="188" w:type="pct"/>
                  <w:tcBorders>
                    <w:tl2br w:val="nil"/>
                    <w:tr2bl w:val="nil"/>
                  </w:tcBorders>
                  <w:shd w:val="clear" w:color="auto" w:fill="auto"/>
                  <w:noWrap/>
                  <w:vAlign w:val="center"/>
                </w:tcPr>
                <w:p w14:paraId="7BD3EE6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0</w:t>
                  </w:r>
                </w:p>
              </w:tc>
            </w:tr>
            <w:tr w14:paraId="0DE6B9D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141" w:type="pct"/>
                  <w:tcBorders>
                    <w:tl2br w:val="nil"/>
                    <w:tr2bl w:val="nil"/>
                  </w:tcBorders>
                  <w:shd w:val="clear" w:color="auto" w:fill="auto"/>
                  <w:vAlign w:val="center"/>
                </w:tcPr>
                <w:p w14:paraId="063FA0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r>
                    <w:rPr>
                      <w:rFonts w:hint="default" w:ascii="Times New Roman" w:hAnsi="Times New Roman" w:cs="Times New Roman"/>
                      <w:i w:val="0"/>
                      <w:iCs w:val="0"/>
                      <w:color w:val="auto"/>
                      <w:kern w:val="0"/>
                      <w:sz w:val="21"/>
                      <w:szCs w:val="21"/>
                      <w:u w:val="none"/>
                      <w:lang w:val="en-US" w:eastAsia="zh-CN" w:bidi="ar"/>
                    </w:rPr>
                    <w:t>1</w:t>
                  </w:r>
                </w:p>
              </w:tc>
              <w:tc>
                <w:tcPr>
                  <w:tcW w:w="140" w:type="pct"/>
                  <w:vMerge w:val="continue"/>
                  <w:tcBorders>
                    <w:tl2br w:val="nil"/>
                    <w:tr2bl w:val="nil"/>
                  </w:tcBorders>
                  <w:shd w:val="clear" w:color="auto" w:fill="auto"/>
                  <w:vAlign w:val="center"/>
                </w:tcPr>
                <w:p w14:paraId="5CA93DA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40" w:type="pct"/>
                  <w:vMerge w:val="restart"/>
                  <w:tcBorders>
                    <w:tl2br w:val="nil"/>
                    <w:tr2bl w:val="nil"/>
                  </w:tcBorders>
                  <w:shd w:val="clear" w:color="auto" w:fill="auto"/>
                  <w:vAlign w:val="center"/>
                </w:tcPr>
                <w:p w14:paraId="24703A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冷却</w:t>
                  </w:r>
                </w:p>
              </w:tc>
              <w:tc>
                <w:tcPr>
                  <w:tcW w:w="259" w:type="pct"/>
                  <w:tcBorders>
                    <w:tl2br w:val="nil"/>
                    <w:tr2bl w:val="nil"/>
                  </w:tcBorders>
                  <w:shd w:val="clear" w:color="auto" w:fill="auto"/>
                  <w:vAlign w:val="center"/>
                </w:tcPr>
                <w:p w14:paraId="56D59DF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发电机空气冷却器</w:t>
                  </w:r>
                </w:p>
              </w:tc>
              <w:tc>
                <w:tcPr>
                  <w:tcW w:w="188" w:type="pct"/>
                  <w:vMerge w:val="restart"/>
                  <w:tcBorders>
                    <w:tl2br w:val="nil"/>
                    <w:tr2bl w:val="nil"/>
                  </w:tcBorders>
                  <w:shd w:val="clear" w:color="auto" w:fill="auto"/>
                  <w:vAlign w:val="center"/>
                </w:tcPr>
                <w:p w14:paraId="5BF566F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8000h</w:t>
                  </w:r>
                </w:p>
              </w:tc>
              <w:tc>
                <w:tcPr>
                  <w:tcW w:w="271" w:type="pct"/>
                  <w:tcBorders>
                    <w:tl2br w:val="nil"/>
                    <w:tr2bl w:val="nil"/>
                  </w:tcBorders>
                  <w:shd w:val="clear" w:color="auto" w:fill="auto"/>
                  <w:vAlign w:val="center"/>
                </w:tcPr>
                <w:p w14:paraId="5573238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84" w:type="pct"/>
                  <w:tcBorders>
                    <w:tl2br w:val="nil"/>
                    <w:tr2bl w:val="nil"/>
                  </w:tcBorders>
                  <w:shd w:val="clear" w:color="auto" w:fill="auto"/>
                  <w:vAlign w:val="center"/>
                </w:tcPr>
                <w:p w14:paraId="09D78B3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99" w:type="pct"/>
                  <w:tcBorders>
                    <w:tl2br w:val="nil"/>
                    <w:tr2bl w:val="nil"/>
                  </w:tcBorders>
                  <w:shd w:val="clear" w:color="auto" w:fill="auto"/>
                  <w:vAlign w:val="center"/>
                </w:tcPr>
                <w:p w14:paraId="0643ACE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37" w:type="pct"/>
                  <w:tcBorders>
                    <w:tl2br w:val="nil"/>
                    <w:tr2bl w:val="nil"/>
                  </w:tcBorders>
                  <w:shd w:val="clear" w:color="auto" w:fill="auto"/>
                  <w:vAlign w:val="center"/>
                </w:tcPr>
                <w:p w14:paraId="1C32D2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2" w:type="pct"/>
                  <w:tcBorders>
                    <w:tl2br w:val="nil"/>
                    <w:tr2bl w:val="nil"/>
                  </w:tcBorders>
                  <w:shd w:val="clear" w:color="auto" w:fill="auto"/>
                  <w:vAlign w:val="center"/>
                </w:tcPr>
                <w:p w14:paraId="54F5BBB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tcBorders>
                    <w:tl2br w:val="nil"/>
                    <w:tr2bl w:val="nil"/>
                  </w:tcBorders>
                  <w:shd w:val="clear" w:color="auto" w:fill="auto"/>
                  <w:vAlign w:val="center"/>
                </w:tcPr>
                <w:p w14:paraId="1FB112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tcBorders>
                    <w:tl2br w:val="nil"/>
                    <w:tr2bl w:val="nil"/>
                  </w:tcBorders>
                  <w:shd w:val="clear" w:color="auto" w:fill="auto"/>
                  <w:vAlign w:val="center"/>
                </w:tcPr>
                <w:p w14:paraId="6B48F1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7B2AB21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360</w:t>
                  </w:r>
                </w:p>
              </w:tc>
              <w:tc>
                <w:tcPr>
                  <w:tcW w:w="278" w:type="pct"/>
                  <w:tcBorders>
                    <w:tl2br w:val="nil"/>
                    <w:tr2bl w:val="nil"/>
                  </w:tcBorders>
                  <w:shd w:val="clear" w:color="auto" w:fill="auto"/>
                  <w:vAlign w:val="center"/>
                </w:tcPr>
                <w:p w14:paraId="34BD948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306" w:type="pct"/>
                  <w:tcBorders>
                    <w:tl2br w:val="nil"/>
                    <w:tr2bl w:val="nil"/>
                  </w:tcBorders>
                  <w:shd w:val="clear" w:color="auto" w:fill="auto"/>
                  <w:vAlign w:val="center"/>
                </w:tcPr>
                <w:p w14:paraId="0C96B7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9" w:type="pct"/>
                  <w:tcBorders>
                    <w:tl2br w:val="nil"/>
                    <w:tr2bl w:val="nil"/>
                  </w:tcBorders>
                  <w:shd w:val="clear" w:color="auto" w:fill="auto"/>
                  <w:vAlign w:val="center"/>
                </w:tcPr>
                <w:p w14:paraId="1E9EF32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4" w:type="pct"/>
                  <w:tcBorders>
                    <w:tl2br w:val="nil"/>
                    <w:tr2bl w:val="nil"/>
                  </w:tcBorders>
                  <w:shd w:val="clear" w:color="auto" w:fill="auto"/>
                  <w:vAlign w:val="center"/>
                </w:tcPr>
                <w:p w14:paraId="3B9B974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67" w:type="pct"/>
                  <w:vMerge w:val="restart"/>
                  <w:tcBorders>
                    <w:tl2br w:val="nil"/>
                    <w:tr2bl w:val="nil"/>
                  </w:tcBorders>
                  <w:shd w:val="clear" w:color="auto" w:fill="auto"/>
                  <w:noWrap/>
                  <w:vAlign w:val="center"/>
                </w:tcPr>
                <w:p w14:paraId="32CB3C3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88" w:type="pct"/>
                  <w:tcBorders>
                    <w:tl2br w:val="nil"/>
                    <w:tr2bl w:val="nil"/>
                  </w:tcBorders>
                  <w:shd w:val="clear" w:color="auto" w:fill="auto"/>
                  <w:noWrap/>
                  <w:vAlign w:val="center"/>
                </w:tcPr>
                <w:p w14:paraId="0555D48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 w:type="pct"/>
                  <w:tcBorders>
                    <w:tl2br w:val="nil"/>
                    <w:tr2bl w:val="nil"/>
                  </w:tcBorders>
                  <w:shd w:val="clear" w:color="auto" w:fill="auto"/>
                  <w:noWrap/>
                  <w:vAlign w:val="center"/>
                </w:tcPr>
                <w:p w14:paraId="52D20B2C">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7829D3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141" w:type="pct"/>
                  <w:tcBorders>
                    <w:tl2br w:val="nil"/>
                    <w:tr2bl w:val="nil"/>
                  </w:tcBorders>
                  <w:shd w:val="clear" w:color="auto" w:fill="auto"/>
                  <w:vAlign w:val="center"/>
                </w:tcPr>
                <w:p w14:paraId="29E9A20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r>
                    <w:rPr>
                      <w:rFonts w:hint="default" w:ascii="Times New Roman" w:hAnsi="Times New Roman" w:cs="Times New Roman"/>
                      <w:i w:val="0"/>
                      <w:iCs w:val="0"/>
                      <w:color w:val="auto"/>
                      <w:kern w:val="0"/>
                      <w:sz w:val="21"/>
                      <w:szCs w:val="21"/>
                      <w:u w:val="none"/>
                      <w:lang w:val="en-US" w:eastAsia="zh-CN" w:bidi="ar"/>
                    </w:rPr>
                    <w:t>2</w:t>
                  </w:r>
                </w:p>
              </w:tc>
              <w:tc>
                <w:tcPr>
                  <w:tcW w:w="140" w:type="pct"/>
                  <w:vMerge w:val="continue"/>
                  <w:tcBorders>
                    <w:tl2br w:val="nil"/>
                    <w:tr2bl w:val="nil"/>
                  </w:tcBorders>
                  <w:shd w:val="clear" w:color="auto" w:fill="auto"/>
                  <w:vAlign w:val="center"/>
                </w:tcPr>
                <w:p w14:paraId="1F9914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40" w:type="pct"/>
                  <w:vMerge w:val="continue"/>
                  <w:tcBorders>
                    <w:tl2br w:val="nil"/>
                    <w:tr2bl w:val="nil"/>
                  </w:tcBorders>
                  <w:shd w:val="clear" w:color="auto" w:fill="auto"/>
                  <w:vAlign w:val="center"/>
                </w:tcPr>
                <w:p w14:paraId="352577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59" w:type="pct"/>
                  <w:tcBorders>
                    <w:tl2br w:val="nil"/>
                    <w:tr2bl w:val="nil"/>
                  </w:tcBorders>
                  <w:shd w:val="clear" w:color="auto" w:fill="auto"/>
                  <w:vAlign w:val="center"/>
                </w:tcPr>
                <w:p w14:paraId="67D6FE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汽机冷油器</w:t>
                  </w:r>
                </w:p>
              </w:tc>
              <w:tc>
                <w:tcPr>
                  <w:tcW w:w="188" w:type="pct"/>
                  <w:vMerge w:val="continue"/>
                  <w:tcBorders>
                    <w:tl2br w:val="nil"/>
                    <w:tr2bl w:val="nil"/>
                  </w:tcBorders>
                  <w:shd w:val="clear" w:color="auto" w:fill="auto"/>
                  <w:vAlign w:val="center"/>
                </w:tcPr>
                <w:p w14:paraId="5753106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71" w:type="pct"/>
                  <w:tcBorders>
                    <w:tl2br w:val="nil"/>
                    <w:tr2bl w:val="nil"/>
                  </w:tcBorders>
                  <w:shd w:val="clear" w:color="auto" w:fill="auto"/>
                  <w:vAlign w:val="center"/>
                </w:tcPr>
                <w:p w14:paraId="5E65807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84" w:type="pct"/>
                  <w:tcBorders>
                    <w:tl2br w:val="nil"/>
                    <w:tr2bl w:val="nil"/>
                  </w:tcBorders>
                  <w:shd w:val="clear" w:color="auto" w:fill="auto"/>
                  <w:vAlign w:val="center"/>
                </w:tcPr>
                <w:p w14:paraId="0F4FC5B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99" w:type="pct"/>
                  <w:tcBorders>
                    <w:tl2br w:val="nil"/>
                    <w:tr2bl w:val="nil"/>
                  </w:tcBorders>
                  <w:shd w:val="clear" w:color="auto" w:fill="auto"/>
                  <w:vAlign w:val="center"/>
                </w:tcPr>
                <w:p w14:paraId="14C71AA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37" w:type="pct"/>
                  <w:tcBorders>
                    <w:tl2br w:val="nil"/>
                    <w:tr2bl w:val="nil"/>
                  </w:tcBorders>
                  <w:shd w:val="clear" w:color="auto" w:fill="auto"/>
                  <w:vAlign w:val="center"/>
                </w:tcPr>
                <w:p w14:paraId="518D79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2" w:type="pct"/>
                  <w:tcBorders>
                    <w:tl2br w:val="nil"/>
                    <w:tr2bl w:val="nil"/>
                  </w:tcBorders>
                  <w:shd w:val="clear" w:color="auto" w:fill="auto"/>
                  <w:vAlign w:val="center"/>
                </w:tcPr>
                <w:p w14:paraId="0E8B6F3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tcBorders>
                    <w:tl2br w:val="nil"/>
                    <w:tr2bl w:val="nil"/>
                  </w:tcBorders>
                  <w:shd w:val="clear" w:color="auto" w:fill="auto"/>
                  <w:vAlign w:val="center"/>
                </w:tcPr>
                <w:p w14:paraId="00A605C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tcBorders>
                    <w:tl2br w:val="nil"/>
                    <w:tr2bl w:val="nil"/>
                  </w:tcBorders>
                  <w:shd w:val="clear" w:color="auto" w:fill="auto"/>
                  <w:vAlign w:val="center"/>
                </w:tcPr>
                <w:p w14:paraId="61EBC1D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2F76474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200</w:t>
                  </w:r>
                </w:p>
              </w:tc>
              <w:tc>
                <w:tcPr>
                  <w:tcW w:w="278" w:type="pct"/>
                  <w:tcBorders>
                    <w:tl2br w:val="nil"/>
                    <w:tr2bl w:val="nil"/>
                  </w:tcBorders>
                  <w:shd w:val="clear" w:color="auto" w:fill="auto"/>
                  <w:vAlign w:val="center"/>
                </w:tcPr>
                <w:p w14:paraId="1DAE335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306" w:type="pct"/>
                  <w:tcBorders>
                    <w:tl2br w:val="nil"/>
                    <w:tr2bl w:val="nil"/>
                  </w:tcBorders>
                  <w:shd w:val="clear" w:color="auto" w:fill="auto"/>
                  <w:vAlign w:val="center"/>
                </w:tcPr>
                <w:p w14:paraId="7D7B09B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9" w:type="pct"/>
                  <w:tcBorders>
                    <w:tl2br w:val="nil"/>
                    <w:tr2bl w:val="nil"/>
                  </w:tcBorders>
                  <w:shd w:val="clear" w:color="auto" w:fill="auto"/>
                  <w:vAlign w:val="center"/>
                </w:tcPr>
                <w:p w14:paraId="21E47F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4" w:type="pct"/>
                  <w:tcBorders>
                    <w:tl2br w:val="nil"/>
                    <w:tr2bl w:val="nil"/>
                  </w:tcBorders>
                  <w:shd w:val="clear" w:color="auto" w:fill="auto"/>
                  <w:vAlign w:val="center"/>
                </w:tcPr>
                <w:p w14:paraId="39861BD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67" w:type="pct"/>
                  <w:vMerge w:val="continue"/>
                  <w:tcBorders>
                    <w:tl2br w:val="nil"/>
                    <w:tr2bl w:val="nil"/>
                  </w:tcBorders>
                  <w:shd w:val="clear" w:color="auto" w:fill="auto"/>
                  <w:noWrap/>
                  <w:vAlign w:val="center"/>
                </w:tcPr>
                <w:p w14:paraId="593EC7F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8" w:type="pct"/>
                  <w:tcBorders>
                    <w:tl2br w:val="nil"/>
                    <w:tr2bl w:val="nil"/>
                  </w:tcBorders>
                  <w:shd w:val="clear" w:color="auto" w:fill="auto"/>
                  <w:noWrap/>
                  <w:vAlign w:val="center"/>
                </w:tcPr>
                <w:p w14:paraId="56D5E04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 w:type="pct"/>
                  <w:tcBorders>
                    <w:tl2br w:val="nil"/>
                    <w:tr2bl w:val="nil"/>
                  </w:tcBorders>
                  <w:shd w:val="clear" w:color="auto" w:fill="auto"/>
                  <w:noWrap/>
                  <w:vAlign w:val="center"/>
                </w:tcPr>
                <w:p w14:paraId="06305B44">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2C4952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141" w:type="pct"/>
                  <w:tcBorders>
                    <w:tl2br w:val="nil"/>
                    <w:tr2bl w:val="nil"/>
                  </w:tcBorders>
                  <w:shd w:val="clear" w:color="auto" w:fill="auto"/>
                  <w:vAlign w:val="center"/>
                </w:tcPr>
                <w:p w14:paraId="45DB685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r>
                    <w:rPr>
                      <w:rFonts w:hint="default" w:ascii="Times New Roman" w:hAnsi="Times New Roman" w:cs="Times New Roman"/>
                      <w:i w:val="0"/>
                      <w:iCs w:val="0"/>
                      <w:color w:val="auto"/>
                      <w:kern w:val="0"/>
                      <w:sz w:val="21"/>
                      <w:szCs w:val="21"/>
                      <w:u w:val="none"/>
                      <w:lang w:val="en-US" w:eastAsia="zh-CN" w:bidi="ar"/>
                    </w:rPr>
                    <w:t>3</w:t>
                  </w:r>
                </w:p>
              </w:tc>
              <w:tc>
                <w:tcPr>
                  <w:tcW w:w="140" w:type="pct"/>
                  <w:vMerge w:val="continue"/>
                  <w:tcBorders>
                    <w:tl2br w:val="nil"/>
                    <w:tr2bl w:val="nil"/>
                  </w:tcBorders>
                  <w:shd w:val="clear" w:color="auto" w:fill="auto"/>
                  <w:vAlign w:val="center"/>
                </w:tcPr>
                <w:p w14:paraId="4560FA8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40" w:type="pct"/>
                  <w:vMerge w:val="continue"/>
                  <w:tcBorders>
                    <w:tl2br w:val="nil"/>
                    <w:tr2bl w:val="nil"/>
                  </w:tcBorders>
                  <w:shd w:val="clear" w:color="auto" w:fill="auto"/>
                  <w:vAlign w:val="center"/>
                </w:tcPr>
                <w:p w14:paraId="0F46C12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59" w:type="pct"/>
                  <w:tcBorders>
                    <w:tl2br w:val="nil"/>
                    <w:tr2bl w:val="nil"/>
                  </w:tcBorders>
                  <w:shd w:val="clear" w:color="auto" w:fill="auto"/>
                  <w:vAlign w:val="center"/>
                </w:tcPr>
                <w:p w14:paraId="21C6A5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EH油系统</w:t>
                  </w:r>
                </w:p>
              </w:tc>
              <w:tc>
                <w:tcPr>
                  <w:tcW w:w="188" w:type="pct"/>
                  <w:vMerge w:val="continue"/>
                  <w:tcBorders>
                    <w:tl2br w:val="nil"/>
                    <w:tr2bl w:val="nil"/>
                  </w:tcBorders>
                  <w:shd w:val="clear" w:color="auto" w:fill="auto"/>
                  <w:vAlign w:val="center"/>
                </w:tcPr>
                <w:p w14:paraId="374F0A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71" w:type="pct"/>
                  <w:tcBorders>
                    <w:tl2br w:val="nil"/>
                    <w:tr2bl w:val="nil"/>
                  </w:tcBorders>
                  <w:shd w:val="clear" w:color="auto" w:fill="auto"/>
                  <w:vAlign w:val="center"/>
                </w:tcPr>
                <w:p w14:paraId="6E003B5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84" w:type="pct"/>
                  <w:tcBorders>
                    <w:tl2br w:val="nil"/>
                    <w:tr2bl w:val="nil"/>
                  </w:tcBorders>
                  <w:shd w:val="clear" w:color="auto" w:fill="auto"/>
                  <w:vAlign w:val="center"/>
                </w:tcPr>
                <w:p w14:paraId="1568EA2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99" w:type="pct"/>
                  <w:tcBorders>
                    <w:tl2br w:val="nil"/>
                    <w:tr2bl w:val="nil"/>
                  </w:tcBorders>
                  <w:shd w:val="clear" w:color="auto" w:fill="auto"/>
                  <w:vAlign w:val="center"/>
                </w:tcPr>
                <w:p w14:paraId="56064E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37" w:type="pct"/>
                  <w:tcBorders>
                    <w:tl2br w:val="nil"/>
                    <w:tr2bl w:val="nil"/>
                  </w:tcBorders>
                  <w:shd w:val="clear" w:color="auto" w:fill="auto"/>
                  <w:vAlign w:val="center"/>
                </w:tcPr>
                <w:p w14:paraId="65B8A25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2" w:type="pct"/>
                  <w:tcBorders>
                    <w:tl2br w:val="nil"/>
                    <w:tr2bl w:val="nil"/>
                  </w:tcBorders>
                  <w:shd w:val="clear" w:color="auto" w:fill="auto"/>
                  <w:vAlign w:val="center"/>
                </w:tcPr>
                <w:p w14:paraId="7069529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tcBorders>
                    <w:tl2br w:val="nil"/>
                    <w:tr2bl w:val="nil"/>
                  </w:tcBorders>
                  <w:shd w:val="clear" w:color="auto" w:fill="auto"/>
                  <w:vAlign w:val="center"/>
                </w:tcPr>
                <w:p w14:paraId="119F5B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tcBorders>
                    <w:tl2br w:val="nil"/>
                    <w:tr2bl w:val="nil"/>
                  </w:tcBorders>
                  <w:shd w:val="clear" w:color="auto" w:fill="auto"/>
                  <w:vAlign w:val="center"/>
                </w:tcPr>
                <w:p w14:paraId="30688B6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2EA07D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6.00</w:t>
                  </w:r>
                </w:p>
              </w:tc>
              <w:tc>
                <w:tcPr>
                  <w:tcW w:w="278" w:type="pct"/>
                  <w:tcBorders>
                    <w:tl2br w:val="nil"/>
                    <w:tr2bl w:val="nil"/>
                  </w:tcBorders>
                  <w:shd w:val="clear" w:color="auto" w:fill="auto"/>
                  <w:vAlign w:val="center"/>
                </w:tcPr>
                <w:p w14:paraId="3C06718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306" w:type="pct"/>
                  <w:tcBorders>
                    <w:tl2br w:val="nil"/>
                    <w:tr2bl w:val="nil"/>
                  </w:tcBorders>
                  <w:shd w:val="clear" w:color="auto" w:fill="auto"/>
                  <w:vAlign w:val="center"/>
                </w:tcPr>
                <w:p w14:paraId="2344939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9" w:type="pct"/>
                  <w:tcBorders>
                    <w:tl2br w:val="nil"/>
                    <w:tr2bl w:val="nil"/>
                  </w:tcBorders>
                  <w:shd w:val="clear" w:color="auto" w:fill="auto"/>
                  <w:vAlign w:val="center"/>
                </w:tcPr>
                <w:p w14:paraId="1BDD444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4" w:type="pct"/>
                  <w:tcBorders>
                    <w:tl2br w:val="nil"/>
                    <w:tr2bl w:val="nil"/>
                  </w:tcBorders>
                  <w:shd w:val="clear" w:color="auto" w:fill="auto"/>
                  <w:vAlign w:val="center"/>
                </w:tcPr>
                <w:p w14:paraId="11881EC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67" w:type="pct"/>
                  <w:vMerge w:val="continue"/>
                  <w:tcBorders>
                    <w:tl2br w:val="nil"/>
                    <w:tr2bl w:val="nil"/>
                  </w:tcBorders>
                  <w:shd w:val="clear" w:color="auto" w:fill="auto"/>
                  <w:noWrap/>
                  <w:vAlign w:val="center"/>
                </w:tcPr>
                <w:p w14:paraId="75C146F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8" w:type="pct"/>
                  <w:tcBorders>
                    <w:tl2br w:val="nil"/>
                    <w:tr2bl w:val="nil"/>
                  </w:tcBorders>
                  <w:shd w:val="clear" w:color="auto" w:fill="auto"/>
                  <w:noWrap/>
                  <w:vAlign w:val="center"/>
                </w:tcPr>
                <w:p w14:paraId="27604F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 w:type="pct"/>
                  <w:tcBorders>
                    <w:tl2br w:val="nil"/>
                    <w:tr2bl w:val="nil"/>
                  </w:tcBorders>
                  <w:shd w:val="clear" w:color="auto" w:fill="auto"/>
                  <w:noWrap/>
                  <w:vAlign w:val="center"/>
                </w:tcPr>
                <w:p w14:paraId="5D7B277B">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09A0CC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141" w:type="pct"/>
                  <w:tcBorders>
                    <w:tl2br w:val="nil"/>
                    <w:tr2bl w:val="nil"/>
                  </w:tcBorders>
                  <w:shd w:val="clear" w:color="auto" w:fill="auto"/>
                  <w:vAlign w:val="center"/>
                </w:tcPr>
                <w:p w14:paraId="6F4376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r>
                    <w:rPr>
                      <w:rFonts w:hint="default" w:ascii="Times New Roman" w:hAnsi="Times New Roman" w:cs="Times New Roman"/>
                      <w:i w:val="0"/>
                      <w:iCs w:val="0"/>
                      <w:color w:val="auto"/>
                      <w:kern w:val="0"/>
                      <w:sz w:val="21"/>
                      <w:szCs w:val="21"/>
                      <w:u w:val="none"/>
                      <w:lang w:val="en-US" w:eastAsia="zh-CN" w:bidi="ar"/>
                    </w:rPr>
                    <w:t>4</w:t>
                  </w:r>
                </w:p>
              </w:tc>
              <w:tc>
                <w:tcPr>
                  <w:tcW w:w="140" w:type="pct"/>
                  <w:vMerge w:val="continue"/>
                  <w:tcBorders>
                    <w:tl2br w:val="nil"/>
                    <w:tr2bl w:val="nil"/>
                  </w:tcBorders>
                  <w:shd w:val="clear" w:color="auto" w:fill="auto"/>
                  <w:vAlign w:val="center"/>
                </w:tcPr>
                <w:p w14:paraId="510C39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40" w:type="pct"/>
                  <w:vMerge w:val="continue"/>
                  <w:tcBorders>
                    <w:tl2br w:val="nil"/>
                    <w:tr2bl w:val="nil"/>
                  </w:tcBorders>
                  <w:shd w:val="clear" w:color="auto" w:fill="auto"/>
                  <w:vAlign w:val="center"/>
                </w:tcPr>
                <w:p w14:paraId="0E8D0C8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59" w:type="pct"/>
                  <w:tcBorders>
                    <w:tl2br w:val="nil"/>
                    <w:tr2bl w:val="nil"/>
                  </w:tcBorders>
                  <w:shd w:val="clear" w:color="auto" w:fill="auto"/>
                  <w:vAlign w:val="center"/>
                </w:tcPr>
                <w:p w14:paraId="3250B81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给水泵</w:t>
                  </w:r>
                </w:p>
              </w:tc>
              <w:tc>
                <w:tcPr>
                  <w:tcW w:w="188" w:type="pct"/>
                  <w:vMerge w:val="continue"/>
                  <w:tcBorders>
                    <w:tl2br w:val="nil"/>
                    <w:tr2bl w:val="nil"/>
                  </w:tcBorders>
                  <w:shd w:val="clear" w:color="auto" w:fill="auto"/>
                  <w:vAlign w:val="center"/>
                </w:tcPr>
                <w:p w14:paraId="5B6AC54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71" w:type="pct"/>
                  <w:tcBorders>
                    <w:tl2br w:val="nil"/>
                    <w:tr2bl w:val="nil"/>
                  </w:tcBorders>
                  <w:shd w:val="clear" w:color="auto" w:fill="auto"/>
                  <w:vAlign w:val="center"/>
                </w:tcPr>
                <w:p w14:paraId="37E4650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84" w:type="pct"/>
                  <w:tcBorders>
                    <w:tl2br w:val="nil"/>
                    <w:tr2bl w:val="nil"/>
                  </w:tcBorders>
                  <w:shd w:val="clear" w:color="auto" w:fill="auto"/>
                  <w:vAlign w:val="center"/>
                </w:tcPr>
                <w:p w14:paraId="28D11D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99" w:type="pct"/>
                  <w:tcBorders>
                    <w:tl2br w:val="nil"/>
                    <w:tr2bl w:val="nil"/>
                  </w:tcBorders>
                  <w:shd w:val="clear" w:color="auto" w:fill="auto"/>
                  <w:vAlign w:val="center"/>
                </w:tcPr>
                <w:p w14:paraId="441DBAD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37" w:type="pct"/>
                  <w:tcBorders>
                    <w:tl2br w:val="nil"/>
                    <w:tr2bl w:val="nil"/>
                  </w:tcBorders>
                  <w:shd w:val="clear" w:color="auto" w:fill="auto"/>
                  <w:vAlign w:val="center"/>
                </w:tcPr>
                <w:p w14:paraId="17754C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2" w:type="pct"/>
                  <w:tcBorders>
                    <w:tl2br w:val="nil"/>
                    <w:tr2bl w:val="nil"/>
                  </w:tcBorders>
                  <w:shd w:val="clear" w:color="auto" w:fill="auto"/>
                  <w:vAlign w:val="center"/>
                </w:tcPr>
                <w:p w14:paraId="70B43F5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tcBorders>
                    <w:tl2br w:val="nil"/>
                    <w:tr2bl w:val="nil"/>
                  </w:tcBorders>
                  <w:shd w:val="clear" w:color="auto" w:fill="auto"/>
                  <w:vAlign w:val="center"/>
                </w:tcPr>
                <w:p w14:paraId="4B9B82C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tcBorders>
                    <w:tl2br w:val="nil"/>
                    <w:tr2bl w:val="nil"/>
                  </w:tcBorders>
                  <w:shd w:val="clear" w:color="auto" w:fill="auto"/>
                  <w:vAlign w:val="center"/>
                </w:tcPr>
                <w:p w14:paraId="4101896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7C1134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5.00</w:t>
                  </w:r>
                </w:p>
              </w:tc>
              <w:tc>
                <w:tcPr>
                  <w:tcW w:w="278" w:type="pct"/>
                  <w:tcBorders>
                    <w:tl2br w:val="nil"/>
                    <w:tr2bl w:val="nil"/>
                  </w:tcBorders>
                  <w:shd w:val="clear" w:color="auto" w:fill="auto"/>
                  <w:vAlign w:val="center"/>
                </w:tcPr>
                <w:p w14:paraId="05FF4DB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306" w:type="pct"/>
                  <w:tcBorders>
                    <w:tl2br w:val="nil"/>
                    <w:tr2bl w:val="nil"/>
                  </w:tcBorders>
                  <w:shd w:val="clear" w:color="auto" w:fill="auto"/>
                  <w:vAlign w:val="center"/>
                </w:tcPr>
                <w:p w14:paraId="2EFBEF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9" w:type="pct"/>
                  <w:tcBorders>
                    <w:tl2br w:val="nil"/>
                    <w:tr2bl w:val="nil"/>
                  </w:tcBorders>
                  <w:shd w:val="clear" w:color="auto" w:fill="auto"/>
                  <w:vAlign w:val="center"/>
                </w:tcPr>
                <w:p w14:paraId="669C02D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4" w:type="pct"/>
                  <w:tcBorders>
                    <w:tl2br w:val="nil"/>
                    <w:tr2bl w:val="nil"/>
                  </w:tcBorders>
                  <w:shd w:val="clear" w:color="auto" w:fill="auto"/>
                  <w:vAlign w:val="center"/>
                </w:tcPr>
                <w:p w14:paraId="076557D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67" w:type="pct"/>
                  <w:vMerge w:val="continue"/>
                  <w:tcBorders>
                    <w:tl2br w:val="nil"/>
                    <w:tr2bl w:val="nil"/>
                  </w:tcBorders>
                  <w:shd w:val="clear" w:color="auto" w:fill="auto"/>
                  <w:noWrap/>
                  <w:vAlign w:val="center"/>
                </w:tcPr>
                <w:p w14:paraId="40854B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8" w:type="pct"/>
                  <w:tcBorders>
                    <w:tl2br w:val="nil"/>
                    <w:tr2bl w:val="nil"/>
                  </w:tcBorders>
                  <w:shd w:val="clear" w:color="auto" w:fill="auto"/>
                  <w:noWrap/>
                  <w:vAlign w:val="center"/>
                </w:tcPr>
                <w:p w14:paraId="42C7976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 w:type="pct"/>
                  <w:tcBorders>
                    <w:tl2br w:val="nil"/>
                    <w:tr2bl w:val="nil"/>
                  </w:tcBorders>
                  <w:shd w:val="clear" w:color="auto" w:fill="auto"/>
                  <w:noWrap/>
                  <w:vAlign w:val="center"/>
                </w:tcPr>
                <w:p w14:paraId="2CD18B75">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666C97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141" w:type="pct"/>
                  <w:tcBorders>
                    <w:tl2br w:val="nil"/>
                    <w:tr2bl w:val="nil"/>
                  </w:tcBorders>
                  <w:shd w:val="clear" w:color="auto" w:fill="auto"/>
                  <w:vAlign w:val="center"/>
                </w:tcPr>
                <w:p w14:paraId="13EC7F4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r>
                    <w:rPr>
                      <w:rFonts w:hint="default" w:ascii="Times New Roman" w:hAnsi="Times New Roman" w:cs="Times New Roman"/>
                      <w:i w:val="0"/>
                      <w:iCs w:val="0"/>
                      <w:color w:val="auto"/>
                      <w:kern w:val="0"/>
                      <w:sz w:val="21"/>
                      <w:szCs w:val="21"/>
                      <w:u w:val="none"/>
                      <w:lang w:val="en-US" w:eastAsia="zh-CN" w:bidi="ar"/>
                    </w:rPr>
                    <w:t>5</w:t>
                  </w:r>
                </w:p>
              </w:tc>
              <w:tc>
                <w:tcPr>
                  <w:tcW w:w="140" w:type="pct"/>
                  <w:vMerge w:val="continue"/>
                  <w:tcBorders>
                    <w:tl2br w:val="nil"/>
                    <w:tr2bl w:val="nil"/>
                  </w:tcBorders>
                  <w:shd w:val="clear" w:color="auto" w:fill="auto"/>
                  <w:vAlign w:val="center"/>
                </w:tcPr>
                <w:p w14:paraId="59B8F92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40" w:type="pct"/>
                  <w:vMerge w:val="continue"/>
                  <w:tcBorders>
                    <w:tl2br w:val="nil"/>
                    <w:tr2bl w:val="nil"/>
                  </w:tcBorders>
                  <w:shd w:val="clear" w:color="auto" w:fill="auto"/>
                  <w:vAlign w:val="center"/>
                </w:tcPr>
                <w:p w14:paraId="3783661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59" w:type="pct"/>
                  <w:tcBorders>
                    <w:tl2br w:val="nil"/>
                    <w:tr2bl w:val="nil"/>
                  </w:tcBorders>
                  <w:shd w:val="clear" w:color="auto" w:fill="auto"/>
                  <w:vAlign w:val="center"/>
                </w:tcPr>
                <w:p w14:paraId="5EF3AFA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给水泵稀油站</w:t>
                  </w:r>
                </w:p>
              </w:tc>
              <w:tc>
                <w:tcPr>
                  <w:tcW w:w="188" w:type="pct"/>
                  <w:vMerge w:val="continue"/>
                  <w:tcBorders>
                    <w:tl2br w:val="nil"/>
                    <w:tr2bl w:val="nil"/>
                  </w:tcBorders>
                  <w:shd w:val="clear" w:color="auto" w:fill="auto"/>
                  <w:vAlign w:val="center"/>
                </w:tcPr>
                <w:p w14:paraId="2B1C72E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71" w:type="pct"/>
                  <w:tcBorders>
                    <w:tl2br w:val="nil"/>
                    <w:tr2bl w:val="nil"/>
                  </w:tcBorders>
                  <w:shd w:val="clear" w:color="auto" w:fill="auto"/>
                  <w:vAlign w:val="center"/>
                </w:tcPr>
                <w:p w14:paraId="1651DF3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84" w:type="pct"/>
                  <w:tcBorders>
                    <w:tl2br w:val="nil"/>
                    <w:tr2bl w:val="nil"/>
                  </w:tcBorders>
                  <w:shd w:val="clear" w:color="auto" w:fill="auto"/>
                  <w:vAlign w:val="center"/>
                </w:tcPr>
                <w:p w14:paraId="763A3C6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99" w:type="pct"/>
                  <w:tcBorders>
                    <w:tl2br w:val="nil"/>
                    <w:tr2bl w:val="nil"/>
                  </w:tcBorders>
                  <w:shd w:val="clear" w:color="auto" w:fill="auto"/>
                  <w:vAlign w:val="center"/>
                </w:tcPr>
                <w:p w14:paraId="3C15DD0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37" w:type="pct"/>
                  <w:tcBorders>
                    <w:tl2br w:val="nil"/>
                    <w:tr2bl w:val="nil"/>
                  </w:tcBorders>
                  <w:shd w:val="clear" w:color="auto" w:fill="auto"/>
                  <w:vAlign w:val="center"/>
                </w:tcPr>
                <w:p w14:paraId="792B16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2" w:type="pct"/>
                  <w:tcBorders>
                    <w:tl2br w:val="nil"/>
                    <w:tr2bl w:val="nil"/>
                  </w:tcBorders>
                  <w:shd w:val="clear" w:color="auto" w:fill="auto"/>
                  <w:vAlign w:val="center"/>
                </w:tcPr>
                <w:p w14:paraId="5D87EE2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tcBorders>
                    <w:tl2br w:val="nil"/>
                    <w:tr2bl w:val="nil"/>
                  </w:tcBorders>
                  <w:shd w:val="clear" w:color="auto" w:fill="auto"/>
                  <w:vAlign w:val="center"/>
                </w:tcPr>
                <w:p w14:paraId="3991B15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tcBorders>
                    <w:tl2br w:val="nil"/>
                    <w:tr2bl w:val="nil"/>
                  </w:tcBorders>
                  <w:shd w:val="clear" w:color="auto" w:fill="auto"/>
                  <w:vAlign w:val="center"/>
                </w:tcPr>
                <w:p w14:paraId="6EEF46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1A5DB1C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5.00</w:t>
                  </w:r>
                </w:p>
              </w:tc>
              <w:tc>
                <w:tcPr>
                  <w:tcW w:w="278" w:type="pct"/>
                  <w:tcBorders>
                    <w:tl2br w:val="nil"/>
                    <w:tr2bl w:val="nil"/>
                  </w:tcBorders>
                  <w:shd w:val="clear" w:color="auto" w:fill="auto"/>
                  <w:vAlign w:val="center"/>
                </w:tcPr>
                <w:p w14:paraId="429D692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306" w:type="pct"/>
                  <w:tcBorders>
                    <w:tl2br w:val="nil"/>
                    <w:tr2bl w:val="nil"/>
                  </w:tcBorders>
                  <w:shd w:val="clear" w:color="auto" w:fill="auto"/>
                  <w:vAlign w:val="center"/>
                </w:tcPr>
                <w:p w14:paraId="48782C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9" w:type="pct"/>
                  <w:tcBorders>
                    <w:tl2br w:val="nil"/>
                    <w:tr2bl w:val="nil"/>
                  </w:tcBorders>
                  <w:shd w:val="clear" w:color="auto" w:fill="auto"/>
                  <w:vAlign w:val="center"/>
                </w:tcPr>
                <w:p w14:paraId="7371FA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4" w:type="pct"/>
                  <w:tcBorders>
                    <w:tl2br w:val="nil"/>
                    <w:tr2bl w:val="nil"/>
                  </w:tcBorders>
                  <w:shd w:val="clear" w:color="auto" w:fill="auto"/>
                  <w:vAlign w:val="center"/>
                </w:tcPr>
                <w:p w14:paraId="491FF11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67" w:type="pct"/>
                  <w:vMerge w:val="continue"/>
                  <w:tcBorders>
                    <w:tl2br w:val="nil"/>
                    <w:tr2bl w:val="nil"/>
                  </w:tcBorders>
                  <w:shd w:val="clear" w:color="auto" w:fill="auto"/>
                  <w:noWrap/>
                  <w:vAlign w:val="center"/>
                </w:tcPr>
                <w:p w14:paraId="7BFAF89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8" w:type="pct"/>
                  <w:tcBorders>
                    <w:tl2br w:val="nil"/>
                    <w:tr2bl w:val="nil"/>
                  </w:tcBorders>
                  <w:shd w:val="clear" w:color="auto" w:fill="auto"/>
                  <w:noWrap/>
                  <w:vAlign w:val="center"/>
                </w:tcPr>
                <w:p w14:paraId="0BCBEA1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 w:type="pct"/>
                  <w:tcBorders>
                    <w:tl2br w:val="nil"/>
                    <w:tr2bl w:val="nil"/>
                  </w:tcBorders>
                  <w:shd w:val="clear" w:color="auto" w:fill="auto"/>
                  <w:noWrap/>
                  <w:vAlign w:val="center"/>
                </w:tcPr>
                <w:p w14:paraId="5039A915">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72D207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141" w:type="pct"/>
                  <w:tcBorders>
                    <w:tl2br w:val="nil"/>
                    <w:tr2bl w:val="nil"/>
                  </w:tcBorders>
                  <w:shd w:val="clear" w:color="auto" w:fill="auto"/>
                  <w:vAlign w:val="center"/>
                </w:tcPr>
                <w:p w14:paraId="489213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r>
                    <w:rPr>
                      <w:rFonts w:hint="default" w:ascii="Times New Roman" w:hAnsi="Times New Roman" w:cs="Times New Roman"/>
                      <w:i w:val="0"/>
                      <w:iCs w:val="0"/>
                      <w:color w:val="auto"/>
                      <w:kern w:val="0"/>
                      <w:sz w:val="21"/>
                      <w:szCs w:val="21"/>
                      <w:u w:val="none"/>
                      <w:lang w:val="en-US" w:eastAsia="zh-CN" w:bidi="ar"/>
                    </w:rPr>
                    <w:t>6</w:t>
                  </w:r>
                </w:p>
              </w:tc>
              <w:tc>
                <w:tcPr>
                  <w:tcW w:w="140" w:type="pct"/>
                  <w:vMerge w:val="continue"/>
                  <w:tcBorders>
                    <w:tl2br w:val="nil"/>
                    <w:tr2bl w:val="nil"/>
                  </w:tcBorders>
                  <w:shd w:val="clear" w:color="auto" w:fill="auto"/>
                  <w:vAlign w:val="center"/>
                </w:tcPr>
                <w:p w14:paraId="6A34DF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40" w:type="pct"/>
                  <w:vMerge w:val="continue"/>
                  <w:tcBorders>
                    <w:tl2br w:val="nil"/>
                    <w:tr2bl w:val="nil"/>
                  </w:tcBorders>
                  <w:shd w:val="clear" w:color="auto" w:fill="auto"/>
                  <w:vAlign w:val="center"/>
                </w:tcPr>
                <w:p w14:paraId="1320FA9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59" w:type="pct"/>
                  <w:tcBorders>
                    <w:tl2br w:val="nil"/>
                    <w:tr2bl w:val="nil"/>
                  </w:tcBorders>
                  <w:shd w:val="clear" w:color="auto" w:fill="auto"/>
                  <w:vAlign w:val="center"/>
                </w:tcPr>
                <w:p w14:paraId="249EE7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水环真空泵</w:t>
                  </w:r>
                </w:p>
              </w:tc>
              <w:tc>
                <w:tcPr>
                  <w:tcW w:w="188" w:type="pct"/>
                  <w:vMerge w:val="continue"/>
                  <w:tcBorders>
                    <w:tl2br w:val="nil"/>
                    <w:tr2bl w:val="nil"/>
                  </w:tcBorders>
                  <w:shd w:val="clear" w:color="auto" w:fill="auto"/>
                  <w:vAlign w:val="center"/>
                </w:tcPr>
                <w:p w14:paraId="0FDE433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71" w:type="pct"/>
                  <w:tcBorders>
                    <w:tl2br w:val="nil"/>
                    <w:tr2bl w:val="nil"/>
                  </w:tcBorders>
                  <w:shd w:val="clear" w:color="auto" w:fill="auto"/>
                  <w:vAlign w:val="center"/>
                </w:tcPr>
                <w:p w14:paraId="51EC73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84" w:type="pct"/>
                  <w:tcBorders>
                    <w:tl2br w:val="nil"/>
                    <w:tr2bl w:val="nil"/>
                  </w:tcBorders>
                  <w:shd w:val="clear" w:color="auto" w:fill="auto"/>
                  <w:vAlign w:val="center"/>
                </w:tcPr>
                <w:p w14:paraId="0BCA7D8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99" w:type="pct"/>
                  <w:tcBorders>
                    <w:tl2br w:val="nil"/>
                    <w:tr2bl w:val="nil"/>
                  </w:tcBorders>
                  <w:shd w:val="clear" w:color="auto" w:fill="auto"/>
                  <w:vAlign w:val="center"/>
                </w:tcPr>
                <w:p w14:paraId="7E135C2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37" w:type="pct"/>
                  <w:tcBorders>
                    <w:tl2br w:val="nil"/>
                    <w:tr2bl w:val="nil"/>
                  </w:tcBorders>
                  <w:shd w:val="clear" w:color="auto" w:fill="auto"/>
                  <w:vAlign w:val="center"/>
                </w:tcPr>
                <w:p w14:paraId="7214D4F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2" w:type="pct"/>
                  <w:tcBorders>
                    <w:tl2br w:val="nil"/>
                    <w:tr2bl w:val="nil"/>
                  </w:tcBorders>
                  <w:shd w:val="clear" w:color="auto" w:fill="auto"/>
                  <w:vAlign w:val="center"/>
                </w:tcPr>
                <w:p w14:paraId="3672CAE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tcBorders>
                    <w:tl2br w:val="nil"/>
                    <w:tr2bl w:val="nil"/>
                  </w:tcBorders>
                  <w:shd w:val="clear" w:color="auto" w:fill="auto"/>
                  <w:vAlign w:val="center"/>
                </w:tcPr>
                <w:p w14:paraId="33F888F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tcBorders>
                    <w:tl2br w:val="nil"/>
                    <w:tr2bl w:val="nil"/>
                  </w:tcBorders>
                  <w:shd w:val="clear" w:color="auto" w:fill="auto"/>
                  <w:vAlign w:val="center"/>
                </w:tcPr>
                <w:p w14:paraId="2D11F4C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1051EB9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15.00</w:t>
                  </w:r>
                </w:p>
              </w:tc>
              <w:tc>
                <w:tcPr>
                  <w:tcW w:w="278" w:type="pct"/>
                  <w:tcBorders>
                    <w:tl2br w:val="nil"/>
                    <w:tr2bl w:val="nil"/>
                  </w:tcBorders>
                  <w:shd w:val="clear" w:color="auto" w:fill="auto"/>
                  <w:vAlign w:val="center"/>
                </w:tcPr>
                <w:p w14:paraId="62F7E46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306" w:type="pct"/>
                  <w:tcBorders>
                    <w:tl2br w:val="nil"/>
                    <w:tr2bl w:val="nil"/>
                  </w:tcBorders>
                  <w:shd w:val="clear" w:color="auto" w:fill="auto"/>
                  <w:vAlign w:val="center"/>
                </w:tcPr>
                <w:p w14:paraId="2BAFBBD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9" w:type="pct"/>
                  <w:tcBorders>
                    <w:tl2br w:val="nil"/>
                    <w:tr2bl w:val="nil"/>
                  </w:tcBorders>
                  <w:shd w:val="clear" w:color="auto" w:fill="auto"/>
                  <w:vAlign w:val="center"/>
                </w:tcPr>
                <w:p w14:paraId="09B2E17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4" w:type="pct"/>
                  <w:tcBorders>
                    <w:tl2br w:val="nil"/>
                    <w:tr2bl w:val="nil"/>
                  </w:tcBorders>
                  <w:shd w:val="clear" w:color="auto" w:fill="auto"/>
                  <w:vAlign w:val="center"/>
                </w:tcPr>
                <w:p w14:paraId="6AAFA2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67" w:type="pct"/>
                  <w:vMerge w:val="continue"/>
                  <w:tcBorders>
                    <w:tl2br w:val="nil"/>
                    <w:tr2bl w:val="nil"/>
                  </w:tcBorders>
                  <w:shd w:val="clear" w:color="auto" w:fill="auto"/>
                  <w:noWrap/>
                  <w:vAlign w:val="center"/>
                </w:tcPr>
                <w:p w14:paraId="71415EF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8" w:type="pct"/>
                  <w:tcBorders>
                    <w:tl2br w:val="nil"/>
                    <w:tr2bl w:val="nil"/>
                  </w:tcBorders>
                  <w:shd w:val="clear" w:color="auto" w:fill="auto"/>
                  <w:noWrap/>
                  <w:vAlign w:val="center"/>
                </w:tcPr>
                <w:p w14:paraId="7339FBB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 w:type="pct"/>
                  <w:tcBorders>
                    <w:tl2br w:val="nil"/>
                    <w:tr2bl w:val="nil"/>
                  </w:tcBorders>
                  <w:shd w:val="clear" w:color="auto" w:fill="auto"/>
                  <w:noWrap/>
                  <w:vAlign w:val="center"/>
                </w:tcPr>
                <w:p w14:paraId="4229FE89">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225108D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141" w:type="pct"/>
                  <w:tcBorders>
                    <w:tl2br w:val="nil"/>
                    <w:tr2bl w:val="nil"/>
                  </w:tcBorders>
                  <w:shd w:val="clear" w:color="auto" w:fill="auto"/>
                  <w:vAlign w:val="center"/>
                </w:tcPr>
                <w:p w14:paraId="3AF842F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r>
                    <w:rPr>
                      <w:rFonts w:hint="default" w:ascii="Times New Roman" w:hAnsi="Times New Roman" w:cs="Times New Roman"/>
                      <w:i w:val="0"/>
                      <w:iCs w:val="0"/>
                      <w:color w:val="auto"/>
                      <w:kern w:val="0"/>
                      <w:sz w:val="21"/>
                      <w:szCs w:val="21"/>
                      <w:u w:val="none"/>
                      <w:lang w:val="en-US" w:eastAsia="zh-CN" w:bidi="ar"/>
                    </w:rPr>
                    <w:t>7</w:t>
                  </w:r>
                </w:p>
              </w:tc>
              <w:tc>
                <w:tcPr>
                  <w:tcW w:w="140" w:type="pct"/>
                  <w:vMerge w:val="continue"/>
                  <w:tcBorders>
                    <w:tl2br w:val="nil"/>
                    <w:tr2bl w:val="nil"/>
                  </w:tcBorders>
                  <w:shd w:val="clear" w:color="auto" w:fill="auto"/>
                  <w:vAlign w:val="center"/>
                </w:tcPr>
                <w:p w14:paraId="182E507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40" w:type="pct"/>
                  <w:vMerge w:val="continue"/>
                  <w:tcBorders>
                    <w:tl2br w:val="nil"/>
                    <w:tr2bl w:val="nil"/>
                  </w:tcBorders>
                  <w:shd w:val="clear" w:color="auto" w:fill="auto"/>
                  <w:vAlign w:val="center"/>
                </w:tcPr>
                <w:p w14:paraId="2FFCBA3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59" w:type="pct"/>
                  <w:tcBorders>
                    <w:tl2br w:val="nil"/>
                    <w:tr2bl w:val="nil"/>
                  </w:tcBorders>
                  <w:shd w:val="clear" w:color="auto" w:fill="auto"/>
                  <w:vAlign w:val="center"/>
                </w:tcPr>
                <w:p w14:paraId="2BDCA12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凝结水泵</w:t>
                  </w:r>
                </w:p>
              </w:tc>
              <w:tc>
                <w:tcPr>
                  <w:tcW w:w="188" w:type="pct"/>
                  <w:vMerge w:val="continue"/>
                  <w:tcBorders>
                    <w:tl2br w:val="nil"/>
                    <w:tr2bl w:val="nil"/>
                  </w:tcBorders>
                  <w:shd w:val="clear" w:color="auto" w:fill="auto"/>
                  <w:vAlign w:val="center"/>
                </w:tcPr>
                <w:p w14:paraId="5B3253A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71" w:type="pct"/>
                  <w:tcBorders>
                    <w:tl2br w:val="nil"/>
                    <w:tr2bl w:val="nil"/>
                  </w:tcBorders>
                  <w:shd w:val="clear" w:color="auto" w:fill="auto"/>
                  <w:vAlign w:val="center"/>
                </w:tcPr>
                <w:p w14:paraId="302CEBE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84" w:type="pct"/>
                  <w:tcBorders>
                    <w:tl2br w:val="nil"/>
                    <w:tr2bl w:val="nil"/>
                  </w:tcBorders>
                  <w:shd w:val="clear" w:color="auto" w:fill="auto"/>
                  <w:vAlign w:val="center"/>
                </w:tcPr>
                <w:p w14:paraId="238538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99" w:type="pct"/>
                  <w:tcBorders>
                    <w:tl2br w:val="nil"/>
                    <w:tr2bl w:val="nil"/>
                  </w:tcBorders>
                  <w:shd w:val="clear" w:color="auto" w:fill="auto"/>
                  <w:vAlign w:val="center"/>
                </w:tcPr>
                <w:p w14:paraId="3DCC9C0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37" w:type="pct"/>
                  <w:tcBorders>
                    <w:tl2br w:val="nil"/>
                    <w:tr2bl w:val="nil"/>
                  </w:tcBorders>
                  <w:shd w:val="clear" w:color="auto" w:fill="auto"/>
                  <w:vAlign w:val="center"/>
                </w:tcPr>
                <w:p w14:paraId="18409E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2" w:type="pct"/>
                  <w:tcBorders>
                    <w:tl2br w:val="nil"/>
                    <w:tr2bl w:val="nil"/>
                  </w:tcBorders>
                  <w:shd w:val="clear" w:color="auto" w:fill="auto"/>
                  <w:vAlign w:val="center"/>
                </w:tcPr>
                <w:p w14:paraId="6A7BF73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tcBorders>
                    <w:tl2br w:val="nil"/>
                    <w:tr2bl w:val="nil"/>
                  </w:tcBorders>
                  <w:shd w:val="clear" w:color="auto" w:fill="auto"/>
                  <w:vAlign w:val="center"/>
                </w:tcPr>
                <w:p w14:paraId="5CD2CAE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tcBorders>
                    <w:tl2br w:val="nil"/>
                    <w:tr2bl w:val="nil"/>
                  </w:tcBorders>
                  <w:shd w:val="clear" w:color="auto" w:fill="auto"/>
                  <w:vAlign w:val="center"/>
                </w:tcPr>
                <w:p w14:paraId="0BD37F0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0362DCE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3.00</w:t>
                  </w:r>
                </w:p>
              </w:tc>
              <w:tc>
                <w:tcPr>
                  <w:tcW w:w="278" w:type="pct"/>
                  <w:tcBorders>
                    <w:tl2br w:val="nil"/>
                    <w:tr2bl w:val="nil"/>
                  </w:tcBorders>
                  <w:shd w:val="clear" w:color="auto" w:fill="auto"/>
                  <w:vAlign w:val="center"/>
                </w:tcPr>
                <w:p w14:paraId="2C0CD0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306" w:type="pct"/>
                  <w:tcBorders>
                    <w:tl2br w:val="nil"/>
                    <w:tr2bl w:val="nil"/>
                  </w:tcBorders>
                  <w:shd w:val="clear" w:color="auto" w:fill="auto"/>
                  <w:vAlign w:val="center"/>
                </w:tcPr>
                <w:p w14:paraId="4F00484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9" w:type="pct"/>
                  <w:tcBorders>
                    <w:tl2br w:val="nil"/>
                    <w:tr2bl w:val="nil"/>
                  </w:tcBorders>
                  <w:shd w:val="clear" w:color="auto" w:fill="auto"/>
                  <w:vAlign w:val="center"/>
                </w:tcPr>
                <w:p w14:paraId="58F1DA8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4" w:type="pct"/>
                  <w:tcBorders>
                    <w:tl2br w:val="nil"/>
                    <w:tr2bl w:val="nil"/>
                  </w:tcBorders>
                  <w:shd w:val="clear" w:color="auto" w:fill="auto"/>
                  <w:vAlign w:val="center"/>
                </w:tcPr>
                <w:p w14:paraId="1DE3663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67" w:type="pct"/>
                  <w:vMerge w:val="continue"/>
                  <w:tcBorders>
                    <w:tl2br w:val="nil"/>
                    <w:tr2bl w:val="nil"/>
                  </w:tcBorders>
                  <w:shd w:val="clear" w:color="auto" w:fill="auto"/>
                  <w:noWrap/>
                  <w:vAlign w:val="center"/>
                </w:tcPr>
                <w:p w14:paraId="1A77E3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8" w:type="pct"/>
                  <w:tcBorders>
                    <w:tl2br w:val="nil"/>
                    <w:tr2bl w:val="nil"/>
                  </w:tcBorders>
                  <w:shd w:val="clear" w:color="auto" w:fill="auto"/>
                  <w:noWrap/>
                  <w:vAlign w:val="center"/>
                </w:tcPr>
                <w:p w14:paraId="45C3CEE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 w:type="pct"/>
                  <w:tcBorders>
                    <w:tl2br w:val="nil"/>
                    <w:tr2bl w:val="nil"/>
                  </w:tcBorders>
                  <w:shd w:val="clear" w:color="auto" w:fill="auto"/>
                  <w:noWrap/>
                  <w:vAlign w:val="center"/>
                </w:tcPr>
                <w:p w14:paraId="70E30CC1">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181100C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141" w:type="pct"/>
                  <w:tcBorders>
                    <w:tl2br w:val="nil"/>
                    <w:tr2bl w:val="nil"/>
                  </w:tcBorders>
                  <w:shd w:val="clear" w:color="auto" w:fill="auto"/>
                  <w:vAlign w:val="center"/>
                </w:tcPr>
                <w:p w14:paraId="0675397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w:t>
                  </w:r>
                  <w:r>
                    <w:rPr>
                      <w:rFonts w:hint="default" w:ascii="Times New Roman" w:hAnsi="Times New Roman" w:cs="Times New Roman"/>
                      <w:i w:val="0"/>
                      <w:iCs w:val="0"/>
                      <w:color w:val="auto"/>
                      <w:kern w:val="0"/>
                      <w:sz w:val="21"/>
                      <w:szCs w:val="21"/>
                      <w:u w:val="none"/>
                      <w:lang w:val="en-US" w:eastAsia="zh-CN" w:bidi="ar"/>
                    </w:rPr>
                    <w:t>8</w:t>
                  </w:r>
                </w:p>
              </w:tc>
              <w:tc>
                <w:tcPr>
                  <w:tcW w:w="140" w:type="pct"/>
                  <w:vMerge w:val="continue"/>
                  <w:tcBorders>
                    <w:tl2br w:val="nil"/>
                    <w:tr2bl w:val="nil"/>
                  </w:tcBorders>
                  <w:shd w:val="clear" w:color="auto" w:fill="auto"/>
                  <w:vAlign w:val="center"/>
                </w:tcPr>
                <w:p w14:paraId="220A775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40" w:type="pct"/>
                  <w:vMerge w:val="continue"/>
                  <w:tcBorders>
                    <w:tl2br w:val="nil"/>
                    <w:tr2bl w:val="nil"/>
                  </w:tcBorders>
                  <w:shd w:val="clear" w:color="auto" w:fill="auto"/>
                  <w:vAlign w:val="center"/>
                </w:tcPr>
                <w:p w14:paraId="2BAF562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59" w:type="pct"/>
                  <w:tcBorders>
                    <w:tl2br w:val="nil"/>
                    <w:tr2bl w:val="nil"/>
                  </w:tcBorders>
                  <w:shd w:val="clear" w:color="auto" w:fill="auto"/>
                  <w:vAlign w:val="center"/>
                </w:tcPr>
                <w:p w14:paraId="1606AB8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低加疏水泵</w:t>
                  </w:r>
                </w:p>
              </w:tc>
              <w:tc>
                <w:tcPr>
                  <w:tcW w:w="188" w:type="pct"/>
                  <w:vMerge w:val="continue"/>
                  <w:tcBorders>
                    <w:tl2br w:val="nil"/>
                    <w:tr2bl w:val="nil"/>
                  </w:tcBorders>
                  <w:shd w:val="clear" w:color="auto" w:fill="auto"/>
                  <w:vAlign w:val="center"/>
                </w:tcPr>
                <w:p w14:paraId="0100763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71" w:type="pct"/>
                  <w:tcBorders>
                    <w:tl2br w:val="nil"/>
                    <w:tr2bl w:val="nil"/>
                  </w:tcBorders>
                  <w:shd w:val="clear" w:color="auto" w:fill="auto"/>
                  <w:vAlign w:val="center"/>
                </w:tcPr>
                <w:p w14:paraId="6FDF4F8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84" w:type="pct"/>
                  <w:tcBorders>
                    <w:tl2br w:val="nil"/>
                    <w:tr2bl w:val="nil"/>
                  </w:tcBorders>
                  <w:shd w:val="clear" w:color="auto" w:fill="auto"/>
                  <w:vAlign w:val="center"/>
                </w:tcPr>
                <w:p w14:paraId="77B0E2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99" w:type="pct"/>
                  <w:tcBorders>
                    <w:tl2br w:val="nil"/>
                    <w:tr2bl w:val="nil"/>
                  </w:tcBorders>
                  <w:shd w:val="clear" w:color="auto" w:fill="auto"/>
                  <w:vAlign w:val="center"/>
                </w:tcPr>
                <w:p w14:paraId="00018F7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37" w:type="pct"/>
                  <w:tcBorders>
                    <w:tl2br w:val="nil"/>
                    <w:tr2bl w:val="nil"/>
                  </w:tcBorders>
                  <w:shd w:val="clear" w:color="auto" w:fill="auto"/>
                  <w:vAlign w:val="center"/>
                </w:tcPr>
                <w:p w14:paraId="49FFD2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2" w:type="pct"/>
                  <w:tcBorders>
                    <w:tl2br w:val="nil"/>
                    <w:tr2bl w:val="nil"/>
                  </w:tcBorders>
                  <w:shd w:val="clear" w:color="auto" w:fill="auto"/>
                  <w:vAlign w:val="center"/>
                </w:tcPr>
                <w:p w14:paraId="2F1690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tcBorders>
                    <w:tl2br w:val="nil"/>
                    <w:tr2bl w:val="nil"/>
                  </w:tcBorders>
                  <w:shd w:val="clear" w:color="auto" w:fill="auto"/>
                  <w:vAlign w:val="center"/>
                </w:tcPr>
                <w:p w14:paraId="3D63B86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tcBorders>
                    <w:tl2br w:val="nil"/>
                    <w:tr2bl w:val="nil"/>
                  </w:tcBorders>
                  <w:shd w:val="clear" w:color="auto" w:fill="auto"/>
                  <w:vAlign w:val="center"/>
                </w:tcPr>
                <w:p w14:paraId="1FA9BD6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2EC9B1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3.00</w:t>
                  </w:r>
                </w:p>
              </w:tc>
              <w:tc>
                <w:tcPr>
                  <w:tcW w:w="278" w:type="pct"/>
                  <w:tcBorders>
                    <w:tl2br w:val="nil"/>
                    <w:tr2bl w:val="nil"/>
                  </w:tcBorders>
                  <w:shd w:val="clear" w:color="auto" w:fill="auto"/>
                  <w:vAlign w:val="center"/>
                </w:tcPr>
                <w:p w14:paraId="607033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306" w:type="pct"/>
                  <w:tcBorders>
                    <w:tl2br w:val="nil"/>
                    <w:tr2bl w:val="nil"/>
                  </w:tcBorders>
                  <w:shd w:val="clear" w:color="auto" w:fill="auto"/>
                  <w:vAlign w:val="center"/>
                </w:tcPr>
                <w:p w14:paraId="04D663E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9" w:type="pct"/>
                  <w:tcBorders>
                    <w:tl2br w:val="nil"/>
                    <w:tr2bl w:val="nil"/>
                  </w:tcBorders>
                  <w:shd w:val="clear" w:color="auto" w:fill="auto"/>
                  <w:vAlign w:val="center"/>
                </w:tcPr>
                <w:p w14:paraId="2D3A657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4" w:type="pct"/>
                  <w:tcBorders>
                    <w:tl2br w:val="nil"/>
                    <w:tr2bl w:val="nil"/>
                  </w:tcBorders>
                  <w:shd w:val="clear" w:color="auto" w:fill="auto"/>
                  <w:vAlign w:val="center"/>
                </w:tcPr>
                <w:p w14:paraId="48586E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67" w:type="pct"/>
                  <w:vMerge w:val="continue"/>
                  <w:tcBorders>
                    <w:tl2br w:val="nil"/>
                    <w:tr2bl w:val="nil"/>
                  </w:tcBorders>
                  <w:shd w:val="clear" w:color="auto" w:fill="auto"/>
                  <w:noWrap/>
                  <w:vAlign w:val="center"/>
                </w:tcPr>
                <w:p w14:paraId="546DE01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8" w:type="pct"/>
                  <w:tcBorders>
                    <w:tl2br w:val="nil"/>
                    <w:tr2bl w:val="nil"/>
                  </w:tcBorders>
                  <w:shd w:val="clear" w:color="auto" w:fill="auto"/>
                  <w:noWrap/>
                  <w:vAlign w:val="center"/>
                </w:tcPr>
                <w:p w14:paraId="1C325AD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 w:type="pct"/>
                  <w:tcBorders>
                    <w:tl2br w:val="nil"/>
                    <w:tr2bl w:val="nil"/>
                  </w:tcBorders>
                  <w:shd w:val="clear" w:color="auto" w:fill="auto"/>
                  <w:noWrap/>
                  <w:vAlign w:val="center"/>
                </w:tcPr>
                <w:p w14:paraId="10A4B64A">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5990A08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141" w:type="pct"/>
                  <w:tcBorders>
                    <w:tl2br w:val="nil"/>
                    <w:tr2bl w:val="nil"/>
                  </w:tcBorders>
                  <w:shd w:val="clear" w:color="auto" w:fill="auto"/>
                  <w:vAlign w:val="center"/>
                </w:tcPr>
                <w:p w14:paraId="17809B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19</w:t>
                  </w:r>
                  <w:r>
                    <w:rPr>
                      <w:rFonts w:hint="default" w:ascii="Times New Roman" w:hAnsi="Times New Roman" w:eastAsia="宋体" w:cs="Times New Roman"/>
                      <w:i w:val="0"/>
                      <w:iCs w:val="0"/>
                      <w:color w:val="auto"/>
                      <w:kern w:val="0"/>
                      <w:sz w:val="21"/>
                      <w:szCs w:val="21"/>
                      <w:u w:val="none"/>
                      <w:lang w:val="en-US" w:eastAsia="zh-CN" w:bidi="ar"/>
                    </w:rPr>
                    <w:t>0</w:t>
                  </w:r>
                </w:p>
              </w:tc>
              <w:tc>
                <w:tcPr>
                  <w:tcW w:w="140" w:type="pct"/>
                  <w:vMerge w:val="continue"/>
                  <w:tcBorders>
                    <w:tl2br w:val="nil"/>
                    <w:tr2bl w:val="nil"/>
                  </w:tcBorders>
                  <w:shd w:val="clear" w:color="auto" w:fill="auto"/>
                  <w:vAlign w:val="center"/>
                </w:tcPr>
                <w:p w14:paraId="76D38CA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40" w:type="pct"/>
                  <w:vMerge w:val="continue"/>
                  <w:tcBorders>
                    <w:tl2br w:val="nil"/>
                    <w:tr2bl w:val="nil"/>
                  </w:tcBorders>
                  <w:shd w:val="clear" w:color="auto" w:fill="auto"/>
                  <w:vAlign w:val="center"/>
                </w:tcPr>
                <w:p w14:paraId="300DC30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59" w:type="pct"/>
                  <w:tcBorders>
                    <w:tl2br w:val="nil"/>
                    <w:tr2bl w:val="nil"/>
                  </w:tcBorders>
                  <w:shd w:val="clear" w:color="auto" w:fill="auto"/>
                  <w:vAlign w:val="center"/>
                </w:tcPr>
                <w:p w14:paraId="18013D0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汽水取样冷却器</w:t>
                  </w:r>
                </w:p>
              </w:tc>
              <w:tc>
                <w:tcPr>
                  <w:tcW w:w="188" w:type="pct"/>
                  <w:vMerge w:val="continue"/>
                  <w:tcBorders>
                    <w:tl2br w:val="nil"/>
                    <w:tr2bl w:val="nil"/>
                  </w:tcBorders>
                  <w:shd w:val="clear" w:color="auto" w:fill="auto"/>
                  <w:vAlign w:val="center"/>
                </w:tcPr>
                <w:p w14:paraId="42CFB9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71" w:type="pct"/>
                  <w:tcBorders>
                    <w:tl2br w:val="nil"/>
                    <w:tr2bl w:val="nil"/>
                  </w:tcBorders>
                  <w:shd w:val="clear" w:color="auto" w:fill="auto"/>
                  <w:vAlign w:val="center"/>
                </w:tcPr>
                <w:p w14:paraId="7F2C62C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84" w:type="pct"/>
                  <w:tcBorders>
                    <w:tl2br w:val="nil"/>
                    <w:tr2bl w:val="nil"/>
                  </w:tcBorders>
                  <w:shd w:val="clear" w:color="auto" w:fill="auto"/>
                  <w:vAlign w:val="center"/>
                </w:tcPr>
                <w:p w14:paraId="4E7544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99" w:type="pct"/>
                  <w:tcBorders>
                    <w:tl2br w:val="nil"/>
                    <w:tr2bl w:val="nil"/>
                  </w:tcBorders>
                  <w:shd w:val="clear" w:color="auto" w:fill="auto"/>
                  <w:vAlign w:val="center"/>
                </w:tcPr>
                <w:p w14:paraId="51ECBB2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37" w:type="pct"/>
                  <w:tcBorders>
                    <w:tl2br w:val="nil"/>
                    <w:tr2bl w:val="nil"/>
                  </w:tcBorders>
                  <w:shd w:val="clear" w:color="auto" w:fill="auto"/>
                  <w:vAlign w:val="center"/>
                </w:tcPr>
                <w:p w14:paraId="40A45B3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2" w:type="pct"/>
                  <w:tcBorders>
                    <w:tl2br w:val="nil"/>
                    <w:tr2bl w:val="nil"/>
                  </w:tcBorders>
                  <w:shd w:val="clear" w:color="auto" w:fill="auto"/>
                  <w:vAlign w:val="center"/>
                </w:tcPr>
                <w:p w14:paraId="09CD92A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tcBorders>
                    <w:tl2br w:val="nil"/>
                    <w:tr2bl w:val="nil"/>
                  </w:tcBorders>
                  <w:shd w:val="clear" w:color="auto" w:fill="auto"/>
                  <w:vAlign w:val="center"/>
                </w:tcPr>
                <w:p w14:paraId="698AEC7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tcBorders>
                    <w:tl2br w:val="nil"/>
                    <w:tr2bl w:val="nil"/>
                  </w:tcBorders>
                  <w:shd w:val="clear" w:color="auto" w:fill="auto"/>
                  <w:vAlign w:val="center"/>
                </w:tcPr>
                <w:p w14:paraId="41671B2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293B37F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55.00</w:t>
                  </w:r>
                </w:p>
              </w:tc>
              <w:tc>
                <w:tcPr>
                  <w:tcW w:w="278" w:type="pct"/>
                  <w:tcBorders>
                    <w:tl2br w:val="nil"/>
                    <w:tr2bl w:val="nil"/>
                  </w:tcBorders>
                  <w:shd w:val="clear" w:color="auto" w:fill="auto"/>
                  <w:vAlign w:val="center"/>
                </w:tcPr>
                <w:p w14:paraId="3882E9F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306" w:type="pct"/>
                  <w:tcBorders>
                    <w:tl2br w:val="nil"/>
                    <w:tr2bl w:val="nil"/>
                  </w:tcBorders>
                  <w:shd w:val="clear" w:color="auto" w:fill="auto"/>
                  <w:vAlign w:val="center"/>
                </w:tcPr>
                <w:p w14:paraId="4784DE4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9" w:type="pct"/>
                  <w:tcBorders>
                    <w:tl2br w:val="nil"/>
                    <w:tr2bl w:val="nil"/>
                  </w:tcBorders>
                  <w:shd w:val="clear" w:color="auto" w:fill="auto"/>
                  <w:vAlign w:val="center"/>
                </w:tcPr>
                <w:p w14:paraId="01DC0B6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4" w:type="pct"/>
                  <w:tcBorders>
                    <w:tl2br w:val="nil"/>
                    <w:tr2bl w:val="nil"/>
                  </w:tcBorders>
                  <w:shd w:val="clear" w:color="auto" w:fill="auto"/>
                  <w:vAlign w:val="center"/>
                </w:tcPr>
                <w:p w14:paraId="006C1CD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67" w:type="pct"/>
                  <w:vMerge w:val="continue"/>
                  <w:tcBorders>
                    <w:tl2br w:val="nil"/>
                    <w:tr2bl w:val="nil"/>
                  </w:tcBorders>
                  <w:shd w:val="clear" w:color="auto" w:fill="auto"/>
                  <w:noWrap/>
                  <w:vAlign w:val="center"/>
                </w:tcPr>
                <w:p w14:paraId="2F82918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8" w:type="pct"/>
                  <w:tcBorders>
                    <w:tl2br w:val="nil"/>
                    <w:tr2bl w:val="nil"/>
                  </w:tcBorders>
                  <w:shd w:val="clear" w:color="auto" w:fill="auto"/>
                  <w:noWrap/>
                  <w:vAlign w:val="center"/>
                </w:tcPr>
                <w:p w14:paraId="75D833E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 w:type="pct"/>
                  <w:tcBorders>
                    <w:tl2br w:val="nil"/>
                    <w:tr2bl w:val="nil"/>
                  </w:tcBorders>
                  <w:shd w:val="clear" w:color="auto" w:fill="auto"/>
                  <w:noWrap/>
                  <w:vAlign w:val="center"/>
                </w:tcPr>
                <w:p w14:paraId="111DAC67">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3240846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141" w:type="pct"/>
                  <w:tcBorders>
                    <w:tl2br w:val="nil"/>
                    <w:tr2bl w:val="nil"/>
                  </w:tcBorders>
                  <w:shd w:val="clear" w:color="auto" w:fill="auto"/>
                  <w:vAlign w:val="center"/>
                </w:tcPr>
                <w:p w14:paraId="62F696C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20</w:t>
                  </w:r>
                </w:p>
              </w:tc>
              <w:tc>
                <w:tcPr>
                  <w:tcW w:w="140" w:type="pct"/>
                  <w:vMerge w:val="continue"/>
                  <w:tcBorders>
                    <w:tl2br w:val="nil"/>
                    <w:tr2bl w:val="nil"/>
                  </w:tcBorders>
                  <w:shd w:val="clear" w:color="auto" w:fill="auto"/>
                  <w:vAlign w:val="center"/>
                </w:tcPr>
                <w:p w14:paraId="48604C1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40" w:type="pct"/>
                  <w:vMerge w:val="continue"/>
                  <w:tcBorders>
                    <w:tl2br w:val="nil"/>
                    <w:tr2bl w:val="nil"/>
                  </w:tcBorders>
                  <w:shd w:val="clear" w:color="auto" w:fill="auto"/>
                  <w:vAlign w:val="center"/>
                </w:tcPr>
                <w:p w14:paraId="4918B8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59" w:type="pct"/>
                  <w:tcBorders>
                    <w:tl2br w:val="nil"/>
                    <w:tr2bl w:val="nil"/>
                  </w:tcBorders>
                  <w:shd w:val="clear" w:color="auto" w:fill="auto"/>
                  <w:vAlign w:val="center"/>
                </w:tcPr>
                <w:p w14:paraId="028580B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风机</w:t>
                  </w:r>
                </w:p>
              </w:tc>
              <w:tc>
                <w:tcPr>
                  <w:tcW w:w="188" w:type="pct"/>
                  <w:vMerge w:val="continue"/>
                  <w:tcBorders>
                    <w:tl2br w:val="nil"/>
                    <w:tr2bl w:val="nil"/>
                  </w:tcBorders>
                  <w:shd w:val="clear" w:color="auto" w:fill="auto"/>
                  <w:vAlign w:val="center"/>
                </w:tcPr>
                <w:p w14:paraId="28F67FB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271" w:type="pct"/>
                  <w:tcBorders>
                    <w:tl2br w:val="nil"/>
                    <w:tr2bl w:val="nil"/>
                  </w:tcBorders>
                  <w:shd w:val="clear" w:color="auto" w:fill="auto"/>
                  <w:vAlign w:val="center"/>
                </w:tcPr>
                <w:p w14:paraId="735CC6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84" w:type="pct"/>
                  <w:tcBorders>
                    <w:tl2br w:val="nil"/>
                    <w:tr2bl w:val="nil"/>
                  </w:tcBorders>
                  <w:shd w:val="clear" w:color="auto" w:fill="auto"/>
                  <w:vAlign w:val="center"/>
                </w:tcPr>
                <w:p w14:paraId="44E9613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99" w:type="pct"/>
                  <w:tcBorders>
                    <w:tl2br w:val="nil"/>
                    <w:tr2bl w:val="nil"/>
                  </w:tcBorders>
                  <w:shd w:val="clear" w:color="auto" w:fill="auto"/>
                  <w:vAlign w:val="center"/>
                </w:tcPr>
                <w:p w14:paraId="3232A3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37" w:type="pct"/>
                  <w:tcBorders>
                    <w:tl2br w:val="nil"/>
                    <w:tr2bl w:val="nil"/>
                  </w:tcBorders>
                  <w:shd w:val="clear" w:color="auto" w:fill="auto"/>
                  <w:vAlign w:val="center"/>
                </w:tcPr>
                <w:p w14:paraId="36720D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2" w:type="pct"/>
                  <w:tcBorders>
                    <w:tl2br w:val="nil"/>
                    <w:tr2bl w:val="nil"/>
                  </w:tcBorders>
                  <w:shd w:val="clear" w:color="auto" w:fill="auto"/>
                  <w:vAlign w:val="center"/>
                </w:tcPr>
                <w:p w14:paraId="13562CA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tcBorders>
                    <w:tl2br w:val="nil"/>
                    <w:tr2bl w:val="nil"/>
                  </w:tcBorders>
                  <w:shd w:val="clear" w:color="auto" w:fill="auto"/>
                  <w:vAlign w:val="center"/>
                </w:tcPr>
                <w:p w14:paraId="57E761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tcBorders>
                    <w:tl2br w:val="nil"/>
                    <w:tr2bl w:val="nil"/>
                  </w:tcBorders>
                  <w:shd w:val="clear" w:color="auto" w:fill="auto"/>
                  <w:vAlign w:val="center"/>
                </w:tcPr>
                <w:p w14:paraId="31073B7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33019A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15.00</w:t>
                  </w:r>
                </w:p>
              </w:tc>
              <w:tc>
                <w:tcPr>
                  <w:tcW w:w="278" w:type="pct"/>
                  <w:tcBorders>
                    <w:tl2br w:val="nil"/>
                    <w:tr2bl w:val="nil"/>
                  </w:tcBorders>
                  <w:shd w:val="clear" w:color="auto" w:fill="auto"/>
                  <w:vAlign w:val="center"/>
                </w:tcPr>
                <w:p w14:paraId="1A9C1B1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306" w:type="pct"/>
                  <w:tcBorders>
                    <w:tl2br w:val="nil"/>
                    <w:tr2bl w:val="nil"/>
                  </w:tcBorders>
                  <w:shd w:val="clear" w:color="auto" w:fill="auto"/>
                  <w:vAlign w:val="center"/>
                </w:tcPr>
                <w:p w14:paraId="3CEEF3A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9" w:type="pct"/>
                  <w:tcBorders>
                    <w:tl2br w:val="nil"/>
                    <w:tr2bl w:val="nil"/>
                  </w:tcBorders>
                  <w:shd w:val="clear" w:color="auto" w:fill="auto"/>
                  <w:vAlign w:val="center"/>
                </w:tcPr>
                <w:p w14:paraId="35D6AE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4" w:type="pct"/>
                  <w:tcBorders>
                    <w:tl2br w:val="nil"/>
                    <w:tr2bl w:val="nil"/>
                  </w:tcBorders>
                  <w:shd w:val="clear" w:color="auto" w:fill="auto"/>
                  <w:vAlign w:val="center"/>
                </w:tcPr>
                <w:p w14:paraId="390D2B3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67" w:type="pct"/>
                  <w:vMerge w:val="continue"/>
                  <w:tcBorders>
                    <w:tl2br w:val="nil"/>
                    <w:tr2bl w:val="nil"/>
                  </w:tcBorders>
                  <w:shd w:val="clear" w:color="auto" w:fill="auto"/>
                  <w:noWrap/>
                  <w:vAlign w:val="center"/>
                </w:tcPr>
                <w:p w14:paraId="67B7938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88" w:type="pct"/>
                  <w:tcBorders>
                    <w:tl2br w:val="nil"/>
                    <w:tr2bl w:val="nil"/>
                  </w:tcBorders>
                  <w:shd w:val="clear" w:color="auto" w:fill="auto"/>
                  <w:noWrap/>
                  <w:vAlign w:val="center"/>
                </w:tcPr>
                <w:p w14:paraId="1841E9D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 w:type="pct"/>
                  <w:tcBorders>
                    <w:tl2br w:val="nil"/>
                    <w:tr2bl w:val="nil"/>
                  </w:tcBorders>
                  <w:shd w:val="clear" w:color="auto" w:fill="auto"/>
                  <w:noWrap/>
                  <w:vAlign w:val="center"/>
                </w:tcPr>
                <w:p w14:paraId="25133381">
                  <w:pPr>
                    <w:keepNext w:val="0"/>
                    <w:keepLines w:val="0"/>
                    <w:widowControl/>
                    <w:suppressLineNumbers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w:t>
                  </w:r>
                </w:p>
              </w:tc>
            </w:tr>
            <w:tr w14:paraId="2DE436F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57" w:hRule="atLeast"/>
              </w:trPr>
              <w:tc>
                <w:tcPr>
                  <w:tcW w:w="141" w:type="pct"/>
                  <w:tcBorders>
                    <w:tl2br w:val="nil"/>
                    <w:tr2bl w:val="nil"/>
                  </w:tcBorders>
                  <w:shd w:val="clear" w:color="auto" w:fill="auto"/>
                  <w:vAlign w:val="center"/>
                </w:tcPr>
                <w:p w14:paraId="61286BB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w:t>
                  </w:r>
                  <w:r>
                    <w:rPr>
                      <w:rFonts w:hint="default" w:ascii="Times New Roman" w:hAnsi="Times New Roman" w:cs="Times New Roman"/>
                      <w:i w:val="0"/>
                      <w:iCs w:val="0"/>
                      <w:color w:val="auto"/>
                      <w:kern w:val="0"/>
                      <w:sz w:val="21"/>
                      <w:szCs w:val="21"/>
                      <w:u w:val="none"/>
                      <w:lang w:val="en-US" w:eastAsia="zh-CN" w:bidi="ar"/>
                    </w:rPr>
                    <w:t>1</w:t>
                  </w:r>
                </w:p>
              </w:tc>
              <w:tc>
                <w:tcPr>
                  <w:tcW w:w="541" w:type="pct"/>
                  <w:gridSpan w:val="3"/>
                  <w:tcBorders>
                    <w:tl2br w:val="nil"/>
                    <w:tr2bl w:val="nil"/>
                  </w:tcBorders>
                  <w:shd w:val="clear" w:color="auto" w:fill="auto"/>
                  <w:vAlign w:val="center"/>
                </w:tcPr>
                <w:p w14:paraId="63E5C2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消防用水</w:t>
                  </w:r>
                </w:p>
              </w:tc>
              <w:tc>
                <w:tcPr>
                  <w:tcW w:w="188" w:type="pct"/>
                  <w:tcBorders>
                    <w:tl2br w:val="nil"/>
                    <w:tr2bl w:val="nil"/>
                  </w:tcBorders>
                  <w:shd w:val="clear" w:color="auto" w:fill="auto"/>
                  <w:vAlign w:val="center"/>
                </w:tcPr>
                <w:p w14:paraId="492DA15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1次/a</w:t>
                  </w:r>
                </w:p>
              </w:tc>
              <w:tc>
                <w:tcPr>
                  <w:tcW w:w="271" w:type="pct"/>
                  <w:tcBorders>
                    <w:tl2br w:val="nil"/>
                    <w:tr2bl w:val="nil"/>
                  </w:tcBorders>
                  <w:shd w:val="clear" w:color="auto" w:fill="auto"/>
                  <w:vAlign w:val="center"/>
                </w:tcPr>
                <w:p w14:paraId="5D3C2AC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288.00</w:t>
                  </w:r>
                </w:p>
              </w:tc>
              <w:tc>
                <w:tcPr>
                  <w:tcW w:w="284" w:type="pct"/>
                  <w:tcBorders>
                    <w:tl2br w:val="nil"/>
                    <w:tr2bl w:val="nil"/>
                  </w:tcBorders>
                  <w:shd w:val="clear" w:color="auto" w:fill="auto"/>
                  <w:vAlign w:val="center"/>
                </w:tcPr>
                <w:p w14:paraId="64E4896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288.00</w:t>
                  </w:r>
                </w:p>
              </w:tc>
              <w:tc>
                <w:tcPr>
                  <w:tcW w:w="299" w:type="pct"/>
                  <w:tcBorders>
                    <w:tl2br w:val="nil"/>
                    <w:tr2bl w:val="nil"/>
                  </w:tcBorders>
                  <w:shd w:val="clear" w:color="auto" w:fill="auto"/>
                  <w:vAlign w:val="center"/>
                </w:tcPr>
                <w:p w14:paraId="687494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288.00</w:t>
                  </w:r>
                </w:p>
              </w:tc>
              <w:tc>
                <w:tcPr>
                  <w:tcW w:w="237" w:type="pct"/>
                  <w:tcBorders>
                    <w:tl2br w:val="nil"/>
                    <w:tr2bl w:val="nil"/>
                  </w:tcBorders>
                  <w:shd w:val="clear" w:color="auto" w:fill="auto"/>
                  <w:vAlign w:val="center"/>
                </w:tcPr>
                <w:p w14:paraId="4214850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2" w:type="pct"/>
                  <w:tcBorders>
                    <w:tl2br w:val="nil"/>
                    <w:tr2bl w:val="nil"/>
                  </w:tcBorders>
                  <w:shd w:val="clear" w:color="auto" w:fill="auto"/>
                  <w:vAlign w:val="center"/>
                </w:tcPr>
                <w:p w14:paraId="797DB20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tcBorders>
                    <w:tl2br w:val="nil"/>
                    <w:tr2bl w:val="nil"/>
                  </w:tcBorders>
                  <w:shd w:val="clear" w:color="auto" w:fill="auto"/>
                  <w:vAlign w:val="center"/>
                </w:tcPr>
                <w:p w14:paraId="6478327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tcBorders>
                    <w:tl2br w:val="nil"/>
                    <w:tr2bl w:val="nil"/>
                  </w:tcBorders>
                  <w:shd w:val="clear" w:color="auto" w:fill="auto"/>
                  <w:vAlign w:val="center"/>
                </w:tcPr>
                <w:p w14:paraId="6BA62F7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4BBD02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78" w:type="pct"/>
                  <w:tcBorders>
                    <w:tl2br w:val="nil"/>
                    <w:tr2bl w:val="nil"/>
                  </w:tcBorders>
                  <w:shd w:val="clear" w:color="auto" w:fill="auto"/>
                  <w:vAlign w:val="center"/>
                </w:tcPr>
                <w:p w14:paraId="211EAA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288</w:t>
                  </w:r>
                </w:p>
              </w:tc>
              <w:tc>
                <w:tcPr>
                  <w:tcW w:w="306" w:type="pct"/>
                  <w:tcBorders>
                    <w:tl2br w:val="nil"/>
                    <w:tr2bl w:val="nil"/>
                  </w:tcBorders>
                  <w:shd w:val="clear" w:color="auto" w:fill="auto"/>
                  <w:vAlign w:val="center"/>
                </w:tcPr>
                <w:p w14:paraId="14A2EF0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288</w:t>
                  </w:r>
                </w:p>
              </w:tc>
              <w:tc>
                <w:tcPr>
                  <w:tcW w:w="269" w:type="pct"/>
                  <w:tcBorders>
                    <w:tl2br w:val="nil"/>
                    <w:tr2bl w:val="nil"/>
                  </w:tcBorders>
                  <w:shd w:val="clear" w:color="auto" w:fill="auto"/>
                  <w:vAlign w:val="center"/>
                </w:tcPr>
                <w:p w14:paraId="244FAD0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4" w:type="pct"/>
                  <w:tcBorders>
                    <w:tl2br w:val="nil"/>
                    <w:tr2bl w:val="nil"/>
                  </w:tcBorders>
                  <w:shd w:val="clear" w:color="auto" w:fill="auto"/>
                  <w:vAlign w:val="center"/>
                </w:tcPr>
                <w:p w14:paraId="0A34F26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67" w:type="pct"/>
                  <w:tcBorders>
                    <w:tl2br w:val="nil"/>
                    <w:tr2bl w:val="nil"/>
                  </w:tcBorders>
                  <w:shd w:val="clear" w:color="auto" w:fill="auto"/>
                  <w:noWrap/>
                  <w:vAlign w:val="center"/>
                </w:tcPr>
                <w:p w14:paraId="3D56E6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损耗</w:t>
                  </w:r>
                </w:p>
              </w:tc>
              <w:tc>
                <w:tcPr>
                  <w:tcW w:w="188" w:type="pct"/>
                  <w:tcBorders>
                    <w:tl2br w:val="nil"/>
                    <w:tr2bl w:val="nil"/>
                  </w:tcBorders>
                  <w:shd w:val="clear" w:color="auto" w:fill="auto"/>
                  <w:noWrap/>
                  <w:vAlign w:val="center"/>
                </w:tcPr>
                <w:p w14:paraId="6B284660">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r>
            <w:tr w14:paraId="2DA6BD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57" w:hRule="atLeast"/>
              </w:trPr>
              <w:tc>
                <w:tcPr>
                  <w:tcW w:w="141" w:type="pct"/>
                  <w:tcBorders>
                    <w:tl2br w:val="nil"/>
                    <w:tr2bl w:val="nil"/>
                  </w:tcBorders>
                  <w:shd w:val="clear" w:color="auto" w:fill="auto"/>
                  <w:vAlign w:val="center"/>
                </w:tcPr>
                <w:p w14:paraId="0369811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w:t>
                  </w:r>
                  <w:r>
                    <w:rPr>
                      <w:rFonts w:hint="default" w:ascii="Times New Roman" w:hAnsi="Times New Roman" w:cs="Times New Roman"/>
                      <w:i w:val="0"/>
                      <w:iCs w:val="0"/>
                      <w:color w:val="auto"/>
                      <w:kern w:val="0"/>
                      <w:sz w:val="21"/>
                      <w:szCs w:val="21"/>
                      <w:u w:val="none"/>
                      <w:lang w:val="en-US" w:eastAsia="zh-CN" w:bidi="ar"/>
                    </w:rPr>
                    <w:t>2</w:t>
                  </w:r>
                </w:p>
              </w:tc>
              <w:tc>
                <w:tcPr>
                  <w:tcW w:w="541" w:type="pct"/>
                  <w:gridSpan w:val="3"/>
                  <w:tcBorders>
                    <w:tl2br w:val="nil"/>
                    <w:tr2bl w:val="nil"/>
                  </w:tcBorders>
                  <w:shd w:val="clear" w:color="auto" w:fill="auto"/>
                  <w:vAlign w:val="center"/>
                </w:tcPr>
                <w:p w14:paraId="2855314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绿化用水</w:t>
                  </w:r>
                </w:p>
              </w:tc>
              <w:tc>
                <w:tcPr>
                  <w:tcW w:w="188" w:type="pct"/>
                  <w:tcBorders>
                    <w:tl2br w:val="nil"/>
                    <w:tr2bl w:val="nil"/>
                  </w:tcBorders>
                  <w:shd w:val="clear" w:color="auto" w:fill="auto"/>
                  <w:noWrap/>
                  <w:vAlign w:val="center"/>
                </w:tcPr>
                <w:p w14:paraId="0499FB2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150d</w:t>
                  </w:r>
                </w:p>
              </w:tc>
              <w:tc>
                <w:tcPr>
                  <w:tcW w:w="271" w:type="pct"/>
                  <w:tcBorders>
                    <w:tl2br w:val="nil"/>
                    <w:tr2bl w:val="nil"/>
                  </w:tcBorders>
                  <w:shd w:val="clear" w:color="auto" w:fill="auto"/>
                  <w:vAlign w:val="center"/>
                </w:tcPr>
                <w:p w14:paraId="017CF67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4.40</w:t>
                  </w:r>
                  <w:r>
                    <w:rPr>
                      <w:rFonts w:hint="default" w:ascii="Times New Roman" w:hAnsi="Times New Roman" w:cs="Times New Roman"/>
                      <w:i w:val="0"/>
                      <w:iCs w:val="0"/>
                      <w:color w:val="auto"/>
                      <w:kern w:val="0"/>
                      <w:sz w:val="21"/>
                      <w:szCs w:val="21"/>
                      <w:u w:val="none"/>
                      <w:lang w:val="en-US" w:eastAsia="zh-CN" w:bidi="ar"/>
                    </w:rPr>
                    <w:t>t/d</w:t>
                  </w:r>
                </w:p>
              </w:tc>
              <w:tc>
                <w:tcPr>
                  <w:tcW w:w="284" w:type="pct"/>
                  <w:tcBorders>
                    <w:tl2br w:val="nil"/>
                    <w:tr2bl w:val="nil"/>
                  </w:tcBorders>
                  <w:shd w:val="clear" w:color="auto" w:fill="auto"/>
                  <w:vAlign w:val="center"/>
                </w:tcPr>
                <w:p w14:paraId="43426A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660</w:t>
                  </w:r>
                </w:p>
              </w:tc>
              <w:tc>
                <w:tcPr>
                  <w:tcW w:w="299" w:type="pct"/>
                  <w:tcBorders>
                    <w:tl2br w:val="nil"/>
                    <w:tr2bl w:val="nil"/>
                  </w:tcBorders>
                  <w:shd w:val="clear" w:color="auto" w:fill="auto"/>
                  <w:vAlign w:val="center"/>
                </w:tcPr>
                <w:p w14:paraId="1233AAC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660</w:t>
                  </w:r>
                </w:p>
              </w:tc>
              <w:tc>
                <w:tcPr>
                  <w:tcW w:w="237" w:type="pct"/>
                  <w:tcBorders>
                    <w:tl2br w:val="nil"/>
                    <w:tr2bl w:val="nil"/>
                  </w:tcBorders>
                  <w:shd w:val="clear" w:color="auto" w:fill="auto"/>
                  <w:vAlign w:val="center"/>
                </w:tcPr>
                <w:p w14:paraId="0A19BC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2" w:type="pct"/>
                  <w:tcBorders>
                    <w:tl2br w:val="nil"/>
                    <w:tr2bl w:val="nil"/>
                  </w:tcBorders>
                  <w:shd w:val="clear" w:color="auto" w:fill="auto"/>
                  <w:vAlign w:val="center"/>
                </w:tcPr>
                <w:p w14:paraId="02339A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01" w:type="pct"/>
                  <w:tcBorders>
                    <w:tl2br w:val="nil"/>
                    <w:tr2bl w:val="nil"/>
                  </w:tcBorders>
                  <w:shd w:val="clear" w:color="auto" w:fill="auto"/>
                  <w:vAlign w:val="center"/>
                </w:tcPr>
                <w:p w14:paraId="7D5222F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56" w:type="pct"/>
                  <w:tcBorders>
                    <w:tl2br w:val="nil"/>
                    <w:tr2bl w:val="nil"/>
                  </w:tcBorders>
                  <w:shd w:val="clear" w:color="auto" w:fill="auto"/>
                  <w:vAlign w:val="center"/>
                </w:tcPr>
                <w:p w14:paraId="55A9A8E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43" w:type="pct"/>
                  <w:tcBorders>
                    <w:tl2br w:val="nil"/>
                    <w:tr2bl w:val="nil"/>
                  </w:tcBorders>
                  <w:shd w:val="clear" w:color="auto" w:fill="auto"/>
                  <w:vAlign w:val="center"/>
                </w:tcPr>
                <w:p w14:paraId="41B7DC5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78" w:type="pct"/>
                  <w:tcBorders>
                    <w:tl2br w:val="nil"/>
                    <w:tr2bl w:val="nil"/>
                  </w:tcBorders>
                  <w:shd w:val="clear" w:color="auto" w:fill="auto"/>
                  <w:vAlign w:val="center"/>
                </w:tcPr>
                <w:p w14:paraId="1344B55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4.40</w:t>
                  </w:r>
                  <w:r>
                    <w:rPr>
                      <w:rFonts w:hint="default" w:ascii="Times New Roman" w:hAnsi="Times New Roman" w:cs="Times New Roman"/>
                      <w:i w:val="0"/>
                      <w:iCs w:val="0"/>
                      <w:color w:val="auto"/>
                      <w:kern w:val="0"/>
                      <w:sz w:val="21"/>
                      <w:szCs w:val="21"/>
                      <w:u w:val="none"/>
                      <w:lang w:val="en-US" w:eastAsia="zh-CN" w:bidi="ar"/>
                    </w:rPr>
                    <w:t>t/d</w:t>
                  </w:r>
                </w:p>
              </w:tc>
              <w:tc>
                <w:tcPr>
                  <w:tcW w:w="306" w:type="pct"/>
                  <w:tcBorders>
                    <w:tl2br w:val="nil"/>
                    <w:tr2bl w:val="nil"/>
                  </w:tcBorders>
                  <w:shd w:val="clear" w:color="auto" w:fill="auto"/>
                  <w:vAlign w:val="center"/>
                </w:tcPr>
                <w:p w14:paraId="644E611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660</w:t>
                  </w:r>
                </w:p>
              </w:tc>
              <w:tc>
                <w:tcPr>
                  <w:tcW w:w="269" w:type="pct"/>
                  <w:tcBorders>
                    <w:tl2br w:val="nil"/>
                    <w:tr2bl w:val="nil"/>
                  </w:tcBorders>
                  <w:shd w:val="clear" w:color="auto" w:fill="auto"/>
                  <w:vAlign w:val="center"/>
                </w:tcPr>
                <w:p w14:paraId="1BE544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264" w:type="pct"/>
                  <w:tcBorders>
                    <w:tl2br w:val="nil"/>
                    <w:tr2bl w:val="nil"/>
                  </w:tcBorders>
                  <w:shd w:val="clear" w:color="auto" w:fill="auto"/>
                  <w:vAlign w:val="center"/>
                </w:tcPr>
                <w:p w14:paraId="1320D26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767" w:type="pct"/>
                  <w:tcBorders>
                    <w:tl2br w:val="nil"/>
                    <w:tr2bl w:val="nil"/>
                  </w:tcBorders>
                  <w:shd w:val="clear" w:color="auto" w:fill="auto"/>
                  <w:noWrap/>
                  <w:vAlign w:val="center"/>
                </w:tcPr>
                <w:p w14:paraId="3AE5CB9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自然损耗</w:t>
                  </w:r>
                </w:p>
              </w:tc>
              <w:tc>
                <w:tcPr>
                  <w:tcW w:w="188" w:type="pct"/>
                  <w:tcBorders>
                    <w:tl2br w:val="nil"/>
                    <w:tr2bl w:val="nil"/>
                  </w:tcBorders>
                  <w:shd w:val="clear" w:color="auto" w:fill="auto"/>
                  <w:noWrap/>
                  <w:vAlign w:val="center"/>
                </w:tcPr>
                <w:p w14:paraId="5FAB83B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r>
            <w:tr w14:paraId="691949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gridAfter w:val="1"/>
                <w:wAfter w:w="7" w:type="pct"/>
                <w:trHeight w:val="57" w:hRule="atLeast"/>
              </w:trPr>
              <w:tc>
                <w:tcPr>
                  <w:tcW w:w="871" w:type="pct"/>
                  <w:gridSpan w:val="5"/>
                  <w:tcBorders>
                    <w:tl2br w:val="nil"/>
                    <w:tr2bl w:val="nil"/>
                  </w:tcBorders>
                  <w:shd w:val="clear" w:color="auto" w:fill="auto"/>
                  <w:vAlign w:val="center"/>
                </w:tcPr>
                <w:p w14:paraId="3360A4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合计</w:t>
                  </w:r>
                </w:p>
              </w:tc>
              <w:tc>
                <w:tcPr>
                  <w:tcW w:w="271" w:type="pct"/>
                  <w:tcBorders>
                    <w:tl2br w:val="nil"/>
                    <w:tr2bl w:val="nil"/>
                  </w:tcBorders>
                  <w:shd w:val="clear" w:color="auto" w:fill="auto"/>
                  <w:vAlign w:val="center"/>
                </w:tcPr>
                <w:p w14:paraId="3104F39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w:t>
                  </w:r>
                </w:p>
              </w:tc>
              <w:tc>
                <w:tcPr>
                  <w:tcW w:w="284" w:type="pct"/>
                  <w:tcBorders>
                    <w:tl2br w:val="nil"/>
                    <w:tr2bl w:val="nil"/>
                  </w:tcBorders>
                  <w:shd w:val="clear" w:color="auto" w:fill="auto"/>
                  <w:vAlign w:val="center"/>
                </w:tcPr>
                <w:p w14:paraId="46B18CA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526734.90</w:t>
                  </w:r>
                </w:p>
              </w:tc>
              <w:tc>
                <w:tcPr>
                  <w:tcW w:w="299" w:type="pct"/>
                  <w:tcBorders>
                    <w:tl2br w:val="nil"/>
                    <w:tr2bl w:val="nil"/>
                  </w:tcBorders>
                  <w:shd w:val="clear" w:color="auto" w:fill="auto"/>
                  <w:vAlign w:val="center"/>
                </w:tcPr>
                <w:p w14:paraId="5E85878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293114.38</w:t>
                  </w:r>
                </w:p>
              </w:tc>
              <w:tc>
                <w:tcPr>
                  <w:tcW w:w="237" w:type="pct"/>
                  <w:tcBorders>
                    <w:tl2br w:val="nil"/>
                    <w:tr2bl w:val="nil"/>
                  </w:tcBorders>
                  <w:shd w:val="clear" w:color="auto" w:fill="auto"/>
                  <w:vAlign w:val="center"/>
                </w:tcPr>
                <w:p w14:paraId="152D8D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132000</w:t>
                  </w:r>
                </w:p>
              </w:tc>
              <w:tc>
                <w:tcPr>
                  <w:tcW w:w="252" w:type="pct"/>
                  <w:tcBorders>
                    <w:tl2br w:val="nil"/>
                    <w:tr2bl w:val="nil"/>
                  </w:tcBorders>
                  <w:shd w:val="clear" w:color="auto" w:fill="auto"/>
                  <w:vAlign w:val="center"/>
                </w:tcPr>
                <w:p w14:paraId="7A8A6F7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89537.02</w:t>
                  </w:r>
                </w:p>
              </w:tc>
              <w:tc>
                <w:tcPr>
                  <w:tcW w:w="201" w:type="pct"/>
                  <w:tcBorders>
                    <w:tl2br w:val="nil"/>
                    <w:tr2bl w:val="nil"/>
                  </w:tcBorders>
                  <w:shd w:val="clear" w:color="auto" w:fill="auto"/>
                  <w:vAlign w:val="center"/>
                </w:tcPr>
                <w:p w14:paraId="054A495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12000</w:t>
                  </w:r>
                </w:p>
              </w:tc>
              <w:tc>
                <w:tcPr>
                  <w:tcW w:w="256" w:type="pct"/>
                  <w:tcBorders>
                    <w:tl2br w:val="nil"/>
                    <w:tr2bl w:val="nil"/>
                  </w:tcBorders>
                  <w:shd w:val="clear" w:color="auto" w:fill="auto"/>
                  <w:vAlign w:val="center"/>
                </w:tcPr>
                <w:p w14:paraId="68E5FC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83.50</w:t>
                  </w:r>
                </w:p>
              </w:tc>
              <w:tc>
                <w:tcPr>
                  <w:tcW w:w="243" w:type="pct"/>
                  <w:tcBorders>
                    <w:tl2br w:val="nil"/>
                    <w:tr2bl w:val="nil"/>
                  </w:tcBorders>
                  <w:shd w:val="clear" w:color="auto" w:fill="auto"/>
                  <w:vAlign w:val="center"/>
                </w:tcPr>
                <w:p w14:paraId="16BF02C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667.00</w:t>
                  </w:r>
                </w:p>
              </w:tc>
              <w:tc>
                <w:tcPr>
                  <w:tcW w:w="278" w:type="pct"/>
                  <w:tcBorders>
                    <w:tl2br w:val="nil"/>
                    <w:tr2bl w:val="nil"/>
                  </w:tcBorders>
                  <w:shd w:val="clear" w:color="auto" w:fill="auto"/>
                  <w:vAlign w:val="center"/>
                </w:tcPr>
                <w:p w14:paraId="352F695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w:t>
                  </w:r>
                </w:p>
              </w:tc>
              <w:tc>
                <w:tcPr>
                  <w:tcW w:w="306" w:type="pct"/>
                  <w:tcBorders>
                    <w:tl2br w:val="nil"/>
                    <w:tr2bl w:val="nil"/>
                  </w:tcBorders>
                  <w:shd w:val="clear" w:color="auto" w:fill="auto"/>
                  <w:vAlign w:val="center"/>
                </w:tcPr>
                <w:p w14:paraId="78AD40F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414345.38</w:t>
                  </w:r>
                </w:p>
              </w:tc>
              <w:tc>
                <w:tcPr>
                  <w:tcW w:w="269" w:type="pct"/>
                  <w:tcBorders>
                    <w:tl2br w:val="nil"/>
                    <w:tr2bl w:val="nil"/>
                  </w:tcBorders>
                  <w:shd w:val="clear" w:color="auto" w:fill="auto"/>
                  <w:vAlign w:val="center"/>
                </w:tcPr>
                <w:p w14:paraId="1341FDE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w:t>
                  </w:r>
                </w:p>
              </w:tc>
              <w:tc>
                <w:tcPr>
                  <w:tcW w:w="264" w:type="pct"/>
                  <w:tcBorders>
                    <w:tl2br w:val="nil"/>
                    <w:tr2bl w:val="nil"/>
                  </w:tcBorders>
                  <w:shd w:val="clear" w:color="auto" w:fill="auto"/>
                  <w:vAlign w:val="center"/>
                </w:tcPr>
                <w:p w14:paraId="79F91C3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112389.52</w:t>
                  </w:r>
                </w:p>
              </w:tc>
              <w:tc>
                <w:tcPr>
                  <w:tcW w:w="767" w:type="pct"/>
                  <w:tcBorders>
                    <w:tl2br w:val="nil"/>
                    <w:tr2bl w:val="nil"/>
                  </w:tcBorders>
                  <w:shd w:val="clear" w:color="auto" w:fill="auto"/>
                  <w:noWrap/>
                  <w:vAlign w:val="center"/>
                </w:tcPr>
                <w:p w14:paraId="3D61512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w:t>
                  </w:r>
                </w:p>
              </w:tc>
              <w:tc>
                <w:tcPr>
                  <w:tcW w:w="188" w:type="pct"/>
                  <w:tcBorders>
                    <w:tl2br w:val="nil"/>
                    <w:tr2bl w:val="nil"/>
                  </w:tcBorders>
                  <w:shd w:val="clear" w:color="auto" w:fill="auto"/>
                  <w:noWrap/>
                  <w:vAlign w:val="center"/>
                </w:tcPr>
                <w:p w14:paraId="5F87F92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1229.12</w:t>
                  </w:r>
                </w:p>
              </w:tc>
            </w:tr>
            <w:tr w14:paraId="54B3174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1"/>
                <w:wAfter w:w="7" w:type="pct"/>
                <w:trHeight w:val="57" w:hRule="atLeast"/>
              </w:trPr>
              <w:tc>
                <w:tcPr>
                  <w:tcW w:w="4992" w:type="pct"/>
                  <w:gridSpan w:val="19"/>
                  <w:tcBorders>
                    <w:tl2br w:val="nil"/>
                    <w:tr2bl w:val="nil"/>
                  </w:tcBorders>
                  <w:shd w:val="clear" w:color="auto" w:fill="auto"/>
                  <w:vAlign w:val="center"/>
                </w:tcPr>
                <w:p w14:paraId="0CBB778D">
                  <w:pPr>
                    <w:keepNext w:val="0"/>
                    <w:keepLines w:val="0"/>
                    <w:pageBreakBefore w:val="0"/>
                    <w:widowControl/>
                    <w:suppressLineNumbers w:val="0"/>
                    <w:kinsoku/>
                    <w:wordWrap/>
                    <w:overflowPunct/>
                    <w:topLinePunct w:val="0"/>
                    <w:autoSpaceDE/>
                    <w:autoSpaceDN/>
                    <w:bidi w:val="0"/>
                    <w:adjustRightInd/>
                    <w:snapToGrid/>
                    <w:jc w:val="left"/>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注：</w:t>
                  </w:r>
                  <w:r>
                    <w:rPr>
                      <w:rFonts w:hint="default" w:ascii="Times New Roman" w:hAnsi="Times New Roman" w:cs="Times New Roman"/>
                      <w:b/>
                      <w:bCs/>
                      <w:i w:val="0"/>
                      <w:iCs w:val="0"/>
                      <w:color w:val="auto"/>
                      <w:kern w:val="0"/>
                      <w:sz w:val="21"/>
                      <w:szCs w:val="21"/>
                      <w:u w:val="none"/>
                      <w:lang w:val="en-US" w:eastAsia="zh-CN" w:bidi="ar"/>
                    </w:rPr>
                    <w:t>①</w:t>
                  </w:r>
                  <w:r>
                    <w:rPr>
                      <w:rFonts w:hint="default" w:ascii="Times New Roman" w:hAnsi="Times New Roman" w:eastAsia="宋体" w:cs="Times New Roman"/>
                      <w:b/>
                      <w:bCs/>
                      <w:i w:val="0"/>
                      <w:iCs w:val="0"/>
                      <w:color w:val="auto"/>
                      <w:kern w:val="0"/>
                      <w:sz w:val="21"/>
                      <w:szCs w:val="21"/>
                      <w:u w:val="none"/>
                      <w:lang w:val="en-US" w:eastAsia="zh-CN" w:bidi="ar"/>
                    </w:rPr>
                    <w:t>年用水量=新鲜水量+软化水量+</w:t>
                  </w:r>
                  <w:r>
                    <w:rPr>
                      <w:rFonts w:hint="default" w:ascii="Times New Roman" w:hAnsi="Times New Roman" w:cs="Times New Roman"/>
                      <w:b/>
                      <w:bCs/>
                      <w:i w:val="0"/>
                      <w:iCs w:val="0"/>
                      <w:color w:val="auto"/>
                      <w:kern w:val="0"/>
                      <w:sz w:val="21"/>
                      <w:szCs w:val="21"/>
                      <w:u w:val="none"/>
                      <w:lang w:val="en-US" w:eastAsia="zh-CN" w:bidi="ar"/>
                    </w:rPr>
                    <w:t>回用水池</w:t>
                  </w:r>
                  <w:r>
                    <w:rPr>
                      <w:rFonts w:hint="default" w:ascii="Times New Roman" w:hAnsi="Times New Roman" w:eastAsia="宋体" w:cs="Times New Roman"/>
                      <w:b/>
                      <w:bCs/>
                      <w:i w:val="0"/>
                      <w:iCs w:val="0"/>
                      <w:color w:val="auto"/>
                      <w:kern w:val="0"/>
                      <w:sz w:val="21"/>
                      <w:szCs w:val="21"/>
                      <w:u w:val="none"/>
                      <w:lang w:val="en-US" w:eastAsia="zh-CN" w:bidi="ar"/>
                    </w:rPr>
                    <w:t>+定</w:t>
                  </w:r>
                  <w:r>
                    <w:rPr>
                      <w:rFonts w:hint="default" w:ascii="Times New Roman" w:hAnsi="Times New Roman" w:cs="Times New Roman"/>
                      <w:b/>
                      <w:bCs/>
                      <w:i w:val="0"/>
                      <w:iCs w:val="0"/>
                      <w:color w:val="auto"/>
                      <w:kern w:val="0"/>
                      <w:sz w:val="21"/>
                      <w:szCs w:val="21"/>
                      <w:u w:val="none"/>
                      <w:lang w:val="en-US" w:eastAsia="zh-CN" w:bidi="ar"/>
                    </w:rPr>
                    <w:t>排</w:t>
                  </w:r>
                  <w:r>
                    <w:rPr>
                      <w:rFonts w:hint="default" w:ascii="Times New Roman" w:hAnsi="Times New Roman" w:eastAsia="宋体" w:cs="Times New Roman"/>
                      <w:b/>
                      <w:bCs/>
                      <w:i w:val="0"/>
                      <w:iCs w:val="0"/>
                      <w:color w:val="auto"/>
                      <w:kern w:val="0"/>
                      <w:sz w:val="21"/>
                      <w:szCs w:val="21"/>
                      <w:u w:val="none"/>
                      <w:lang w:val="en-US" w:eastAsia="zh-CN" w:bidi="ar"/>
                    </w:rPr>
                    <w:t>坑+纯水；</w:t>
                  </w:r>
                  <w:r>
                    <w:rPr>
                      <w:rFonts w:hint="default" w:ascii="Times New Roman" w:hAnsi="Times New Roman" w:cs="Times New Roman"/>
                      <w:b/>
                      <w:bCs/>
                      <w:i w:val="0"/>
                      <w:iCs w:val="0"/>
                      <w:color w:val="auto"/>
                      <w:kern w:val="0"/>
                      <w:sz w:val="21"/>
                      <w:szCs w:val="21"/>
                      <w:u w:val="none"/>
                      <w:lang w:val="en-US" w:eastAsia="zh-CN" w:bidi="ar"/>
                    </w:rPr>
                    <w:t>②</w:t>
                  </w:r>
                  <w:r>
                    <w:rPr>
                      <w:rFonts w:hint="default" w:ascii="Times New Roman" w:hAnsi="Times New Roman" w:eastAsia="宋体" w:cs="Times New Roman"/>
                      <w:b/>
                      <w:bCs/>
                      <w:i w:val="0"/>
                      <w:iCs w:val="0"/>
                      <w:color w:val="auto"/>
                      <w:kern w:val="0"/>
                      <w:sz w:val="21"/>
                      <w:szCs w:val="21"/>
                      <w:u w:val="none"/>
                      <w:lang w:val="en-US" w:eastAsia="zh-CN" w:bidi="ar"/>
                    </w:rPr>
                    <w:t>年用水量=损耗量+废水量；</w:t>
                  </w:r>
                  <w:r>
                    <w:rPr>
                      <w:rFonts w:hint="default" w:ascii="Times New Roman" w:hAnsi="Times New Roman" w:cs="Times New Roman"/>
                      <w:b/>
                      <w:bCs/>
                      <w:i w:val="0"/>
                      <w:iCs w:val="0"/>
                      <w:color w:val="auto"/>
                      <w:kern w:val="0"/>
                      <w:sz w:val="21"/>
                      <w:szCs w:val="21"/>
                      <w:u w:val="none"/>
                      <w:lang w:val="en-US" w:eastAsia="zh-CN" w:bidi="ar"/>
                    </w:rPr>
                    <w:t>③</w:t>
                  </w:r>
                  <w:r>
                    <w:rPr>
                      <w:rFonts w:hint="default" w:ascii="Times New Roman" w:hAnsi="Times New Roman" w:eastAsia="宋体" w:cs="Times New Roman"/>
                      <w:b/>
                      <w:bCs/>
                      <w:i w:val="0"/>
                      <w:iCs w:val="0"/>
                      <w:color w:val="auto"/>
                      <w:kern w:val="0"/>
                      <w:sz w:val="21"/>
                      <w:szCs w:val="21"/>
                      <w:u w:val="none"/>
                      <w:lang w:val="en-US" w:eastAsia="zh-CN" w:bidi="ar"/>
                    </w:rPr>
                    <w:t>外排水量=废水量-</w:t>
                  </w:r>
                  <w:r>
                    <w:rPr>
                      <w:rFonts w:hint="default" w:ascii="Times New Roman" w:hAnsi="Times New Roman" w:cs="Times New Roman"/>
                      <w:b/>
                      <w:bCs/>
                      <w:i w:val="0"/>
                      <w:iCs w:val="0"/>
                      <w:color w:val="auto"/>
                      <w:kern w:val="0"/>
                      <w:sz w:val="21"/>
                      <w:szCs w:val="21"/>
                      <w:u w:val="none"/>
                      <w:lang w:val="en-US" w:eastAsia="zh-CN" w:bidi="ar"/>
                    </w:rPr>
                    <w:t>回用水池</w:t>
                  </w:r>
                  <w:r>
                    <w:rPr>
                      <w:rFonts w:hint="default" w:ascii="Times New Roman" w:hAnsi="Times New Roman" w:eastAsia="宋体" w:cs="Times New Roman"/>
                      <w:b/>
                      <w:bCs/>
                      <w:i w:val="0"/>
                      <w:iCs w:val="0"/>
                      <w:color w:val="auto"/>
                      <w:kern w:val="0"/>
                      <w:sz w:val="21"/>
                      <w:szCs w:val="21"/>
                      <w:u w:val="none"/>
                      <w:lang w:val="en-US" w:eastAsia="zh-CN" w:bidi="ar"/>
                    </w:rPr>
                    <w:t>-定排坑</w:t>
                  </w:r>
                  <w:r>
                    <w:rPr>
                      <w:rFonts w:hint="default" w:ascii="Times New Roman" w:hAnsi="Times New Roman" w:cs="Times New Roman"/>
                      <w:b/>
                      <w:bCs/>
                      <w:i w:val="0"/>
                      <w:iCs w:val="0"/>
                      <w:color w:val="auto"/>
                      <w:kern w:val="0"/>
                      <w:sz w:val="21"/>
                      <w:szCs w:val="21"/>
                      <w:u w:val="none"/>
                      <w:lang w:val="en-US" w:eastAsia="zh-CN" w:bidi="ar"/>
                    </w:rPr>
                    <w:t>-作为危废物进行管理的部分</w:t>
                  </w:r>
                  <w:r>
                    <w:rPr>
                      <w:rFonts w:hint="default" w:ascii="Times New Roman" w:hAnsi="Times New Roman" w:eastAsia="宋体" w:cs="Times New Roman"/>
                      <w:b/>
                      <w:bCs/>
                      <w:i w:val="0"/>
                      <w:iCs w:val="0"/>
                      <w:color w:val="auto"/>
                      <w:kern w:val="0"/>
                      <w:sz w:val="21"/>
                      <w:szCs w:val="21"/>
                      <w:u w:val="none"/>
                      <w:lang w:val="en-US" w:eastAsia="zh-CN" w:bidi="ar"/>
                    </w:rPr>
                    <w:t>；</w:t>
                  </w:r>
                  <w:r>
                    <w:rPr>
                      <w:rFonts w:hint="default" w:ascii="Times New Roman" w:hAnsi="Times New Roman" w:cs="Times New Roman"/>
                      <w:b/>
                      <w:bCs/>
                      <w:i w:val="0"/>
                      <w:iCs w:val="0"/>
                      <w:color w:val="auto"/>
                      <w:kern w:val="0"/>
                      <w:sz w:val="21"/>
                      <w:szCs w:val="21"/>
                      <w:u w:val="none"/>
                      <w:lang w:val="en-US" w:eastAsia="zh-CN" w:bidi="ar"/>
                    </w:rPr>
                    <w:t>④</w:t>
                  </w:r>
                  <w:r>
                    <w:rPr>
                      <w:rFonts w:hint="default" w:ascii="Times New Roman" w:hAnsi="Times New Roman" w:eastAsia="宋体" w:cs="Times New Roman"/>
                      <w:b/>
                      <w:bCs/>
                      <w:i w:val="0"/>
                      <w:iCs w:val="0"/>
                      <w:color w:val="auto"/>
                      <w:kern w:val="0"/>
                      <w:sz w:val="21"/>
                      <w:szCs w:val="21"/>
                      <w:u w:val="none"/>
                      <w:lang w:val="en-US" w:eastAsia="zh-CN" w:bidi="ar"/>
                    </w:rPr>
                    <w:t>循环水不计入水平衡</w:t>
                  </w:r>
                </w:p>
              </w:tc>
            </w:tr>
          </w:tbl>
          <w:p w14:paraId="76D10F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eastAsia="宋体" w:cs="Times New Roman"/>
                <w:b w:val="0"/>
                <w:bCs w:val="0"/>
                <w:color w:val="auto"/>
                <w:sz w:val="24"/>
                <w:szCs w:val="24"/>
                <w:lang w:val="en-US" w:eastAsia="zh-CN"/>
              </w:rPr>
            </w:pPr>
          </w:p>
        </w:tc>
      </w:tr>
    </w:tbl>
    <w:p w14:paraId="438C2A65">
      <w:pPr>
        <w:keepNext w:val="0"/>
        <w:keepLines w:val="0"/>
        <w:pageBreakBefore w:val="0"/>
        <w:kinsoku/>
        <w:wordWrap/>
        <w:bidi w:val="0"/>
        <w:adjustRightInd/>
        <w:snapToGrid/>
        <w:spacing w:line="360" w:lineRule="auto"/>
        <w:outlineLvl w:val="0"/>
        <w:rPr>
          <w:rFonts w:hint="default" w:ascii="Times New Roman" w:hAnsi="Times New Roman" w:eastAsia="宋体" w:cs="Times New Roman"/>
          <w:color w:val="auto"/>
          <w:sz w:val="30"/>
        </w:rPr>
        <w:sectPr>
          <w:pgSz w:w="16838" w:h="11906" w:orient="landscape"/>
          <w:pgMar w:top="1531" w:right="1701" w:bottom="1531" w:left="1701" w:header="851" w:footer="1077" w:gutter="0"/>
          <w:pgBorders>
            <w:top w:val="none" w:sz="0" w:space="0"/>
            <w:left w:val="none" w:sz="0" w:space="0"/>
            <w:bottom w:val="none" w:sz="0" w:space="0"/>
            <w:right w:val="none" w:sz="0" w:space="0"/>
          </w:pgBorders>
          <w:pgNumType w:fmt="decimal"/>
          <w:cols w:space="720" w:num="1"/>
          <w:docGrid w:linePitch="312" w:charSpace="0"/>
        </w:sectPr>
      </w:pP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4"/>
        <w:gridCol w:w="8336"/>
      </w:tblGrid>
      <w:tr w14:paraId="3067E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49" w:type="dxa"/>
          </w:tcPr>
          <w:p w14:paraId="6BD4F353">
            <w:pPr>
              <w:keepNext w:val="0"/>
              <w:keepLines w:val="0"/>
              <w:pageBreakBefore w:val="0"/>
              <w:widowControl w:val="0"/>
              <w:kinsoku/>
              <w:wordWrap/>
              <w:overflowPunct/>
              <w:topLinePunct/>
              <w:autoSpaceDE/>
              <w:autoSpaceDN/>
              <w:bidi w:val="0"/>
              <w:adjustRightInd/>
              <w:snapToGrid/>
              <w:spacing w:before="157" w:beforeLines="50" w:line="360" w:lineRule="auto"/>
              <w:jc w:val="center"/>
              <w:textAlignment w:val="auto"/>
              <w:rPr>
                <w:rFonts w:hint="default" w:ascii="Times New Roman" w:hAnsi="Times New Roman" w:eastAsia="宋体" w:cs="Times New Roman"/>
                <w:b/>
                <w:color w:val="auto"/>
                <w:sz w:val="21"/>
                <w:szCs w:val="21"/>
                <w:vertAlign w:val="baseline"/>
                <w:lang w:eastAsia="zh-CN"/>
              </w:rPr>
            </w:pPr>
          </w:p>
        </w:tc>
        <w:tc>
          <w:tcPr>
            <w:tcW w:w="8311" w:type="dxa"/>
          </w:tcPr>
          <w:p w14:paraId="7D9C9618">
            <w:pPr>
              <w:keepNext w:val="0"/>
              <w:keepLines w:val="0"/>
              <w:pageBreakBefore w:val="0"/>
              <w:widowControl w:val="0"/>
              <w:kinsoku/>
              <w:wordWrap/>
              <w:overflowPunct/>
              <w:topLinePunct/>
              <w:autoSpaceDE/>
              <w:autoSpaceDN/>
              <w:bidi w:val="0"/>
              <w:adjustRightInd/>
              <w:snapToGrid/>
              <w:spacing w:before="157" w:beforeLines="50" w:line="360" w:lineRule="auto"/>
              <w:jc w:val="both"/>
              <w:textAlignment w:val="auto"/>
              <w:rPr>
                <w:rFonts w:hint="default" w:ascii="Times New Roman" w:hAnsi="Times New Roman" w:eastAsia="宋体" w:cs="Times New Roman"/>
                <w:b/>
                <w:color w:val="auto"/>
                <w:sz w:val="21"/>
                <w:szCs w:val="21"/>
                <w:lang w:eastAsia="zh-CN"/>
              </w:rPr>
            </w:pPr>
            <w:r>
              <w:rPr>
                <w:rFonts w:hint="default" w:ascii="Times New Roman" w:hAnsi="Times New Roman" w:eastAsia="宋体" w:cs="Times New Roman"/>
                <w:b/>
                <w:color w:val="auto"/>
                <w:sz w:val="21"/>
                <w:szCs w:val="21"/>
                <w:lang w:eastAsia="zh-CN"/>
              </w:rPr>
              <w:drawing>
                <wp:inline distT="0" distB="0" distL="114300" distR="114300">
                  <wp:extent cx="5156200" cy="6323330"/>
                  <wp:effectExtent l="0" t="0" r="0" b="0"/>
                  <wp:docPr id="4" name="ECB019B1-382A-4266-B25C-5B523AA43C14-1" descr="C:/Users/Administrator/AppData/Roaming/Kingsoft/wps/addons/data/win-i386/kinsertprocesson/insertimage.BCRZfG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CB019B1-382A-4266-B25C-5B523AA43C14-1" descr="C:/Users/Administrator/AppData/Roaming/Kingsoft/wps/addons/data/win-i386/kinsertprocesson/insertimage.BCRZfGinsertimage"/>
                          <pic:cNvPicPr>
                            <a:picLocks noChangeAspect="1"/>
                          </pic:cNvPicPr>
                        </pic:nvPicPr>
                        <pic:blipFill>
                          <a:blip r:embed="rId18"/>
                          <a:stretch>
                            <a:fillRect/>
                          </a:stretch>
                        </pic:blipFill>
                        <pic:spPr>
                          <a:xfrm>
                            <a:off x="0" y="0"/>
                            <a:ext cx="5156200" cy="6323330"/>
                          </a:xfrm>
                          <a:prstGeom prst="rect">
                            <a:avLst/>
                          </a:prstGeom>
                        </pic:spPr>
                      </pic:pic>
                    </a:graphicData>
                  </a:graphic>
                </wp:inline>
              </w:drawing>
            </w:r>
          </w:p>
          <w:p w14:paraId="7D05BDD9">
            <w:pPr>
              <w:keepNext w:val="0"/>
              <w:keepLines w:val="0"/>
              <w:pageBreakBefore w:val="0"/>
              <w:widowControl w:val="0"/>
              <w:kinsoku/>
              <w:wordWrap/>
              <w:overflowPunct/>
              <w:topLinePunct/>
              <w:autoSpaceDE/>
              <w:autoSpaceDN/>
              <w:bidi w:val="0"/>
              <w:adjustRightInd/>
              <w:snapToGrid/>
              <w:spacing w:before="157" w:beforeLines="50" w:line="360" w:lineRule="auto"/>
              <w:jc w:val="center"/>
              <w:textAlignment w:val="auto"/>
              <w:rPr>
                <w:rFonts w:hint="default" w:ascii="Times New Roman" w:hAnsi="Times New Roman" w:eastAsia="宋体" w:cs="Times New Roman"/>
                <w:b/>
                <w:color w:val="auto"/>
                <w:sz w:val="21"/>
                <w:szCs w:val="21"/>
                <w:vertAlign w:val="baseline"/>
                <w:lang w:eastAsia="zh-CN"/>
              </w:rPr>
            </w:pPr>
            <w:r>
              <w:rPr>
                <w:rFonts w:hint="default" w:ascii="Times New Roman" w:hAnsi="Times New Roman" w:eastAsia="宋体" w:cs="Times New Roman"/>
                <w:b/>
                <w:color w:val="auto"/>
                <w:sz w:val="21"/>
                <w:szCs w:val="21"/>
              </w:rPr>
              <w:t>图</w:t>
            </w:r>
            <w:r>
              <w:rPr>
                <w:rFonts w:hint="default" w:ascii="Times New Roman" w:hAnsi="Times New Roman" w:eastAsia="宋体" w:cs="Times New Roman"/>
                <w:b/>
                <w:color w:val="auto"/>
                <w:sz w:val="21"/>
                <w:szCs w:val="21"/>
                <w:lang w:val="en-US" w:eastAsia="zh-CN"/>
              </w:rPr>
              <w:t>2-1</w:t>
            </w:r>
            <w:r>
              <w:rPr>
                <w:rFonts w:hint="default" w:ascii="Times New Roman" w:hAnsi="Times New Roman" w:eastAsia="宋体" w:cs="Times New Roman"/>
                <w:b/>
                <w:color w:val="auto"/>
                <w:sz w:val="21"/>
                <w:szCs w:val="21"/>
              </w:rPr>
              <w:t>给、排水平衡图（单位</w:t>
            </w:r>
            <w:r>
              <w:rPr>
                <w:rFonts w:hint="default" w:ascii="Times New Roman" w:hAnsi="Times New Roman" w:eastAsia="宋体" w:cs="Times New Roman"/>
                <w:b/>
                <w:color w:val="auto"/>
                <w:sz w:val="21"/>
                <w:szCs w:val="21"/>
                <w:lang w:val="en-US" w:eastAsia="zh-CN"/>
              </w:rPr>
              <w:t>t</w:t>
            </w:r>
            <w:r>
              <w:rPr>
                <w:rFonts w:hint="default" w:ascii="Times New Roman" w:hAnsi="Times New Roman" w:eastAsia="宋体" w:cs="Times New Roman"/>
                <w:b/>
                <w:color w:val="auto"/>
                <w:sz w:val="21"/>
                <w:szCs w:val="21"/>
              </w:rPr>
              <w:t>/</w:t>
            </w:r>
            <w:r>
              <w:rPr>
                <w:rFonts w:hint="default" w:ascii="Times New Roman" w:hAnsi="Times New Roman" w:eastAsia="宋体" w:cs="Times New Roman"/>
                <w:b/>
                <w:color w:val="auto"/>
                <w:sz w:val="21"/>
                <w:szCs w:val="21"/>
                <w:lang w:val="en-US" w:eastAsia="zh-CN"/>
              </w:rPr>
              <w:t>a</w:t>
            </w:r>
            <w:r>
              <w:rPr>
                <w:rFonts w:hint="default" w:ascii="Times New Roman" w:hAnsi="Times New Roman" w:eastAsia="宋体" w:cs="Times New Roman"/>
                <w:b/>
                <w:color w:val="auto"/>
                <w:sz w:val="21"/>
                <w:szCs w:val="21"/>
              </w:rPr>
              <w:t>）</w:t>
            </w:r>
          </w:p>
        </w:tc>
      </w:tr>
    </w:tbl>
    <w:p w14:paraId="7B878D63">
      <w:pPr>
        <w:keepNext w:val="0"/>
        <w:keepLines w:val="0"/>
        <w:pageBreakBefore w:val="0"/>
        <w:widowControl w:val="0"/>
        <w:kinsoku/>
        <w:wordWrap/>
        <w:overflowPunct/>
        <w:topLinePunct/>
        <w:autoSpaceDE/>
        <w:autoSpaceDN/>
        <w:bidi w:val="0"/>
        <w:adjustRightInd/>
        <w:snapToGrid/>
        <w:spacing w:before="157" w:beforeLines="50" w:line="360" w:lineRule="auto"/>
        <w:jc w:val="center"/>
        <w:textAlignment w:val="auto"/>
        <w:rPr>
          <w:rFonts w:hint="default" w:ascii="Times New Roman" w:hAnsi="Times New Roman" w:eastAsia="宋体" w:cs="Times New Roman"/>
          <w:b/>
          <w:color w:val="auto"/>
          <w:sz w:val="21"/>
          <w:szCs w:val="21"/>
          <w:lang w:eastAsia="zh-CN"/>
        </w:rPr>
      </w:pPr>
    </w:p>
    <w:p w14:paraId="1FC2385A">
      <w:pPr>
        <w:keepNext w:val="0"/>
        <w:keepLines w:val="0"/>
        <w:pageBreakBefore w:val="0"/>
        <w:widowControl w:val="0"/>
        <w:kinsoku/>
        <w:wordWrap/>
        <w:overflowPunct/>
        <w:topLinePunct/>
        <w:autoSpaceDE/>
        <w:autoSpaceDN/>
        <w:bidi w:val="0"/>
        <w:adjustRightInd/>
        <w:snapToGrid/>
        <w:spacing w:before="157" w:beforeLines="50" w:line="360" w:lineRule="auto"/>
        <w:jc w:val="center"/>
        <w:textAlignment w:val="auto"/>
        <w:rPr>
          <w:rFonts w:hint="default" w:ascii="Times New Roman" w:hAnsi="Times New Roman" w:eastAsia="宋体" w:cs="Times New Roman"/>
          <w:b/>
          <w:color w:val="auto"/>
          <w:sz w:val="21"/>
          <w:szCs w:val="21"/>
        </w:rPr>
      </w:pPr>
    </w:p>
    <w:p w14:paraId="56041662">
      <w:pPr>
        <w:keepNext w:val="0"/>
        <w:keepLines w:val="0"/>
        <w:pageBreakBefore w:val="0"/>
        <w:kinsoku/>
        <w:wordWrap/>
        <w:bidi w:val="0"/>
        <w:adjustRightInd/>
        <w:snapToGrid/>
        <w:spacing w:line="360" w:lineRule="auto"/>
        <w:outlineLvl w:val="0"/>
        <w:rPr>
          <w:rFonts w:hint="default" w:ascii="Times New Roman" w:hAnsi="Times New Roman" w:eastAsia="宋体" w:cs="Times New Roman"/>
          <w:color w:val="auto"/>
          <w:sz w:val="30"/>
        </w:rPr>
        <w:sectPr>
          <w:pgSz w:w="11906" w:h="16838"/>
          <w:pgMar w:top="1701" w:right="1531" w:bottom="1701" w:left="1531" w:header="851" w:footer="1077" w:gutter="0"/>
          <w:pgBorders>
            <w:top w:val="none" w:sz="0" w:space="0"/>
            <w:left w:val="none" w:sz="0" w:space="0"/>
            <w:bottom w:val="none" w:sz="0" w:space="0"/>
            <w:right w:val="none" w:sz="0" w:space="0"/>
          </w:pgBorders>
          <w:pgNumType w:fmt="decimal"/>
          <w:cols w:space="720" w:num="1"/>
          <w:docGrid w:linePitch="312" w:charSpace="0"/>
        </w:sectPr>
      </w:pP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8355"/>
      </w:tblGrid>
      <w:tr w14:paraId="03071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6" w:type="dxa"/>
            <w:shd w:val="clear" w:color="auto" w:fill="auto"/>
            <w:vAlign w:val="center"/>
          </w:tcPr>
          <w:p w14:paraId="5CD4D156">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87AED8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AF8EF3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5F7C60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620EF1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114723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280B81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35AB496">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6E3922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1751099">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4B5D33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0EDC07A">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7306502">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1BF38A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FAFC976">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B1C588A">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BA688B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ABBC29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8B900E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工艺流程和产排污环节</w:t>
            </w:r>
          </w:p>
          <w:p w14:paraId="63FF1E5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30353B6">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96BDDA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BF3F68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76DB33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D13E9B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2BE1CAA">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8186B80">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C0DFC6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75E43A3">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635B373">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73FF1FD">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048C08A">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19B1BA6">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96E29C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97E58A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D43F7F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8E3740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932C54A">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3AA4965">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62550D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5A5CCE3">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F3A3F16">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FA8869A">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0D44582">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3EF788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D3A6B0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E2F5F3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79771A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1F4C829">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C901953">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01508D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E57E4B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0623CF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D1B1A2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75EF4F5">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099A399">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43DEED0">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18A7085">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3E5990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77DDB6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2C32EE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工艺流程和产排污环节</w:t>
            </w:r>
          </w:p>
          <w:p w14:paraId="111B6BC9">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F5E4435">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DB14D2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B9BB60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1BFB9CD">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0FE02A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B82D9F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6AD5FC6">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59F830FB">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41E443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75FB82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73938D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8FE9C9E">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DACA3B1">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1682415">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6B1DB49">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08568D2">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477BE59">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F55F524">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35192CF">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C031279">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CFA3183">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2251C60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18E555B6">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3C1BF99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0EE42197">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B45E7A8">
            <w:pPr>
              <w:pStyle w:val="28"/>
              <w:keepNext w:val="0"/>
              <w:keepLines w:val="0"/>
              <w:pageBreakBefore w:val="0"/>
              <w:kinsoku/>
              <w:wordWrap/>
              <w:bidi w:val="0"/>
              <w:adjustRightInd/>
              <w:snapToGrid/>
              <w:spacing w:before="0" w:beforeAutospacing="0" w:after="0" w:afterAutospacing="0"/>
              <w:jc w:val="both"/>
              <w:rPr>
                <w:rFonts w:hint="default" w:ascii="Times New Roman" w:hAnsi="Times New Roman" w:eastAsia="宋体" w:cs="Times New Roman"/>
                <w:color w:val="auto"/>
                <w:sz w:val="24"/>
                <w:szCs w:val="24"/>
              </w:rPr>
            </w:pPr>
          </w:p>
          <w:p w14:paraId="42378DF5">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FE1801C">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613A60D0">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49C37789">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sz w:val="24"/>
                <w:szCs w:val="24"/>
              </w:rPr>
            </w:pPr>
          </w:p>
          <w:p w14:paraId="73B0C04D">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color w:val="auto"/>
                <w:kern w:val="0"/>
                <w:sz w:val="24"/>
                <w:szCs w:val="24"/>
                <w:lang w:val="en-US" w:eastAsia="zh-CN" w:bidi="ar-SA"/>
              </w:rPr>
            </w:pPr>
          </w:p>
        </w:tc>
        <w:tc>
          <w:tcPr>
            <w:tcW w:w="8355" w:type="dxa"/>
            <w:shd w:val="clear" w:color="auto" w:fill="auto"/>
            <w:vAlign w:val="top"/>
          </w:tcPr>
          <w:p w14:paraId="39BC6978">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1.施工期工艺流程</w:t>
            </w:r>
          </w:p>
          <w:p w14:paraId="20D8D963">
            <w:pPr>
              <w:keepNext w:val="0"/>
              <w:keepLines w:val="0"/>
              <w:pageBreakBefore w:val="0"/>
              <w:tabs>
                <w:tab w:val="left" w:pos="705"/>
              </w:tabs>
              <w:kinsoku/>
              <w:wordWrap/>
              <w:bidi w:val="0"/>
              <w:adjustRightInd/>
              <w:snapToGrid/>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val="en-US" w:eastAsia="zh-CN"/>
              </w:rPr>
              <w:t>本项目施工期施工内容主要</w:t>
            </w:r>
            <w:r>
              <w:rPr>
                <w:rFonts w:hint="default" w:ascii="Times New Roman" w:hAnsi="Times New Roman" w:eastAsia="宋体" w:cs="Times New Roman"/>
                <w:color w:val="auto"/>
                <w:sz w:val="24"/>
                <w:szCs w:val="24"/>
                <w:highlight w:val="none"/>
              </w:rPr>
              <w:t>工艺流程及产污环节见图</w:t>
            </w:r>
            <w:r>
              <w:rPr>
                <w:rFonts w:hint="default" w:ascii="Times New Roman" w:hAnsi="Times New Roman" w:eastAsia="宋体" w:cs="Times New Roman"/>
                <w:color w:val="auto"/>
                <w:sz w:val="24"/>
                <w:szCs w:val="24"/>
                <w:highlight w:val="none"/>
                <w:lang w:val="en-US" w:eastAsia="zh-CN"/>
              </w:rPr>
              <w:t>2-2</w:t>
            </w:r>
            <w:r>
              <w:rPr>
                <w:rFonts w:hint="default" w:ascii="Times New Roman" w:hAnsi="Times New Roman" w:eastAsia="宋体" w:cs="Times New Roman"/>
                <w:color w:val="auto"/>
                <w:sz w:val="24"/>
                <w:szCs w:val="24"/>
                <w:highlight w:val="none"/>
              </w:rPr>
              <w:t>。</w:t>
            </w:r>
          </w:p>
          <w:p w14:paraId="66AA1D03">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drawing>
                <wp:inline distT="0" distB="0" distL="114300" distR="114300">
                  <wp:extent cx="4843145" cy="1151890"/>
                  <wp:effectExtent l="0" t="0" r="0" b="0"/>
                  <wp:docPr id="3" name="图片 15"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5" descr="wps"/>
                          <pic:cNvPicPr>
                            <a:picLocks noChangeAspect="1"/>
                          </pic:cNvPicPr>
                        </pic:nvPicPr>
                        <pic:blipFill>
                          <a:blip r:embed="rId19"/>
                          <a:stretch>
                            <a:fillRect/>
                          </a:stretch>
                        </pic:blipFill>
                        <pic:spPr>
                          <a:xfrm>
                            <a:off x="0" y="0"/>
                            <a:ext cx="4843145" cy="1151890"/>
                          </a:xfrm>
                          <a:prstGeom prst="rect">
                            <a:avLst/>
                          </a:prstGeom>
                          <a:noFill/>
                          <a:ln>
                            <a:noFill/>
                          </a:ln>
                        </pic:spPr>
                      </pic:pic>
                    </a:graphicData>
                  </a:graphic>
                </wp:inline>
              </w:drawing>
            </w:r>
          </w:p>
          <w:p w14:paraId="2516F2F0">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图</w:t>
            </w:r>
            <w:r>
              <w:rPr>
                <w:rFonts w:hint="default" w:ascii="Times New Roman" w:hAnsi="Times New Roman" w:eastAsia="宋体" w:cs="Times New Roman"/>
                <w:b/>
                <w:color w:val="auto"/>
                <w:sz w:val="21"/>
                <w:szCs w:val="21"/>
                <w:highlight w:val="none"/>
                <w:lang w:val="en-US" w:eastAsia="zh-CN"/>
              </w:rPr>
              <w:t>2-2施工期</w:t>
            </w:r>
            <w:r>
              <w:rPr>
                <w:rFonts w:hint="default" w:ascii="Times New Roman" w:hAnsi="Times New Roman" w:eastAsia="宋体" w:cs="Times New Roman"/>
                <w:b/>
                <w:color w:val="auto"/>
                <w:sz w:val="21"/>
                <w:szCs w:val="21"/>
                <w:highlight w:val="none"/>
              </w:rPr>
              <w:t>工艺流程及产污节点图</w:t>
            </w:r>
          </w:p>
          <w:p w14:paraId="6E9B7DEC">
            <w:pPr>
              <w:keepNext w:val="0"/>
              <w:keepLines w:val="0"/>
              <w:pageBreakBefore w:val="0"/>
              <w:kinsoku/>
              <w:wordWrap/>
              <w:topLinePunct/>
              <w:bidi w:val="0"/>
              <w:adjustRightInd/>
              <w:snapToGrid/>
              <w:spacing w:line="360" w:lineRule="auto"/>
              <w:ind w:firstLine="480" w:firstLineChars="200"/>
              <w:rPr>
                <w:rFonts w:hint="default" w:ascii="Times New Roman" w:hAnsi="Times New Roman" w:eastAsia="宋体" w:cs="Times New Roman"/>
                <w:snapToGrid w:val="0"/>
                <w:color w:val="auto"/>
                <w:kern w:val="0"/>
                <w:sz w:val="24"/>
                <w:szCs w:val="24"/>
                <w:lang w:eastAsia="zh-CN"/>
              </w:rPr>
            </w:pPr>
            <w:r>
              <w:rPr>
                <w:rFonts w:hint="default" w:ascii="Times New Roman" w:hAnsi="Times New Roman" w:eastAsia="宋体" w:cs="Times New Roman"/>
                <w:snapToGrid w:val="0"/>
                <w:color w:val="auto"/>
                <w:kern w:val="0"/>
                <w:sz w:val="24"/>
                <w:szCs w:val="24"/>
                <w:lang w:eastAsia="zh-CN"/>
              </w:rPr>
              <w:t>（</w:t>
            </w:r>
            <w:r>
              <w:rPr>
                <w:rFonts w:hint="default" w:ascii="Times New Roman" w:hAnsi="Times New Roman" w:eastAsia="宋体" w:cs="Times New Roman"/>
                <w:snapToGrid w:val="0"/>
                <w:color w:val="auto"/>
                <w:kern w:val="0"/>
                <w:sz w:val="24"/>
                <w:szCs w:val="24"/>
                <w:lang w:val="en-US" w:eastAsia="zh-CN"/>
              </w:rPr>
              <w:t>1）</w:t>
            </w:r>
            <w:r>
              <w:rPr>
                <w:rFonts w:hint="default" w:ascii="Times New Roman" w:hAnsi="Times New Roman" w:eastAsia="宋体" w:cs="Times New Roman"/>
                <w:snapToGrid w:val="0"/>
                <w:color w:val="auto"/>
                <w:kern w:val="0"/>
                <w:sz w:val="24"/>
                <w:szCs w:val="24"/>
                <w:lang w:eastAsia="zh-CN"/>
              </w:rPr>
              <w:t>基础工程</w:t>
            </w:r>
          </w:p>
          <w:p w14:paraId="01B21770">
            <w:pPr>
              <w:keepNext w:val="0"/>
              <w:keepLines w:val="0"/>
              <w:pageBreakBefore w:val="0"/>
              <w:kinsoku/>
              <w:wordWrap/>
              <w:topLinePunct/>
              <w:bidi w:val="0"/>
              <w:adjustRightInd/>
              <w:snapToGrid/>
              <w:spacing w:line="360" w:lineRule="auto"/>
              <w:ind w:firstLine="480" w:firstLineChars="200"/>
              <w:rPr>
                <w:rFonts w:hint="default" w:ascii="Times New Roman" w:hAnsi="Times New Roman" w:eastAsia="宋体" w:cs="Times New Roman"/>
                <w:snapToGrid w:val="0"/>
                <w:color w:val="auto"/>
                <w:kern w:val="0"/>
                <w:sz w:val="24"/>
                <w:szCs w:val="24"/>
                <w:lang w:eastAsia="zh-CN"/>
              </w:rPr>
            </w:pPr>
            <w:r>
              <w:rPr>
                <w:rFonts w:hint="default" w:ascii="Times New Roman" w:hAnsi="Times New Roman" w:eastAsia="宋体" w:cs="Times New Roman"/>
                <w:snapToGrid w:val="0"/>
                <w:color w:val="auto"/>
                <w:kern w:val="0"/>
                <w:sz w:val="24"/>
                <w:szCs w:val="24"/>
                <w:lang w:eastAsia="zh-CN"/>
              </w:rPr>
              <w:t>开展场地平整，运用挖掘机械清除地表杂物、平整土地；进行地基处理，如采用打桩、换填等方式加固地基；实施基础浇筑，支模、绑扎钢筋后浇筑混凝土构建基础结构。施工机械运行产生噪声；挖掘、运输等作业扬起扬尘及排放尾气形成废气；产生泥浆水、设备清洗废水等废水；挖掘土石方、废弃建材形成固废。</w:t>
            </w:r>
          </w:p>
          <w:p w14:paraId="1634AA51">
            <w:pPr>
              <w:keepNext w:val="0"/>
              <w:keepLines w:val="0"/>
              <w:pageBreakBefore w:val="0"/>
              <w:kinsoku/>
              <w:wordWrap/>
              <w:topLinePunct/>
              <w:bidi w:val="0"/>
              <w:adjustRightInd/>
              <w:snapToGrid/>
              <w:spacing w:line="360" w:lineRule="auto"/>
              <w:ind w:firstLine="480" w:firstLineChars="200"/>
              <w:rPr>
                <w:rFonts w:hint="default" w:ascii="Times New Roman" w:hAnsi="Times New Roman" w:eastAsia="宋体" w:cs="Times New Roman"/>
                <w:snapToGrid w:val="0"/>
                <w:color w:val="auto"/>
                <w:kern w:val="0"/>
                <w:sz w:val="24"/>
                <w:szCs w:val="24"/>
                <w:lang w:eastAsia="zh-CN"/>
              </w:rPr>
            </w:pPr>
            <w:r>
              <w:rPr>
                <w:rFonts w:hint="default" w:ascii="Times New Roman" w:hAnsi="Times New Roman" w:eastAsia="宋体" w:cs="Times New Roman"/>
                <w:snapToGrid w:val="0"/>
                <w:color w:val="auto"/>
                <w:kern w:val="0"/>
                <w:sz w:val="24"/>
                <w:szCs w:val="24"/>
                <w:lang w:eastAsia="zh-CN"/>
              </w:rPr>
              <w:t>（</w:t>
            </w:r>
            <w:r>
              <w:rPr>
                <w:rFonts w:hint="default" w:ascii="Times New Roman" w:hAnsi="Times New Roman" w:eastAsia="宋体" w:cs="Times New Roman"/>
                <w:snapToGrid w:val="0"/>
                <w:color w:val="auto"/>
                <w:kern w:val="0"/>
                <w:sz w:val="24"/>
                <w:szCs w:val="24"/>
                <w:lang w:val="en-US" w:eastAsia="zh-CN"/>
              </w:rPr>
              <w:t>2</w:t>
            </w:r>
            <w:r>
              <w:rPr>
                <w:rFonts w:hint="default" w:ascii="Times New Roman" w:hAnsi="Times New Roman" w:eastAsia="宋体" w:cs="Times New Roman"/>
                <w:snapToGrid w:val="0"/>
                <w:color w:val="auto"/>
                <w:kern w:val="0"/>
                <w:sz w:val="24"/>
                <w:szCs w:val="24"/>
                <w:lang w:eastAsia="zh-CN"/>
              </w:rPr>
              <w:t>）主体工程</w:t>
            </w:r>
          </w:p>
          <w:p w14:paraId="5620C132">
            <w:pPr>
              <w:keepNext w:val="0"/>
              <w:keepLines w:val="0"/>
              <w:pageBreakBefore w:val="0"/>
              <w:kinsoku/>
              <w:wordWrap/>
              <w:topLinePunct/>
              <w:bidi w:val="0"/>
              <w:adjustRightInd/>
              <w:snapToGrid/>
              <w:spacing w:line="360" w:lineRule="auto"/>
              <w:ind w:firstLine="480" w:firstLineChars="200"/>
              <w:rPr>
                <w:rFonts w:hint="default" w:ascii="Times New Roman" w:hAnsi="Times New Roman" w:eastAsia="宋体" w:cs="Times New Roman"/>
                <w:snapToGrid w:val="0"/>
                <w:color w:val="auto"/>
                <w:kern w:val="0"/>
                <w:sz w:val="24"/>
                <w:szCs w:val="24"/>
                <w:lang w:eastAsia="zh-CN"/>
              </w:rPr>
            </w:pPr>
            <w:r>
              <w:rPr>
                <w:rFonts w:hint="default" w:ascii="Times New Roman" w:hAnsi="Times New Roman" w:eastAsia="宋体" w:cs="Times New Roman"/>
                <w:snapToGrid w:val="0"/>
                <w:color w:val="auto"/>
                <w:kern w:val="0"/>
                <w:sz w:val="24"/>
                <w:szCs w:val="24"/>
                <w:lang w:eastAsia="zh-CN"/>
              </w:rPr>
              <w:t>进行钢筋工程，包括钢筋加工、绑扎；开展混凝土工程，搅拌、运输、浇筑及振捣混凝土；对于砖混结构进行墙体砌筑，钢结构则进行构件吊装、焊接等。混凝土搅拌、砂石装卸产生废气；搅拌机、振捣棒、电锯等运作带来噪声；混凝土养护、设备车辆清洗产生废水；废弃钢筋头、木材边角料、混凝土废渣等成为固废。</w:t>
            </w:r>
          </w:p>
          <w:p w14:paraId="6919E9C1">
            <w:pPr>
              <w:keepNext w:val="0"/>
              <w:keepLines w:val="0"/>
              <w:pageBreakBefore w:val="0"/>
              <w:kinsoku/>
              <w:wordWrap/>
              <w:topLinePunct/>
              <w:bidi w:val="0"/>
              <w:adjustRightInd/>
              <w:snapToGrid/>
              <w:spacing w:line="360" w:lineRule="auto"/>
              <w:ind w:firstLine="480" w:firstLineChars="200"/>
              <w:rPr>
                <w:rFonts w:hint="default" w:ascii="Times New Roman" w:hAnsi="Times New Roman" w:eastAsia="宋体" w:cs="Times New Roman"/>
                <w:snapToGrid w:val="0"/>
                <w:color w:val="auto"/>
                <w:kern w:val="0"/>
                <w:sz w:val="24"/>
                <w:szCs w:val="24"/>
                <w:lang w:eastAsia="zh-CN"/>
              </w:rPr>
            </w:pPr>
            <w:r>
              <w:rPr>
                <w:rFonts w:hint="default" w:ascii="Times New Roman" w:hAnsi="Times New Roman" w:eastAsia="宋体" w:cs="Times New Roman"/>
                <w:snapToGrid w:val="0"/>
                <w:color w:val="auto"/>
                <w:kern w:val="0"/>
                <w:sz w:val="24"/>
                <w:szCs w:val="24"/>
                <w:lang w:eastAsia="zh-CN"/>
              </w:rPr>
              <w:t>（</w:t>
            </w:r>
            <w:r>
              <w:rPr>
                <w:rFonts w:hint="default" w:ascii="Times New Roman" w:hAnsi="Times New Roman" w:eastAsia="宋体" w:cs="Times New Roman"/>
                <w:snapToGrid w:val="0"/>
                <w:color w:val="auto"/>
                <w:kern w:val="0"/>
                <w:sz w:val="24"/>
                <w:szCs w:val="24"/>
                <w:lang w:val="en-US" w:eastAsia="zh-CN"/>
              </w:rPr>
              <w:t>3</w:t>
            </w:r>
            <w:r>
              <w:rPr>
                <w:rFonts w:hint="default" w:ascii="Times New Roman" w:hAnsi="Times New Roman" w:eastAsia="宋体" w:cs="Times New Roman"/>
                <w:snapToGrid w:val="0"/>
                <w:color w:val="auto"/>
                <w:kern w:val="0"/>
                <w:sz w:val="24"/>
                <w:szCs w:val="24"/>
                <w:lang w:eastAsia="zh-CN"/>
              </w:rPr>
              <w:t>）装饰工程</w:t>
            </w:r>
          </w:p>
          <w:p w14:paraId="61D4AB04">
            <w:pPr>
              <w:keepNext w:val="0"/>
              <w:keepLines w:val="0"/>
              <w:pageBreakBefore w:val="0"/>
              <w:kinsoku/>
              <w:wordWrap/>
              <w:topLinePunct/>
              <w:bidi w:val="0"/>
              <w:adjustRightInd/>
              <w:snapToGrid/>
              <w:spacing w:line="360" w:lineRule="auto"/>
              <w:ind w:firstLine="480" w:firstLineChars="200"/>
              <w:rPr>
                <w:rFonts w:hint="default" w:ascii="Times New Roman" w:hAnsi="Times New Roman" w:eastAsia="宋体" w:cs="Times New Roman"/>
                <w:snapToGrid w:val="0"/>
                <w:color w:val="auto"/>
                <w:kern w:val="0"/>
                <w:sz w:val="24"/>
                <w:szCs w:val="24"/>
                <w:lang w:eastAsia="zh-CN"/>
              </w:rPr>
            </w:pPr>
            <w:r>
              <w:rPr>
                <w:rFonts w:hint="default" w:ascii="Times New Roman" w:hAnsi="Times New Roman" w:eastAsia="宋体" w:cs="Times New Roman"/>
                <w:snapToGrid w:val="0"/>
                <w:color w:val="auto"/>
                <w:kern w:val="0"/>
                <w:sz w:val="24"/>
                <w:szCs w:val="24"/>
                <w:lang w:eastAsia="zh-CN"/>
              </w:rPr>
              <w:t>进行墙面装饰，如刮腻子、粉刷涂料、贴墙纸墙布；开展地面装饰，铺设地砖、木地板等；安装门窗；进行油漆作业等。有机溶剂挥发形成废气；切割木材等产生噪声；工具和地面清洗产生少量废水；废弃木材、</w:t>
            </w:r>
            <w:r>
              <w:rPr>
                <w:rFonts w:hint="default" w:ascii="Times New Roman" w:hAnsi="Times New Roman" w:eastAsia="宋体" w:cs="Times New Roman"/>
                <w:snapToGrid w:val="0"/>
                <w:color w:val="auto"/>
                <w:kern w:val="0"/>
                <w:sz w:val="24"/>
                <w:szCs w:val="24"/>
                <w:lang w:val="en-US" w:eastAsia="zh-CN"/>
              </w:rPr>
              <w:t>边角料</w:t>
            </w:r>
            <w:r>
              <w:rPr>
                <w:rFonts w:hint="default" w:ascii="Times New Roman" w:hAnsi="Times New Roman" w:eastAsia="宋体" w:cs="Times New Roman"/>
                <w:snapToGrid w:val="0"/>
                <w:color w:val="auto"/>
                <w:kern w:val="0"/>
                <w:sz w:val="24"/>
                <w:szCs w:val="24"/>
                <w:lang w:eastAsia="zh-CN"/>
              </w:rPr>
              <w:t>等固废。</w:t>
            </w:r>
          </w:p>
          <w:p w14:paraId="5C185C9B">
            <w:pPr>
              <w:keepNext w:val="0"/>
              <w:keepLines w:val="0"/>
              <w:pageBreakBefore w:val="0"/>
              <w:kinsoku/>
              <w:wordWrap/>
              <w:topLinePunct/>
              <w:bidi w:val="0"/>
              <w:adjustRightInd/>
              <w:snapToGrid/>
              <w:spacing w:line="360" w:lineRule="auto"/>
              <w:ind w:firstLine="480" w:firstLineChars="200"/>
              <w:rPr>
                <w:rFonts w:hint="default" w:ascii="Times New Roman" w:hAnsi="Times New Roman" w:eastAsia="宋体" w:cs="Times New Roman"/>
                <w:snapToGrid w:val="0"/>
                <w:color w:val="auto"/>
                <w:kern w:val="0"/>
                <w:sz w:val="24"/>
                <w:szCs w:val="24"/>
                <w:lang w:eastAsia="zh-CN"/>
              </w:rPr>
            </w:pPr>
            <w:r>
              <w:rPr>
                <w:rFonts w:hint="default" w:ascii="Times New Roman" w:hAnsi="Times New Roman" w:eastAsia="宋体" w:cs="Times New Roman"/>
                <w:snapToGrid w:val="0"/>
                <w:color w:val="auto"/>
                <w:kern w:val="0"/>
                <w:sz w:val="24"/>
                <w:szCs w:val="24"/>
                <w:lang w:eastAsia="zh-CN"/>
              </w:rPr>
              <w:t>（</w:t>
            </w:r>
            <w:r>
              <w:rPr>
                <w:rFonts w:hint="default" w:ascii="Times New Roman" w:hAnsi="Times New Roman" w:eastAsia="宋体" w:cs="Times New Roman"/>
                <w:snapToGrid w:val="0"/>
                <w:color w:val="auto"/>
                <w:kern w:val="0"/>
                <w:sz w:val="24"/>
                <w:szCs w:val="24"/>
                <w:lang w:val="en-US" w:eastAsia="zh-CN"/>
              </w:rPr>
              <w:t>4</w:t>
            </w:r>
            <w:r>
              <w:rPr>
                <w:rFonts w:hint="default" w:ascii="Times New Roman" w:hAnsi="Times New Roman" w:eastAsia="宋体" w:cs="Times New Roman"/>
                <w:snapToGrid w:val="0"/>
                <w:color w:val="auto"/>
                <w:kern w:val="0"/>
                <w:sz w:val="24"/>
                <w:szCs w:val="24"/>
                <w:lang w:eastAsia="zh-CN"/>
              </w:rPr>
              <w:t>）设备安装</w:t>
            </w:r>
          </w:p>
          <w:p w14:paraId="5F9F0D24">
            <w:pPr>
              <w:keepNext w:val="0"/>
              <w:keepLines w:val="0"/>
              <w:pageBreakBefore w:val="0"/>
              <w:kinsoku/>
              <w:wordWrap/>
              <w:topLinePunct/>
              <w:bidi w:val="0"/>
              <w:adjustRightInd/>
              <w:snapToGrid/>
              <w:spacing w:line="360" w:lineRule="auto"/>
              <w:ind w:firstLine="480" w:firstLineChars="200"/>
              <w:rPr>
                <w:rFonts w:hint="default" w:ascii="Times New Roman" w:hAnsi="Times New Roman" w:eastAsia="宋体" w:cs="Times New Roman"/>
                <w:snapToGrid w:val="0"/>
                <w:color w:val="auto"/>
                <w:kern w:val="0"/>
                <w:sz w:val="24"/>
                <w:szCs w:val="24"/>
                <w:lang w:eastAsia="zh-CN"/>
              </w:rPr>
            </w:pPr>
            <w:r>
              <w:rPr>
                <w:rFonts w:hint="default" w:ascii="Times New Roman" w:hAnsi="Times New Roman" w:eastAsia="宋体" w:cs="Times New Roman"/>
                <w:snapToGrid w:val="0"/>
                <w:color w:val="auto"/>
                <w:kern w:val="0"/>
                <w:sz w:val="24"/>
                <w:szCs w:val="24"/>
                <w:lang w:eastAsia="zh-CN"/>
              </w:rPr>
              <w:t>搬运设备至安装位置，进行就位、找平、找正；连接设备管道、线路；对设备进行调试运行，检查性能参数。设备搬运安装产生噪声；设备调试可能产生含油废水；设备包装废弃物、废弃零部件形成固废。</w:t>
            </w:r>
          </w:p>
          <w:p w14:paraId="5A6320B0">
            <w:pPr>
              <w:keepNext w:val="0"/>
              <w:keepLines w:val="0"/>
              <w:pageBreakBefore w:val="0"/>
              <w:kinsoku/>
              <w:wordWrap/>
              <w:topLinePunct/>
              <w:bidi w:val="0"/>
              <w:adjustRightInd/>
              <w:snapToGrid/>
              <w:spacing w:line="360" w:lineRule="auto"/>
              <w:ind w:firstLine="480" w:firstLineChars="200"/>
              <w:rPr>
                <w:rFonts w:hint="default" w:ascii="Times New Roman" w:hAnsi="Times New Roman" w:eastAsia="宋体" w:cs="Times New Roman"/>
                <w:snapToGrid w:val="0"/>
                <w:color w:val="auto"/>
                <w:kern w:val="0"/>
                <w:sz w:val="24"/>
                <w:szCs w:val="24"/>
                <w:lang w:eastAsia="zh-CN"/>
              </w:rPr>
            </w:pPr>
            <w:r>
              <w:rPr>
                <w:rFonts w:hint="default" w:ascii="Times New Roman" w:hAnsi="Times New Roman" w:eastAsia="宋体" w:cs="Times New Roman"/>
                <w:snapToGrid w:val="0"/>
                <w:color w:val="auto"/>
                <w:kern w:val="0"/>
                <w:sz w:val="24"/>
                <w:szCs w:val="24"/>
                <w:lang w:eastAsia="zh-CN"/>
              </w:rPr>
              <w:t>（</w:t>
            </w:r>
            <w:r>
              <w:rPr>
                <w:rFonts w:hint="default" w:ascii="Times New Roman" w:hAnsi="Times New Roman" w:eastAsia="宋体" w:cs="Times New Roman"/>
                <w:snapToGrid w:val="0"/>
                <w:color w:val="auto"/>
                <w:kern w:val="0"/>
                <w:sz w:val="24"/>
                <w:szCs w:val="24"/>
                <w:lang w:val="en-US" w:eastAsia="zh-CN"/>
              </w:rPr>
              <w:t>5</w:t>
            </w:r>
            <w:r>
              <w:rPr>
                <w:rFonts w:hint="default" w:ascii="Times New Roman" w:hAnsi="Times New Roman" w:eastAsia="宋体" w:cs="Times New Roman"/>
                <w:snapToGrid w:val="0"/>
                <w:color w:val="auto"/>
                <w:kern w:val="0"/>
                <w:sz w:val="24"/>
                <w:szCs w:val="24"/>
                <w:lang w:eastAsia="zh-CN"/>
              </w:rPr>
              <w:t>）工程验收</w:t>
            </w:r>
          </w:p>
          <w:p w14:paraId="6E5ABB30">
            <w:pPr>
              <w:keepNext w:val="0"/>
              <w:keepLines w:val="0"/>
              <w:pageBreakBefore w:val="0"/>
              <w:kinsoku/>
              <w:wordWrap/>
              <w:topLinePunct/>
              <w:bidi w:val="0"/>
              <w:adjustRightInd/>
              <w:snapToGrid/>
              <w:spacing w:line="360" w:lineRule="auto"/>
              <w:ind w:firstLine="480" w:firstLineChars="200"/>
              <w:rPr>
                <w:rFonts w:hint="default" w:ascii="Times New Roman" w:hAnsi="Times New Roman" w:eastAsia="宋体" w:cs="Times New Roman"/>
                <w:snapToGrid w:val="0"/>
                <w:color w:val="auto"/>
                <w:kern w:val="0"/>
                <w:sz w:val="24"/>
                <w:szCs w:val="24"/>
                <w:lang w:eastAsia="zh-CN"/>
              </w:rPr>
            </w:pPr>
            <w:r>
              <w:rPr>
                <w:rFonts w:hint="default" w:ascii="Times New Roman" w:hAnsi="Times New Roman" w:eastAsia="宋体" w:cs="Times New Roman"/>
                <w:snapToGrid w:val="0"/>
                <w:color w:val="auto"/>
                <w:kern w:val="0"/>
                <w:sz w:val="24"/>
                <w:szCs w:val="24"/>
                <w:lang w:eastAsia="zh-CN"/>
              </w:rPr>
              <w:t>施工方先自检，整改问题；然后建设方组织设计、施工、监理等单位初验；最后相关部门进行专项验收，包括环保、消防等，合格后交付使用。此阶段基本不产生新污染物，主要是对前期工程污染防治措施落实情况进行检查。</w:t>
            </w:r>
          </w:p>
          <w:p w14:paraId="7BA93798">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bCs w:val="0"/>
                <w:color w:val="auto"/>
                <w:sz w:val="24"/>
                <w:szCs w:val="24"/>
                <w:lang w:val="en-US" w:eastAsia="zh-CN"/>
              </w:rPr>
              <w:t>2.运营期工艺流程</w:t>
            </w:r>
          </w:p>
          <w:p w14:paraId="368A7445">
            <w:pPr>
              <w:keepNext w:val="0"/>
              <w:keepLines w:val="0"/>
              <w:pageBreakBefore w:val="0"/>
              <w:wordWrap/>
              <w:bidi w:val="0"/>
              <w:spacing w:line="360" w:lineRule="auto"/>
              <w:jc w:val="both"/>
              <w:rPr>
                <w:rFonts w:hint="default" w:ascii="Times New Roman" w:hAnsi="Times New Roman" w:cs="Times New Roman"/>
                <w:b/>
                <w:bCs w:val="0"/>
                <w:color w:val="auto"/>
                <w:sz w:val="24"/>
                <w:szCs w:val="24"/>
                <w:lang w:val="en-US" w:eastAsia="zh-CN"/>
              </w:rPr>
            </w:pPr>
            <w:r>
              <w:rPr>
                <w:rFonts w:hint="default" w:ascii="Times New Roman" w:hAnsi="Times New Roman" w:cs="Times New Roman"/>
                <w:b/>
                <w:bCs w:val="0"/>
                <w:color w:val="auto"/>
                <w:sz w:val="24"/>
                <w:szCs w:val="24"/>
                <w:lang w:val="en-US" w:eastAsia="zh-CN"/>
              </w:rPr>
              <w:t>2.1煤气发电工艺流程</w:t>
            </w:r>
          </w:p>
          <w:p w14:paraId="44690306">
            <w:pPr>
              <w:keepNext w:val="0"/>
              <w:keepLines w:val="0"/>
              <w:pageBreakBefore w:val="0"/>
              <w:wordWrap/>
              <w:bidi w:val="0"/>
              <w:spacing w:line="360" w:lineRule="auto"/>
              <w:ind w:firstLine="480" w:firstLineChars="200"/>
              <w:rPr>
                <w:rFonts w:hint="default" w:ascii="Times New Roman" w:hAnsi="Times New Roman" w:cs="Times New Roman"/>
                <w:color w:val="auto"/>
                <w:sz w:val="24"/>
                <w:szCs w:val="24"/>
                <w:lang w:val="en-US" w:eastAsia="zh-CN"/>
              </w:rPr>
            </w:pPr>
            <w:r>
              <w:rPr>
                <w:rFonts w:hint="default" w:ascii="Times New Roman" w:hAnsi="Times New Roman" w:eastAsia="宋体" w:cs="Times New Roman"/>
                <w:color w:val="auto"/>
                <w:sz w:val="24"/>
                <w:szCs w:val="24"/>
              </w:rPr>
              <w:t>本项目运营期</w:t>
            </w:r>
            <w:r>
              <w:rPr>
                <w:rFonts w:hint="default" w:ascii="Times New Roman" w:hAnsi="Times New Roman" w:cs="Times New Roman"/>
                <w:color w:val="auto"/>
                <w:sz w:val="24"/>
                <w:szCs w:val="24"/>
                <w:lang w:val="en-US" w:eastAsia="zh-CN"/>
              </w:rPr>
              <w:t>工艺</w:t>
            </w:r>
            <w:r>
              <w:rPr>
                <w:rFonts w:hint="default" w:ascii="Times New Roman" w:hAnsi="Times New Roman" w:eastAsia="宋体" w:cs="Times New Roman"/>
                <w:color w:val="auto"/>
                <w:sz w:val="24"/>
                <w:szCs w:val="24"/>
              </w:rPr>
              <w:t>流程及产污环节见图</w:t>
            </w:r>
            <w:r>
              <w:rPr>
                <w:rFonts w:hint="default" w:ascii="Times New Roman" w:hAnsi="Times New Roman" w:eastAsia="宋体" w:cs="Times New Roman"/>
                <w:color w:val="auto"/>
                <w:sz w:val="24"/>
                <w:szCs w:val="24"/>
                <w:lang w:val="en-US" w:eastAsia="zh-CN"/>
              </w:rPr>
              <w:t>2-3</w:t>
            </w:r>
            <w:r>
              <w:rPr>
                <w:rFonts w:hint="default" w:ascii="Times New Roman" w:hAnsi="Times New Roman" w:eastAsia="宋体" w:cs="Times New Roman"/>
                <w:color w:val="auto"/>
                <w:sz w:val="24"/>
                <w:szCs w:val="24"/>
              </w:rPr>
              <w:t>。</w:t>
            </w:r>
          </w:p>
          <w:p w14:paraId="4086850F">
            <w:pPr>
              <w:keepNext w:val="0"/>
              <w:keepLines w:val="0"/>
              <w:pageBreakBefore w:val="0"/>
              <w:wordWrap/>
              <w:bidi w:val="0"/>
              <w:spacing w:line="360" w:lineRule="auto"/>
              <w:jc w:val="center"/>
              <w:rPr>
                <w:rFonts w:hint="default" w:ascii="Times New Roman" w:hAnsi="Times New Roman" w:eastAsia="宋体" w:cs="Times New Roman"/>
                <w:b/>
                <w:bCs w:val="0"/>
                <w:color w:val="auto"/>
                <w:sz w:val="24"/>
                <w:szCs w:val="24"/>
                <w:lang w:eastAsia="zh-CN"/>
              </w:rPr>
            </w:pPr>
            <w:r>
              <w:rPr>
                <w:rFonts w:hint="default" w:ascii="Times New Roman" w:hAnsi="Times New Roman" w:eastAsia="宋体" w:cs="Times New Roman"/>
                <w:b/>
                <w:bCs w:val="0"/>
                <w:color w:val="auto"/>
                <w:sz w:val="24"/>
                <w:szCs w:val="24"/>
                <w:lang w:eastAsia="zh-CN"/>
              </w:rPr>
              <w:drawing>
                <wp:inline distT="0" distB="0" distL="114300" distR="114300">
                  <wp:extent cx="5220335" cy="5260975"/>
                  <wp:effectExtent l="0" t="0" r="0" b="0"/>
                  <wp:docPr id="1" name="ECB019B1-382A-4266-B25C-5B523AA43C14-2" descr="C:/Users/Administrator/AppData/Local/Temp/wps.QJKqYi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B019B1-382A-4266-B25C-5B523AA43C14-2" descr="C:/Users/Administrator/AppData/Local/Temp/wps.QJKqYiwps"/>
                          <pic:cNvPicPr>
                            <a:picLocks noChangeAspect="1"/>
                          </pic:cNvPicPr>
                        </pic:nvPicPr>
                        <pic:blipFill>
                          <a:blip r:embed="rId20"/>
                          <a:stretch>
                            <a:fillRect/>
                          </a:stretch>
                        </pic:blipFill>
                        <pic:spPr>
                          <a:xfrm>
                            <a:off x="0" y="0"/>
                            <a:ext cx="5220335" cy="5260975"/>
                          </a:xfrm>
                          <a:prstGeom prst="rect">
                            <a:avLst/>
                          </a:prstGeom>
                        </pic:spPr>
                      </pic:pic>
                    </a:graphicData>
                  </a:graphic>
                </wp:inline>
              </w:drawing>
            </w:r>
          </w:p>
          <w:p w14:paraId="3B430083">
            <w:pPr>
              <w:keepNext w:val="0"/>
              <w:keepLines w:val="0"/>
              <w:pageBreakBefore w:val="0"/>
              <w:wordWrap/>
              <w:bidi w:val="0"/>
              <w:spacing w:line="360" w:lineRule="auto"/>
              <w:jc w:val="left"/>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注：营运期机械设备运行时均会产生噪声</w:t>
            </w:r>
          </w:p>
          <w:p w14:paraId="0B7700AC">
            <w:pPr>
              <w:keepNext w:val="0"/>
              <w:keepLines w:val="0"/>
              <w:pageBreakBefore w:val="0"/>
              <w:wordWrap/>
              <w:bidi w:val="0"/>
              <w:spacing w:line="360" w:lineRule="auto"/>
              <w:jc w:val="center"/>
              <w:rPr>
                <w:rFonts w:hint="default" w:ascii="Times New Roman" w:hAnsi="Times New Roman" w:eastAsia="宋体" w:cs="Times New Roman"/>
                <w:color w:val="auto"/>
                <w:sz w:val="21"/>
                <w:szCs w:val="21"/>
              </w:rPr>
            </w:pPr>
            <w:r>
              <w:rPr>
                <w:rFonts w:hint="default" w:ascii="Times New Roman" w:hAnsi="Times New Roman" w:eastAsia="宋体" w:cs="Times New Roman"/>
                <w:b/>
                <w:bCs w:val="0"/>
                <w:color w:val="auto"/>
                <w:sz w:val="21"/>
                <w:szCs w:val="21"/>
              </w:rPr>
              <w:t>图</w:t>
            </w:r>
            <w:r>
              <w:rPr>
                <w:rFonts w:hint="default" w:ascii="Times New Roman" w:hAnsi="Times New Roman" w:eastAsia="宋体" w:cs="Times New Roman"/>
                <w:b/>
                <w:bCs w:val="0"/>
                <w:color w:val="auto"/>
                <w:sz w:val="21"/>
                <w:szCs w:val="21"/>
                <w:lang w:val="en-US" w:eastAsia="zh-CN"/>
              </w:rPr>
              <w:t>2-3</w:t>
            </w:r>
            <w:r>
              <w:rPr>
                <w:rFonts w:hint="default" w:ascii="Times New Roman" w:hAnsi="Times New Roman" w:eastAsia="宋体" w:cs="Times New Roman"/>
                <w:b/>
                <w:bCs w:val="0"/>
                <w:color w:val="auto"/>
                <w:sz w:val="21"/>
                <w:szCs w:val="21"/>
              </w:rPr>
              <w:t>运</w:t>
            </w:r>
            <w:r>
              <w:rPr>
                <w:rFonts w:hint="default" w:ascii="Times New Roman" w:hAnsi="Times New Roman" w:eastAsia="宋体" w:cs="Times New Roman"/>
                <w:b/>
                <w:color w:val="auto"/>
                <w:sz w:val="21"/>
                <w:szCs w:val="21"/>
              </w:rPr>
              <w:t>营期工艺流程及产污节点图</w:t>
            </w:r>
          </w:p>
          <w:p w14:paraId="425FBFD1">
            <w:pPr>
              <w:pStyle w:val="10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default" w:ascii="Times New Roman" w:hAnsi="Times New Roman" w:eastAsia="宋体" w:cs="Times New Roman"/>
                <w:snapToGrid w:val="0"/>
                <w:color w:val="auto"/>
                <w:kern w:val="0"/>
                <w:sz w:val="24"/>
                <w:szCs w:val="24"/>
                <w:lang w:val="en-US" w:eastAsia="zh-CN" w:bidi="ar-SA"/>
              </w:rPr>
            </w:pPr>
            <w:r>
              <w:rPr>
                <w:rFonts w:hint="default" w:ascii="Times New Roman" w:hAnsi="Times New Roman" w:eastAsia="宋体" w:cs="Times New Roman"/>
                <w:snapToGrid w:val="0"/>
                <w:color w:val="auto"/>
                <w:kern w:val="0"/>
                <w:sz w:val="24"/>
                <w:szCs w:val="24"/>
                <w:lang w:val="en-US" w:eastAsia="zh-CN" w:bidi="ar-SA"/>
              </w:rPr>
              <w:t>本项目生产单元主要包括锅炉-汽轮机-发电机配套发电，发电工艺流程为：处理后的水注入锅炉，燃烧系统将管道输送的</w:t>
            </w:r>
            <w:r>
              <w:rPr>
                <w:rFonts w:hint="default" w:ascii="Times New Roman" w:hAnsi="Times New Roman" w:cs="Times New Roman"/>
                <w:snapToGrid w:val="0"/>
                <w:color w:val="auto"/>
                <w:kern w:val="0"/>
                <w:sz w:val="24"/>
                <w:szCs w:val="24"/>
                <w:lang w:val="en-US" w:eastAsia="zh-CN" w:bidi="ar-SA"/>
              </w:rPr>
              <w:t>煤气</w:t>
            </w:r>
            <w:r>
              <w:rPr>
                <w:rFonts w:hint="default" w:ascii="Times New Roman" w:hAnsi="Times New Roman" w:eastAsia="宋体" w:cs="Times New Roman"/>
                <w:snapToGrid w:val="0"/>
                <w:color w:val="auto"/>
                <w:kern w:val="0"/>
                <w:sz w:val="24"/>
                <w:szCs w:val="24"/>
                <w:lang w:val="en-US" w:eastAsia="zh-CN" w:bidi="ar-SA"/>
              </w:rPr>
              <w:t>通过锅炉燃烧器送入炉膛进行燃烧，锅炉产生的蒸汽膨胀做功，其热能转化为汽轮机机械能；汽轮机带动发电机，将机械能转化为电能，再经配电装置由输电线路送出。</w:t>
            </w:r>
          </w:p>
          <w:p w14:paraId="188AB34D">
            <w:pPr>
              <w:keepNext w:val="0"/>
              <w:keepLines w:val="0"/>
              <w:pageBreakBefore w:val="0"/>
              <w:wordWrap/>
              <w:bidi w:val="0"/>
              <w:spacing w:line="360" w:lineRule="auto"/>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（1）锅炉燃烧系统</w:t>
            </w:r>
          </w:p>
          <w:p w14:paraId="108F58D9">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①供水系统</w:t>
            </w:r>
          </w:p>
          <w:p w14:paraId="35D65218">
            <w:pPr>
              <w:keepNext w:val="0"/>
              <w:keepLines w:val="0"/>
              <w:pageBreakBefore w:val="0"/>
              <w:wordWrap/>
              <w:bidi w:val="0"/>
              <w:spacing w:line="360" w:lineRule="auto"/>
              <w:ind w:firstLine="480" w:firstLineChars="200"/>
              <w:jc w:val="left"/>
              <w:rPr>
                <w:rFonts w:hint="default" w:ascii="Times New Roman" w:hAnsi="Times New Roman" w:eastAsia="宋体"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本项目</w:t>
            </w:r>
            <w:r>
              <w:rPr>
                <w:rFonts w:hint="default" w:ascii="Times New Roman" w:hAnsi="Times New Roman" w:eastAsia="宋体" w:cs="Times New Roman"/>
                <w:b w:val="0"/>
                <w:bCs w:val="0"/>
                <w:color w:val="auto"/>
                <w:sz w:val="24"/>
                <w:szCs w:val="24"/>
                <w:lang w:val="en-US" w:eastAsia="zh-CN"/>
              </w:rPr>
              <w:t>锅炉补给水处理系统设计最大出水能力为24t/h（2x12t/h），正常情况下</w:t>
            </w:r>
            <w:r>
              <w:rPr>
                <w:rFonts w:hint="default" w:ascii="Times New Roman" w:hAnsi="Times New Roman"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系统出力为12t/h，</w:t>
            </w:r>
            <w:r>
              <w:rPr>
                <w:rFonts w:hint="default" w:ascii="Times New Roman" w:hAnsi="Times New Roman" w:cs="Times New Roman"/>
                <w:b w:val="0"/>
                <w:bCs w:val="0"/>
                <w:color w:val="auto"/>
                <w:sz w:val="24"/>
                <w:szCs w:val="24"/>
                <w:lang w:val="en-US" w:eastAsia="zh-CN"/>
              </w:rPr>
              <w:t>除盐工艺</w:t>
            </w:r>
            <w:r>
              <w:rPr>
                <w:rFonts w:hint="default" w:ascii="Times New Roman" w:hAnsi="Times New Roman" w:eastAsia="宋体" w:cs="Times New Roman"/>
                <w:b w:val="0"/>
                <w:bCs w:val="0"/>
                <w:color w:val="auto"/>
                <w:sz w:val="24"/>
                <w:szCs w:val="24"/>
                <w:lang w:val="en-US" w:eastAsia="zh-CN"/>
              </w:rPr>
              <w:t>采用“超滤+两级反渗透+EDI电除盐”，可满足锅炉补给水水质要求，该工艺流程为</w:t>
            </w:r>
            <w:r>
              <w:rPr>
                <w:rFonts w:hint="default" w:ascii="Times New Roman" w:hAnsi="Times New Roman" w:cs="Times New Roman"/>
                <w:b w:val="0"/>
                <w:bCs w:val="0"/>
                <w:color w:val="auto"/>
                <w:sz w:val="24"/>
                <w:szCs w:val="24"/>
                <w:lang w:val="en-US" w:eastAsia="zh-CN"/>
              </w:rPr>
              <w:t>，自来水</w:t>
            </w:r>
            <w:r>
              <w:rPr>
                <w:rFonts w:hint="default" w:ascii="Times New Roman" w:hAnsi="Times New Roman" w:eastAsia="宋体" w:cs="Times New Roman"/>
                <w:b w:val="0"/>
                <w:bCs w:val="0"/>
                <w:color w:val="auto"/>
                <w:sz w:val="24"/>
                <w:szCs w:val="24"/>
                <w:lang w:val="en-US" w:eastAsia="zh-CN"/>
              </w:rPr>
              <w:t>→原水加热器→自清洗过滤器→超滤装置→超滤产水箱→一级反渗透增压泵→一级反渗透保安过滤器→一级反渗透高压泵→一级反渗透装置→一级反渗透产水箱→二级反渗透增压水泵→二级反渗透保安过滤器→二级反渗透高压泵→二级反渗透装置→反渗透产水箱→EDI增压泵→EDI保安过滤器→EDI装置→除盐水箱→除盐水泵→用水点。</w:t>
            </w:r>
          </w:p>
          <w:p w14:paraId="727E8508">
            <w:pPr>
              <w:keepNext w:val="0"/>
              <w:keepLines w:val="0"/>
              <w:pageBreakBefore w:val="0"/>
              <w:wordWrap/>
              <w:bidi w:val="0"/>
              <w:spacing w:line="360" w:lineRule="auto"/>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产排污分析：</w:t>
            </w:r>
            <w:r>
              <w:rPr>
                <w:rFonts w:hint="default" w:ascii="Times New Roman" w:hAnsi="Times New Roman" w:cs="Times New Roman"/>
                <w:b w:val="0"/>
                <w:bCs w:val="0"/>
                <w:color w:val="auto"/>
                <w:sz w:val="24"/>
                <w:szCs w:val="24"/>
                <w:lang w:val="en-US" w:eastAsia="zh-CN"/>
              </w:rPr>
              <w:t>W1软水制备废水、S1废滤膜和设备运行噪声N。</w:t>
            </w:r>
          </w:p>
          <w:p w14:paraId="36E09E5C">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②燃料燃烧系统</w:t>
            </w:r>
          </w:p>
          <w:p w14:paraId="671D4FFB">
            <w:pPr>
              <w:keepNext w:val="0"/>
              <w:keepLines w:val="0"/>
              <w:pageBreakBefore w:val="0"/>
              <w:wordWrap/>
              <w:bidi w:val="0"/>
              <w:spacing w:line="360" w:lineRule="auto"/>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根据现有煤气管道布置情况，兰炭煤气从场地北侧的DN1600煤气母管接出，并送至锅炉各煤气燃烧器</w:t>
            </w:r>
            <w:r>
              <w:rPr>
                <w:rFonts w:hint="default" w:ascii="Times New Roman" w:hAnsi="Times New Roman" w:cs="Times New Roman"/>
                <w:b w:val="0"/>
                <w:bCs w:val="0"/>
                <w:color w:val="auto"/>
                <w:sz w:val="24"/>
                <w:szCs w:val="24"/>
                <w:lang w:val="en-US" w:eastAsia="zh-CN"/>
              </w:rPr>
              <w:t>，管道架设方式为钢结构独立支架架空。</w:t>
            </w:r>
            <w:r>
              <w:rPr>
                <w:rFonts w:hint="default" w:ascii="Times New Roman" w:hAnsi="Times New Roman" w:eastAsia="宋体" w:cs="Times New Roman"/>
                <w:b w:val="0"/>
                <w:bCs w:val="0"/>
                <w:color w:val="auto"/>
                <w:sz w:val="24"/>
                <w:szCs w:val="24"/>
                <w:lang w:val="en-US" w:eastAsia="zh-CN"/>
              </w:rPr>
              <w:t>点火燃料为兰炭煤气，点火所用燃料与上述燃料成分一致。点火系统自动控制，每个燃烧器均配有火焰检测装置。煤气和热风分别送进燃烧器喷入炉膛，在烧嘴口混合燃烧。燃烧生成的高温烟气通过炉膛水冷壁、过热器、再热器、省煤器、空气预热器等各级受热面放热冷却后进入炉后烟气系统。</w:t>
            </w:r>
          </w:p>
          <w:p w14:paraId="79DCD6CE">
            <w:pPr>
              <w:keepNext w:val="0"/>
              <w:keepLines w:val="0"/>
              <w:pageBreakBefore w:val="0"/>
              <w:wordWrap/>
              <w:bidi w:val="0"/>
              <w:spacing w:line="360" w:lineRule="auto"/>
              <w:ind w:firstLine="480" w:firstLineChars="200"/>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产排污分析：</w:t>
            </w:r>
            <w:r>
              <w:rPr>
                <w:rFonts w:hint="default" w:ascii="Times New Roman" w:hAnsi="Times New Roman" w:cs="Times New Roman"/>
                <w:b w:val="0"/>
                <w:bCs w:val="0"/>
                <w:color w:val="auto"/>
                <w:sz w:val="24"/>
                <w:szCs w:val="24"/>
                <w:lang w:val="en-US" w:eastAsia="zh-CN"/>
              </w:rPr>
              <w:t>煤气燃烧废气G1和设备运行噪声N，锅炉正常运行过程会产生W2定期排污废水，排入定排坑进行自然冷却。</w:t>
            </w:r>
          </w:p>
          <w:p w14:paraId="0033783C">
            <w:pPr>
              <w:spacing w:before="7" w:line="346" w:lineRule="auto"/>
              <w:ind w:left="25" w:right="238" w:firstLine="574"/>
              <w:jc w:val="both"/>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1）烟气脱硝</w:t>
            </w:r>
          </w:p>
          <w:p w14:paraId="4C1D17F9">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本项目烟气脱硝装置选用尿素作为脱硝还原剂，并采用超低氮燃烧+SCR脱硝工艺。</w:t>
            </w:r>
            <w:r>
              <w:rPr>
                <w:rFonts w:hint="default" w:ascii="Times New Roman" w:hAnsi="Times New Roman" w:eastAsia="宋体" w:cs="Times New Roman"/>
                <w:b w:val="0"/>
                <w:bCs w:val="0"/>
                <w:color w:val="auto"/>
                <w:sz w:val="24"/>
                <w:szCs w:val="24"/>
                <w:lang w:val="en-US" w:eastAsia="zh-CN"/>
              </w:rPr>
              <w:t>锅炉配置双旋流低氮燃烧器，燃烧器为左右墙布置，每侧3只煤气燃烧器</w:t>
            </w:r>
            <w:r>
              <w:rPr>
                <w:rFonts w:hint="default" w:ascii="Times New Roman" w:hAnsi="Times New Roman" w:cs="Times New Roman"/>
                <w:b w:val="0"/>
                <w:bCs w:val="0"/>
                <w:color w:val="auto"/>
                <w:sz w:val="24"/>
                <w:szCs w:val="24"/>
                <w:lang w:val="en-US" w:eastAsia="zh-CN"/>
              </w:rPr>
              <w:t>，</w:t>
            </w:r>
            <w:r>
              <w:rPr>
                <w:rFonts w:hint="default" w:ascii="Times New Roman" w:hAnsi="Times New Roman" w:eastAsia="宋体" w:cs="Times New Roman"/>
                <w:b w:val="0"/>
                <w:bCs w:val="0"/>
                <w:color w:val="auto"/>
                <w:sz w:val="24"/>
                <w:szCs w:val="24"/>
                <w:lang w:val="en-US" w:eastAsia="zh-CN"/>
              </w:rPr>
              <w:t>可单独使用任何一只燃烧器，且燃烧稳定。煤气燃烧器采用层控模式，每层煤气主管上设置一只电动调节阀，每只燃烧器进口的煤气管道上设置有快切阀，锅炉煤气的投入量由对应的调节阀进行自动调节，该调节阀调节精度满足锅炉自动燃烧系统的配置需求。</w:t>
            </w:r>
            <w:r>
              <w:rPr>
                <w:rFonts w:hint="default" w:ascii="Times New Roman" w:hAnsi="Times New Roman" w:cs="Times New Roman"/>
                <w:b w:val="0"/>
                <w:bCs w:val="0"/>
                <w:color w:val="auto"/>
                <w:sz w:val="24"/>
                <w:szCs w:val="24"/>
                <w:lang w:val="en-US" w:eastAsia="zh-CN"/>
              </w:rPr>
              <w:t>SCR工艺系统主要包括SCR反应器系统、尿素溶解储存系统、尿素输送热解系统和压缩空气吹扫系统，SCR反应器系统主要设备有SCR反应器、烟道、催化剂、吹灰器等。设1台尿素热解炉尿素热解所需要的热量采用热风提供，再经过电加热器加热至所需温度。</w:t>
            </w:r>
          </w:p>
          <w:p w14:paraId="5897246E">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产排污分析：</w:t>
            </w:r>
            <w:r>
              <w:rPr>
                <w:rFonts w:hint="default" w:ascii="Times New Roman" w:hAnsi="Times New Roman" w:cs="Times New Roman"/>
                <w:b w:val="0"/>
                <w:bCs w:val="0"/>
                <w:color w:val="auto"/>
                <w:sz w:val="24"/>
                <w:szCs w:val="24"/>
                <w:lang w:val="en-US" w:eastAsia="zh-CN"/>
              </w:rPr>
              <w:t>G2氨逃逸废气、S2废催化剂和设备运行噪声N。</w:t>
            </w:r>
          </w:p>
          <w:p w14:paraId="41E0181C">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2）烟气湿法脱硫，除尘</w:t>
            </w:r>
          </w:p>
          <w:p w14:paraId="660547AD">
            <w:pPr>
              <w:spacing w:before="7" w:line="346" w:lineRule="auto"/>
              <w:ind w:left="25" w:right="238" w:firstLine="574"/>
              <w:jc w:val="both"/>
              <w:rPr>
                <w:rFonts w:hint="default" w:ascii="Times New Roman" w:hAnsi="Times New Roman" w:eastAsia="宋体" w:cs="Times New Roman"/>
                <w:color w:val="auto"/>
                <w:spacing w:val="4"/>
                <w:sz w:val="28"/>
                <w:szCs w:val="28"/>
                <w:lang w:val="en-US" w:eastAsia="zh-CN"/>
              </w:rPr>
            </w:pPr>
            <w:r>
              <w:rPr>
                <w:rFonts w:hint="default" w:ascii="Times New Roman" w:hAnsi="Times New Roman" w:eastAsia="宋体" w:cs="Times New Roman"/>
                <w:b w:val="0"/>
                <w:bCs w:val="0"/>
                <w:color w:val="auto"/>
                <w:sz w:val="24"/>
                <w:szCs w:val="24"/>
                <w:lang w:val="en-US" w:eastAsia="zh-CN"/>
              </w:rPr>
              <w:t>本项目烟气脱硫</w:t>
            </w:r>
            <w:r>
              <w:rPr>
                <w:rFonts w:hint="default" w:ascii="Times New Roman" w:hAnsi="Times New Roman" w:cs="Times New Roman"/>
                <w:b w:val="0"/>
                <w:bCs w:val="0"/>
                <w:color w:val="auto"/>
                <w:sz w:val="24"/>
                <w:szCs w:val="24"/>
                <w:lang w:val="en-US" w:eastAsia="zh-CN"/>
              </w:rPr>
              <w:t>除尘</w:t>
            </w:r>
            <w:r>
              <w:rPr>
                <w:rFonts w:hint="default" w:ascii="Times New Roman" w:hAnsi="Times New Roman" w:eastAsia="宋体" w:cs="Times New Roman"/>
                <w:b w:val="0"/>
                <w:bCs w:val="0"/>
                <w:color w:val="auto"/>
                <w:sz w:val="24"/>
                <w:szCs w:val="24"/>
                <w:lang w:val="en-US" w:eastAsia="zh-CN"/>
              </w:rPr>
              <w:t>采用石灰（石）-石膏湿法脱硫+高效除雾器协同除尘+湿式电除尘器，</w:t>
            </w:r>
            <w:r>
              <w:rPr>
                <w:rFonts w:hint="default" w:ascii="Times New Roman" w:hAnsi="Times New Roman" w:cs="Times New Roman"/>
                <w:b w:val="0"/>
                <w:bCs w:val="0"/>
                <w:color w:val="auto"/>
                <w:sz w:val="24"/>
                <w:szCs w:val="24"/>
                <w:lang w:val="en-US" w:eastAsia="zh-CN"/>
              </w:rPr>
              <w:t>石灰石粉由业主方专用罐车运至石灰石粉仓附近，罐车所配软管与石灰石粉仓仓体进料管对接，由罐车产生的压缩空气将石灰石粉送到石灰粉仓内，完成卸料工作，然后通过星型给料机送入石灰浆液箱，制成浆液。石灰石浆液通过石灰石浆液泵输送到脱硫塔中，脱硫石膏由排出泵排出，进入石膏旋流器，浓缩后的浆液再经过真空皮带脱水机脱水，脱水的同时对石膏进行冲洗，送入石膏库暂存，石膏旋流器的上清液一部分返回脱硫塔，一部分进入滤液水箱，循环使用，无外排废水产生。</w:t>
            </w:r>
          </w:p>
          <w:p w14:paraId="75ABC6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spacing w:val="-1"/>
                <w:sz w:val="24"/>
                <w:szCs w:val="24"/>
                <w:lang w:val="en-US" w:eastAsia="zh-CN"/>
              </w:rPr>
            </w:pPr>
            <w:r>
              <w:rPr>
                <w:rFonts w:hint="default" w:ascii="Times New Roman" w:hAnsi="Times New Roman" w:eastAsia="宋体" w:cs="Times New Roman"/>
                <w:b w:val="0"/>
                <w:bCs w:val="0"/>
                <w:color w:val="auto"/>
                <w:sz w:val="24"/>
                <w:szCs w:val="24"/>
                <w:lang w:val="en-US" w:eastAsia="zh-CN"/>
              </w:rPr>
              <w:t>产排污分析：</w:t>
            </w:r>
            <w:r>
              <w:rPr>
                <w:rFonts w:hint="default" w:ascii="Times New Roman" w:hAnsi="Times New Roman" w:cs="Times New Roman"/>
                <w:b w:val="0"/>
                <w:bCs w:val="0"/>
                <w:color w:val="auto"/>
                <w:sz w:val="24"/>
                <w:szCs w:val="24"/>
                <w:lang w:val="en-US" w:eastAsia="zh-CN"/>
              </w:rPr>
              <w:t>G3石灰石粉投料粉尘、S3脱硫石膏和设备运行噪声N和</w:t>
            </w:r>
            <w:r>
              <w:rPr>
                <w:rFonts w:hint="default" w:ascii="Times New Roman" w:hAnsi="Times New Roman" w:eastAsia="宋体" w:cs="Times New Roman"/>
                <w:color w:val="auto"/>
                <w:spacing w:val="-1"/>
                <w:sz w:val="24"/>
                <w:szCs w:val="24"/>
                <w:lang w:val="en-US" w:eastAsia="zh-CN"/>
              </w:rPr>
              <w:t>定期排污水</w:t>
            </w:r>
            <w:r>
              <w:rPr>
                <w:rFonts w:hint="default" w:ascii="Times New Roman" w:hAnsi="Times New Roman" w:cs="Times New Roman"/>
                <w:color w:val="auto"/>
                <w:spacing w:val="-1"/>
                <w:sz w:val="24"/>
                <w:szCs w:val="24"/>
                <w:lang w:val="en-US" w:eastAsia="zh-CN"/>
              </w:rPr>
              <w:t>的</w:t>
            </w:r>
            <w:r>
              <w:rPr>
                <w:rFonts w:hint="default" w:ascii="Times New Roman" w:hAnsi="Times New Roman" w:eastAsia="宋体" w:cs="Times New Roman"/>
                <w:color w:val="auto"/>
                <w:spacing w:val="-1"/>
                <w:sz w:val="24"/>
                <w:szCs w:val="24"/>
                <w:lang w:val="en-US" w:eastAsia="zh-CN"/>
              </w:rPr>
              <w:t>脱硫废水</w:t>
            </w:r>
            <w:r>
              <w:rPr>
                <w:rFonts w:hint="default" w:ascii="Times New Roman" w:hAnsi="Times New Roman" w:cs="Times New Roman"/>
                <w:color w:val="auto"/>
                <w:spacing w:val="-1"/>
                <w:sz w:val="24"/>
                <w:szCs w:val="24"/>
                <w:lang w:val="en-US" w:eastAsia="zh-CN"/>
              </w:rPr>
              <w:t>W4。</w:t>
            </w:r>
          </w:p>
          <w:p w14:paraId="676BB87D">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（2）汽轮机</w:t>
            </w:r>
          </w:p>
          <w:p w14:paraId="619D2124">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1）主蒸汽、再热蒸汽系统</w:t>
            </w:r>
          </w:p>
          <w:p w14:paraId="7F9E34E2">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水在锅炉中被加热成蒸汽，经过热器进一步加热后变成过热的蒸汽，再通过主蒸汽管道进入汽轮机。主蒸汽、再热蒸汽系统按汽轮发电机组最大工况（</w:t>
            </w:r>
            <w:bookmarkStart w:id="10" w:name="OLE_LINK15"/>
            <w:bookmarkStart w:id="11" w:name="OLE_LINK16"/>
            <w:r>
              <w:rPr>
                <w:rFonts w:hint="default" w:ascii="Times New Roman" w:hAnsi="Times New Roman" w:cs="Times New Roman"/>
                <w:b w:val="0"/>
                <w:bCs w:val="0"/>
                <w:color w:val="auto"/>
                <w:sz w:val="24"/>
                <w:szCs w:val="24"/>
                <w:lang w:val="en-US" w:eastAsia="zh-CN"/>
              </w:rPr>
              <w:t>VWO工况</w:t>
            </w:r>
            <w:bookmarkEnd w:id="10"/>
            <w:bookmarkEnd w:id="11"/>
            <w:r>
              <w:rPr>
                <w:rFonts w:hint="default" w:ascii="Times New Roman" w:hAnsi="Times New Roman" w:cs="Times New Roman"/>
                <w:b w:val="0"/>
                <w:bCs w:val="0"/>
                <w:color w:val="auto"/>
                <w:sz w:val="24"/>
                <w:szCs w:val="24"/>
                <w:lang w:val="en-US" w:eastAsia="zh-CN"/>
              </w:rPr>
              <w:t>）蒸汽量设计，采用单元制系统。锅炉过热器出口集箱设有堵阀，以供锅炉水压试验时隔断用。</w:t>
            </w:r>
          </w:p>
          <w:p w14:paraId="65D3FA03">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主蒸汽管道从锅炉过热器出口集箱单侧出口以单管接出至汽机机头，再分成双管接至汽机主汽联合汽阀。再热热段蒸汽管道从锅炉再热器单管接至中压联合汽门；再热冷段蒸汽管道从汽机高压缸排汽口单管接至锅炉再热器入口联箱接口相连。主蒸汽管道，高、低温再热蒸汽管道均考虑有适当的疏水点和相应的动力操作的疏水阀（在低温再热蒸汽管道上还设有疏水罐）以保证机组在启动暖管和低负荷或故障条件下能及时疏尽管道中的冷凝水，防止汽轮机进水事故的发生。</w:t>
            </w:r>
          </w:p>
          <w:p w14:paraId="710DEDE1">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bookmarkStart w:id="12" w:name="_Toc24399"/>
            <w:bookmarkStart w:id="13" w:name="_Toc194926699"/>
            <w:bookmarkStart w:id="14" w:name="_Toc9927"/>
            <w:bookmarkStart w:id="15" w:name="_Toc6084"/>
            <w:bookmarkStart w:id="16" w:name="_Toc176766260"/>
            <w:bookmarkStart w:id="17" w:name="_Toc194515468"/>
            <w:bookmarkStart w:id="18" w:name="_Toc7952"/>
            <w:bookmarkStart w:id="19" w:name="_Toc1396968"/>
            <w:bookmarkStart w:id="20" w:name="_Toc4231455"/>
            <w:bookmarkStart w:id="21" w:name="_Toc6465"/>
            <w:bookmarkStart w:id="22" w:name="_Toc13211"/>
            <w:bookmarkStart w:id="23" w:name="_Toc13914"/>
            <w:r>
              <w:rPr>
                <w:rFonts w:hint="default" w:ascii="Times New Roman" w:hAnsi="Times New Roman" w:cs="Times New Roman"/>
                <w:b w:val="0"/>
                <w:bCs w:val="0"/>
                <w:color w:val="auto"/>
                <w:sz w:val="24"/>
                <w:szCs w:val="24"/>
                <w:lang w:val="en-US" w:eastAsia="zh-CN"/>
              </w:rPr>
              <w:t>2）汽机旁路系统</w:t>
            </w:r>
            <w:bookmarkEnd w:id="12"/>
            <w:bookmarkEnd w:id="13"/>
            <w:bookmarkEnd w:id="14"/>
            <w:bookmarkEnd w:id="15"/>
            <w:bookmarkEnd w:id="16"/>
            <w:bookmarkEnd w:id="17"/>
            <w:bookmarkEnd w:id="18"/>
            <w:bookmarkEnd w:id="19"/>
            <w:bookmarkEnd w:id="20"/>
            <w:bookmarkEnd w:id="21"/>
            <w:bookmarkEnd w:id="22"/>
            <w:bookmarkEnd w:id="23"/>
          </w:p>
          <w:p w14:paraId="5331CC7B">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本工程机组设置高、低压二级串联旁路系统，设置旁路后，机组的启、停工况得到了改善，且回收了部分工质，缩短了启动时间，提高了机组运行的经济性，同时对锅炉再热器起到了冷却保护作用，减少了噪声污染。</w:t>
            </w:r>
          </w:p>
          <w:p w14:paraId="7A8EBB9B">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zh-CN" w:eastAsia="zh-CN"/>
              </w:rPr>
            </w:pPr>
            <w:r>
              <w:rPr>
                <w:rFonts w:hint="default" w:ascii="Times New Roman" w:hAnsi="Times New Roman" w:cs="Times New Roman"/>
                <w:b w:val="0"/>
                <w:bCs w:val="0"/>
                <w:color w:val="auto"/>
                <w:sz w:val="24"/>
                <w:szCs w:val="24"/>
                <w:lang w:val="en-US" w:eastAsia="zh-CN"/>
              </w:rPr>
              <w:t>高压旁路系统装置由一套高压蒸汽隔离阀、高压旁路阀（高旁阀），喷水调节阀，喷水隔离阀等组成，低压旁路系统装置由低压蒸汽隔离阀、低压旁路阀（低旁阀），喷水调节阀、喷水隔离阀等组成。高旁容量按30％BMCR，低旁为对应考虑减温水后的容量</w:t>
            </w:r>
            <w:r>
              <w:rPr>
                <w:rFonts w:hint="default" w:ascii="Times New Roman" w:hAnsi="Times New Roman" w:cs="Times New Roman"/>
                <w:b w:val="0"/>
                <w:bCs w:val="0"/>
                <w:color w:val="auto"/>
                <w:sz w:val="24"/>
                <w:szCs w:val="24"/>
                <w:lang w:val="zh-CN" w:eastAsia="zh-CN"/>
              </w:rPr>
              <w:t>。高低压旁路整套装置，执行机构均具备快开功能。</w:t>
            </w:r>
          </w:p>
          <w:p w14:paraId="780C17E6">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高压旁路从汽机入口前主蒸汽总管接出，经减压、减温后接至低温再热蒸汽管道，高压旁路的减温水取自给水泵出口的给水系统。低压旁路中，从汽机低压缸入口前高温再热蒸汽主管接出，经减压、减温后接入排汽装置，减温水取自凝结水泵出口的凝结水系统。</w:t>
            </w:r>
            <w:r>
              <w:rPr>
                <w:rFonts w:hint="default" w:ascii="Times New Roman" w:hAnsi="Times New Roman" w:cs="Times New Roman"/>
                <w:b w:val="0"/>
                <w:bCs w:val="0"/>
                <w:color w:val="auto"/>
                <w:sz w:val="24"/>
                <w:szCs w:val="24"/>
                <w:lang w:val="zh-CN" w:eastAsia="zh-CN"/>
              </w:rPr>
              <w:t>系统设置中已考虑了旁路阀的预热，保证高、低压旁路蒸汽管道在机组运行时始终处于热备用状态。高低压旁路出口均设置混温过渡段</w:t>
            </w:r>
            <w:r>
              <w:rPr>
                <w:rFonts w:hint="default" w:ascii="Times New Roman" w:hAnsi="Times New Roman" w:cs="Times New Roman"/>
                <w:b w:val="0"/>
                <w:bCs w:val="0"/>
                <w:color w:val="auto"/>
                <w:sz w:val="24"/>
                <w:szCs w:val="24"/>
                <w:lang w:val="en-US" w:eastAsia="zh-CN"/>
              </w:rPr>
              <w:t>。</w:t>
            </w:r>
          </w:p>
          <w:p w14:paraId="25B9F8DE">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bookmarkStart w:id="24" w:name="_Toc11921"/>
            <w:bookmarkStart w:id="25" w:name="_Toc4231456"/>
            <w:bookmarkStart w:id="26" w:name="_Toc18367"/>
            <w:bookmarkStart w:id="27" w:name="_Toc16758"/>
            <w:bookmarkStart w:id="28" w:name="_Toc11749"/>
            <w:bookmarkStart w:id="29" w:name="_Toc22116"/>
            <w:bookmarkStart w:id="30" w:name="_Toc20965"/>
            <w:bookmarkStart w:id="31" w:name="_Toc1396969"/>
            <w:bookmarkStart w:id="32" w:name="_Toc24282"/>
            <w:bookmarkStart w:id="33" w:name="_Toc176766261"/>
            <w:bookmarkStart w:id="34" w:name="_Toc194926700"/>
            <w:bookmarkStart w:id="35" w:name="_Toc194515469"/>
            <w:r>
              <w:rPr>
                <w:rFonts w:hint="default" w:ascii="Times New Roman" w:hAnsi="Times New Roman" w:cs="Times New Roman"/>
                <w:b w:val="0"/>
                <w:bCs w:val="0"/>
                <w:color w:val="auto"/>
                <w:sz w:val="24"/>
                <w:szCs w:val="24"/>
                <w:lang w:val="en-US" w:eastAsia="zh-CN"/>
              </w:rPr>
              <w:t>3）回热抽汽系统</w:t>
            </w:r>
            <w:bookmarkEnd w:id="24"/>
            <w:bookmarkEnd w:id="25"/>
            <w:bookmarkEnd w:id="26"/>
            <w:bookmarkEnd w:id="27"/>
            <w:bookmarkEnd w:id="28"/>
            <w:bookmarkEnd w:id="29"/>
            <w:bookmarkEnd w:id="30"/>
            <w:bookmarkEnd w:id="31"/>
            <w:bookmarkEnd w:id="32"/>
            <w:bookmarkEnd w:id="33"/>
            <w:bookmarkEnd w:id="34"/>
            <w:bookmarkEnd w:id="35"/>
          </w:p>
          <w:p w14:paraId="57A1A82F">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汽轮机具有六级非调节抽汽，分别供给2台高压加热器，1台除氧器及3台低压加热器用汽。除氧器采用滑压运行方式，正常运行时汽源来自三抽，除氧器的运行压力随机组负荷变化而变化。三抽至除氧器的抽汽管道上设压力调节阀。抽汽管上均装设自动强制关闭抽汽止回阀和电动隔离阀，防止汽机超速。除氧器采用滑压运行方式，汽源暂拟采用三路：三抽汽源、厂区蒸汽管网及低再经减温减压后蒸汽。</w:t>
            </w:r>
          </w:p>
          <w:p w14:paraId="617EA7F6">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在抽汽系统的各级抽汽管道的电动隔离阀前后和逆止阀后，以及管道的最低点，分别设置疏水点，以保证在机组启动、停机和加热器发生故障时，系统中不积水。各疏水管道按压力等级分别接至排汽装置疏水集管。</w:t>
            </w:r>
          </w:p>
          <w:p w14:paraId="6C69FC49">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4）抽真空系统</w:t>
            </w:r>
          </w:p>
          <w:p w14:paraId="643E31C9">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抽真空系统在机组启动初期将排汽装置汽侧空间、空冷岛以及附属管道和设备中的空气抽出，以达到汽机启动的真空要求；在机组正常运行中除去排汽装置和空冷岛真空系统积聚的非凝结气体。在排汽装置上，设有带有滤网和水封的电动真空破坏阀，当机组发生事故时，用以迅速破坏真空，缩短转子惰走时间。</w:t>
            </w:r>
          </w:p>
          <w:p w14:paraId="43531C05">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5）冷却系统</w:t>
            </w:r>
          </w:p>
          <w:p w14:paraId="76E8CDCC">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汽轮机的排汽采用直接空冷，不需要循环水。发电机空冷器、汽轮机冷油器、水环式真空泵、EH控制油泵站、给水泵电机、给水泵稀油站、凝结水泵轴承冷却、取样冷却器、送风机、引风机等采用闭式循环冷却水冷却。</w:t>
            </w:r>
          </w:p>
          <w:p w14:paraId="11051245">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汽轮机的排汽经由大直径的主排汽管道引出主厂房流向空冷排汽装置顶部的配汽联箱。乏汽通过配汽联箱流经空冷排汽装置的翅片管束时，与翅片管外部被轴流风机吸入的大量冷空气进行表面热交换，将乏汽的热量带走凝结成水。冷却单元下端集水箱，从翅片管束收集的凝结水自流至汽轮机排汽装置的凝结水箱。本工程采用直接空冷系统。为保证机组安全稳定运行，凝结水系统设置一套100%的免反洗大流量除铁过滤器，以去除凝结水系统中可能产生的铁以及其它腐蚀产物。</w:t>
            </w:r>
          </w:p>
          <w:p w14:paraId="4929BA19">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产排污分析：W3冷却塔排污废水，凝结水收集过程会产生S4过滤废物。</w:t>
            </w:r>
          </w:p>
          <w:p w14:paraId="02C585BF">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（3）发电机及电力传输</w:t>
            </w:r>
          </w:p>
          <w:p w14:paraId="6FFC0A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本工程新建1台45MW发电机，本项目45MW发电机机组采用静止可控硅励磁方式，配置双微机双通道双桥励磁装置，以发电机机端电压为调节对象，根据电网电压变化，自动调节发电机输出无功功率，从而达到恒机端电压运行目的。发电机出口设置断路器，设10.5</w:t>
            </w:r>
            <w:r>
              <w:rPr>
                <w:rFonts w:hint="eastAsia" w:cs="Times New Roman"/>
                <w:b w:val="0"/>
                <w:bCs w:val="0"/>
                <w:color w:val="auto"/>
                <w:sz w:val="24"/>
                <w:szCs w:val="24"/>
                <w:lang w:val="en-US" w:eastAsia="zh-CN"/>
              </w:rPr>
              <w:t>kV</w:t>
            </w:r>
            <w:r>
              <w:rPr>
                <w:rFonts w:hint="default" w:ascii="Times New Roman" w:hAnsi="Times New Roman" w:cs="Times New Roman"/>
                <w:b w:val="0"/>
                <w:bCs w:val="0"/>
                <w:color w:val="auto"/>
                <w:sz w:val="24"/>
                <w:szCs w:val="24"/>
                <w:lang w:val="en-US" w:eastAsia="zh-CN"/>
              </w:rPr>
              <w:t>发电机电压母线，在发电机电压母线上接入容量为63MVA电力主变压器升压到110</w:t>
            </w:r>
            <w:r>
              <w:rPr>
                <w:rFonts w:hint="eastAsia" w:cs="Times New Roman"/>
                <w:b w:val="0"/>
                <w:bCs w:val="0"/>
                <w:color w:val="auto"/>
                <w:sz w:val="24"/>
                <w:szCs w:val="24"/>
                <w:lang w:val="en-US" w:eastAsia="zh-CN"/>
              </w:rPr>
              <w:t>kV</w:t>
            </w:r>
            <w:r>
              <w:rPr>
                <w:rFonts w:hint="default" w:ascii="Times New Roman" w:hAnsi="Times New Roman" w:cs="Times New Roman"/>
                <w:b w:val="0"/>
                <w:bCs w:val="0"/>
                <w:color w:val="auto"/>
                <w:sz w:val="24"/>
                <w:szCs w:val="24"/>
                <w:lang w:val="en-US" w:eastAsia="zh-CN"/>
              </w:rPr>
              <w:t>系统</w:t>
            </w:r>
            <w:r>
              <w:rPr>
                <w:rFonts w:hint="eastAsia" w:cs="Times New Roman"/>
                <w:b w:val="0"/>
                <w:bCs w:val="0"/>
                <w:color w:val="auto"/>
                <w:sz w:val="24"/>
                <w:szCs w:val="24"/>
                <w:lang w:val="en-US" w:eastAsia="zh-CN"/>
              </w:rPr>
              <w:t>（</w:t>
            </w:r>
            <w:r>
              <w:rPr>
                <w:rFonts w:hint="default" w:ascii="Times New Roman" w:hAnsi="Times New Roman" w:cs="Times New Roman"/>
                <w:color w:val="FF0000"/>
                <w:spacing w:val="0"/>
                <w:kern w:val="0"/>
                <w:sz w:val="24"/>
                <w:szCs w:val="24"/>
                <w:highlight w:val="none"/>
                <w:lang w:val="en-US" w:eastAsia="zh-CN"/>
              </w:rPr>
              <w:t>配套新建110</w:t>
            </w:r>
            <w:r>
              <w:rPr>
                <w:rFonts w:hint="eastAsia" w:cs="Times New Roman"/>
                <w:color w:val="FF0000"/>
                <w:spacing w:val="0"/>
                <w:kern w:val="0"/>
                <w:sz w:val="24"/>
                <w:szCs w:val="24"/>
                <w:highlight w:val="none"/>
                <w:lang w:val="en-US" w:eastAsia="zh-CN"/>
              </w:rPr>
              <w:t>kV</w:t>
            </w:r>
            <w:r>
              <w:rPr>
                <w:rFonts w:hint="default" w:ascii="Times New Roman" w:hAnsi="Times New Roman" w:cs="Times New Roman"/>
                <w:color w:val="FF0000"/>
                <w:spacing w:val="0"/>
                <w:kern w:val="0"/>
                <w:sz w:val="24"/>
                <w:szCs w:val="24"/>
                <w:highlight w:val="none"/>
                <w:lang w:val="en-US" w:eastAsia="zh-CN"/>
              </w:rPr>
              <w:t>升压站</w:t>
            </w:r>
            <w:r>
              <w:rPr>
                <w:rFonts w:hint="eastAsia" w:cs="Times New Roman"/>
                <w:color w:val="FF0000"/>
                <w:spacing w:val="0"/>
                <w:kern w:val="0"/>
                <w:sz w:val="24"/>
                <w:szCs w:val="24"/>
                <w:highlight w:val="none"/>
                <w:lang w:val="en-US" w:eastAsia="zh-CN"/>
              </w:rPr>
              <w:t>不在本项目评价范围内，另行评价</w:t>
            </w:r>
            <w:r>
              <w:rPr>
                <w:rFonts w:hint="eastAsia" w:cs="Times New Roman"/>
                <w:b w:val="0"/>
                <w:bCs w:val="0"/>
                <w:color w:val="auto"/>
                <w:sz w:val="24"/>
                <w:szCs w:val="24"/>
                <w:lang w:val="en-US" w:eastAsia="zh-CN"/>
              </w:rPr>
              <w:t>）</w:t>
            </w:r>
            <w:r>
              <w:rPr>
                <w:rFonts w:hint="default" w:ascii="Times New Roman" w:hAnsi="Times New Roman" w:cs="Times New Roman"/>
                <w:b w:val="0"/>
                <w:bCs w:val="0"/>
                <w:color w:val="auto"/>
                <w:sz w:val="24"/>
                <w:szCs w:val="24"/>
                <w:lang w:val="en-US" w:eastAsia="zh-CN"/>
              </w:rPr>
              <w:t>。</w:t>
            </w:r>
          </w:p>
          <w:p w14:paraId="5A0EF83B">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产排污分析：噪声N。</w:t>
            </w:r>
          </w:p>
          <w:p w14:paraId="4BE070CE">
            <w:pPr>
              <w:keepNext w:val="0"/>
              <w:keepLines w:val="0"/>
              <w:pageBreakBefore w:val="0"/>
              <w:wordWrap/>
              <w:bidi w:val="0"/>
              <w:spacing w:line="360" w:lineRule="auto"/>
              <w:ind w:firstLine="480" w:firstLineChars="200"/>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本项目运营期主要产污节点详见表2-9。</w:t>
            </w:r>
          </w:p>
          <w:p w14:paraId="7E7ED53B">
            <w:pPr>
              <w:keepNext w:val="0"/>
              <w:keepLines w:val="0"/>
              <w:pageBreakBefore w:val="0"/>
              <w:widowControl w:val="0"/>
              <w:kinsoku/>
              <w:wordWrap/>
              <w:overflowPunct/>
              <w:topLinePunct w:val="0"/>
              <w:autoSpaceDE/>
              <w:autoSpaceDN/>
              <w:bidi w:val="0"/>
              <w:adjustRightInd/>
              <w:snapToGrid/>
              <w:spacing w:line="240" w:lineRule="auto"/>
              <w:ind w:leftChars="0" w:firstLine="0" w:firstLineChars="0"/>
              <w:jc w:val="center"/>
              <w:textAlignment w:val="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表2-</w:t>
            </w:r>
            <w:r>
              <w:rPr>
                <w:rFonts w:hint="default" w:ascii="Times New Roman" w:hAnsi="Times New Roman" w:cs="Times New Roman"/>
                <w:b/>
                <w:color w:val="auto"/>
                <w:sz w:val="21"/>
                <w:szCs w:val="21"/>
                <w:lang w:val="en-US" w:eastAsia="zh-CN"/>
              </w:rPr>
              <w:t>9</w:t>
            </w:r>
            <w:r>
              <w:rPr>
                <w:rFonts w:hint="default" w:ascii="Times New Roman" w:hAnsi="Times New Roman" w:eastAsia="宋体" w:cs="Times New Roman"/>
                <w:b/>
                <w:color w:val="auto"/>
                <w:sz w:val="21"/>
                <w:szCs w:val="21"/>
              </w:rPr>
              <w:t>运营期主要</w:t>
            </w:r>
            <w:r>
              <w:rPr>
                <w:rFonts w:hint="default" w:ascii="Times New Roman" w:hAnsi="Times New Roman" w:eastAsia="宋体" w:cs="Times New Roman"/>
                <w:b/>
                <w:color w:val="auto"/>
                <w:sz w:val="21"/>
                <w:szCs w:val="21"/>
                <w:lang w:val="en-US" w:eastAsia="zh-CN"/>
              </w:rPr>
              <w:t>产污环节</w:t>
            </w:r>
            <w:r>
              <w:rPr>
                <w:rFonts w:hint="default" w:ascii="Times New Roman" w:hAnsi="Times New Roman" w:eastAsia="宋体" w:cs="Times New Roman"/>
                <w:b/>
                <w:color w:val="auto"/>
                <w:sz w:val="21"/>
                <w:szCs w:val="21"/>
              </w:rPr>
              <w:t>一览表</w:t>
            </w:r>
          </w:p>
          <w:tbl>
            <w:tblPr>
              <w:tblStyle w:val="96"/>
              <w:tblW w:w="5075"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1125"/>
              <w:gridCol w:w="1715"/>
              <w:gridCol w:w="2309"/>
              <w:gridCol w:w="632"/>
              <w:gridCol w:w="2451"/>
            </w:tblGrid>
            <w:tr w14:paraId="2A80F6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683" w:type="pct"/>
                  <w:tcBorders>
                    <w:tl2br w:val="nil"/>
                    <w:tr2bl w:val="nil"/>
                  </w:tcBorders>
                  <w:vAlign w:val="center"/>
                </w:tcPr>
                <w:p w14:paraId="027863BD">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污染物类别</w:t>
                  </w:r>
                </w:p>
              </w:tc>
              <w:tc>
                <w:tcPr>
                  <w:tcW w:w="1041" w:type="pct"/>
                  <w:tcBorders>
                    <w:tl2br w:val="nil"/>
                    <w:tr2bl w:val="nil"/>
                  </w:tcBorders>
                  <w:vAlign w:val="center"/>
                </w:tcPr>
                <w:p w14:paraId="09448EFB">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产污环节</w:t>
                  </w:r>
                </w:p>
              </w:tc>
              <w:tc>
                <w:tcPr>
                  <w:tcW w:w="1402" w:type="pct"/>
                  <w:tcBorders>
                    <w:tl2br w:val="nil"/>
                    <w:tr2bl w:val="nil"/>
                  </w:tcBorders>
                  <w:vAlign w:val="center"/>
                </w:tcPr>
                <w:p w14:paraId="24CC1CE2">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污染物名称</w:t>
                  </w:r>
                </w:p>
              </w:tc>
              <w:tc>
                <w:tcPr>
                  <w:tcW w:w="383" w:type="pct"/>
                  <w:tcBorders>
                    <w:tl2br w:val="nil"/>
                    <w:tr2bl w:val="nil"/>
                  </w:tcBorders>
                  <w:vAlign w:val="center"/>
                </w:tcPr>
                <w:p w14:paraId="4D421301">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编号</w:t>
                  </w:r>
                </w:p>
              </w:tc>
              <w:tc>
                <w:tcPr>
                  <w:tcW w:w="1488" w:type="pct"/>
                  <w:tcBorders>
                    <w:tl2br w:val="nil"/>
                    <w:tr2bl w:val="nil"/>
                  </w:tcBorders>
                  <w:vAlign w:val="center"/>
                </w:tcPr>
                <w:p w14:paraId="49713341">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pacing w:val="7"/>
                      <w:sz w:val="21"/>
                      <w:szCs w:val="21"/>
                    </w:rPr>
                    <w:t>主要污染</w:t>
                  </w:r>
                  <w:r>
                    <w:rPr>
                      <w:rFonts w:hint="default" w:ascii="Times New Roman" w:hAnsi="Times New Roman" w:cs="Times New Roman"/>
                      <w:b/>
                      <w:bCs/>
                      <w:color w:val="auto"/>
                      <w:spacing w:val="7"/>
                      <w:sz w:val="21"/>
                      <w:szCs w:val="21"/>
                      <w:lang w:val="en-US" w:eastAsia="zh-CN"/>
                    </w:rPr>
                    <w:t>因子</w:t>
                  </w:r>
                </w:p>
              </w:tc>
            </w:tr>
            <w:tr w14:paraId="3E6E8B5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683" w:type="pct"/>
                  <w:vMerge w:val="restart"/>
                  <w:tcBorders>
                    <w:tl2br w:val="nil"/>
                    <w:tr2bl w:val="nil"/>
                  </w:tcBorders>
                  <w:vAlign w:val="center"/>
                </w:tcPr>
                <w:p w14:paraId="7872674C">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5"/>
                      <w:sz w:val="21"/>
                      <w:szCs w:val="21"/>
                    </w:rPr>
                    <w:t>废气</w:t>
                  </w:r>
                </w:p>
              </w:tc>
              <w:tc>
                <w:tcPr>
                  <w:tcW w:w="1041" w:type="pct"/>
                  <w:tcBorders>
                    <w:tl2br w:val="nil"/>
                    <w:tr2bl w:val="nil"/>
                  </w:tcBorders>
                  <w:vAlign w:val="center"/>
                </w:tcPr>
                <w:p w14:paraId="67AF1D2F">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锅炉</w:t>
                  </w:r>
                  <w:r>
                    <w:rPr>
                      <w:rFonts w:hint="default" w:ascii="Times New Roman" w:hAnsi="Times New Roman" w:eastAsia="宋体" w:cs="Times New Roman"/>
                      <w:color w:val="auto"/>
                      <w:sz w:val="21"/>
                      <w:szCs w:val="21"/>
                      <w:lang w:val="en-US" w:eastAsia="zh-CN"/>
                    </w:rPr>
                    <w:t>燃烧</w:t>
                  </w:r>
                  <w:r>
                    <w:rPr>
                      <w:rFonts w:hint="default" w:ascii="Times New Roman" w:hAnsi="Times New Roman" w:cs="Times New Roman"/>
                      <w:color w:val="auto"/>
                      <w:sz w:val="21"/>
                      <w:szCs w:val="21"/>
                      <w:lang w:val="en-US" w:eastAsia="zh-CN"/>
                    </w:rPr>
                    <w:t>系统</w:t>
                  </w:r>
                </w:p>
              </w:tc>
              <w:tc>
                <w:tcPr>
                  <w:tcW w:w="1402" w:type="pct"/>
                  <w:tcBorders>
                    <w:tl2br w:val="nil"/>
                    <w:tr2bl w:val="nil"/>
                  </w:tcBorders>
                  <w:vAlign w:val="center"/>
                </w:tcPr>
                <w:p w14:paraId="7005C240">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煤气</w:t>
                  </w:r>
                  <w:r>
                    <w:rPr>
                      <w:rFonts w:hint="default" w:ascii="Times New Roman" w:hAnsi="Times New Roman" w:eastAsia="宋体" w:cs="Times New Roman"/>
                      <w:color w:val="auto"/>
                      <w:sz w:val="21"/>
                      <w:szCs w:val="21"/>
                      <w:lang w:val="en-US" w:eastAsia="zh-CN"/>
                    </w:rPr>
                    <w:t>燃烧废气</w:t>
                  </w:r>
                </w:p>
              </w:tc>
              <w:tc>
                <w:tcPr>
                  <w:tcW w:w="383" w:type="pct"/>
                  <w:tcBorders>
                    <w:tl2br w:val="nil"/>
                    <w:tr2bl w:val="nil"/>
                  </w:tcBorders>
                  <w:vAlign w:val="center"/>
                </w:tcPr>
                <w:p w14:paraId="78175A44">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eastAsia="宋体" w:cs="Times New Roman"/>
                      <w:snapToGrid w:val="0"/>
                      <w:color w:val="auto"/>
                      <w:kern w:val="0"/>
                      <w:sz w:val="21"/>
                      <w:szCs w:val="21"/>
                      <w:lang w:val="en-US" w:eastAsia="zh-CN" w:bidi="ar-SA"/>
                    </w:rPr>
                    <w:t>G1</w:t>
                  </w:r>
                </w:p>
              </w:tc>
              <w:tc>
                <w:tcPr>
                  <w:tcW w:w="1488" w:type="pct"/>
                  <w:tcBorders>
                    <w:bottom w:val="single" w:color="auto" w:sz="4" w:space="0"/>
                    <w:tl2br w:val="nil"/>
                    <w:tr2bl w:val="nil"/>
                  </w:tcBorders>
                  <w:vAlign w:val="center"/>
                </w:tcPr>
                <w:p w14:paraId="0E8D11A0">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pacing w:val="8"/>
                      <w:sz w:val="21"/>
                      <w:szCs w:val="21"/>
                      <w:vertAlign w:val="subscript"/>
                      <w:lang w:val="en-US" w:eastAsia="zh-CN"/>
                    </w:rPr>
                  </w:pPr>
                  <w:r>
                    <w:rPr>
                      <w:rFonts w:hint="default" w:ascii="Times New Roman" w:hAnsi="Times New Roman" w:cs="Times New Roman"/>
                      <w:color w:val="auto"/>
                      <w:spacing w:val="8"/>
                      <w:sz w:val="21"/>
                      <w:szCs w:val="21"/>
                      <w:lang w:val="en-US" w:eastAsia="zh-CN"/>
                    </w:rPr>
                    <w:t>颗粒物、NO</w:t>
                  </w:r>
                  <w:r>
                    <w:rPr>
                      <w:rFonts w:hint="default" w:ascii="Times New Roman" w:hAnsi="Times New Roman" w:cs="Times New Roman"/>
                      <w:color w:val="auto"/>
                      <w:spacing w:val="8"/>
                      <w:sz w:val="21"/>
                      <w:szCs w:val="21"/>
                      <w:vertAlign w:val="subscript"/>
                      <w:lang w:val="en-US" w:eastAsia="zh-CN"/>
                    </w:rPr>
                    <w:t>X</w:t>
                  </w:r>
                  <w:r>
                    <w:rPr>
                      <w:rFonts w:hint="default" w:ascii="Times New Roman" w:hAnsi="Times New Roman" w:cs="Times New Roman"/>
                      <w:color w:val="auto"/>
                      <w:spacing w:val="8"/>
                      <w:sz w:val="21"/>
                      <w:szCs w:val="21"/>
                      <w:lang w:val="en-US" w:eastAsia="zh-CN"/>
                    </w:rPr>
                    <w:t>、SO</w:t>
                  </w:r>
                  <w:r>
                    <w:rPr>
                      <w:rFonts w:hint="default" w:ascii="Times New Roman" w:hAnsi="Times New Roman" w:cs="Times New Roman"/>
                      <w:color w:val="auto"/>
                      <w:spacing w:val="8"/>
                      <w:sz w:val="21"/>
                      <w:szCs w:val="21"/>
                      <w:vertAlign w:val="subscript"/>
                      <w:lang w:val="en-US" w:eastAsia="zh-CN"/>
                    </w:rPr>
                    <w:t>2</w:t>
                  </w:r>
                </w:p>
                <w:p w14:paraId="1A03AFB2">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pacing w:val="8"/>
                      <w:sz w:val="21"/>
                      <w:szCs w:val="21"/>
                      <w:vertAlign w:val="baseline"/>
                      <w:lang w:val="en-US" w:eastAsia="zh-CN"/>
                    </w:rPr>
                  </w:pPr>
                  <w:r>
                    <w:rPr>
                      <w:rFonts w:hint="default" w:ascii="Times New Roman" w:hAnsi="Times New Roman" w:cs="Times New Roman"/>
                      <w:color w:val="auto"/>
                      <w:spacing w:val="8"/>
                      <w:sz w:val="21"/>
                      <w:szCs w:val="21"/>
                      <w:vertAlign w:val="baseline"/>
                      <w:lang w:val="en-US" w:eastAsia="zh-CN"/>
                    </w:rPr>
                    <w:t>、</w:t>
                  </w:r>
                  <w:r>
                    <w:rPr>
                      <w:rFonts w:hint="default" w:ascii="Times New Roman" w:hAnsi="Times New Roman" w:cs="Times New Roman"/>
                      <w:color w:val="auto"/>
                      <w:spacing w:val="4"/>
                      <w:sz w:val="21"/>
                      <w:szCs w:val="21"/>
                      <w:lang w:eastAsia="zh-CN"/>
                    </w:rPr>
                    <w:t>林格曼黑度</w:t>
                  </w:r>
                </w:p>
              </w:tc>
            </w:tr>
            <w:tr w14:paraId="5284A39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683" w:type="pct"/>
                  <w:vMerge w:val="continue"/>
                  <w:tcBorders>
                    <w:tl2br w:val="nil"/>
                    <w:tr2bl w:val="nil"/>
                  </w:tcBorders>
                  <w:vAlign w:val="center"/>
                </w:tcPr>
                <w:p w14:paraId="7DB5A462">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pacing w:val="5"/>
                      <w:sz w:val="21"/>
                      <w:szCs w:val="21"/>
                    </w:rPr>
                  </w:pPr>
                </w:p>
              </w:tc>
              <w:tc>
                <w:tcPr>
                  <w:tcW w:w="1041" w:type="pct"/>
                  <w:tcBorders>
                    <w:tl2br w:val="nil"/>
                    <w:tr2bl w:val="nil"/>
                  </w:tcBorders>
                  <w:vAlign w:val="center"/>
                </w:tcPr>
                <w:p w14:paraId="41F9A0F5">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b w:val="0"/>
                      <w:bCs w:val="0"/>
                      <w:color w:val="auto"/>
                      <w:sz w:val="21"/>
                      <w:szCs w:val="21"/>
                      <w:lang w:val="en-US" w:eastAsia="zh-CN"/>
                    </w:rPr>
                    <w:t>烟气脱硝</w:t>
                  </w:r>
                </w:p>
              </w:tc>
              <w:tc>
                <w:tcPr>
                  <w:tcW w:w="1402" w:type="pct"/>
                  <w:tcBorders>
                    <w:tl2br w:val="nil"/>
                    <w:tr2bl w:val="nil"/>
                  </w:tcBorders>
                  <w:vAlign w:val="center"/>
                </w:tcPr>
                <w:p w14:paraId="7B139E27">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逃逸氨</w:t>
                  </w:r>
                </w:p>
              </w:tc>
              <w:tc>
                <w:tcPr>
                  <w:tcW w:w="383" w:type="pct"/>
                  <w:tcBorders>
                    <w:tl2br w:val="nil"/>
                    <w:tr2bl w:val="nil"/>
                  </w:tcBorders>
                  <w:vAlign w:val="center"/>
                </w:tcPr>
                <w:p w14:paraId="4DBFA8AF">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snapToGrid w:val="0"/>
                      <w:color w:val="auto"/>
                      <w:kern w:val="0"/>
                      <w:sz w:val="21"/>
                      <w:szCs w:val="21"/>
                      <w:lang w:val="en-US" w:eastAsia="zh-CN" w:bidi="ar-SA"/>
                    </w:rPr>
                  </w:pPr>
                  <w:r>
                    <w:rPr>
                      <w:rFonts w:hint="default" w:ascii="Times New Roman" w:hAnsi="Times New Roman" w:cs="Times New Roman"/>
                      <w:snapToGrid w:val="0"/>
                      <w:color w:val="auto"/>
                      <w:kern w:val="0"/>
                      <w:sz w:val="21"/>
                      <w:szCs w:val="21"/>
                      <w:lang w:val="en-US" w:eastAsia="zh-CN" w:bidi="ar-SA"/>
                    </w:rPr>
                    <w:t>G2</w:t>
                  </w:r>
                </w:p>
              </w:tc>
              <w:tc>
                <w:tcPr>
                  <w:tcW w:w="1488" w:type="pct"/>
                  <w:tcBorders>
                    <w:top w:val="single" w:color="auto" w:sz="4" w:space="0"/>
                    <w:bottom w:val="single" w:color="auto" w:sz="4" w:space="0"/>
                    <w:tl2br w:val="nil"/>
                    <w:tr2bl w:val="nil"/>
                  </w:tcBorders>
                  <w:vAlign w:val="center"/>
                </w:tcPr>
                <w:p w14:paraId="4650DF34">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pacing w:val="8"/>
                      <w:sz w:val="21"/>
                      <w:szCs w:val="21"/>
                      <w:lang w:val="en-US" w:eastAsia="zh-CN"/>
                    </w:rPr>
                  </w:pPr>
                  <w:r>
                    <w:rPr>
                      <w:rFonts w:hint="default" w:ascii="Times New Roman" w:hAnsi="Times New Roman" w:cs="Times New Roman"/>
                      <w:color w:val="auto"/>
                      <w:spacing w:val="8"/>
                      <w:sz w:val="21"/>
                      <w:szCs w:val="21"/>
                      <w:lang w:val="en-US" w:eastAsia="zh-CN"/>
                    </w:rPr>
                    <w:t>NH</w:t>
                  </w:r>
                  <w:r>
                    <w:rPr>
                      <w:rFonts w:hint="default" w:ascii="Times New Roman" w:hAnsi="Times New Roman" w:cs="Times New Roman"/>
                      <w:color w:val="auto"/>
                      <w:spacing w:val="8"/>
                      <w:sz w:val="21"/>
                      <w:szCs w:val="21"/>
                      <w:vertAlign w:val="subscript"/>
                      <w:lang w:val="en-US" w:eastAsia="zh-CN"/>
                    </w:rPr>
                    <w:t>3</w:t>
                  </w:r>
                </w:p>
              </w:tc>
            </w:tr>
            <w:tr w14:paraId="75C1A3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683" w:type="pct"/>
                  <w:vMerge w:val="continue"/>
                  <w:tcBorders>
                    <w:tl2br w:val="nil"/>
                    <w:tr2bl w:val="nil"/>
                  </w:tcBorders>
                  <w:vAlign w:val="center"/>
                </w:tcPr>
                <w:p w14:paraId="0B423A85">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pacing w:val="5"/>
                      <w:sz w:val="21"/>
                      <w:szCs w:val="21"/>
                    </w:rPr>
                  </w:pPr>
                </w:p>
              </w:tc>
              <w:tc>
                <w:tcPr>
                  <w:tcW w:w="1041" w:type="pct"/>
                  <w:tcBorders>
                    <w:tl2br w:val="nil"/>
                    <w:tr2bl w:val="nil"/>
                  </w:tcBorders>
                  <w:vAlign w:val="center"/>
                </w:tcPr>
                <w:p w14:paraId="08847BCA">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b w:val="0"/>
                      <w:bCs w:val="0"/>
                      <w:color w:val="auto"/>
                      <w:sz w:val="21"/>
                      <w:szCs w:val="21"/>
                      <w:lang w:val="en-US" w:eastAsia="zh-CN"/>
                    </w:rPr>
                  </w:pPr>
                  <w:r>
                    <w:rPr>
                      <w:rFonts w:hint="default" w:ascii="Times New Roman" w:hAnsi="Times New Roman" w:cs="Times New Roman"/>
                      <w:b w:val="0"/>
                      <w:bCs w:val="0"/>
                      <w:color w:val="auto"/>
                      <w:sz w:val="21"/>
                      <w:szCs w:val="21"/>
                      <w:lang w:val="en-US" w:eastAsia="zh-CN"/>
                    </w:rPr>
                    <w:t>石灰石粉仓</w:t>
                  </w:r>
                </w:p>
              </w:tc>
              <w:tc>
                <w:tcPr>
                  <w:tcW w:w="1402" w:type="pct"/>
                  <w:tcBorders>
                    <w:tl2br w:val="nil"/>
                    <w:tr2bl w:val="nil"/>
                  </w:tcBorders>
                  <w:vAlign w:val="center"/>
                </w:tcPr>
                <w:p w14:paraId="2D31FFE2">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投料粉尘</w:t>
                  </w:r>
                </w:p>
              </w:tc>
              <w:tc>
                <w:tcPr>
                  <w:tcW w:w="383" w:type="pct"/>
                  <w:tcBorders>
                    <w:tl2br w:val="nil"/>
                    <w:tr2bl w:val="nil"/>
                  </w:tcBorders>
                  <w:vAlign w:val="center"/>
                </w:tcPr>
                <w:p w14:paraId="32AEDCC3">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snapToGrid w:val="0"/>
                      <w:color w:val="auto"/>
                      <w:kern w:val="0"/>
                      <w:sz w:val="21"/>
                      <w:szCs w:val="21"/>
                      <w:lang w:val="en-US" w:eastAsia="zh-CN" w:bidi="ar-SA"/>
                    </w:rPr>
                  </w:pPr>
                  <w:r>
                    <w:rPr>
                      <w:rFonts w:hint="default" w:ascii="Times New Roman" w:hAnsi="Times New Roman" w:cs="Times New Roman"/>
                      <w:snapToGrid w:val="0"/>
                      <w:color w:val="auto"/>
                      <w:kern w:val="0"/>
                      <w:sz w:val="21"/>
                      <w:szCs w:val="21"/>
                      <w:lang w:val="en-US" w:eastAsia="zh-CN" w:bidi="ar-SA"/>
                    </w:rPr>
                    <w:t>G3</w:t>
                  </w:r>
                </w:p>
              </w:tc>
              <w:tc>
                <w:tcPr>
                  <w:tcW w:w="1488" w:type="pct"/>
                  <w:tcBorders>
                    <w:top w:val="single" w:color="auto" w:sz="4" w:space="0"/>
                    <w:bottom w:val="single" w:color="auto" w:sz="4" w:space="0"/>
                    <w:tl2br w:val="nil"/>
                    <w:tr2bl w:val="nil"/>
                  </w:tcBorders>
                  <w:vAlign w:val="center"/>
                </w:tcPr>
                <w:p w14:paraId="26F81A0E">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pacing w:val="8"/>
                      <w:sz w:val="21"/>
                      <w:szCs w:val="21"/>
                      <w:lang w:val="en-US" w:eastAsia="zh-CN"/>
                    </w:rPr>
                  </w:pPr>
                  <w:r>
                    <w:rPr>
                      <w:rFonts w:hint="default" w:ascii="Times New Roman" w:hAnsi="Times New Roman" w:cs="Times New Roman"/>
                      <w:color w:val="auto"/>
                      <w:spacing w:val="8"/>
                      <w:sz w:val="21"/>
                      <w:szCs w:val="21"/>
                      <w:lang w:val="en-US" w:eastAsia="zh-CN"/>
                    </w:rPr>
                    <w:t>颗粒物</w:t>
                  </w:r>
                </w:p>
              </w:tc>
            </w:tr>
            <w:tr w14:paraId="074207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683" w:type="pct"/>
                  <w:vMerge w:val="restart"/>
                  <w:tcBorders>
                    <w:top w:val="single" w:color="auto" w:sz="4" w:space="0"/>
                    <w:tl2br w:val="nil"/>
                    <w:tr2bl w:val="nil"/>
                  </w:tcBorders>
                  <w:vAlign w:val="center"/>
                </w:tcPr>
                <w:p w14:paraId="6244673D">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废水</w:t>
                  </w:r>
                </w:p>
              </w:tc>
              <w:tc>
                <w:tcPr>
                  <w:tcW w:w="1041" w:type="pct"/>
                  <w:tcBorders>
                    <w:tl2br w:val="nil"/>
                    <w:tr2bl w:val="nil"/>
                  </w:tcBorders>
                  <w:vAlign w:val="center"/>
                </w:tcPr>
                <w:p w14:paraId="503E48A7">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cs="Times New Roman"/>
                      <w:b w:val="0"/>
                      <w:bCs w:val="0"/>
                      <w:color w:val="auto"/>
                      <w:sz w:val="21"/>
                      <w:szCs w:val="21"/>
                      <w:lang w:val="en-US" w:eastAsia="zh-CN"/>
                    </w:rPr>
                    <w:t>软水制备</w:t>
                  </w:r>
                </w:p>
              </w:tc>
              <w:tc>
                <w:tcPr>
                  <w:tcW w:w="1402" w:type="pct"/>
                  <w:tcBorders>
                    <w:tl2br w:val="nil"/>
                    <w:tr2bl w:val="nil"/>
                  </w:tcBorders>
                  <w:vAlign w:val="center"/>
                </w:tcPr>
                <w:p w14:paraId="72A191AC">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cs="Times New Roman"/>
                      <w:color w:val="auto"/>
                      <w:spacing w:val="7"/>
                      <w:sz w:val="21"/>
                      <w:szCs w:val="21"/>
                      <w:lang w:val="en-US"/>
                    </w:rPr>
                  </w:pPr>
                  <w:r>
                    <w:rPr>
                      <w:rFonts w:hint="default" w:ascii="Times New Roman" w:hAnsi="Times New Roman" w:cs="Times New Roman"/>
                      <w:b w:val="0"/>
                      <w:bCs w:val="0"/>
                      <w:color w:val="auto"/>
                      <w:sz w:val="21"/>
                      <w:szCs w:val="21"/>
                      <w:lang w:val="en-US" w:eastAsia="zh-CN"/>
                    </w:rPr>
                    <w:t>软水制备废水</w:t>
                  </w:r>
                </w:p>
              </w:tc>
              <w:tc>
                <w:tcPr>
                  <w:tcW w:w="383" w:type="pct"/>
                  <w:tcBorders>
                    <w:tl2br w:val="nil"/>
                    <w:tr2bl w:val="nil"/>
                  </w:tcBorders>
                  <w:vAlign w:val="center"/>
                </w:tcPr>
                <w:p w14:paraId="14563A25">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pacing w:val="7"/>
                      <w:sz w:val="21"/>
                      <w:szCs w:val="21"/>
                      <w:lang w:val="en-US" w:eastAsia="zh-CN"/>
                    </w:rPr>
                  </w:pPr>
                  <w:r>
                    <w:rPr>
                      <w:rFonts w:hint="default" w:ascii="Times New Roman" w:hAnsi="Times New Roman" w:cs="Times New Roman"/>
                      <w:color w:val="auto"/>
                      <w:spacing w:val="7"/>
                      <w:sz w:val="21"/>
                      <w:szCs w:val="21"/>
                      <w:lang w:val="en-US" w:eastAsia="zh-CN"/>
                    </w:rPr>
                    <w:t>W1</w:t>
                  </w:r>
                </w:p>
              </w:tc>
              <w:tc>
                <w:tcPr>
                  <w:tcW w:w="1488" w:type="pct"/>
                  <w:tcBorders>
                    <w:top w:val="single" w:color="auto" w:sz="4" w:space="0"/>
                    <w:tl2br w:val="nil"/>
                    <w:tr2bl w:val="nil"/>
                  </w:tcBorders>
                  <w:vAlign w:val="center"/>
                </w:tcPr>
                <w:p w14:paraId="4A469A6B">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color w:val="auto"/>
                      <w:sz w:val="21"/>
                      <w:szCs w:val="21"/>
                      <w:lang w:val="en-US" w:eastAsia="zh-CN"/>
                    </w:rPr>
                    <w:t>无机盐类、SS</w:t>
                  </w:r>
                </w:p>
              </w:tc>
            </w:tr>
            <w:tr w14:paraId="0F9849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683" w:type="pct"/>
                  <w:vMerge w:val="continue"/>
                  <w:tcBorders>
                    <w:tl2br w:val="nil"/>
                    <w:tr2bl w:val="nil"/>
                  </w:tcBorders>
                  <w:vAlign w:val="center"/>
                </w:tcPr>
                <w:p w14:paraId="6AD25C7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p>
              </w:tc>
              <w:tc>
                <w:tcPr>
                  <w:tcW w:w="1041" w:type="pct"/>
                  <w:tcBorders>
                    <w:tl2br w:val="nil"/>
                    <w:tr2bl w:val="nil"/>
                  </w:tcBorders>
                  <w:vAlign w:val="center"/>
                </w:tcPr>
                <w:p w14:paraId="1D2748CE">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pacing w:val="8"/>
                      <w:sz w:val="21"/>
                      <w:szCs w:val="21"/>
                      <w:lang w:val="en-US" w:eastAsia="zh-CN"/>
                    </w:rPr>
                  </w:pPr>
                  <w:r>
                    <w:rPr>
                      <w:rFonts w:hint="default" w:ascii="Times New Roman" w:hAnsi="Times New Roman" w:cs="Times New Roman"/>
                      <w:color w:val="auto"/>
                      <w:spacing w:val="8"/>
                      <w:sz w:val="21"/>
                      <w:szCs w:val="21"/>
                      <w:lang w:val="en-US" w:eastAsia="zh-CN"/>
                    </w:rPr>
                    <w:t>锅炉运行</w:t>
                  </w:r>
                </w:p>
              </w:tc>
              <w:tc>
                <w:tcPr>
                  <w:tcW w:w="1402" w:type="pct"/>
                  <w:tcBorders>
                    <w:tl2br w:val="nil"/>
                    <w:tr2bl w:val="nil"/>
                  </w:tcBorders>
                  <w:vAlign w:val="center"/>
                </w:tcPr>
                <w:p w14:paraId="27D5C251">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color w:val="auto"/>
                      <w:spacing w:val="7"/>
                      <w:sz w:val="21"/>
                      <w:szCs w:val="21"/>
                    </w:rPr>
                  </w:pPr>
                  <w:r>
                    <w:rPr>
                      <w:rFonts w:hint="default" w:ascii="Times New Roman" w:hAnsi="Times New Roman" w:cs="Times New Roman"/>
                      <w:color w:val="auto"/>
                      <w:spacing w:val="8"/>
                      <w:sz w:val="21"/>
                      <w:szCs w:val="21"/>
                      <w:lang w:val="en-US" w:eastAsia="zh-CN"/>
                    </w:rPr>
                    <w:t>锅炉定期排污废水</w:t>
                  </w:r>
                </w:p>
              </w:tc>
              <w:tc>
                <w:tcPr>
                  <w:tcW w:w="383" w:type="pct"/>
                  <w:tcBorders>
                    <w:tl2br w:val="nil"/>
                    <w:tr2bl w:val="nil"/>
                  </w:tcBorders>
                  <w:vAlign w:val="center"/>
                </w:tcPr>
                <w:p w14:paraId="08A43675">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pacing w:val="7"/>
                      <w:sz w:val="21"/>
                      <w:szCs w:val="21"/>
                      <w:lang w:val="en-US" w:eastAsia="zh-CN"/>
                    </w:rPr>
                  </w:pPr>
                  <w:r>
                    <w:rPr>
                      <w:rFonts w:hint="default" w:ascii="Times New Roman" w:hAnsi="Times New Roman" w:cs="Times New Roman"/>
                      <w:color w:val="auto"/>
                      <w:spacing w:val="7"/>
                      <w:sz w:val="21"/>
                      <w:szCs w:val="21"/>
                      <w:lang w:val="en-US" w:eastAsia="zh-CN"/>
                    </w:rPr>
                    <w:t>W2</w:t>
                  </w:r>
                </w:p>
              </w:tc>
              <w:tc>
                <w:tcPr>
                  <w:tcW w:w="1488" w:type="pct"/>
                  <w:tcBorders>
                    <w:tl2br w:val="nil"/>
                    <w:tr2bl w:val="nil"/>
                  </w:tcBorders>
                  <w:vAlign w:val="center"/>
                </w:tcPr>
                <w:p w14:paraId="5DBE0B2F">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SS</w:t>
                  </w:r>
                </w:p>
              </w:tc>
            </w:tr>
            <w:tr w14:paraId="22D0ED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83" w:type="pct"/>
                  <w:vMerge w:val="continue"/>
                  <w:tcBorders>
                    <w:tl2br w:val="nil"/>
                    <w:tr2bl w:val="nil"/>
                  </w:tcBorders>
                  <w:vAlign w:val="center"/>
                </w:tcPr>
                <w:p w14:paraId="15803DD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p>
              </w:tc>
              <w:tc>
                <w:tcPr>
                  <w:tcW w:w="1041" w:type="pct"/>
                  <w:tcBorders>
                    <w:tl2br w:val="nil"/>
                    <w:tr2bl w:val="nil"/>
                  </w:tcBorders>
                  <w:vAlign w:val="center"/>
                </w:tcPr>
                <w:p w14:paraId="3AFA3AD3">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pacing w:val="8"/>
                      <w:sz w:val="21"/>
                      <w:szCs w:val="21"/>
                      <w:lang w:val="en-US" w:eastAsia="zh-CN"/>
                    </w:rPr>
                  </w:pPr>
                  <w:r>
                    <w:rPr>
                      <w:rFonts w:hint="default" w:ascii="Times New Roman" w:hAnsi="Times New Roman" w:cs="Times New Roman"/>
                      <w:color w:val="auto"/>
                      <w:spacing w:val="8"/>
                      <w:sz w:val="21"/>
                      <w:szCs w:val="21"/>
                      <w:lang w:val="en-US" w:eastAsia="zh-CN"/>
                    </w:rPr>
                    <w:t>冷却塔冷却</w:t>
                  </w:r>
                </w:p>
              </w:tc>
              <w:tc>
                <w:tcPr>
                  <w:tcW w:w="1402" w:type="pct"/>
                  <w:tcBorders>
                    <w:tl2br w:val="nil"/>
                    <w:tr2bl w:val="nil"/>
                  </w:tcBorders>
                  <w:vAlign w:val="center"/>
                </w:tcPr>
                <w:p w14:paraId="1F44DF89">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pacing w:val="7"/>
                      <w:sz w:val="21"/>
                      <w:szCs w:val="21"/>
                      <w:lang w:val="en-US"/>
                    </w:rPr>
                  </w:pPr>
                  <w:r>
                    <w:rPr>
                      <w:rFonts w:hint="default" w:ascii="Times New Roman" w:hAnsi="Times New Roman" w:cs="Times New Roman"/>
                      <w:color w:val="auto"/>
                      <w:spacing w:val="8"/>
                      <w:sz w:val="21"/>
                      <w:szCs w:val="21"/>
                      <w:lang w:val="en-US" w:eastAsia="zh-CN"/>
                    </w:rPr>
                    <w:t>冷却排污废水</w:t>
                  </w:r>
                </w:p>
              </w:tc>
              <w:tc>
                <w:tcPr>
                  <w:tcW w:w="383" w:type="pct"/>
                  <w:tcBorders>
                    <w:tl2br w:val="nil"/>
                    <w:tr2bl w:val="nil"/>
                  </w:tcBorders>
                  <w:vAlign w:val="center"/>
                </w:tcPr>
                <w:p w14:paraId="6B7D3A9A">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pacing w:val="7"/>
                      <w:sz w:val="21"/>
                      <w:szCs w:val="21"/>
                      <w:lang w:val="en-US" w:eastAsia="zh-CN"/>
                    </w:rPr>
                  </w:pPr>
                  <w:r>
                    <w:rPr>
                      <w:rFonts w:hint="default" w:ascii="Times New Roman" w:hAnsi="Times New Roman" w:cs="Times New Roman"/>
                      <w:color w:val="auto"/>
                      <w:spacing w:val="7"/>
                      <w:sz w:val="21"/>
                      <w:szCs w:val="21"/>
                      <w:lang w:val="en-US" w:eastAsia="zh-CN"/>
                    </w:rPr>
                    <w:t>W3</w:t>
                  </w:r>
                </w:p>
              </w:tc>
              <w:tc>
                <w:tcPr>
                  <w:tcW w:w="1488" w:type="pct"/>
                  <w:tcBorders>
                    <w:tl2br w:val="nil"/>
                    <w:tr2bl w:val="nil"/>
                  </w:tcBorders>
                  <w:vAlign w:val="center"/>
                </w:tcPr>
                <w:p w14:paraId="134E8BDD">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SS</w:t>
                  </w:r>
                </w:p>
              </w:tc>
            </w:tr>
            <w:tr w14:paraId="1EC3A66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683" w:type="pct"/>
                  <w:vMerge w:val="continue"/>
                  <w:tcBorders>
                    <w:tl2br w:val="nil"/>
                    <w:tr2bl w:val="nil"/>
                  </w:tcBorders>
                  <w:vAlign w:val="center"/>
                </w:tcPr>
                <w:p w14:paraId="3629FC9B">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p>
              </w:tc>
              <w:tc>
                <w:tcPr>
                  <w:tcW w:w="1041" w:type="pct"/>
                  <w:tcBorders>
                    <w:tl2br w:val="nil"/>
                    <w:tr2bl w:val="nil"/>
                  </w:tcBorders>
                  <w:shd w:val="clear" w:color="auto" w:fill="auto"/>
                  <w:vAlign w:val="center"/>
                </w:tcPr>
                <w:p w14:paraId="295ABCE5">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auto"/>
                      <w:spacing w:val="8"/>
                      <w:kern w:val="2"/>
                      <w:sz w:val="21"/>
                      <w:szCs w:val="21"/>
                      <w:lang w:val="en-US" w:eastAsia="zh-CN" w:bidi="ar-SA"/>
                    </w:rPr>
                  </w:pPr>
                  <w:r>
                    <w:rPr>
                      <w:rFonts w:hint="default" w:ascii="Times New Roman" w:hAnsi="Times New Roman" w:cs="Times New Roman"/>
                      <w:color w:val="auto"/>
                      <w:spacing w:val="8"/>
                      <w:sz w:val="21"/>
                      <w:szCs w:val="21"/>
                      <w:lang w:val="en-US" w:eastAsia="zh-CN"/>
                    </w:rPr>
                    <w:t>脱硫过程</w:t>
                  </w:r>
                </w:p>
              </w:tc>
              <w:tc>
                <w:tcPr>
                  <w:tcW w:w="1402" w:type="pct"/>
                  <w:tcBorders>
                    <w:tl2br w:val="nil"/>
                    <w:tr2bl w:val="nil"/>
                  </w:tcBorders>
                  <w:shd w:val="clear" w:color="auto" w:fill="auto"/>
                  <w:vAlign w:val="center"/>
                </w:tcPr>
                <w:p w14:paraId="051874A5">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auto"/>
                      <w:spacing w:val="7"/>
                      <w:kern w:val="2"/>
                      <w:sz w:val="21"/>
                      <w:szCs w:val="21"/>
                      <w:lang w:val="en-US" w:eastAsia="zh-CN" w:bidi="ar-SA"/>
                    </w:rPr>
                  </w:pPr>
                  <w:r>
                    <w:rPr>
                      <w:rFonts w:hint="default" w:ascii="Times New Roman" w:hAnsi="Times New Roman" w:cs="Times New Roman"/>
                      <w:color w:val="auto"/>
                      <w:spacing w:val="7"/>
                      <w:sz w:val="21"/>
                      <w:szCs w:val="21"/>
                      <w:lang w:val="en-US" w:eastAsia="zh-CN"/>
                    </w:rPr>
                    <w:t>脱硫废水</w:t>
                  </w:r>
                </w:p>
              </w:tc>
              <w:tc>
                <w:tcPr>
                  <w:tcW w:w="383" w:type="pct"/>
                  <w:tcBorders>
                    <w:tl2br w:val="nil"/>
                    <w:tr2bl w:val="nil"/>
                  </w:tcBorders>
                  <w:shd w:val="clear" w:color="auto" w:fill="auto"/>
                  <w:vAlign w:val="center"/>
                </w:tcPr>
                <w:p w14:paraId="416430EB">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auto"/>
                      <w:spacing w:val="7"/>
                      <w:kern w:val="2"/>
                      <w:sz w:val="21"/>
                      <w:szCs w:val="21"/>
                      <w:lang w:val="en-US" w:eastAsia="zh-CN" w:bidi="ar-SA"/>
                    </w:rPr>
                  </w:pPr>
                  <w:r>
                    <w:rPr>
                      <w:rFonts w:hint="default" w:ascii="Times New Roman" w:hAnsi="Times New Roman" w:cs="Times New Roman"/>
                      <w:color w:val="auto"/>
                      <w:spacing w:val="7"/>
                      <w:sz w:val="21"/>
                      <w:szCs w:val="21"/>
                      <w:lang w:val="en-US" w:eastAsia="zh-CN"/>
                    </w:rPr>
                    <w:t>W4</w:t>
                  </w:r>
                </w:p>
              </w:tc>
              <w:tc>
                <w:tcPr>
                  <w:tcW w:w="1488" w:type="pct"/>
                  <w:tcBorders>
                    <w:tl2br w:val="nil"/>
                    <w:tr2bl w:val="nil"/>
                  </w:tcBorders>
                  <w:shd w:val="clear" w:color="auto" w:fill="auto"/>
                  <w:vAlign w:val="center"/>
                </w:tcPr>
                <w:p w14:paraId="2603D340">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无机盐类、SS</w:t>
                  </w:r>
                </w:p>
              </w:tc>
            </w:tr>
            <w:tr w14:paraId="08759DC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683" w:type="pct"/>
                  <w:vMerge w:val="continue"/>
                  <w:tcBorders>
                    <w:tl2br w:val="nil"/>
                    <w:tr2bl w:val="nil"/>
                  </w:tcBorders>
                  <w:vAlign w:val="center"/>
                </w:tcPr>
                <w:p w14:paraId="48CFDA02">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p>
              </w:tc>
              <w:tc>
                <w:tcPr>
                  <w:tcW w:w="1041" w:type="pct"/>
                  <w:tcBorders>
                    <w:tl2br w:val="nil"/>
                    <w:tr2bl w:val="nil"/>
                  </w:tcBorders>
                  <w:vAlign w:val="center"/>
                </w:tcPr>
                <w:p w14:paraId="6D49C36D">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pacing w:val="8"/>
                      <w:sz w:val="21"/>
                      <w:szCs w:val="21"/>
                    </w:rPr>
                    <w:t>化验室</w:t>
                  </w:r>
                </w:p>
              </w:tc>
              <w:tc>
                <w:tcPr>
                  <w:tcW w:w="1402" w:type="pct"/>
                  <w:tcBorders>
                    <w:tl2br w:val="nil"/>
                    <w:tr2bl w:val="nil"/>
                  </w:tcBorders>
                  <w:vAlign w:val="center"/>
                </w:tcPr>
                <w:p w14:paraId="7B7E8B28">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pacing w:val="7"/>
                      <w:sz w:val="21"/>
                      <w:szCs w:val="21"/>
                      <w:lang w:val="en-US" w:eastAsia="zh-CN"/>
                    </w:rPr>
                  </w:pPr>
                  <w:r>
                    <w:rPr>
                      <w:rFonts w:hint="default" w:ascii="Times New Roman" w:hAnsi="Times New Roman" w:cs="Times New Roman"/>
                      <w:color w:val="auto"/>
                      <w:spacing w:val="7"/>
                      <w:sz w:val="21"/>
                      <w:szCs w:val="21"/>
                      <w:lang w:val="en-US" w:eastAsia="zh-CN"/>
                    </w:rPr>
                    <w:t>一般废水</w:t>
                  </w:r>
                </w:p>
              </w:tc>
              <w:tc>
                <w:tcPr>
                  <w:tcW w:w="383" w:type="pct"/>
                  <w:tcBorders>
                    <w:tl2br w:val="nil"/>
                    <w:tr2bl w:val="nil"/>
                  </w:tcBorders>
                  <w:vAlign w:val="center"/>
                </w:tcPr>
                <w:p w14:paraId="2829B2FD">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pacing w:val="7"/>
                      <w:sz w:val="21"/>
                      <w:szCs w:val="21"/>
                      <w:lang w:val="en-US" w:eastAsia="zh-CN"/>
                    </w:rPr>
                  </w:pPr>
                  <w:r>
                    <w:rPr>
                      <w:rFonts w:hint="default" w:ascii="Times New Roman" w:hAnsi="Times New Roman" w:cs="Times New Roman"/>
                      <w:color w:val="auto"/>
                      <w:spacing w:val="7"/>
                      <w:sz w:val="21"/>
                      <w:szCs w:val="21"/>
                      <w:lang w:val="en-US" w:eastAsia="zh-CN"/>
                    </w:rPr>
                    <w:t>W5</w:t>
                  </w:r>
                </w:p>
              </w:tc>
              <w:tc>
                <w:tcPr>
                  <w:tcW w:w="1488" w:type="pct"/>
                  <w:tcBorders>
                    <w:tl2br w:val="nil"/>
                    <w:tr2bl w:val="nil"/>
                  </w:tcBorders>
                  <w:vAlign w:val="center"/>
                </w:tcPr>
                <w:p w14:paraId="09684589">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pH</w:t>
                  </w:r>
                </w:p>
              </w:tc>
            </w:tr>
            <w:tr w14:paraId="15164E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683" w:type="pct"/>
                  <w:vMerge w:val="continue"/>
                  <w:tcBorders>
                    <w:tl2br w:val="nil"/>
                    <w:tr2bl w:val="nil"/>
                  </w:tcBorders>
                  <w:vAlign w:val="center"/>
                </w:tcPr>
                <w:p w14:paraId="17295E80">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p>
              </w:tc>
              <w:tc>
                <w:tcPr>
                  <w:tcW w:w="1041" w:type="pct"/>
                  <w:tcBorders>
                    <w:tl2br w:val="nil"/>
                    <w:tr2bl w:val="nil"/>
                  </w:tcBorders>
                  <w:vAlign w:val="center"/>
                </w:tcPr>
                <w:p w14:paraId="54CB291D">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办公生活</w:t>
                  </w:r>
                </w:p>
              </w:tc>
              <w:tc>
                <w:tcPr>
                  <w:tcW w:w="1402" w:type="pct"/>
                  <w:tcBorders>
                    <w:tl2br w:val="nil"/>
                    <w:tr2bl w:val="nil"/>
                  </w:tcBorders>
                  <w:vAlign w:val="center"/>
                </w:tcPr>
                <w:p w14:paraId="6D2761B7">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生活污水</w:t>
                  </w:r>
                </w:p>
              </w:tc>
              <w:tc>
                <w:tcPr>
                  <w:tcW w:w="383" w:type="pct"/>
                  <w:tcBorders>
                    <w:tl2br w:val="nil"/>
                    <w:tr2bl w:val="nil"/>
                  </w:tcBorders>
                  <w:vAlign w:val="center"/>
                </w:tcPr>
                <w:p w14:paraId="2C5E60B9">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pacing w:val="7"/>
                      <w:sz w:val="21"/>
                      <w:szCs w:val="21"/>
                      <w:lang w:val="en-US" w:eastAsia="zh-CN"/>
                    </w:rPr>
                  </w:pPr>
                  <w:r>
                    <w:rPr>
                      <w:rFonts w:hint="default" w:ascii="Times New Roman" w:hAnsi="Times New Roman" w:cs="Times New Roman"/>
                      <w:color w:val="auto"/>
                      <w:spacing w:val="7"/>
                      <w:sz w:val="21"/>
                      <w:szCs w:val="21"/>
                      <w:lang w:val="en-US" w:eastAsia="zh-CN"/>
                    </w:rPr>
                    <w:t>W6</w:t>
                  </w:r>
                </w:p>
              </w:tc>
              <w:tc>
                <w:tcPr>
                  <w:tcW w:w="1488" w:type="pct"/>
                  <w:tcBorders>
                    <w:tl2br w:val="nil"/>
                    <w:tr2bl w:val="nil"/>
                  </w:tcBorders>
                  <w:vAlign w:val="center"/>
                </w:tcPr>
                <w:p w14:paraId="2A243D74">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Times New Roman" w:cs="Times New Roman"/>
                      <w:color w:val="auto"/>
                      <w:sz w:val="21"/>
                      <w:szCs w:val="21"/>
                      <w:lang w:val="en-US"/>
                    </w:rPr>
                  </w:pPr>
                  <w:r>
                    <w:rPr>
                      <w:rFonts w:hint="default" w:ascii="Times New Roman" w:hAnsi="Times New Roman" w:eastAsia="宋体" w:cs="Times New Roman"/>
                      <w:color w:val="auto"/>
                      <w:sz w:val="21"/>
                      <w:szCs w:val="21"/>
                      <w:lang w:val="en-US" w:eastAsia="zh-CN"/>
                    </w:rPr>
                    <w:t>pH、COD、BOD</w:t>
                  </w:r>
                  <w:r>
                    <w:rPr>
                      <w:rFonts w:hint="default" w:ascii="Times New Roman" w:hAnsi="Times New Roman" w:eastAsia="宋体" w:cs="Times New Roman"/>
                      <w:color w:val="auto"/>
                      <w:sz w:val="21"/>
                      <w:szCs w:val="21"/>
                      <w:vertAlign w:val="subscript"/>
                      <w:lang w:val="en-US" w:eastAsia="zh-CN"/>
                    </w:rPr>
                    <w:t>5</w:t>
                  </w:r>
                  <w:r>
                    <w:rPr>
                      <w:rFonts w:hint="default" w:ascii="Times New Roman" w:hAnsi="Times New Roman" w:eastAsia="宋体" w:cs="Times New Roman"/>
                      <w:color w:val="auto"/>
                      <w:sz w:val="21"/>
                      <w:szCs w:val="21"/>
                      <w:lang w:val="en-US" w:eastAsia="zh-CN"/>
                    </w:rPr>
                    <w:t>、SS、NH</w:t>
                  </w:r>
                  <w:r>
                    <w:rPr>
                      <w:rFonts w:hint="default" w:ascii="Times New Roman" w:hAnsi="Times New Roman" w:eastAsia="宋体" w:cs="Times New Roman"/>
                      <w:color w:val="auto"/>
                      <w:sz w:val="21"/>
                      <w:szCs w:val="21"/>
                      <w:vertAlign w:val="subscript"/>
                      <w:lang w:val="en-US" w:eastAsia="zh-CN"/>
                    </w:rPr>
                    <w:t>3</w:t>
                  </w:r>
                  <w:r>
                    <w:rPr>
                      <w:rFonts w:hint="default" w:ascii="Times New Roman" w:hAnsi="Times New Roman" w:eastAsia="宋体" w:cs="Times New Roman"/>
                      <w:color w:val="auto"/>
                      <w:sz w:val="21"/>
                      <w:szCs w:val="21"/>
                      <w:lang w:val="en-US" w:eastAsia="zh-CN"/>
                    </w:rPr>
                    <w:t>-N</w:t>
                  </w:r>
                  <w:r>
                    <w:rPr>
                      <w:rFonts w:hint="default" w:ascii="Times New Roman" w:hAnsi="Times New Roman" w:cs="Times New Roman"/>
                      <w:color w:val="auto"/>
                      <w:sz w:val="21"/>
                      <w:szCs w:val="21"/>
                      <w:lang w:val="en-US" w:eastAsia="zh-CN"/>
                    </w:rPr>
                    <w:t>、动植物油</w:t>
                  </w:r>
                </w:p>
              </w:tc>
            </w:tr>
            <w:tr w14:paraId="2298BAF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152" w:hRule="atLeast"/>
              </w:trPr>
              <w:tc>
                <w:tcPr>
                  <w:tcW w:w="683" w:type="pct"/>
                  <w:vMerge w:val="restart"/>
                  <w:tcBorders>
                    <w:tl2br w:val="nil"/>
                    <w:tr2bl w:val="nil"/>
                  </w:tcBorders>
                  <w:vAlign w:val="center"/>
                </w:tcPr>
                <w:p w14:paraId="1DEEAE30">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固体废物</w:t>
                  </w:r>
                </w:p>
              </w:tc>
              <w:tc>
                <w:tcPr>
                  <w:tcW w:w="1041" w:type="pct"/>
                  <w:tcBorders>
                    <w:tl2br w:val="nil"/>
                    <w:tr2bl w:val="nil"/>
                  </w:tcBorders>
                  <w:vAlign w:val="center"/>
                </w:tcPr>
                <w:p w14:paraId="27F15212">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软化水制备</w:t>
                  </w:r>
                </w:p>
              </w:tc>
              <w:tc>
                <w:tcPr>
                  <w:tcW w:w="1402" w:type="pct"/>
                  <w:tcBorders>
                    <w:tl2br w:val="nil"/>
                    <w:tr2bl w:val="nil"/>
                  </w:tcBorders>
                  <w:vAlign w:val="center"/>
                </w:tcPr>
                <w:p w14:paraId="18735B3B">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废滤膜</w:t>
                  </w:r>
                </w:p>
              </w:tc>
              <w:tc>
                <w:tcPr>
                  <w:tcW w:w="383" w:type="pct"/>
                  <w:tcBorders>
                    <w:tl2br w:val="nil"/>
                    <w:tr2bl w:val="nil"/>
                  </w:tcBorders>
                  <w:shd w:val="clear" w:color="auto" w:fill="auto"/>
                  <w:vAlign w:val="center"/>
                </w:tcPr>
                <w:p w14:paraId="335E2077">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S1</w:t>
                  </w:r>
                </w:p>
              </w:tc>
              <w:tc>
                <w:tcPr>
                  <w:tcW w:w="1488" w:type="pct"/>
                  <w:tcBorders>
                    <w:bottom w:val="single" w:color="auto" w:sz="4" w:space="0"/>
                    <w:tl2br w:val="nil"/>
                    <w:tr2bl w:val="nil"/>
                  </w:tcBorders>
                  <w:vAlign w:val="center"/>
                </w:tcPr>
                <w:p w14:paraId="17E84E41">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val="en-US" w:eastAsia="zh-CN"/>
                    </w:rPr>
                    <w:t>一般固废</w:t>
                  </w:r>
                </w:p>
              </w:tc>
            </w:tr>
            <w:tr w14:paraId="0436949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683" w:type="pct"/>
                  <w:vMerge w:val="continue"/>
                  <w:tcBorders>
                    <w:tl2br w:val="nil"/>
                    <w:tr2bl w:val="nil"/>
                  </w:tcBorders>
                  <w:vAlign w:val="center"/>
                </w:tcPr>
                <w:p w14:paraId="03664F2D">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p>
              </w:tc>
              <w:tc>
                <w:tcPr>
                  <w:tcW w:w="1041" w:type="pct"/>
                  <w:tcBorders>
                    <w:tl2br w:val="nil"/>
                    <w:tr2bl w:val="nil"/>
                  </w:tcBorders>
                  <w:vAlign w:val="center"/>
                </w:tcPr>
                <w:p w14:paraId="3260762B">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烟气脱硝</w:t>
                  </w:r>
                </w:p>
              </w:tc>
              <w:tc>
                <w:tcPr>
                  <w:tcW w:w="1402" w:type="pct"/>
                  <w:tcBorders>
                    <w:tl2br w:val="nil"/>
                    <w:tr2bl w:val="nil"/>
                  </w:tcBorders>
                  <w:vAlign w:val="center"/>
                </w:tcPr>
                <w:p w14:paraId="0E9FFF49">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废催化剂</w:t>
                  </w:r>
                </w:p>
              </w:tc>
              <w:tc>
                <w:tcPr>
                  <w:tcW w:w="383" w:type="pct"/>
                  <w:tcBorders>
                    <w:tl2br w:val="nil"/>
                    <w:tr2bl w:val="nil"/>
                  </w:tcBorders>
                  <w:shd w:val="clear" w:color="auto" w:fill="auto"/>
                  <w:vAlign w:val="center"/>
                </w:tcPr>
                <w:p w14:paraId="42B189ED">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S2</w:t>
                  </w:r>
                </w:p>
              </w:tc>
              <w:tc>
                <w:tcPr>
                  <w:tcW w:w="1488" w:type="pct"/>
                  <w:tcBorders>
                    <w:top w:val="single" w:color="auto" w:sz="4" w:space="0"/>
                    <w:bottom w:val="single" w:color="auto" w:sz="4" w:space="0"/>
                    <w:tl2br w:val="nil"/>
                    <w:tr2bl w:val="nil"/>
                  </w:tcBorders>
                  <w:vAlign w:val="center"/>
                </w:tcPr>
                <w:p w14:paraId="307F54CE">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危险废物</w:t>
                  </w:r>
                </w:p>
              </w:tc>
            </w:tr>
            <w:tr w14:paraId="76188C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683" w:type="pct"/>
                  <w:vMerge w:val="continue"/>
                  <w:tcBorders>
                    <w:tl2br w:val="nil"/>
                    <w:tr2bl w:val="nil"/>
                  </w:tcBorders>
                  <w:vAlign w:val="center"/>
                </w:tcPr>
                <w:p w14:paraId="5CF15244">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p>
              </w:tc>
              <w:tc>
                <w:tcPr>
                  <w:tcW w:w="1041" w:type="pct"/>
                  <w:tcBorders>
                    <w:tl2br w:val="nil"/>
                    <w:tr2bl w:val="nil"/>
                  </w:tcBorders>
                  <w:vAlign w:val="center"/>
                </w:tcPr>
                <w:p w14:paraId="750A99BC">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烟气湿法脱硫</w:t>
                  </w:r>
                </w:p>
              </w:tc>
              <w:tc>
                <w:tcPr>
                  <w:tcW w:w="1402" w:type="pct"/>
                  <w:tcBorders>
                    <w:tl2br w:val="nil"/>
                    <w:tr2bl w:val="nil"/>
                  </w:tcBorders>
                  <w:vAlign w:val="center"/>
                </w:tcPr>
                <w:p w14:paraId="0B8D7971">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脱硫石膏</w:t>
                  </w:r>
                </w:p>
              </w:tc>
              <w:tc>
                <w:tcPr>
                  <w:tcW w:w="383" w:type="pct"/>
                  <w:tcBorders>
                    <w:tl2br w:val="nil"/>
                    <w:tr2bl w:val="nil"/>
                  </w:tcBorders>
                  <w:shd w:val="clear" w:color="auto" w:fill="auto"/>
                  <w:vAlign w:val="center"/>
                </w:tcPr>
                <w:p w14:paraId="6A3C8DE0">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S</w:t>
                  </w:r>
                  <w:r>
                    <w:rPr>
                      <w:rFonts w:hint="default" w:ascii="Times New Roman" w:hAnsi="Times New Roman" w:cs="Times New Roman"/>
                      <w:color w:val="auto"/>
                      <w:sz w:val="21"/>
                      <w:szCs w:val="21"/>
                      <w:lang w:val="en-US" w:eastAsia="zh-CN"/>
                    </w:rPr>
                    <w:t>3</w:t>
                  </w:r>
                </w:p>
              </w:tc>
              <w:tc>
                <w:tcPr>
                  <w:tcW w:w="1488" w:type="pct"/>
                  <w:tcBorders>
                    <w:top w:val="single" w:color="auto" w:sz="4" w:space="0"/>
                    <w:bottom w:val="single" w:color="auto" w:sz="4" w:space="0"/>
                    <w:tl2br w:val="nil"/>
                    <w:tr2bl w:val="nil"/>
                  </w:tcBorders>
                  <w:vAlign w:val="center"/>
                </w:tcPr>
                <w:p w14:paraId="2D09F454">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r>
                    <w:rPr>
                      <w:rFonts w:hint="default" w:ascii="Times New Roman" w:hAnsi="Times New Roman" w:eastAsia="宋体" w:cs="Times New Roman"/>
                      <w:color w:val="auto"/>
                      <w:sz w:val="21"/>
                      <w:szCs w:val="21"/>
                      <w:lang w:val="en-US" w:eastAsia="zh-CN"/>
                    </w:rPr>
                    <w:t>一般固废</w:t>
                  </w:r>
                </w:p>
              </w:tc>
            </w:tr>
            <w:tr w14:paraId="002F889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683" w:type="pct"/>
                  <w:vMerge w:val="continue"/>
                  <w:tcBorders>
                    <w:tl2br w:val="nil"/>
                    <w:tr2bl w:val="nil"/>
                  </w:tcBorders>
                  <w:vAlign w:val="center"/>
                </w:tcPr>
                <w:p w14:paraId="61CCDF45">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p>
              </w:tc>
              <w:tc>
                <w:tcPr>
                  <w:tcW w:w="1041" w:type="pct"/>
                  <w:tcBorders>
                    <w:tl2br w:val="nil"/>
                    <w:tr2bl w:val="nil"/>
                  </w:tcBorders>
                  <w:vAlign w:val="center"/>
                </w:tcPr>
                <w:p w14:paraId="625087CA">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val="0"/>
                      <w:bCs w:val="0"/>
                      <w:color w:val="auto"/>
                      <w:sz w:val="21"/>
                      <w:szCs w:val="21"/>
                      <w:lang w:val="en-US" w:eastAsia="zh-CN"/>
                    </w:rPr>
                    <w:t>凝结水收集</w:t>
                  </w:r>
                </w:p>
              </w:tc>
              <w:tc>
                <w:tcPr>
                  <w:tcW w:w="1402" w:type="pct"/>
                  <w:tcBorders>
                    <w:tl2br w:val="nil"/>
                    <w:tr2bl w:val="nil"/>
                  </w:tcBorders>
                  <w:vAlign w:val="center"/>
                </w:tcPr>
                <w:p w14:paraId="512CF5FB">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pacing w:val="7"/>
                      <w:sz w:val="21"/>
                      <w:szCs w:val="21"/>
                      <w:lang w:val="en-US" w:eastAsia="zh-CN"/>
                    </w:rPr>
                  </w:pPr>
                  <w:r>
                    <w:rPr>
                      <w:rFonts w:hint="default" w:ascii="Times New Roman" w:hAnsi="Times New Roman" w:cs="Times New Roman"/>
                      <w:b w:val="0"/>
                      <w:bCs w:val="0"/>
                      <w:color w:val="auto"/>
                      <w:sz w:val="21"/>
                      <w:szCs w:val="21"/>
                      <w:lang w:val="en-US" w:eastAsia="zh-CN"/>
                    </w:rPr>
                    <w:t>过滤废物</w:t>
                  </w:r>
                </w:p>
              </w:tc>
              <w:tc>
                <w:tcPr>
                  <w:tcW w:w="383" w:type="pct"/>
                  <w:tcBorders>
                    <w:tl2br w:val="nil"/>
                    <w:tr2bl w:val="nil"/>
                  </w:tcBorders>
                  <w:shd w:val="clear" w:color="auto" w:fill="auto"/>
                  <w:vAlign w:val="center"/>
                </w:tcPr>
                <w:p w14:paraId="2692A812">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auto"/>
                      <w:spacing w:val="7"/>
                      <w:kern w:val="2"/>
                      <w:sz w:val="21"/>
                      <w:szCs w:val="21"/>
                      <w:lang w:val="en-US" w:eastAsia="zh-CN" w:bidi="ar-SA"/>
                    </w:rPr>
                  </w:pPr>
                  <w:r>
                    <w:rPr>
                      <w:rFonts w:hint="default" w:ascii="Times New Roman" w:hAnsi="Times New Roman" w:cs="Times New Roman"/>
                      <w:b w:val="0"/>
                      <w:bCs w:val="0"/>
                      <w:color w:val="auto"/>
                      <w:sz w:val="21"/>
                      <w:szCs w:val="21"/>
                      <w:lang w:val="en-US" w:eastAsia="zh-CN"/>
                    </w:rPr>
                    <w:t>S4</w:t>
                  </w:r>
                </w:p>
              </w:tc>
              <w:tc>
                <w:tcPr>
                  <w:tcW w:w="1488" w:type="pct"/>
                  <w:tcBorders>
                    <w:top w:val="single" w:color="auto" w:sz="4" w:space="0"/>
                    <w:bottom w:val="single" w:color="auto" w:sz="4" w:space="0"/>
                    <w:tl2br w:val="nil"/>
                    <w:tr2bl w:val="nil"/>
                  </w:tcBorders>
                  <w:vAlign w:val="center"/>
                </w:tcPr>
                <w:p w14:paraId="0A6BEAE7">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一般固废</w:t>
                  </w:r>
                </w:p>
              </w:tc>
            </w:tr>
            <w:tr w14:paraId="1021B8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683" w:type="pct"/>
                  <w:vMerge w:val="continue"/>
                  <w:tcBorders>
                    <w:tl2br w:val="nil"/>
                    <w:tr2bl w:val="nil"/>
                  </w:tcBorders>
                  <w:vAlign w:val="center"/>
                </w:tcPr>
                <w:p w14:paraId="58E45837">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p>
              </w:tc>
              <w:tc>
                <w:tcPr>
                  <w:tcW w:w="1041" w:type="pct"/>
                  <w:tcBorders>
                    <w:tl2br w:val="nil"/>
                    <w:tr2bl w:val="nil"/>
                  </w:tcBorders>
                  <w:vAlign w:val="center"/>
                </w:tcPr>
                <w:p w14:paraId="115A14D3">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color w:val="auto"/>
                      <w:spacing w:val="6"/>
                      <w:sz w:val="21"/>
                      <w:szCs w:val="21"/>
                    </w:rPr>
                    <w:t>化验室</w:t>
                  </w:r>
                </w:p>
              </w:tc>
              <w:tc>
                <w:tcPr>
                  <w:tcW w:w="1402" w:type="pct"/>
                  <w:tcBorders>
                    <w:tl2br w:val="nil"/>
                    <w:tr2bl w:val="nil"/>
                  </w:tcBorders>
                  <w:vAlign w:val="center"/>
                </w:tcPr>
                <w:p w14:paraId="16D18089">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auto"/>
                      <w:spacing w:val="8"/>
                      <w:sz w:val="21"/>
                      <w:szCs w:val="21"/>
                      <w:lang w:val="en-US" w:eastAsia="zh-CN"/>
                    </w:rPr>
                  </w:pPr>
                  <w:r>
                    <w:rPr>
                      <w:rFonts w:hint="default" w:ascii="Times New Roman" w:hAnsi="Times New Roman" w:cs="Times New Roman"/>
                      <w:color w:val="auto"/>
                      <w:spacing w:val="8"/>
                      <w:sz w:val="21"/>
                      <w:szCs w:val="21"/>
                      <w:lang w:val="en-US" w:eastAsia="zh-CN"/>
                    </w:rPr>
                    <w:t>含有重金属等检验废水</w:t>
                  </w:r>
                </w:p>
              </w:tc>
              <w:tc>
                <w:tcPr>
                  <w:tcW w:w="383" w:type="pct"/>
                  <w:tcBorders>
                    <w:tl2br w:val="nil"/>
                    <w:tr2bl w:val="nil"/>
                  </w:tcBorders>
                  <w:shd w:val="clear" w:color="auto" w:fill="auto"/>
                  <w:vAlign w:val="center"/>
                </w:tcPr>
                <w:p w14:paraId="6C84BF8F">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cs="Times New Roman"/>
                      <w:color w:val="auto"/>
                      <w:spacing w:val="8"/>
                      <w:sz w:val="21"/>
                      <w:szCs w:val="21"/>
                      <w:lang w:val="en-US" w:eastAsia="zh-CN"/>
                    </w:rPr>
                  </w:pPr>
                  <w:r>
                    <w:rPr>
                      <w:rFonts w:hint="default" w:ascii="Times New Roman" w:hAnsi="Times New Roman" w:cs="Times New Roman"/>
                      <w:color w:val="auto"/>
                      <w:spacing w:val="7"/>
                      <w:sz w:val="21"/>
                      <w:szCs w:val="21"/>
                      <w:lang w:val="en-US" w:eastAsia="zh-CN"/>
                    </w:rPr>
                    <w:t>S5</w:t>
                  </w:r>
                </w:p>
              </w:tc>
              <w:tc>
                <w:tcPr>
                  <w:tcW w:w="1488" w:type="pct"/>
                  <w:tcBorders>
                    <w:top w:val="single" w:color="auto" w:sz="4" w:space="0"/>
                    <w:bottom w:val="single" w:color="auto" w:sz="4" w:space="0"/>
                    <w:tl2br w:val="nil"/>
                    <w:tr2bl w:val="nil"/>
                  </w:tcBorders>
                  <w:vAlign w:val="center"/>
                </w:tcPr>
                <w:p w14:paraId="52DEEE7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危险废物</w:t>
                  </w:r>
                </w:p>
              </w:tc>
            </w:tr>
            <w:tr w14:paraId="5129392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683" w:type="pct"/>
                  <w:vMerge w:val="continue"/>
                  <w:tcBorders>
                    <w:tl2br w:val="nil"/>
                    <w:tr2bl w:val="nil"/>
                  </w:tcBorders>
                  <w:vAlign w:val="center"/>
                </w:tcPr>
                <w:p w14:paraId="458C280C">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p>
              </w:tc>
              <w:tc>
                <w:tcPr>
                  <w:tcW w:w="1041" w:type="pct"/>
                  <w:tcBorders>
                    <w:tl2br w:val="nil"/>
                    <w:tr2bl w:val="nil"/>
                  </w:tcBorders>
                  <w:vAlign w:val="center"/>
                </w:tcPr>
                <w:p w14:paraId="37354BC9">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机械设备运行维修</w:t>
                  </w:r>
                </w:p>
              </w:tc>
              <w:tc>
                <w:tcPr>
                  <w:tcW w:w="1402" w:type="pct"/>
                  <w:tcBorders>
                    <w:tl2br w:val="nil"/>
                    <w:tr2bl w:val="nil"/>
                  </w:tcBorders>
                  <w:vAlign w:val="center"/>
                </w:tcPr>
                <w:p w14:paraId="10742821">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8"/>
                      <w:sz w:val="21"/>
                      <w:szCs w:val="21"/>
                    </w:rPr>
                    <w:t>废机油</w:t>
                  </w:r>
                </w:p>
              </w:tc>
              <w:tc>
                <w:tcPr>
                  <w:tcW w:w="383" w:type="pct"/>
                  <w:tcBorders>
                    <w:tl2br w:val="nil"/>
                    <w:tr2bl w:val="nil"/>
                  </w:tcBorders>
                  <w:shd w:val="clear" w:color="auto" w:fill="auto"/>
                  <w:vAlign w:val="center"/>
                </w:tcPr>
                <w:p w14:paraId="21A3D68E">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leftChars="0"/>
                    <w:jc w:val="center"/>
                    <w:textAlignment w:val="baseline"/>
                    <w:rPr>
                      <w:rFonts w:hint="default" w:ascii="Times New Roman" w:hAnsi="Times New Roman" w:eastAsia="宋体" w:cs="Times New Roman"/>
                      <w:color w:val="auto"/>
                      <w:spacing w:val="8"/>
                      <w:kern w:val="2"/>
                      <w:sz w:val="21"/>
                      <w:szCs w:val="21"/>
                      <w:lang w:val="en-US" w:eastAsia="zh-CN" w:bidi="ar-SA"/>
                    </w:rPr>
                  </w:pPr>
                  <w:r>
                    <w:rPr>
                      <w:rFonts w:hint="default" w:ascii="Times New Roman" w:hAnsi="Times New Roman" w:cs="Times New Roman"/>
                      <w:color w:val="auto"/>
                      <w:spacing w:val="8"/>
                      <w:sz w:val="21"/>
                      <w:szCs w:val="21"/>
                      <w:lang w:val="en-US" w:eastAsia="zh-CN"/>
                    </w:rPr>
                    <w:t>S6</w:t>
                  </w:r>
                </w:p>
              </w:tc>
              <w:tc>
                <w:tcPr>
                  <w:tcW w:w="1488" w:type="pct"/>
                  <w:tcBorders>
                    <w:top w:val="single" w:color="auto" w:sz="4" w:space="0"/>
                    <w:bottom w:val="single" w:color="auto" w:sz="4" w:space="0"/>
                    <w:tl2br w:val="nil"/>
                    <w:tr2bl w:val="nil"/>
                  </w:tcBorders>
                  <w:vAlign w:val="center"/>
                </w:tcPr>
                <w:p w14:paraId="6AAC6C66">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6"/>
                      <w:sz w:val="21"/>
                      <w:szCs w:val="21"/>
                    </w:rPr>
                    <w:t>危险废物</w:t>
                  </w:r>
                </w:p>
              </w:tc>
            </w:tr>
            <w:tr w14:paraId="0BEEFD9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683" w:type="pct"/>
                  <w:tcBorders>
                    <w:tl2br w:val="nil"/>
                    <w:tr2bl w:val="nil"/>
                  </w:tcBorders>
                  <w:vAlign w:val="center"/>
                </w:tcPr>
                <w:p w14:paraId="5D483218">
                  <w:pPr>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生活垃圾</w:t>
                  </w:r>
                </w:p>
              </w:tc>
              <w:tc>
                <w:tcPr>
                  <w:tcW w:w="1041" w:type="pct"/>
                  <w:tcBorders>
                    <w:tl2br w:val="nil"/>
                    <w:tr2bl w:val="nil"/>
                  </w:tcBorders>
                  <w:vAlign w:val="center"/>
                </w:tcPr>
                <w:p w14:paraId="3F156D89">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人员生活</w:t>
                  </w:r>
                </w:p>
              </w:tc>
              <w:tc>
                <w:tcPr>
                  <w:tcW w:w="1402" w:type="pct"/>
                  <w:tcBorders>
                    <w:tl2br w:val="nil"/>
                    <w:tr2bl w:val="nil"/>
                  </w:tcBorders>
                  <w:vAlign w:val="center"/>
                </w:tcPr>
                <w:p w14:paraId="4E5D867B">
                  <w:pPr>
                    <w:keepNext w:val="0"/>
                    <w:keepLines w:val="0"/>
                    <w:pageBreakBefore w:val="0"/>
                    <w:widowControl/>
                    <w:suppressLineNumbers w:val="0"/>
                    <w:wordWrap/>
                    <w:overflowPunct/>
                    <w:topLinePunct w:val="0"/>
                    <w:autoSpaceDE w:val="0"/>
                    <w:autoSpaceDN w:val="0"/>
                    <w:bidi w:val="0"/>
                    <w:jc w:val="center"/>
                    <w:textAlignment w:val="center"/>
                    <w:rPr>
                      <w:rFonts w:hint="default"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生活垃圾</w:t>
                  </w:r>
                </w:p>
              </w:tc>
              <w:tc>
                <w:tcPr>
                  <w:tcW w:w="383" w:type="pct"/>
                  <w:tcBorders>
                    <w:tl2br w:val="nil"/>
                    <w:tr2bl w:val="nil"/>
                  </w:tcBorders>
                  <w:vAlign w:val="center"/>
                </w:tcPr>
                <w:p w14:paraId="175B7757">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pacing w:val="7"/>
                      <w:sz w:val="21"/>
                      <w:szCs w:val="21"/>
                      <w:lang w:val="en-US" w:eastAsia="zh-CN"/>
                    </w:rPr>
                  </w:pPr>
                  <w:r>
                    <w:rPr>
                      <w:rFonts w:hint="default" w:ascii="Times New Roman" w:hAnsi="Times New Roman" w:cs="Times New Roman"/>
                      <w:color w:val="auto"/>
                      <w:spacing w:val="7"/>
                      <w:sz w:val="21"/>
                      <w:szCs w:val="21"/>
                      <w:lang w:val="en-US" w:eastAsia="zh-CN"/>
                    </w:rPr>
                    <w:t>S7</w:t>
                  </w:r>
                </w:p>
              </w:tc>
              <w:tc>
                <w:tcPr>
                  <w:tcW w:w="1488" w:type="pct"/>
                  <w:tcBorders>
                    <w:top w:val="single" w:color="auto" w:sz="4" w:space="0"/>
                    <w:tl2br w:val="nil"/>
                    <w:tr2bl w:val="nil"/>
                  </w:tcBorders>
                  <w:vAlign w:val="center"/>
                </w:tcPr>
                <w:p w14:paraId="5F27D002">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一般固体废物</w:t>
                  </w:r>
                </w:p>
              </w:tc>
            </w:tr>
            <w:tr w14:paraId="331A745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57" w:hRule="atLeast"/>
              </w:trPr>
              <w:tc>
                <w:tcPr>
                  <w:tcW w:w="683" w:type="pct"/>
                  <w:tcBorders>
                    <w:tl2br w:val="nil"/>
                    <w:tr2bl w:val="nil"/>
                  </w:tcBorders>
                  <w:vAlign w:val="center"/>
                </w:tcPr>
                <w:p w14:paraId="766122AB">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1"/>
                      <w:sz w:val="21"/>
                      <w:szCs w:val="21"/>
                    </w:rPr>
                    <w:t>噪声</w:t>
                  </w:r>
                </w:p>
              </w:tc>
              <w:tc>
                <w:tcPr>
                  <w:tcW w:w="1041" w:type="pct"/>
                  <w:tcBorders>
                    <w:tl2br w:val="nil"/>
                    <w:tr2bl w:val="nil"/>
                  </w:tcBorders>
                  <w:vAlign w:val="center"/>
                </w:tcPr>
                <w:p w14:paraId="7EC8B297">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lang w:val="en-US" w:eastAsia="zh-CN"/>
                    </w:rPr>
                    <w:t>机械设备运行</w:t>
                  </w:r>
                </w:p>
              </w:tc>
              <w:tc>
                <w:tcPr>
                  <w:tcW w:w="1402" w:type="pct"/>
                  <w:tcBorders>
                    <w:tl2br w:val="nil"/>
                    <w:tr2bl w:val="nil"/>
                  </w:tcBorders>
                  <w:vAlign w:val="center"/>
                </w:tcPr>
                <w:p w14:paraId="56E517FD">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pacing w:val="6"/>
                      <w:sz w:val="21"/>
                      <w:szCs w:val="21"/>
                    </w:rPr>
                    <w:t>设备噪声</w:t>
                  </w:r>
                </w:p>
              </w:tc>
              <w:tc>
                <w:tcPr>
                  <w:tcW w:w="383" w:type="pct"/>
                  <w:tcBorders>
                    <w:tl2br w:val="nil"/>
                    <w:tr2bl w:val="nil"/>
                  </w:tcBorders>
                  <w:vAlign w:val="center"/>
                </w:tcPr>
                <w:p w14:paraId="22B28A70">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宋体" w:cs="Times New Roman"/>
                      <w:color w:val="auto"/>
                      <w:spacing w:val="6"/>
                      <w:sz w:val="21"/>
                      <w:szCs w:val="21"/>
                      <w:lang w:val="en-US" w:eastAsia="zh-CN"/>
                    </w:rPr>
                  </w:pPr>
                  <w:r>
                    <w:rPr>
                      <w:rFonts w:hint="default" w:ascii="Times New Roman" w:hAnsi="Times New Roman" w:cs="Times New Roman"/>
                      <w:color w:val="auto"/>
                      <w:spacing w:val="6"/>
                      <w:sz w:val="21"/>
                      <w:szCs w:val="21"/>
                      <w:lang w:val="en-US" w:eastAsia="zh-CN"/>
                    </w:rPr>
                    <w:t>N</w:t>
                  </w:r>
                </w:p>
              </w:tc>
              <w:tc>
                <w:tcPr>
                  <w:tcW w:w="1488" w:type="pct"/>
                  <w:tcBorders>
                    <w:tl2br w:val="nil"/>
                    <w:tr2bl w:val="nil"/>
                  </w:tcBorders>
                  <w:vAlign w:val="center"/>
                </w:tcPr>
                <w:p w14:paraId="7BEACEB5">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cs="Times New Roman"/>
                      <w:color w:val="auto"/>
                      <w:spacing w:val="8"/>
                      <w:sz w:val="21"/>
                      <w:szCs w:val="21"/>
                    </w:rPr>
                    <w:t>噪声</w:t>
                  </w:r>
                  <w:r>
                    <w:rPr>
                      <w:rFonts w:hint="default" w:ascii="Times New Roman" w:hAnsi="Times New Roman" w:eastAsia="宋体" w:cs="Times New Roman"/>
                      <w:i w:val="0"/>
                      <w:iCs w:val="0"/>
                      <w:color w:val="auto"/>
                      <w:kern w:val="0"/>
                      <w:sz w:val="21"/>
                      <w:szCs w:val="21"/>
                      <w:u w:val="none"/>
                      <w:lang w:val="en-US" w:eastAsia="zh-CN" w:bidi="ar"/>
                    </w:rPr>
                    <w:t>dB（A）</w:t>
                  </w:r>
                </w:p>
              </w:tc>
            </w:tr>
          </w:tbl>
          <w:p w14:paraId="54C806B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bCs/>
                <w:color w:val="auto"/>
                <w:kern w:val="2"/>
                <w:sz w:val="24"/>
                <w:szCs w:val="24"/>
                <w:lang w:val="en-US" w:eastAsia="zh-CN" w:bidi="ar-SA"/>
              </w:rPr>
            </w:pPr>
          </w:p>
        </w:tc>
      </w:tr>
      <w:tr w14:paraId="4151B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6" w:type="dxa"/>
            <w:shd w:val="clear" w:color="auto" w:fill="auto"/>
            <w:vAlign w:val="center"/>
          </w:tcPr>
          <w:p w14:paraId="25705F88">
            <w:pPr>
              <w:pStyle w:val="28"/>
              <w:keepNext w:val="0"/>
              <w:keepLines w:val="0"/>
              <w:pageBreakBefore w:val="0"/>
              <w:kinsoku/>
              <w:wordWrap/>
              <w:bidi w:val="0"/>
              <w:adjustRightInd/>
              <w:snapToGrid/>
              <w:spacing w:before="0" w:beforeAutospacing="0" w:after="0" w:afterAutospacing="0"/>
              <w:jc w:val="center"/>
              <w:rPr>
                <w:rFonts w:hint="default" w:ascii="Times New Roman" w:hAnsi="Times New Roman" w:eastAsia="宋体" w:cs="Times New Roman"/>
                <w:bCs/>
                <w:color w:val="auto"/>
                <w:kern w:val="2"/>
                <w:sz w:val="24"/>
                <w:szCs w:val="24"/>
                <w:lang w:val="en-US" w:eastAsia="zh-CN" w:bidi="ar-SA"/>
              </w:rPr>
            </w:pPr>
            <w:r>
              <w:rPr>
                <w:rFonts w:hint="default" w:ascii="Times New Roman" w:hAnsi="Times New Roman" w:eastAsia="宋体" w:cs="Times New Roman"/>
                <w:bCs/>
                <w:color w:val="auto"/>
                <w:kern w:val="2"/>
                <w:sz w:val="24"/>
                <w:szCs w:val="24"/>
              </w:rPr>
              <w:t>与项目有关的原有环境污染问题</w:t>
            </w:r>
          </w:p>
        </w:tc>
        <w:tc>
          <w:tcPr>
            <w:tcW w:w="8355" w:type="dxa"/>
            <w:shd w:val="clear" w:color="auto" w:fill="auto"/>
            <w:vAlign w:val="top"/>
          </w:tcPr>
          <w:p w14:paraId="7684D5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本项目为新建工程，无原有环境污染问题。属于吉木萨尔县恒信煤炭制品工贸有限公司120万吨煤制品深加工升级改造项目的煤气利用设施。依托工程回顾性评价如下：</w:t>
            </w:r>
          </w:p>
          <w:p w14:paraId="54BECB4B">
            <w:pPr>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（1）环保手续履行情况和建设情况</w:t>
            </w:r>
          </w:p>
          <w:p w14:paraId="16DB83BD">
            <w:pPr>
              <w:pageBreakBefore w:val="0"/>
              <w:widowControl/>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经核实，吉木萨尔县恒信煤炭制品工贸有限公司120万吨煤制品深加工升级改造项目建设内容为：</w:t>
            </w:r>
            <w:r>
              <w:rPr>
                <w:rFonts w:hint="default" w:ascii="Times New Roman" w:hAnsi="Times New Roman" w:cs="Times New Roman"/>
                <w:color w:val="auto"/>
                <w:sz w:val="24"/>
                <w:szCs w:val="24"/>
              </w:rPr>
              <w:t>拆除现有2台单炉生产能力10万吨/年直立炭化炉，保留4台单炉生产能力10万吨/年的直立炭化炉，续建4座单炉生产能力20万吨/年的直立炭化炉，同步建设干熄焦工艺，煤气净化系统，煤气管线；辅助设施：办公设施、煤场、料场、道路、水、电等。</w:t>
            </w:r>
            <w:r>
              <w:rPr>
                <w:rFonts w:hint="default" w:ascii="Times New Roman" w:hAnsi="Times New Roman" w:cs="Times New Roman"/>
                <w:color w:val="auto"/>
                <w:sz w:val="24"/>
                <w:szCs w:val="24"/>
                <w:lang w:val="en-US" w:eastAsia="zh-CN"/>
              </w:rPr>
              <w:t>该项目</w:t>
            </w:r>
            <w:r>
              <w:rPr>
                <w:rFonts w:hint="default" w:ascii="Times New Roman" w:hAnsi="Times New Roman" w:eastAsia="宋体" w:cs="Times New Roman"/>
                <w:color w:val="auto"/>
                <w:kern w:val="2"/>
                <w:sz w:val="24"/>
                <w:szCs w:val="24"/>
                <w:lang w:val="en-US" w:eastAsia="zh-CN" w:bidi="ar-SA"/>
              </w:rPr>
              <w:t>已于2023年12月取得了由昌吉回族自治州生态环境局出具的《关于吉木萨尔县恒信煤炭制品工贸有限公司120万吨煤制品深加工升级改造项目环境影响报告书的批复》（昌州环评〔2023〕232号）</w:t>
            </w:r>
            <w:r>
              <w:rPr>
                <w:rFonts w:hint="default" w:ascii="Times New Roman" w:hAnsi="Times New Roman" w:cs="Times New Roman"/>
                <w:color w:val="auto"/>
                <w:kern w:val="2"/>
                <w:sz w:val="24"/>
                <w:szCs w:val="24"/>
                <w:lang w:val="en-US" w:eastAsia="zh-CN" w:bidi="ar-SA"/>
              </w:rPr>
              <w:t>（详见附件）</w:t>
            </w:r>
            <w:r>
              <w:rPr>
                <w:rFonts w:hint="default" w:ascii="Times New Roman" w:hAnsi="Times New Roman" w:eastAsia="宋体" w:cs="Times New Roman"/>
                <w:color w:val="auto"/>
                <w:kern w:val="2"/>
                <w:sz w:val="24"/>
                <w:szCs w:val="24"/>
                <w:lang w:val="en-US" w:eastAsia="zh-CN" w:bidi="ar-SA"/>
              </w:rPr>
              <w:t>，并于2024年6月完成备案手续，2025年1月取得节能报告批复。</w:t>
            </w:r>
          </w:p>
          <w:p w14:paraId="6829072E">
            <w:pPr>
              <w:pStyle w:val="3"/>
              <w:pageBreakBefore w:val="0"/>
              <w:kinsoku/>
              <w:wordWrap/>
              <w:overflowPunct/>
              <w:topLinePunct w:val="0"/>
              <w:autoSpaceDE/>
              <w:autoSpaceDN/>
              <w:bidi w:val="0"/>
              <w:spacing w:before="0" w:after="0" w:line="360" w:lineRule="auto"/>
              <w:ind w:firstLine="480" w:firstLineChars="200"/>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目前一期已于2024年10月建成，于2025年7月20日批准试运行，8月中试机后又停止，10月又启动试运行，目前处于未生产状态，二期处于建设过程中，项目未进行排污许可证的申领。</w:t>
            </w:r>
          </w:p>
          <w:p w14:paraId="7EB3EDC5">
            <w:pPr>
              <w:pStyle w:val="3"/>
              <w:pageBreakBefore w:val="0"/>
              <w:kinsoku/>
              <w:wordWrap/>
              <w:overflowPunct/>
              <w:topLinePunct w:val="0"/>
              <w:autoSpaceDE/>
              <w:autoSpaceDN/>
              <w:bidi w:val="0"/>
              <w:spacing w:before="0" w:after="0" w:line="360" w:lineRule="auto"/>
              <w:ind w:firstLine="480" w:firstLineChars="200"/>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（2）煤气产生、回用情况</w:t>
            </w:r>
          </w:p>
          <w:p w14:paraId="161B28CC">
            <w:pPr>
              <w:pStyle w:val="3"/>
              <w:pageBreakBefore w:val="0"/>
              <w:kinsoku/>
              <w:wordWrap/>
              <w:overflowPunct/>
              <w:topLinePunct w:val="0"/>
              <w:autoSpaceDE/>
              <w:autoSpaceDN/>
              <w:bidi w:val="0"/>
              <w:spacing w:before="0" w:after="0" w:line="360" w:lineRule="auto"/>
              <w:ind w:firstLine="480" w:firstLineChars="200"/>
              <w:textAlignment w:val="auto"/>
              <w:rPr>
                <w:rFonts w:hint="default" w:ascii="Times New Roman" w:hAnsi="Times New Roman" w:eastAsia="宋体" w:cs="Times New Roman"/>
                <w:b w:val="0"/>
                <w:bCs w:val="0"/>
                <w:color w:val="auto"/>
                <w:kern w:val="44"/>
                <w:sz w:val="24"/>
                <w:szCs w:val="24"/>
                <w:lang w:val="en-US" w:eastAsia="zh-CN" w:bidi="ar-SA"/>
              </w:rPr>
            </w:pPr>
            <w:r>
              <w:rPr>
                <w:rFonts w:hint="default" w:ascii="Times New Roman" w:hAnsi="Times New Roman" w:eastAsia="宋体" w:cs="Times New Roman"/>
                <w:b w:val="0"/>
                <w:bCs w:val="0"/>
                <w:color w:val="auto"/>
                <w:kern w:val="44"/>
                <w:sz w:val="24"/>
                <w:szCs w:val="24"/>
                <w:lang w:val="en-US" w:eastAsia="zh-CN" w:bidi="ar-SA"/>
              </w:rPr>
              <w:t>本项目锅炉燃料为120万吨煤化工制品设备更新改造项目的兰炭副产煤气，兰炭工程一期建设产能40万吨/年，二期建设产能80万吨/年，年产煤气为85332万m</w:t>
            </w:r>
            <w:r>
              <w:rPr>
                <w:rFonts w:hint="default" w:ascii="Times New Roman" w:hAnsi="Times New Roman" w:eastAsia="宋体" w:cs="Times New Roman"/>
                <w:b w:val="0"/>
                <w:bCs w:val="0"/>
                <w:color w:val="auto"/>
                <w:kern w:val="44"/>
                <w:sz w:val="24"/>
                <w:szCs w:val="24"/>
                <w:vertAlign w:val="superscript"/>
                <w:lang w:val="en-US" w:eastAsia="zh-CN" w:bidi="ar-SA"/>
              </w:rPr>
              <w:t>3</w:t>
            </w:r>
            <w:r>
              <w:rPr>
                <w:rFonts w:hint="default" w:ascii="Times New Roman" w:hAnsi="Times New Roman" w:eastAsia="宋体" w:cs="Times New Roman"/>
                <w:b w:val="0"/>
                <w:bCs w:val="0"/>
                <w:color w:val="auto"/>
                <w:kern w:val="44"/>
                <w:sz w:val="24"/>
                <w:szCs w:val="24"/>
                <w:lang w:val="en-US" w:eastAsia="zh-CN" w:bidi="ar-SA"/>
              </w:rPr>
              <w:t>/a。兰炭煤气经冷却、净化之后，16900万m</w:t>
            </w:r>
            <w:r>
              <w:rPr>
                <w:rFonts w:hint="default" w:ascii="Times New Roman" w:hAnsi="Times New Roman" w:eastAsia="宋体" w:cs="Times New Roman"/>
                <w:b w:val="0"/>
                <w:bCs w:val="0"/>
                <w:color w:val="auto"/>
                <w:kern w:val="44"/>
                <w:sz w:val="24"/>
                <w:szCs w:val="24"/>
                <w:vertAlign w:val="superscript"/>
                <w:lang w:val="en-US" w:eastAsia="zh-CN" w:bidi="ar-SA"/>
              </w:rPr>
              <w:t>3</w:t>
            </w:r>
            <w:r>
              <w:rPr>
                <w:rFonts w:hint="default" w:ascii="Times New Roman" w:hAnsi="Times New Roman" w:eastAsia="宋体" w:cs="Times New Roman"/>
                <w:b w:val="0"/>
                <w:bCs w:val="0"/>
                <w:color w:val="auto"/>
                <w:kern w:val="44"/>
                <w:sz w:val="24"/>
                <w:szCs w:val="24"/>
                <w:lang w:val="en-US" w:eastAsia="zh-CN" w:bidi="ar-SA"/>
              </w:rPr>
              <w:t>/a煤气生产自用，68432万m</w:t>
            </w:r>
            <w:r>
              <w:rPr>
                <w:rFonts w:hint="default" w:ascii="Times New Roman" w:hAnsi="Times New Roman" w:eastAsia="宋体" w:cs="Times New Roman"/>
                <w:b w:val="0"/>
                <w:bCs w:val="0"/>
                <w:color w:val="auto"/>
                <w:kern w:val="44"/>
                <w:sz w:val="24"/>
                <w:szCs w:val="24"/>
                <w:vertAlign w:val="superscript"/>
                <w:lang w:val="en-US" w:eastAsia="zh-CN" w:bidi="ar-SA"/>
              </w:rPr>
              <w:t>3</w:t>
            </w:r>
            <w:r>
              <w:rPr>
                <w:rFonts w:hint="default" w:ascii="Times New Roman" w:hAnsi="Times New Roman" w:eastAsia="宋体" w:cs="Times New Roman"/>
                <w:b w:val="0"/>
                <w:bCs w:val="0"/>
                <w:color w:val="auto"/>
                <w:kern w:val="44"/>
                <w:sz w:val="24"/>
                <w:szCs w:val="24"/>
                <w:lang w:val="en-US" w:eastAsia="zh-CN" w:bidi="ar-SA"/>
              </w:rPr>
              <w:t>/a，由本次新建的1×45MW发电机组消纳。</w:t>
            </w:r>
          </w:p>
          <w:p w14:paraId="7B96E327">
            <w:pPr>
              <w:pStyle w:val="3"/>
              <w:pageBreakBefore w:val="0"/>
              <w:kinsoku/>
              <w:wordWrap/>
              <w:overflowPunct/>
              <w:topLinePunct w:val="0"/>
              <w:autoSpaceDE/>
              <w:autoSpaceDN/>
              <w:bidi w:val="0"/>
              <w:spacing w:before="0" w:after="0" w:line="360" w:lineRule="auto"/>
              <w:ind w:firstLine="480" w:firstLineChars="200"/>
              <w:textAlignment w:val="auto"/>
              <w:rPr>
                <w:rFonts w:hint="default" w:ascii="Times New Roman" w:hAnsi="Times New Roman" w:cs="Times New Roman"/>
                <w:b w:val="0"/>
                <w:bCs w:val="0"/>
                <w:color w:val="auto"/>
                <w:kern w:val="44"/>
                <w:sz w:val="24"/>
                <w:szCs w:val="24"/>
                <w:lang w:val="en-US" w:eastAsia="zh-CN" w:bidi="ar-SA"/>
              </w:rPr>
            </w:pPr>
            <w:r>
              <w:rPr>
                <w:rFonts w:hint="default" w:ascii="Times New Roman" w:hAnsi="Times New Roman" w:cs="Times New Roman"/>
                <w:b w:val="0"/>
                <w:bCs w:val="0"/>
                <w:color w:val="auto"/>
                <w:kern w:val="44"/>
                <w:sz w:val="24"/>
                <w:szCs w:val="24"/>
                <w:lang w:val="en-US" w:eastAsia="zh-CN" w:bidi="ar-SA"/>
              </w:rPr>
              <w:t>（3）环境保护措施</w:t>
            </w:r>
          </w:p>
          <w:p w14:paraId="631E1B46">
            <w:pPr>
              <w:pStyle w:val="3"/>
              <w:pageBreakBefore w:val="0"/>
              <w:numPr>
                <w:ilvl w:val="0"/>
                <w:numId w:val="0"/>
              </w:numPr>
              <w:kinsoku/>
              <w:wordWrap/>
              <w:overflowPunct/>
              <w:topLinePunct w:val="0"/>
              <w:autoSpaceDE/>
              <w:autoSpaceDN/>
              <w:bidi w:val="0"/>
              <w:spacing w:before="0" w:after="0" w:line="360" w:lineRule="auto"/>
              <w:ind w:firstLine="480" w:firstLineChars="200"/>
              <w:textAlignment w:val="auto"/>
              <w:rPr>
                <w:rFonts w:hint="default" w:ascii="Times New Roman" w:hAnsi="Times New Roman" w:cs="Times New Roman"/>
                <w:b w:val="0"/>
                <w:bCs w:val="0"/>
                <w:color w:val="auto"/>
                <w:kern w:val="44"/>
                <w:sz w:val="24"/>
                <w:szCs w:val="24"/>
                <w:lang w:val="en-US" w:eastAsia="zh-CN" w:bidi="ar-SA"/>
              </w:rPr>
            </w:pPr>
            <w:r>
              <w:rPr>
                <w:rFonts w:hint="default" w:ascii="Times New Roman" w:hAnsi="Times New Roman" w:cs="Times New Roman"/>
                <w:b w:val="0"/>
                <w:bCs w:val="0"/>
                <w:color w:val="auto"/>
                <w:kern w:val="44"/>
                <w:sz w:val="24"/>
                <w:szCs w:val="24"/>
                <w:lang w:val="en-US" w:eastAsia="zh-CN" w:bidi="ar-SA"/>
              </w:rPr>
              <w:t>①废气</w:t>
            </w:r>
          </w:p>
          <w:p w14:paraId="407E72D7">
            <w:pPr>
              <w:pStyle w:val="3"/>
              <w:pageBreakBefore w:val="0"/>
              <w:numPr>
                <w:ilvl w:val="0"/>
                <w:numId w:val="0"/>
              </w:numPr>
              <w:kinsoku/>
              <w:wordWrap/>
              <w:overflowPunct/>
              <w:topLinePunct w:val="0"/>
              <w:autoSpaceDE/>
              <w:autoSpaceDN/>
              <w:bidi w:val="0"/>
              <w:spacing w:before="0" w:after="0" w:line="360" w:lineRule="auto"/>
              <w:ind w:firstLine="480" w:firstLineChars="200"/>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eastAsia="宋体" w:cs="Times New Roman"/>
                <w:b w:val="0"/>
                <w:bCs w:val="0"/>
                <w:color w:val="auto"/>
                <w:kern w:val="44"/>
                <w:sz w:val="24"/>
                <w:szCs w:val="24"/>
                <w:lang w:val="en-US" w:eastAsia="zh-CN" w:bidi="ar-SA"/>
              </w:rPr>
              <w:t>煤气冷却、净化装置方式</w:t>
            </w:r>
            <w:r>
              <w:rPr>
                <w:rFonts w:hint="default" w:ascii="Times New Roman" w:hAnsi="Times New Roman" w:cs="Times New Roman"/>
                <w:b w:val="0"/>
                <w:bCs w:val="0"/>
                <w:color w:val="auto"/>
                <w:sz w:val="24"/>
                <w:szCs w:val="24"/>
                <w:lang w:val="en-US" w:eastAsia="zh-CN"/>
              </w:rPr>
              <w:t>以文氏管洗涤+旋风分离+静电除尘为核心组合，对粗煤气进行降温、焦油脱除和粉尘去除。属于煤化工领域中应用广泛的粗煤气初步净化工艺。荒煤气经过煤气净化系统处理后部分回燃（可作为炭化炉预热段、干馏段的热源），其余用于光源电厂发电。</w:t>
            </w:r>
          </w:p>
          <w:p w14:paraId="0231D0FF">
            <w:pPr>
              <w:pStyle w:val="3"/>
              <w:pageBreakBefore w:val="0"/>
              <w:numPr>
                <w:ilvl w:val="0"/>
                <w:numId w:val="0"/>
              </w:numPr>
              <w:kinsoku/>
              <w:wordWrap/>
              <w:overflowPunct/>
              <w:topLinePunct w:val="0"/>
              <w:autoSpaceDE/>
              <w:autoSpaceDN/>
              <w:bidi w:val="0"/>
              <w:spacing w:before="0" w:after="0" w:line="360" w:lineRule="auto"/>
              <w:ind w:firstLine="480" w:firstLineChars="200"/>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②废水</w:t>
            </w:r>
          </w:p>
          <w:p w14:paraId="6CD3B914">
            <w:pPr>
              <w:pStyle w:val="3"/>
              <w:pageBreakBefore w:val="0"/>
              <w:numPr>
                <w:ilvl w:val="0"/>
                <w:numId w:val="0"/>
              </w:numPr>
              <w:kinsoku/>
              <w:wordWrap/>
              <w:overflowPunct/>
              <w:topLinePunct w:val="0"/>
              <w:autoSpaceDE/>
              <w:autoSpaceDN/>
              <w:bidi w:val="0"/>
              <w:spacing w:before="0" w:after="0" w:line="360" w:lineRule="auto"/>
              <w:ind w:firstLine="480" w:firstLineChars="200"/>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由于项目采用干熄焦，即剩余含氨废水雾化后引入炭化炉焚烧处理，无生产废水外排。生活污水经一体化污水处理设施处理达标后冬储夏灌，用于绿化和洒水降尘。</w:t>
            </w:r>
          </w:p>
          <w:p w14:paraId="64E499A5">
            <w:pPr>
              <w:pStyle w:val="3"/>
              <w:pageBreakBefore w:val="0"/>
              <w:numPr>
                <w:ilvl w:val="0"/>
                <w:numId w:val="0"/>
              </w:numPr>
              <w:kinsoku/>
              <w:wordWrap/>
              <w:overflowPunct/>
              <w:topLinePunct w:val="0"/>
              <w:autoSpaceDE/>
              <w:autoSpaceDN/>
              <w:bidi w:val="0"/>
              <w:spacing w:before="0" w:after="0" w:line="360" w:lineRule="auto"/>
              <w:ind w:firstLine="480" w:firstLineChars="200"/>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③噪声</w:t>
            </w:r>
          </w:p>
          <w:p w14:paraId="10882212">
            <w:pPr>
              <w:pStyle w:val="3"/>
              <w:pageBreakBefore w:val="0"/>
              <w:numPr>
                <w:ilvl w:val="0"/>
                <w:numId w:val="0"/>
              </w:numPr>
              <w:kinsoku/>
              <w:wordWrap/>
              <w:overflowPunct/>
              <w:topLinePunct w:val="0"/>
              <w:autoSpaceDE/>
              <w:autoSpaceDN/>
              <w:bidi w:val="0"/>
              <w:spacing w:before="0" w:after="0" w:line="360" w:lineRule="auto"/>
              <w:ind w:firstLine="480" w:firstLineChars="200"/>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采取低噪声设备、减振及建筑墙体隔声。</w:t>
            </w:r>
          </w:p>
          <w:p w14:paraId="481D6E34">
            <w:pPr>
              <w:pStyle w:val="3"/>
              <w:pageBreakBefore w:val="0"/>
              <w:numPr>
                <w:ilvl w:val="0"/>
                <w:numId w:val="0"/>
              </w:numPr>
              <w:kinsoku/>
              <w:wordWrap/>
              <w:overflowPunct/>
              <w:topLinePunct w:val="0"/>
              <w:autoSpaceDE/>
              <w:autoSpaceDN/>
              <w:bidi w:val="0"/>
              <w:spacing w:before="0" w:after="0" w:line="360" w:lineRule="auto"/>
              <w:ind w:firstLine="480" w:firstLineChars="200"/>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④固体废物</w:t>
            </w:r>
          </w:p>
          <w:p w14:paraId="652CBFB7">
            <w:pPr>
              <w:pStyle w:val="3"/>
              <w:pageBreakBefore w:val="0"/>
              <w:numPr>
                <w:ilvl w:val="0"/>
                <w:numId w:val="0"/>
              </w:numPr>
              <w:kinsoku/>
              <w:wordWrap/>
              <w:overflowPunct/>
              <w:topLinePunct w:val="0"/>
              <w:autoSpaceDE/>
              <w:autoSpaceDN/>
              <w:bidi w:val="0"/>
              <w:spacing w:before="0" w:after="0" w:line="360" w:lineRule="auto"/>
              <w:ind w:firstLine="480" w:firstLineChars="200"/>
              <w:textAlignment w:val="auto"/>
              <w:rPr>
                <w:rFonts w:hint="default" w:ascii="Times New Roman" w:hAnsi="Times New Roman" w:eastAsia="宋体"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布袋除尘收集的煤尘，作为项目副产品外售；生活垃圾由环卫部门统一清运；设备检修废润滑油及废油桶采用桶装收集储存，废油桶分区存放，暂存于危废暂存间，定期交由有资质单位处置。</w:t>
            </w:r>
          </w:p>
          <w:p w14:paraId="6E9CFAB1">
            <w:pPr>
              <w:keepNext w:val="0"/>
              <w:keepLines w:val="0"/>
              <w:pageBreakBefore w:val="0"/>
              <w:widowControl/>
              <w:suppressLineNumbers w:val="0"/>
              <w:kinsoku/>
              <w:wordWrap/>
              <w:overflowPunct/>
              <w:topLinePunct w:val="0"/>
              <w:autoSpaceDE/>
              <w:autoSpaceDN/>
              <w:bidi w:val="0"/>
              <w:spacing w:line="360" w:lineRule="auto"/>
              <w:ind w:left="0" w:leftChars="0" w:firstLine="480" w:firstLineChars="200"/>
              <w:jc w:val="left"/>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⑤自行监测要求</w:t>
            </w:r>
          </w:p>
          <w:p w14:paraId="44C7848D">
            <w:pPr>
              <w:keepNext w:val="0"/>
              <w:keepLines w:val="0"/>
              <w:pageBreakBefore w:val="0"/>
              <w:widowControl/>
              <w:suppressLineNumbers w:val="0"/>
              <w:kinsoku/>
              <w:wordWrap/>
              <w:overflowPunct/>
              <w:topLinePunct w:val="0"/>
              <w:autoSpaceDE/>
              <w:autoSpaceDN/>
              <w:bidi w:val="0"/>
              <w:spacing w:line="360" w:lineRule="auto"/>
              <w:ind w:left="0" w:leftChars="0" w:firstLine="480" w:firstLineChars="200"/>
              <w:jc w:val="left"/>
              <w:textAlignment w:val="auto"/>
              <w:rPr>
                <w:rFonts w:hint="default" w:ascii="Times New Roman" w:hAnsi="Times New Roman" w:cs="Times New Roman"/>
                <w:color w:val="auto"/>
                <w:kern w:val="2"/>
                <w:sz w:val="24"/>
                <w:szCs w:val="24"/>
                <w:lang w:val="en-US" w:eastAsia="zh-CN" w:bidi="ar-SA"/>
              </w:rPr>
            </w:pPr>
            <w:r>
              <w:rPr>
                <w:rFonts w:hint="default" w:ascii="Times New Roman" w:hAnsi="Times New Roman" w:cs="Times New Roman"/>
                <w:b w:val="0"/>
                <w:bCs w:val="0"/>
                <w:color w:val="auto"/>
                <w:sz w:val="24"/>
                <w:szCs w:val="24"/>
                <w:lang w:val="en-US" w:eastAsia="zh-CN"/>
              </w:rPr>
              <w:t>经核实，吉木萨尔县恒信煤炭制品工贸有限公司120万吨煤制品深加工升级改造项目环境影响报告书中炭化及煤气净化区废气以无组织的形式排放。本项目煤气净化未经脱硫和脱硝处理，不设置有组织废气排口；炭化炉监测指标为颗粒物、苯并[a]芘、硫化氢、氨、苯可溶物，监测频次为1次/季度。煤气产生和净化工段废气监测计划能够满足《排污单位自行监测技术指南钢铁工业及炼焦化</w:t>
            </w:r>
            <w:r>
              <w:rPr>
                <w:rFonts w:hint="default" w:ascii="Times New Roman" w:hAnsi="Times New Roman" w:cs="Times New Roman"/>
                <w:color w:val="auto"/>
                <w:kern w:val="2"/>
                <w:sz w:val="24"/>
                <w:szCs w:val="24"/>
                <w:lang w:val="en-US" w:eastAsia="zh-CN" w:bidi="ar-SA"/>
              </w:rPr>
              <w:t>学工业》（HJ878-2017）表1有组织废气监测指标最低监测频次和表2生产车间无组织废气监测指标最低监测频次的要求。</w:t>
            </w:r>
          </w:p>
          <w:p w14:paraId="0E388304">
            <w:pPr>
              <w:keepNext w:val="0"/>
              <w:keepLines w:val="0"/>
              <w:pageBreakBefore w:val="0"/>
              <w:widowControl/>
              <w:suppressLineNumbers w:val="0"/>
              <w:kinsoku/>
              <w:wordWrap/>
              <w:overflowPunct/>
              <w:topLinePunct w:val="0"/>
              <w:autoSpaceDE/>
              <w:autoSpaceDN/>
              <w:bidi w:val="0"/>
              <w:spacing w:line="360" w:lineRule="auto"/>
              <w:ind w:left="0" w:leftChars="0" w:firstLine="480" w:firstLineChars="200"/>
              <w:jc w:val="left"/>
              <w:textAlignment w:val="auto"/>
              <w:rPr>
                <w:rFonts w:hint="default" w:ascii="Times New Roman" w:hAnsi="Times New Roman" w:cs="Times New Roman"/>
                <w:color w:val="auto"/>
                <w:kern w:val="2"/>
                <w:sz w:val="24"/>
                <w:szCs w:val="24"/>
                <w:lang w:val="en-US" w:eastAsia="zh-CN" w:bidi="ar-SA"/>
              </w:rPr>
            </w:pPr>
            <w:r>
              <w:rPr>
                <w:rFonts w:hint="default" w:ascii="Times New Roman" w:hAnsi="Times New Roman" w:cs="Times New Roman"/>
                <w:color w:val="auto"/>
                <w:kern w:val="2"/>
                <w:sz w:val="24"/>
                <w:szCs w:val="24"/>
                <w:lang w:val="en-US" w:eastAsia="zh-CN" w:bidi="ar-SA"/>
              </w:rPr>
              <w:t>厂界噪声监测频次为1次/季度，等效A声级，符合《排污单位自行监测技术指南钢铁工业及炼焦化学工业》（HJ878-2017）“5.3厂界环境噪声监测厂界噪声每季度至少开展一次昼夜监测，监测指标为等效A声级”的要求。</w:t>
            </w:r>
          </w:p>
          <w:p w14:paraId="6D06BDC8">
            <w:pPr>
              <w:keepNext w:val="0"/>
              <w:keepLines w:val="0"/>
              <w:pageBreakBefore w:val="0"/>
              <w:widowControl/>
              <w:suppressLineNumbers w:val="0"/>
              <w:kinsoku/>
              <w:wordWrap/>
              <w:overflowPunct/>
              <w:topLinePunct w:val="0"/>
              <w:autoSpaceDE/>
              <w:autoSpaceDN/>
              <w:bidi w:val="0"/>
              <w:spacing w:line="360" w:lineRule="auto"/>
              <w:ind w:left="0" w:leftChars="0" w:firstLine="480" w:firstLineChars="200"/>
              <w:jc w:val="left"/>
              <w:textAlignment w:val="auto"/>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color w:val="auto"/>
                <w:kern w:val="2"/>
                <w:sz w:val="24"/>
                <w:szCs w:val="24"/>
                <w:lang w:val="en-US" w:eastAsia="zh-CN" w:bidi="ar-SA"/>
              </w:rPr>
              <w:t>综上，吉木萨尔县恒信煤炭制品工贸有限公司120万吨煤制品深加工升级改造项目</w:t>
            </w:r>
            <w:r>
              <w:rPr>
                <w:rFonts w:hint="default" w:ascii="Times New Roman" w:hAnsi="Times New Roman" w:cs="Times New Roman"/>
                <w:b w:val="0"/>
                <w:bCs w:val="0"/>
                <w:color w:val="auto"/>
                <w:sz w:val="24"/>
                <w:szCs w:val="24"/>
                <w:lang w:val="en-US" w:eastAsia="zh-CN"/>
              </w:rPr>
              <w:t>不存在环境问题，无以“以新代老”整改要求。</w:t>
            </w:r>
          </w:p>
          <w:p w14:paraId="5CAEC5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现有吉木萨尔县光源发电有限责任公司燃气锅炉节能改造及资源综合利用规划新建2台40th燃气锅炉及2台12MW凝汽式汽轮发电机组，目前尚未开工建设、未实施。本项目建成投产后将替代其规划产能，该项目不再建设实施。</w:t>
            </w:r>
          </w:p>
          <w:p w14:paraId="016350F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b w:val="0"/>
                <w:bCs w:val="0"/>
                <w:color w:val="auto"/>
                <w:sz w:val="24"/>
                <w:szCs w:val="24"/>
                <w:lang w:val="en-US" w:eastAsia="zh-CN"/>
              </w:rPr>
            </w:pPr>
            <w:r>
              <w:rPr>
                <w:rFonts w:hint="default" w:ascii="Times New Roman" w:hAnsi="Times New Roman" w:eastAsia="宋体" w:cs="Times New Roman"/>
                <w:b w:val="0"/>
                <w:bCs w:val="0"/>
                <w:color w:val="auto"/>
                <w:kern w:val="2"/>
                <w:sz w:val="24"/>
                <w:szCs w:val="24"/>
                <w:lang w:val="en-US" w:eastAsia="zh-CN" w:bidi="ar-SA"/>
              </w:rPr>
              <w:t>根据《排放源统计调查产排污核算方法和系数手册</w:t>
            </w:r>
            <w:r>
              <w:rPr>
                <w:rFonts w:hint="eastAsia" w:cs="Times New Roman"/>
                <w:b w:val="0"/>
                <w:bCs w:val="0"/>
                <w:color w:val="auto"/>
                <w:kern w:val="2"/>
                <w:sz w:val="24"/>
                <w:szCs w:val="24"/>
                <w:lang w:val="en-US" w:eastAsia="zh-CN" w:bidi="ar-SA"/>
              </w:rPr>
              <w:t>（</w:t>
            </w:r>
            <w:r>
              <w:rPr>
                <w:rFonts w:hint="default" w:ascii="Times New Roman" w:hAnsi="Times New Roman" w:eastAsia="宋体" w:cs="Times New Roman"/>
                <w:b w:val="0"/>
                <w:bCs w:val="0"/>
                <w:color w:val="auto"/>
                <w:kern w:val="2"/>
                <w:sz w:val="24"/>
                <w:szCs w:val="24"/>
                <w:lang w:val="en-US" w:eastAsia="zh-CN" w:bidi="ar-SA"/>
              </w:rPr>
              <w:t>公告2021年第24号</w:t>
            </w:r>
            <w:r>
              <w:rPr>
                <w:rFonts w:hint="eastAsia" w:cs="Times New Roman"/>
                <w:b w:val="0"/>
                <w:bCs w:val="0"/>
                <w:color w:val="auto"/>
                <w:kern w:val="2"/>
                <w:sz w:val="24"/>
                <w:szCs w:val="24"/>
                <w:lang w:val="en-US" w:eastAsia="zh-CN" w:bidi="ar-SA"/>
              </w:rPr>
              <w:t>）</w:t>
            </w:r>
            <w:r>
              <w:rPr>
                <w:rFonts w:hint="default" w:ascii="Times New Roman" w:hAnsi="Times New Roman" w:eastAsia="宋体" w:cs="Times New Roman"/>
                <w:b w:val="0"/>
                <w:bCs w:val="0"/>
                <w:color w:val="auto"/>
                <w:kern w:val="2"/>
                <w:sz w:val="24"/>
                <w:szCs w:val="24"/>
                <w:lang w:val="en-US" w:eastAsia="zh-CN" w:bidi="ar-SA"/>
              </w:rPr>
              <w:t>》--4411火力发电、4412热电联产行业系数手册—焦炉煤气--锅炉产污系数：5.69Nm</w:t>
            </w:r>
            <w:r>
              <w:rPr>
                <w:rFonts w:hint="default" w:ascii="Times New Roman" w:hAnsi="Times New Roman" w:eastAsia="宋体" w:cs="Times New Roman"/>
                <w:b w:val="0"/>
                <w:bCs w:val="0"/>
                <w:color w:val="auto"/>
                <w:kern w:val="2"/>
                <w:sz w:val="24"/>
                <w:szCs w:val="24"/>
                <w:vertAlign w:val="superscript"/>
                <w:lang w:val="en-US" w:eastAsia="zh-CN" w:bidi="ar-SA"/>
              </w:rPr>
              <w:t>3</w:t>
            </w:r>
            <w:r>
              <w:rPr>
                <w:rFonts w:hint="default" w:ascii="Times New Roman" w:hAnsi="Times New Roman" w:eastAsia="宋体" w:cs="Times New Roman"/>
                <w:b w:val="0"/>
                <w:bCs w:val="0"/>
                <w:color w:val="auto"/>
                <w:kern w:val="2"/>
                <w:sz w:val="24"/>
                <w:szCs w:val="24"/>
                <w:lang w:val="en-US" w:eastAsia="zh-CN" w:bidi="ar-SA"/>
              </w:rPr>
              <w:t>/m</w:t>
            </w:r>
            <w:r>
              <w:rPr>
                <w:rFonts w:hint="default" w:ascii="Times New Roman" w:hAnsi="Times New Roman" w:eastAsia="宋体" w:cs="Times New Roman"/>
                <w:b w:val="0"/>
                <w:bCs w:val="0"/>
                <w:color w:val="auto"/>
                <w:kern w:val="2"/>
                <w:sz w:val="24"/>
                <w:szCs w:val="24"/>
                <w:vertAlign w:val="superscript"/>
                <w:lang w:val="en-US" w:eastAsia="zh-CN" w:bidi="ar-SA"/>
              </w:rPr>
              <w:t>3</w:t>
            </w:r>
            <w:r>
              <w:rPr>
                <w:rFonts w:hint="default" w:ascii="Times New Roman" w:hAnsi="Times New Roman" w:eastAsia="宋体" w:cs="Times New Roman"/>
                <w:b w:val="0"/>
                <w:bCs w:val="0"/>
                <w:color w:val="auto"/>
                <w:kern w:val="2"/>
                <w:sz w:val="24"/>
                <w:szCs w:val="24"/>
                <w:lang w:val="en-US" w:eastAsia="zh-CN" w:bidi="ar-SA"/>
              </w:rPr>
              <w:t>原料，项目荒煤气用量为4.968×10</w:t>
            </w:r>
            <w:r>
              <w:rPr>
                <w:rFonts w:hint="default" w:ascii="Times New Roman" w:hAnsi="Times New Roman" w:eastAsia="宋体" w:cs="Times New Roman"/>
                <w:b w:val="0"/>
                <w:bCs w:val="0"/>
                <w:color w:val="auto"/>
                <w:kern w:val="2"/>
                <w:sz w:val="24"/>
                <w:szCs w:val="24"/>
                <w:vertAlign w:val="superscript"/>
                <w:lang w:val="en-US" w:eastAsia="zh-CN" w:bidi="ar-SA"/>
              </w:rPr>
              <w:t>8</w:t>
            </w:r>
            <w:r>
              <w:rPr>
                <w:rFonts w:hint="default" w:ascii="Times New Roman" w:hAnsi="Times New Roman" w:eastAsia="宋体" w:cs="Times New Roman"/>
                <w:b w:val="0"/>
                <w:bCs w:val="0"/>
                <w:color w:val="auto"/>
                <w:kern w:val="2"/>
                <w:sz w:val="24"/>
                <w:szCs w:val="24"/>
                <w:lang w:val="en-US" w:eastAsia="zh-CN" w:bidi="ar-SA"/>
              </w:rPr>
              <w:t>Nm</w:t>
            </w:r>
            <w:r>
              <w:rPr>
                <w:rFonts w:hint="default" w:ascii="Times New Roman" w:hAnsi="Times New Roman" w:eastAsia="宋体" w:cs="Times New Roman"/>
                <w:b w:val="0"/>
                <w:bCs w:val="0"/>
                <w:color w:val="auto"/>
                <w:kern w:val="2"/>
                <w:sz w:val="24"/>
                <w:szCs w:val="24"/>
                <w:vertAlign w:val="superscript"/>
                <w:lang w:val="en-US" w:eastAsia="zh-CN" w:bidi="ar-SA"/>
              </w:rPr>
              <w:t>3</w:t>
            </w:r>
            <w:r>
              <w:rPr>
                <w:rFonts w:hint="default" w:ascii="Times New Roman" w:hAnsi="Times New Roman" w:eastAsia="宋体" w:cs="Times New Roman"/>
                <w:b w:val="0"/>
                <w:bCs w:val="0"/>
                <w:color w:val="auto"/>
                <w:kern w:val="2"/>
                <w:sz w:val="24"/>
                <w:szCs w:val="24"/>
                <w:lang w:val="en-US" w:eastAsia="zh-CN" w:bidi="ar-SA"/>
              </w:rPr>
              <w:t>/a，则项目烟气量为2826792000Nm</w:t>
            </w:r>
            <w:r>
              <w:rPr>
                <w:rFonts w:hint="default" w:ascii="Times New Roman" w:hAnsi="Times New Roman" w:eastAsia="宋体" w:cs="Times New Roman"/>
                <w:b w:val="0"/>
                <w:bCs w:val="0"/>
                <w:color w:val="auto"/>
                <w:kern w:val="2"/>
                <w:sz w:val="24"/>
                <w:szCs w:val="24"/>
                <w:vertAlign w:val="superscript"/>
                <w:lang w:val="en-US" w:eastAsia="zh-CN" w:bidi="ar-SA"/>
              </w:rPr>
              <w:t>3</w:t>
            </w:r>
            <w:r>
              <w:rPr>
                <w:rFonts w:hint="default" w:ascii="Times New Roman" w:hAnsi="Times New Roman" w:eastAsia="宋体" w:cs="Times New Roman"/>
                <w:b w:val="0"/>
                <w:bCs w:val="0"/>
                <w:color w:val="auto"/>
                <w:kern w:val="2"/>
                <w:sz w:val="24"/>
                <w:szCs w:val="24"/>
                <w:lang w:val="en-US" w:eastAsia="zh-CN" w:bidi="ar-SA"/>
              </w:rPr>
              <w:t>/a。</w:t>
            </w:r>
            <w:r>
              <w:rPr>
                <w:rFonts w:hint="default" w:ascii="Times New Roman" w:hAnsi="Times New Roman" w:cs="Times New Roman"/>
                <w:b w:val="0"/>
                <w:bCs w:val="0"/>
                <w:color w:val="auto"/>
                <w:kern w:val="2"/>
                <w:sz w:val="24"/>
                <w:szCs w:val="24"/>
                <w:lang w:val="en-US" w:eastAsia="zh-CN" w:bidi="ar-SA"/>
              </w:rPr>
              <w:t>根据原项目源强核算中的排放浓度</w:t>
            </w:r>
            <w:r>
              <w:rPr>
                <w:rFonts w:hint="default" w:ascii="Times New Roman" w:hAnsi="Times New Roman" w:cs="Times New Roman"/>
                <w:b w:val="0"/>
                <w:bCs w:val="0"/>
                <w:color w:val="auto"/>
                <w:sz w:val="24"/>
                <w:szCs w:val="24"/>
                <w:lang w:val="en-US" w:eastAsia="zh-CN"/>
              </w:rPr>
              <w:t>，各污染物排放情况详见表2-10。</w:t>
            </w:r>
          </w:p>
          <w:p w14:paraId="04B3540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outlineLvl w:val="9"/>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1"/>
                <w:szCs w:val="21"/>
                <w:lang w:val="en-US" w:eastAsia="zh-CN"/>
              </w:rPr>
              <w:t>表2-10污染物排放情况</w:t>
            </w:r>
          </w:p>
          <w:tbl>
            <w:tblPr>
              <w:tblStyle w:val="32"/>
              <w:tblW w:w="8171"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406"/>
              <w:gridCol w:w="1032"/>
              <w:gridCol w:w="1166"/>
              <w:gridCol w:w="1276"/>
              <w:gridCol w:w="1129"/>
              <w:gridCol w:w="1032"/>
              <w:gridCol w:w="1130"/>
            </w:tblGrid>
            <w:tr w14:paraId="65C5B9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trPr>
              <w:tc>
                <w:tcPr>
                  <w:tcW w:w="1406" w:type="dxa"/>
                  <w:vMerge w:val="restart"/>
                  <w:tcBorders>
                    <w:tl2br w:val="nil"/>
                    <w:tr2bl w:val="nil"/>
                  </w:tcBorders>
                  <w:shd w:val="clear" w:color="auto" w:fill="auto"/>
                  <w:noWrap/>
                  <w:vAlign w:val="center"/>
                </w:tcPr>
                <w:p w14:paraId="7350F16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污染物</w:t>
                  </w:r>
                </w:p>
              </w:tc>
              <w:tc>
                <w:tcPr>
                  <w:tcW w:w="1032" w:type="dxa"/>
                  <w:tcBorders>
                    <w:tl2br w:val="nil"/>
                    <w:tr2bl w:val="nil"/>
                  </w:tcBorders>
                  <w:shd w:val="clear" w:color="auto" w:fill="auto"/>
                  <w:noWrap/>
                  <w:vAlign w:val="center"/>
                </w:tcPr>
                <w:p w14:paraId="3D3164B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浓度限值</w:t>
                  </w:r>
                </w:p>
              </w:tc>
              <w:tc>
                <w:tcPr>
                  <w:tcW w:w="1166" w:type="dxa"/>
                  <w:tcBorders>
                    <w:tl2br w:val="nil"/>
                    <w:tr2bl w:val="nil"/>
                  </w:tcBorders>
                  <w:shd w:val="clear" w:color="auto" w:fill="auto"/>
                  <w:noWrap/>
                  <w:vAlign w:val="center"/>
                </w:tcPr>
                <w:p w14:paraId="04EA3F6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生产时长</w:t>
                  </w:r>
                </w:p>
              </w:tc>
              <w:tc>
                <w:tcPr>
                  <w:tcW w:w="1276" w:type="dxa"/>
                  <w:tcBorders>
                    <w:tl2br w:val="nil"/>
                    <w:tr2bl w:val="nil"/>
                  </w:tcBorders>
                  <w:shd w:val="clear" w:color="auto" w:fill="auto"/>
                  <w:noWrap/>
                  <w:vAlign w:val="center"/>
                </w:tcPr>
                <w:p w14:paraId="69AA9F0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lang w:val="en-US"/>
                    </w:rPr>
                  </w:pPr>
                  <w:r>
                    <w:rPr>
                      <w:rFonts w:hint="default" w:ascii="Times New Roman" w:hAnsi="Times New Roman" w:eastAsia="宋体" w:cs="Times New Roman"/>
                      <w:b/>
                      <w:bCs/>
                      <w:i w:val="0"/>
                      <w:iCs w:val="0"/>
                      <w:color w:val="auto"/>
                      <w:kern w:val="0"/>
                      <w:sz w:val="21"/>
                      <w:szCs w:val="21"/>
                      <w:u w:val="none"/>
                      <w:lang w:val="en-US" w:eastAsia="zh-CN" w:bidi="ar"/>
                    </w:rPr>
                    <w:t>废气量</w:t>
                  </w:r>
                </w:p>
              </w:tc>
              <w:tc>
                <w:tcPr>
                  <w:tcW w:w="1129" w:type="dxa"/>
                  <w:tcBorders>
                    <w:tl2br w:val="nil"/>
                    <w:tr2bl w:val="nil"/>
                  </w:tcBorders>
                  <w:shd w:val="clear" w:color="auto" w:fill="auto"/>
                  <w:noWrap/>
                  <w:vAlign w:val="center"/>
                </w:tcPr>
                <w:p w14:paraId="7116B82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排放量</w:t>
                  </w:r>
                </w:p>
              </w:tc>
              <w:tc>
                <w:tcPr>
                  <w:tcW w:w="1032" w:type="dxa"/>
                  <w:tcBorders>
                    <w:tl2br w:val="nil"/>
                    <w:tr2bl w:val="nil"/>
                  </w:tcBorders>
                  <w:shd w:val="clear" w:color="auto" w:fill="auto"/>
                  <w:noWrap/>
                  <w:vAlign w:val="center"/>
                </w:tcPr>
                <w:p w14:paraId="4D61D77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速率</w:t>
                  </w:r>
                </w:p>
              </w:tc>
              <w:tc>
                <w:tcPr>
                  <w:tcW w:w="1130" w:type="dxa"/>
                  <w:tcBorders>
                    <w:tl2br w:val="nil"/>
                    <w:tr2bl w:val="nil"/>
                  </w:tcBorders>
                  <w:shd w:val="clear" w:color="auto" w:fill="auto"/>
                  <w:noWrap/>
                  <w:vAlign w:val="center"/>
                </w:tcPr>
                <w:p w14:paraId="44A10F7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浓度</w:t>
                  </w:r>
                </w:p>
              </w:tc>
            </w:tr>
            <w:tr w14:paraId="1F25368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rPr>
              <w:tc>
                <w:tcPr>
                  <w:tcW w:w="1406" w:type="dxa"/>
                  <w:vMerge w:val="continue"/>
                  <w:tcBorders>
                    <w:tl2br w:val="nil"/>
                    <w:tr2bl w:val="nil"/>
                  </w:tcBorders>
                  <w:shd w:val="clear" w:color="auto" w:fill="auto"/>
                  <w:noWrap/>
                  <w:vAlign w:val="center"/>
                </w:tcPr>
                <w:p w14:paraId="003A9A35">
                  <w:pPr>
                    <w:jc w:val="center"/>
                    <w:rPr>
                      <w:rFonts w:hint="default" w:ascii="Times New Roman" w:hAnsi="Times New Roman" w:eastAsia="宋体" w:cs="Times New Roman"/>
                      <w:b/>
                      <w:bCs/>
                      <w:i w:val="0"/>
                      <w:iCs w:val="0"/>
                      <w:color w:val="auto"/>
                      <w:sz w:val="21"/>
                      <w:szCs w:val="21"/>
                      <w:u w:val="none"/>
                    </w:rPr>
                  </w:pPr>
                </w:p>
              </w:tc>
              <w:tc>
                <w:tcPr>
                  <w:tcW w:w="1032" w:type="dxa"/>
                  <w:tcBorders>
                    <w:tl2br w:val="nil"/>
                    <w:tr2bl w:val="nil"/>
                  </w:tcBorders>
                  <w:shd w:val="clear" w:color="auto" w:fill="auto"/>
                  <w:noWrap/>
                  <w:vAlign w:val="center"/>
                </w:tcPr>
                <w:p w14:paraId="5569B3D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mg/m</w:t>
                  </w:r>
                  <w:r>
                    <w:rPr>
                      <w:rFonts w:hint="default" w:ascii="Times New Roman" w:hAnsi="Times New Roman" w:eastAsia="宋体" w:cs="Times New Roman"/>
                      <w:b/>
                      <w:bCs/>
                      <w:i w:val="0"/>
                      <w:iCs w:val="0"/>
                      <w:color w:val="auto"/>
                      <w:kern w:val="0"/>
                      <w:sz w:val="21"/>
                      <w:szCs w:val="21"/>
                      <w:u w:val="none"/>
                      <w:vertAlign w:val="superscript"/>
                      <w:lang w:val="en-US" w:eastAsia="zh-CN" w:bidi="ar"/>
                    </w:rPr>
                    <w:t>3</w:t>
                  </w:r>
                </w:p>
              </w:tc>
              <w:tc>
                <w:tcPr>
                  <w:tcW w:w="1166" w:type="dxa"/>
                  <w:tcBorders>
                    <w:tl2br w:val="nil"/>
                    <w:tr2bl w:val="nil"/>
                  </w:tcBorders>
                  <w:shd w:val="clear" w:color="auto" w:fill="auto"/>
                  <w:noWrap/>
                  <w:vAlign w:val="center"/>
                </w:tcPr>
                <w:p w14:paraId="53D39A1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h</w:t>
                  </w:r>
                </w:p>
              </w:tc>
              <w:tc>
                <w:tcPr>
                  <w:tcW w:w="1276" w:type="dxa"/>
                  <w:tcBorders>
                    <w:tl2br w:val="nil"/>
                    <w:tr2bl w:val="nil"/>
                  </w:tcBorders>
                  <w:shd w:val="clear" w:color="auto" w:fill="auto"/>
                  <w:noWrap/>
                  <w:vAlign w:val="center"/>
                </w:tcPr>
                <w:p w14:paraId="33991F76">
                  <w:pPr>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mg/</w:t>
                  </w:r>
                  <w:r>
                    <w:rPr>
                      <w:rFonts w:hint="default" w:ascii="Times New Roman" w:hAnsi="Times New Roman" w:cs="Times New Roman"/>
                      <w:b/>
                      <w:bCs/>
                      <w:i w:val="0"/>
                      <w:iCs w:val="0"/>
                      <w:color w:val="auto"/>
                      <w:kern w:val="0"/>
                      <w:sz w:val="21"/>
                      <w:szCs w:val="21"/>
                      <w:u w:val="none"/>
                      <w:lang w:val="en-US" w:eastAsia="zh-CN" w:bidi="ar"/>
                    </w:rPr>
                    <w:t>h</w:t>
                  </w:r>
                </w:p>
              </w:tc>
              <w:tc>
                <w:tcPr>
                  <w:tcW w:w="1129" w:type="dxa"/>
                  <w:tcBorders>
                    <w:tl2br w:val="nil"/>
                    <w:tr2bl w:val="nil"/>
                  </w:tcBorders>
                  <w:shd w:val="clear" w:color="auto" w:fill="auto"/>
                  <w:noWrap/>
                  <w:vAlign w:val="center"/>
                </w:tcPr>
                <w:p w14:paraId="7C3AA96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t/a</w:t>
                  </w:r>
                </w:p>
              </w:tc>
              <w:tc>
                <w:tcPr>
                  <w:tcW w:w="1032" w:type="dxa"/>
                  <w:tcBorders>
                    <w:tl2br w:val="nil"/>
                    <w:tr2bl w:val="nil"/>
                  </w:tcBorders>
                  <w:shd w:val="clear" w:color="auto" w:fill="auto"/>
                  <w:noWrap/>
                  <w:vAlign w:val="center"/>
                </w:tcPr>
                <w:p w14:paraId="7368A41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kg/h</w:t>
                  </w:r>
                </w:p>
              </w:tc>
              <w:tc>
                <w:tcPr>
                  <w:tcW w:w="1130" w:type="dxa"/>
                  <w:tcBorders>
                    <w:tl2br w:val="nil"/>
                    <w:tr2bl w:val="nil"/>
                  </w:tcBorders>
                  <w:shd w:val="clear" w:color="auto" w:fill="auto"/>
                  <w:noWrap/>
                  <w:vAlign w:val="center"/>
                </w:tcPr>
                <w:p w14:paraId="78D1C22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mg/m</w:t>
                  </w:r>
                  <w:r>
                    <w:rPr>
                      <w:rFonts w:hint="default" w:ascii="Times New Roman" w:hAnsi="Times New Roman" w:eastAsia="宋体" w:cs="Times New Roman"/>
                      <w:b/>
                      <w:bCs/>
                      <w:i w:val="0"/>
                      <w:iCs w:val="0"/>
                      <w:color w:val="auto"/>
                      <w:kern w:val="0"/>
                      <w:sz w:val="21"/>
                      <w:szCs w:val="21"/>
                      <w:u w:val="none"/>
                      <w:vertAlign w:val="superscript"/>
                      <w:lang w:val="en-US" w:eastAsia="zh-CN" w:bidi="ar"/>
                    </w:rPr>
                    <w:t>3</w:t>
                  </w:r>
                </w:p>
              </w:tc>
            </w:tr>
            <w:tr w14:paraId="23C127F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trPr>
              <w:tc>
                <w:tcPr>
                  <w:tcW w:w="1406" w:type="dxa"/>
                  <w:tcBorders>
                    <w:tl2br w:val="nil"/>
                    <w:tr2bl w:val="nil"/>
                  </w:tcBorders>
                  <w:shd w:val="clear" w:color="auto" w:fill="auto"/>
                  <w:noWrap/>
                  <w:vAlign w:val="center"/>
                </w:tcPr>
                <w:p w14:paraId="0553A7A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颗粒物</w:t>
                  </w:r>
                </w:p>
              </w:tc>
              <w:tc>
                <w:tcPr>
                  <w:tcW w:w="1032" w:type="dxa"/>
                  <w:tcBorders>
                    <w:tl2br w:val="nil"/>
                    <w:tr2bl w:val="nil"/>
                  </w:tcBorders>
                  <w:shd w:val="clear" w:color="auto" w:fill="auto"/>
                  <w:noWrap/>
                  <w:vAlign w:val="center"/>
                </w:tcPr>
                <w:p w14:paraId="24DDDB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2</w:t>
                  </w:r>
                </w:p>
              </w:tc>
              <w:tc>
                <w:tcPr>
                  <w:tcW w:w="1166" w:type="dxa"/>
                  <w:tcBorders>
                    <w:tl2br w:val="nil"/>
                    <w:tr2bl w:val="nil"/>
                  </w:tcBorders>
                  <w:shd w:val="clear" w:color="auto" w:fill="auto"/>
                  <w:noWrap/>
                  <w:vAlign w:val="center"/>
                </w:tcPr>
                <w:p w14:paraId="5BD62D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8000</w:t>
                  </w:r>
                </w:p>
              </w:tc>
              <w:tc>
                <w:tcPr>
                  <w:tcW w:w="1276" w:type="dxa"/>
                  <w:vMerge w:val="restart"/>
                  <w:tcBorders>
                    <w:tl2br w:val="nil"/>
                    <w:tr2bl w:val="nil"/>
                  </w:tcBorders>
                  <w:shd w:val="clear" w:color="auto" w:fill="auto"/>
                  <w:noWrap/>
                  <w:vAlign w:val="center"/>
                </w:tcPr>
                <w:p w14:paraId="674C69D3">
                  <w:pPr>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2826792000</w:t>
                  </w:r>
                </w:p>
              </w:tc>
              <w:tc>
                <w:tcPr>
                  <w:tcW w:w="1129" w:type="dxa"/>
                  <w:tcBorders>
                    <w:tl2br w:val="nil"/>
                    <w:tr2bl w:val="nil"/>
                  </w:tcBorders>
                  <w:shd w:val="clear" w:color="auto" w:fill="auto"/>
                  <w:noWrap/>
                  <w:vAlign w:val="center"/>
                </w:tcPr>
                <w:p w14:paraId="7F1517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0"/>
                      <w:szCs w:val="20"/>
                      <w:u w:val="none"/>
                      <w:lang w:val="en-US" w:eastAsia="zh-CN" w:bidi="ar"/>
                    </w:rPr>
                    <w:t>5.654</w:t>
                  </w:r>
                </w:p>
              </w:tc>
              <w:tc>
                <w:tcPr>
                  <w:tcW w:w="1032" w:type="dxa"/>
                  <w:tcBorders>
                    <w:tl2br w:val="nil"/>
                    <w:tr2bl w:val="nil"/>
                  </w:tcBorders>
                  <w:shd w:val="clear" w:color="auto" w:fill="auto"/>
                  <w:noWrap/>
                  <w:vAlign w:val="center"/>
                </w:tcPr>
                <w:p w14:paraId="0BEC25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0.71</w:t>
                  </w:r>
                </w:p>
              </w:tc>
              <w:tc>
                <w:tcPr>
                  <w:tcW w:w="1130" w:type="dxa"/>
                  <w:tcBorders>
                    <w:tl2br w:val="nil"/>
                    <w:tr2bl w:val="nil"/>
                  </w:tcBorders>
                  <w:shd w:val="clear" w:color="auto" w:fill="auto"/>
                  <w:noWrap/>
                  <w:vAlign w:val="center"/>
                </w:tcPr>
                <w:p w14:paraId="6B9784E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r>
            <w:tr w14:paraId="05A079B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300" w:hRule="atLeast"/>
              </w:trPr>
              <w:tc>
                <w:tcPr>
                  <w:tcW w:w="1406" w:type="dxa"/>
                  <w:tcBorders>
                    <w:tl2br w:val="nil"/>
                    <w:tr2bl w:val="nil"/>
                  </w:tcBorders>
                  <w:shd w:val="clear" w:color="auto" w:fill="auto"/>
                  <w:noWrap/>
                  <w:vAlign w:val="center"/>
                </w:tcPr>
                <w:p w14:paraId="6398BB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氮氧化物</w:t>
                  </w:r>
                </w:p>
              </w:tc>
              <w:tc>
                <w:tcPr>
                  <w:tcW w:w="1032" w:type="dxa"/>
                  <w:tcBorders>
                    <w:tl2br w:val="nil"/>
                    <w:tr2bl w:val="nil"/>
                  </w:tcBorders>
                  <w:shd w:val="clear" w:color="auto" w:fill="auto"/>
                  <w:noWrap/>
                  <w:vAlign w:val="center"/>
                </w:tcPr>
                <w:p w14:paraId="74C3EBD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cs="Times New Roman"/>
                      <w:i w:val="0"/>
                      <w:iCs w:val="0"/>
                      <w:color w:val="auto"/>
                      <w:kern w:val="0"/>
                      <w:sz w:val="21"/>
                      <w:szCs w:val="21"/>
                      <w:u w:val="none"/>
                      <w:lang w:val="en-US" w:eastAsia="zh-CN" w:bidi="ar"/>
                    </w:rPr>
                    <w:t>40</w:t>
                  </w:r>
                </w:p>
              </w:tc>
              <w:tc>
                <w:tcPr>
                  <w:tcW w:w="1166" w:type="dxa"/>
                  <w:tcBorders>
                    <w:tl2br w:val="nil"/>
                    <w:tr2bl w:val="nil"/>
                  </w:tcBorders>
                  <w:shd w:val="clear" w:color="auto" w:fill="auto"/>
                  <w:noWrap/>
                  <w:vAlign w:val="center"/>
                </w:tcPr>
                <w:p w14:paraId="32026C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8000</w:t>
                  </w:r>
                </w:p>
              </w:tc>
              <w:tc>
                <w:tcPr>
                  <w:tcW w:w="1276" w:type="dxa"/>
                  <w:vMerge w:val="continue"/>
                  <w:tcBorders>
                    <w:tl2br w:val="nil"/>
                    <w:tr2bl w:val="nil"/>
                  </w:tcBorders>
                  <w:shd w:val="clear" w:color="auto" w:fill="auto"/>
                  <w:noWrap/>
                  <w:vAlign w:val="center"/>
                </w:tcPr>
                <w:p w14:paraId="0E1F5B73">
                  <w:pPr>
                    <w:jc w:val="center"/>
                    <w:rPr>
                      <w:rFonts w:hint="default" w:ascii="Times New Roman" w:hAnsi="Times New Roman" w:eastAsia="宋体" w:cs="Times New Roman"/>
                      <w:i w:val="0"/>
                      <w:iCs w:val="0"/>
                      <w:color w:val="auto"/>
                      <w:sz w:val="21"/>
                      <w:szCs w:val="21"/>
                      <w:u w:val="none"/>
                    </w:rPr>
                  </w:pPr>
                </w:p>
              </w:tc>
              <w:tc>
                <w:tcPr>
                  <w:tcW w:w="1129" w:type="dxa"/>
                  <w:tcBorders>
                    <w:tl2br w:val="nil"/>
                    <w:tr2bl w:val="nil"/>
                  </w:tcBorders>
                  <w:shd w:val="clear" w:color="auto" w:fill="auto"/>
                  <w:noWrap/>
                  <w:vAlign w:val="center"/>
                </w:tcPr>
                <w:p w14:paraId="61863E7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0"/>
                      <w:szCs w:val="20"/>
                      <w:u w:val="none"/>
                      <w:lang w:val="en-US" w:eastAsia="zh-CN" w:bidi="ar"/>
                    </w:rPr>
                    <w:t>113.072</w:t>
                  </w:r>
                </w:p>
              </w:tc>
              <w:tc>
                <w:tcPr>
                  <w:tcW w:w="1032" w:type="dxa"/>
                  <w:tcBorders>
                    <w:tl2br w:val="nil"/>
                    <w:tr2bl w:val="nil"/>
                  </w:tcBorders>
                  <w:shd w:val="clear" w:color="auto" w:fill="auto"/>
                  <w:noWrap/>
                  <w:vAlign w:val="center"/>
                </w:tcPr>
                <w:p w14:paraId="2E6477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14.13</w:t>
                  </w:r>
                </w:p>
              </w:tc>
              <w:tc>
                <w:tcPr>
                  <w:tcW w:w="1130" w:type="dxa"/>
                  <w:tcBorders>
                    <w:tl2br w:val="nil"/>
                    <w:tr2bl w:val="nil"/>
                  </w:tcBorders>
                  <w:shd w:val="clear" w:color="auto" w:fill="auto"/>
                  <w:noWrap/>
                  <w:vAlign w:val="center"/>
                </w:tcPr>
                <w:p w14:paraId="09912E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cs="Times New Roman"/>
                      <w:i w:val="0"/>
                      <w:iCs w:val="0"/>
                      <w:color w:val="auto"/>
                      <w:kern w:val="0"/>
                      <w:sz w:val="21"/>
                      <w:szCs w:val="21"/>
                      <w:u w:val="none"/>
                      <w:lang w:val="en-US" w:eastAsia="zh-CN" w:bidi="ar"/>
                    </w:rPr>
                    <w:t>40</w:t>
                  </w:r>
                </w:p>
              </w:tc>
            </w:tr>
            <w:tr w14:paraId="1D760E0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00" w:hRule="atLeast"/>
              </w:trPr>
              <w:tc>
                <w:tcPr>
                  <w:tcW w:w="1406" w:type="dxa"/>
                  <w:tcBorders>
                    <w:tl2br w:val="nil"/>
                    <w:tr2bl w:val="nil"/>
                  </w:tcBorders>
                  <w:shd w:val="clear" w:color="auto" w:fill="auto"/>
                  <w:noWrap/>
                  <w:vAlign w:val="center"/>
                </w:tcPr>
                <w:p w14:paraId="590D6E4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二氧化硫</w:t>
                  </w:r>
                </w:p>
              </w:tc>
              <w:tc>
                <w:tcPr>
                  <w:tcW w:w="1032" w:type="dxa"/>
                  <w:tcBorders>
                    <w:tl2br w:val="nil"/>
                    <w:tr2bl w:val="nil"/>
                  </w:tcBorders>
                  <w:shd w:val="clear" w:color="auto" w:fill="auto"/>
                  <w:noWrap/>
                  <w:vAlign w:val="center"/>
                </w:tcPr>
                <w:p w14:paraId="578BD3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cs="Times New Roman"/>
                      <w:i w:val="0"/>
                      <w:iCs w:val="0"/>
                      <w:color w:val="auto"/>
                      <w:kern w:val="0"/>
                      <w:sz w:val="21"/>
                      <w:szCs w:val="21"/>
                      <w:u w:val="none"/>
                      <w:lang w:val="en-US" w:eastAsia="zh-CN" w:bidi="ar"/>
                    </w:rPr>
                    <w:t>12</w:t>
                  </w:r>
                </w:p>
              </w:tc>
              <w:tc>
                <w:tcPr>
                  <w:tcW w:w="1166" w:type="dxa"/>
                  <w:tcBorders>
                    <w:tl2br w:val="nil"/>
                    <w:tr2bl w:val="nil"/>
                  </w:tcBorders>
                  <w:shd w:val="clear" w:color="auto" w:fill="auto"/>
                  <w:noWrap/>
                  <w:vAlign w:val="center"/>
                </w:tcPr>
                <w:p w14:paraId="2B35D9A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8000</w:t>
                  </w:r>
                </w:p>
              </w:tc>
              <w:tc>
                <w:tcPr>
                  <w:tcW w:w="1276" w:type="dxa"/>
                  <w:vMerge w:val="continue"/>
                  <w:tcBorders>
                    <w:tl2br w:val="nil"/>
                    <w:tr2bl w:val="nil"/>
                  </w:tcBorders>
                  <w:shd w:val="clear" w:color="auto" w:fill="auto"/>
                  <w:noWrap/>
                  <w:vAlign w:val="center"/>
                </w:tcPr>
                <w:p w14:paraId="52924830">
                  <w:pPr>
                    <w:jc w:val="center"/>
                    <w:rPr>
                      <w:rFonts w:hint="default" w:ascii="Times New Roman" w:hAnsi="Times New Roman" w:eastAsia="宋体" w:cs="Times New Roman"/>
                      <w:i w:val="0"/>
                      <w:iCs w:val="0"/>
                      <w:color w:val="auto"/>
                      <w:sz w:val="21"/>
                      <w:szCs w:val="21"/>
                      <w:u w:val="none"/>
                    </w:rPr>
                  </w:pPr>
                </w:p>
              </w:tc>
              <w:tc>
                <w:tcPr>
                  <w:tcW w:w="1129" w:type="dxa"/>
                  <w:tcBorders>
                    <w:tl2br w:val="nil"/>
                    <w:tr2bl w:val="nil"/>
                  </w:tcBorders>
                  <w:shd w:val="clear" w:color="auto" w:fill="auto"/>
                  <w:noWrap/>
                  <w:vAlign w:val="center"/>
                </w:tcPr>
                <w:p w14:paraId="1C4153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0"/>
                      <w:szCs w:val="20"/>
                      <w:u w:val="none"/>
                      <w:lang w:val="en-US" w:eastAsia="zh-CN" w:bidi="ar"/>
                    </w:rPr>
                    <w:t>33.922</w:t>
                  </w:r>
                </w:p>
              </w:tc>
              <w:tc>
                <w:tcPr>
                  <w:tcW w:w="1032" w:type="dxa"/>
                  <w:tcBorders>
                    <w:tl2br w:val="nil"/>
                    <w:tr2bl w:val="nil"/>
                  </w:tcBorders>
                  <w:shd w:val="clear" w:color="auto" w:fill="auto"/>
                  <w:noWrap/>
                  <w:vAlign w:val="center"/>
                </w:tcPr>
                <w:p w14:paraId="76BBC1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2"/>
                      <w:szCs w:val="22"/>
                      <w:u w:val="none"/>
                      <w:lang w:val="en-US" w:eastAsia="zh-CN" w:bidi="ar"/>
                    </w:rPr>
                    <w:t>4.24</w:t>
                  </w:r>
                </w:p>
              </w:tc>
              <w:tc>
                <w:tcPr>
                  <w:tcW w:w="1130" w:type="dxa"/>
                  <w:tcBorders>
                    <w:tl2br w:val="nil"/>
                    <w:tr2bl w:val="nil"/>
                  </w:tcBorders>
                  <w:shd w:val="clear" w:color="auto" w:fill="auto"/>
                  <w:noWrap/>
                  <w:vAlign w:val="center"/>
                </w:tcPr>
                <w:p w14:paraId="110E1F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cs="Times New Roman"/>
                      <w:i w:val="0"/>
                      <w:iCs w:val="0"/>
                      <w:color w:val="auto"/>
                      <w:kern w:val="0"/>
                      <w:sz w:val="21"/>
                      <w:szCs w:val="21"/>
                      <w:u w:val="none"/>
                      <w:lang w:val="en-US" w:eastAsia="zh-CN" w:bidi="ar"/>
                    </w:rPr>
                    <w:t>12</w:t>
                  </w:r>
                </w:p>
              </w:tc>
            </w:tr>
          </w:tbl>
          <w:p w14:paraId="0CC86ED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经计算</w:t>
            </w:r>
            <w:r>
              <w:rPr>
                <w:rFonts w:hint="default" w:ascii="Times New Roman" w:hAnsi="Times New Roman" w:cs="Times New Roman"/>
                <w:color w:val="auto"/>
                <w:spacing w:val="0"/>
                <w:kern w:val="2"/>
                <w:position w:val="0"/>
                <w:sz w:val="24"/>
                <w:szCs w:val="24"/>
                <w:lang w:val="en-US" w:eastAsia="zh-CN" w:bidi="zh-CN"/>
              </w:rPr>
              <w:t>吉木萨尔县光源发电有限责任公司燃气锅炉节能改造及资源综合利用项目总量指标：颗粒物5.654t/a、氮氧化物113.072t/a、二氧化硫33.922t/a。</w:t>
            </w:r>
          </w:p>
          <w:p w14:paraId="241C3D7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b w:val="0"/>
                <w:bCs w:val="0"/>
                <w:color w:val="auto"/>
                <w:sz w:val="24"/>
                <w:szCs w:val="24"/>
                <w:lang w:val="en-US" w:eastAsia="zh-CN"/>
              </w:rPr>
            </w:pPr>
          </w:p>
          <w:p w14:paraId="7A9224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b w:val="0"/>
                <w:bCs w:val="0"/>
                <w:color w:val="auto"/>
                <w:sz w:val="24"/>
                <w:szCs w:val="24"/>
                <w:lang w:val="en-US" w:eastAsia="zh-CN"/>
              </w:rPr>
            </w:pPr>
          </w:p>
          <w:p w14:paraId="05FE01F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b w:val="0"/>
                <w:bCs w:val="0"/>
                <w:color w:val="auto"/>
                <w:sz w:val="24"/>
                <w:szCs w:val="24"/>
                <w:lang w:val="en-US" w:eastAsia="zh-CN"/>
              </w:rPr>
            </w:pPr>
          </w:p>
          <w:p w14:paraId="66ACF47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b w:val="0"/>
                <w:bCs w:val="0"/>
                <w:color w:val="auto"/>
                <w:sz w:val="24"/>
                <w:szCs w:val="24"/>
                <w:lang w:val="en-US" w:eastAsia="zh-CN"/>
              </w:rPr>
            </w:pPr>
          </w:p>
          <w:p w14:paraId="7A92C9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b w:val="0"/>
                <w:bCs w:val="0"/>
                <w:color w:val="auto"/>
                <w:sz w:val="24"/>
                <w:szCs w:val="24"/>
                <w:lang w:val="en-US" w:eastAsia="zh-CN"/>
              </w:rPr>
            </w:pPr>
          </w:p>
          <w:p w14:paraId="02A78C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b w:val="0"/>
                <w:bCs w:val="0"/>
                <w:color w:val="auto"/>
                <w:sz w:val="24"/>
                <w:szCs w:val="24"/>
                <w:lang w:val="en-US" w:eastAsia="zh-CN"/>
              </w:rPr>
            </w:pPr>
          </w:p>
          <w:p w14:paraId="1E5DA70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b w:val="0"/>
                <w:bCs w:val="0"/>
                <w:color w:val="auto"/>
                <w:sz w:val="24"/>
                <w:szCs w:val="24"/>
                <w:lang w:val="en-US" w:eastAsia="zh-CN"/>
              </w:rPr>
            </w:pPr>
          </w:p>
          <w:p w14:paraId="130371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b w:val="0"/>
                <w:bCs w:val="0"/>
                <w:color w:val="auto"/>
                <w:sz w:val="24"/>
                <w:szCs w:val="24"/>
                <w:lang w:val="en-US" w:eastAsia="zh-CN"/>
              </w:rPr>
            </w:pPr>
          </w:p>
          <w:p w14:paraId="58776A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b w:val="0"/>
                <w:bCs w:val="0"/>
                <w:color w:val="auto"/>
                <w:sz w:val="24"/>
                <w:szCs w:val="24"/>
                <w:lang w:val="en-US" w:eastAsia="zh-CN"/>
              </w:rPr>
            </w:pPr>
          </w:p>
          <w:p w14:paraId="3E7E9DF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default" w:ascii="Times New Roman" w:hAnsi="Times New Roman" w:cs="Times New Roman"/>
                <w:b w:val="0"/>
                <w:bCs w:val="0"/>
                <w:color w:val="auto"/>
                <w:sz w:val="24"/>
                <w:szCs w:val="24"/>
                <w:lang w:val="en-US" w:eastAsia="zh-CN"/>
              </w:rPr>
            </w:pPr>
          </w:p>
          <w:p w14:paraId="443AA91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default" w:ascii="Times New Roman" w:hAnsi="Times New Roman" w:cs="Times New Roman"/>
                <w:b w:val="0"/>
                <w:bCs w:val="0"/>
                <w:color w:val="auto"/>
                <w:sz w:val="24"/>
                <w:szCs w:val="24"/>
                <w:lang w:val="en-US" w:eastAsia="zh-CN"/>
              </w:rPr>
            </w:pPr>
          </w:p>
          <w:p w14:paraId="3A4E98A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default" w:ascii="Times New Roman" w:hAnsi="Times New Roman" w:cs="Times New Roman"/>
                <w:b w:val="0"/>
                <w:bCs w:val="0"/>
                <w:color w:val="auto"/>
                <w:sz w:val="24"/>
                <w:szCs w:val="24"/>
                <w:lang w:val="en-US" w:eastAsia="zh-CN"/>
              </w:rPr>
            </w:pPr>
          </w:p>
          <w:p w14:paraId="1B1AE22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default" w:ascii="Times New Roman" w:hAnsi="Times New Roman" w:cs="Times New Roman"/>
                <w:b w:val="0"/>
                <w:bCs w:val="0"/>
                <w:color w:val="auto"/>
                <w:sz w:val="24"/>
                <w:szCs w:val="24"/>
                <w:lang w:val="en-US" w:eastAsia="zh-CN"/>
              </w:rPr>
            </w:pPr>
          </w:p>
          <w:p w14:paraId="5313C9C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default" w:ascii="Times New Roman" w:hAnsi="Times New Roman" w:cs="Times New Roman"/>
                <w:b w:val="0"/>
                <w:bCs w:val="0"/>
                <w:color w:val="auto"/>
                <w:sz w:val="24"/>
                <w:szCs w:val="24"/>
                <w:lang w:val="en-US" w:eastAsia="zh-CN"/>
              </w:rPr>
            </w:pPr>
          </w:p>
          <w:p w14:paraId="6F3C3F1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default" w:ascii="Times New Roman" w:hAnsi="Times New Roman" w:cs="Times New Roman"/>
                <w:b w:val="0"/>
                <w:bCs w:val="0"/>
                <w:color w:val="auto"/>
                <w:sz w:val="24"/>
                <w:szCs w:val="24"/>
                <w:lang w:val="en-US" w:eastAsia="zh-CN"/>
              </w:rPr>
            </w:pPr>
          </w:p>
          <w:p w14:paraId="4A40CE5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default" w:ascii="Times New Roman" w:hAnsi="Times New Roman" w:cs="Times New Roman"/>
                <w:b w:val="0"/>
                <w:bCs w:val="0"/>
                <w:color w:val="auto"/>
                <w:sz w:val="24"/>
                <w:szCs w:val="24"/>
                <w:lang w:val="en-US" w:eastAsia="zh-CN"/>
              </w:rPr>
            </w:pPr>
          </w:p>
          <w:p w14:paraId="22D2447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default" w:ascii="Times New Roman" w:hAnsi="Times New Roman" w:cs="Times New Roman"/>
                <w:b w:val="0"/>
                <w:bCs w:val="0"/>
                <w:color w:val="auto"/>
                <w:sz w:val="24"/>
                <w:szCs w:val="24"/>
                <w:lang w:val="en-US" w:eastAsia="zh-CN"/>
              </w:rPr>
            </w:pPr>
          </w:p>
          <w:p w14:paraId="05A78C1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default" w:ascii="Times New Roman" w:hAnsi="Times New Roman" w:cs="Times New Roman"/>
                <w:b w:val="0"/>
                <w:bCs w:val="0"/>
                <w:color w:val="auto"/>
                <w:sz w:val="24"/>
                <w:szCs w:val="24"/>
                <w:lang w:val="en-US" w:eastAsia="zh-CN"/>
              </w:rPr>
            </w:pPr>
          </w:p>
          <w:p w14:paraId="2CD7F37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default" w:ascii="Times New Roman" w:hAnsi="Times New Roman" w:cs="Times New Roman"/>
                <w:b w:val="0"/>
                <w:bCs w:val="0"/>
                <w:color w:val="auto"/>
                <w:sz w:val="24"/>
                <w:szCs w:val="24"/>
                <w:lang w:val="en-US" w:eastAsia="zh-CN"/>
              </w:rPr>
            </w:pPr>
          </w:p>
          <w:p w14:paraId="7844283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default" w:ascii="Times New Roman" w:hAnsi="Times New Roman" w:cs="Times New Roman"/>
                <w:b w:val="0"/>
                <w:bCs w:val="0"/>
                <w:color w:val="auto"/>
                <w:sz w:val="24"/>
                <w:szCs w:val="24"/>
                <w:lang w:val="en-US" w:eastAsia="zh-CN"/>
              </w:rPr>
            </w:pPr>
          </w:p>
          <w:p w14:paraId="544A099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default" w:ascii="Times New Roman" w:hAnsi="Times New Roman" w:cs="Times New Roman"/>
                <w:b w:val="0"/>
                <w:bCs w:val="0"/>
                <w:color w:val="auto"/>
                <w:sz w:val="24"/>
                <w:szCs w:val="24"/>
                <w:lang w:val="en-US" w:eastAsia="zh-CN"/>
              </w:rPr>
            </w:pPr>
          </w:p>
          <w:p w14:paraId="5D881C6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default" w:ascii="Times New Roman" w:hAnsi="Times New Roman" w:cs="Times New Roman"/>
                <w:b w:val="0"/>
                <w:bCs w:val="0"/>
                <w:color w:val="auto"/>
                <w:sz w:val="24"/>
                <w:szCs w:val="24"/>
                <w:lang w:val="en-US" w:eastAsia="zh-CN"/>
              </w:rPr>
            </w:pPr>
          </w:p>
          <w:p w14:paraId="3B84E5D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default" w:ascii="Times New Roman" w:hAnsi="Times New Roman" w:cs="Times New Roman"/>
                <w:b w:val="0"/>
                <w:bCs w:val="0"/>
                <w:color w:val="auto"/>
                <w:sz w:val="24"/>
                <w:szCs w:val="24"/>
                <w:lang w:val="en-US" w:eastAsia="zh-CN"/>
              </w:rPr>
            </w:pPr>
          </w:p>
          <w:p w14:paraId="6ECF47C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default" w:ascii="Times New Roman" w:hAnsi="Times New Roman" w:cs="Times New Roman"/>
                <w:b w:val="0"/>
                <w:bCs w:val="0"/>
                <w:color w:val="auto"/>
                <w:sz w:val="24"/>
                <w:szCs w:val="24"/>
                <w:lang w:val="en-US" w:eastAsia="zh-CN"/>
              </w:rPr>
            </w:pPr>
          </w:p>
          <w:p w14:paraId="63A8C23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outlineLvl w:val="9"/>
              <w:rPr>
                <w:rFonts w:hint="default" w:ascii="Times New Roman" w:hAnsi="Times New Roman" w:cs="Times New Roman"/>
                <w:b w:val="0"/>
                <w:bCs w:val="0"/>
                <w:color w:val="auto"/>
                <w:sz w:val="24"/>
                <w:szCs w:val="24"/>
                <w:lang w:val="en-US" w:eastAsia="zh-CN"/>
              </w:rPr>
            </w:pPr>
          </w:p>
          <w:p w14:paraId="75C4AC2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b w:val="0"/>
                <w:bCs w:val="0"/>
                <w:color w:val="auto"/>
                <w:sz w:val="24"/>
                <w:szCs w:val="24"/>
                <w:lang w:val="en-US" w:eastAsia="zh-CN"/>
              </w:rPr>
            </w:pPr>
          </w:p>
          <w:p w14:paraId="7B130BB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b w:val="0"/>
                <w:bCs w:val="0"/>
                <w:color w:val="auto"/>
                <w:sz w:val="24"/>
                <w:szCs w:val="24"/>
                <w:lang w:val="en-US" w:eastAsia="zh-CN"/>
              </w:rPr>
            </w:pPr>
          </w:p>
          <w:p w14:paraId="488D80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both"/>
              <w:textAlignment w:val="auto"/>
              <w:outlineLvl w:val="9"/>
              <w:rPr>
                <w:rFonts w:hint="default" w:ascii="Times New Roman" w:hAnsi="Times New Roman" w:cs="Times New Roman"/>
                <w:b w:val="0"/>
                <w:bCs w:val="0"/>
                <w:color w:val="auto"/>
                <w:sz w:val="24"/>
                <w:szCs w:val="24"/>
                <w:lang w:val="en-US" w:eastAsia="zh-CN"/>
              </w:rPr>
            </w:pPr>
          </w:p>
        </w:tc>
      </w:tr>
    </w:tbl>
    <w:p w14:paraId="16C4E130">
      <w:pPr>
        <w:pStyle w:val="28"/>
        <w:jc w:val="center"/>
        <w:outlineLvl w:val="0"/>
        <w:rPr>
          <w:rFonts w:hint="default" w:ascii="Times New Roman" w:hAnsi="Times New Roman" w:eastAsia="黑体" w:cs="Times New Roman"/>
          <w:snapToGrid w:val="0"/>
          <w:color w:val="auto"/>
          <w:sz w:val="30"/>
          <w:szCs w:val="30"/>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51E3FFE1">
      <w:pPr>
        <w:pStyle w:val="28"/>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0"/>
          <w:szCs w:val="30"/>
        </w:rPr>
        <w:t>三、区域环境质量现状、环境保护目标及评价标准</w:t>
      </w:r>
      <w:bookmarkEnd w:id="6"/>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57" w:type="dxa"/>
          <w:left w:w="57" w:type="dxa"/>
          <w:bottom w:w="57" w:type="dxa"/>
          <w:right w:w="57" w:type="dxa"/>
        </w:tblCellMar>
      </w:tblPr>
      <w:tblGrid>
        <w:gridCol w:w="627"/>
        <w:gridCol w:w="8332"/>
      </w:tblGrid>
      <w:tr w14:paraId="215664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7340" w:hRule="atLeast"/>
          <w:jc w:val="center"/>
        </w:trPr>
        <w:tc>
          <w:tcPr>
            <w:tcW w:w="627" w:type="dxa"/>
            <w:noWrap w:val="0"/>
            <w:vAlign w:val="center"/>
          </w:tcPr>
          <w:p w14:paraId="1D034CAB">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108303D1">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2CE68739">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3EDA244B">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3B725DFE">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39500270">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6DF05B5A">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0BF9E05F">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7DD8B7EC">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11A81B99">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70C52149">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514AC8D9">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3BED41C4">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0A9690BF">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0C819012">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391F45F7">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108FDADC">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4DD309E6">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26E4D5EE">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6E51C2BA">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2B895E25">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r>
              <w:rPr>
                <w:rFonts w:hint="default" w:ascii="Times New Roman" w:hAnsi="Times New Roman" w:eastAsia="宋体" w:cs="Times New Roman"/>
                <w:color w:val="auto"/>
                <w:spacing w:val="0"/>
                <w:kern w:val="0"/>
                <w:position w:val="0"/>
                <w:sz w:val="24"/>
                <w:szCs w:val="24"/>
              </w:rPr>
              <w:t>区域</w:t>
            </w:r>
          </w:p>
          <w:p w14:paraId="30A16773">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r>
              <w:rPr>
                <w:rFonts w:hint="default" w:ascii="Times New Roman" w:hAnsi="Times New Roman" w:eastAsia="宋体" w:cs="Times New Roman"/>
                <w:color w:val="auto"/>
                <w:spacing w:val="0"/>
                <w:kern w:val="0"/>
                <w:position w:val="0"/>
                <w:sz w:val="24"/>
                <w:szCs w:val="24"/>
              </w:rPr>
              <w:t>环境</w:t>
            </w:r>
          </w:p>
          <w:p w14:paraId="5E4E02FA">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r>
              <w:rPr>
                <w:rFonts w:hint="default" w:ascii="Times New Roman" w:hAnsi="Times New Roman" w:eastAsia="宋体" w:cs="Times New Roman"/>
                <w:color w:val="auto"/>
                <w:spacing w:val="0"/>
                <w:kern w:val="0"/>
                <w:position w:val="0"/>
                <w:sz w:val="24"/>
                <w:szCs w:val="24"/>
              </w:rPr>
              <w:t>质量</w:t>
            </w:r>
          </w:p>
          <w:p w14:paraId="2046ED9A">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r>
              <w:rPr>
                <w:rFonts w:hint="default" w:ascii="Times New Roman" w:hAnsi="Times New Roman" w:eastAsia="宋体" w:cs="Times New Roman"/>
                <w:color w:val="auto"/>
                <w:spacing w:val="0"/>
                <w:kern w:val="0"/>
                <w:position w:val="0"/>
                <w:sz w:val="24"/>
                <w:szCs w:val="24"/>
              </w:rPr>
              <w:t>现状</w:t>
            </w:r>
          </w:p>
          <w:p w14:paraId="03646DC7">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26613983">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6943CFED">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5036A37E">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6469179D">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0B399C03">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23BFF379">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2FA2D52F">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542EB25C">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3EC60F76">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50942ACD">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7EDA006E">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3A2B9752">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03D14A8A">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10CDAACA">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12CEDDF0">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45A402E3">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17C42332">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15B99B18">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64F7ADBF">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1F93AC00">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16390BD5">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3D7FF11B">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2E73BC2D">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77230786">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0BFB64BA">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6315875C">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5FE1D0B4">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620317ED">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6E023ECC">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7894DF31">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25E25BF2">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6231945D">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1D5093D4">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44235739">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52DCC0CE">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1F6B72DA">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456B0F37">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34D0B99B">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2013596B">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r>
              <w:rPr>
                <w:rFonts w:hint="default" w:ascii="Times New Roman" w:hAnsi="Times New Roman" w:eastAsia="宋体" w:cs="Times New Roman"/>
                <w:color w:val="auto"/>
                <w:spacing w:val="0"/>
                <w:kern w:val="0"/>
                <w:position w:val="0"/>
                <w:sz w:val="24"/>
                <w:szCs w:val="24"/>
              </w:rPr>
              <w:t>区域</w:t>
            </w:r>
          </w:p>
          <w:p w14:paraId="6082338D">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r>
              <w:rPr>
                <w:rFonts w:hint="default" w:ascii="Times New Roman" w:hAnsi="Times New Roman" w:eastAsia="宋体" w:cs="Times New Roman"/>
                <w:color w:val="auto"/>
                <w:spacing w:val="0"/>
                <w:kern w:val="0"/>
                <w:position w:val="0"/>
                <w:sz w:val="24"/>
                <w:szCs w:val="24"/>
              </w:rPr>
              <w:t>环境</w:t>
            </w:r>
          </w:p>
          <w:p w14:paraId="381BA571">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r>
              <w:rPr>
                <w:rFonts w:hint="default" w:ascii="Times New Roman" w:hAnsi="Times New Roman" w:eastAsia="宋体" w:cs="Times New Roman"/>
                <w:color w:val="auto"/>
                <w:spacing w:val="0"/>
                <w:kern w:val="0"/>
                <w:position w:val="0"/>
                <w:sz w:val="24"/>
                <w:szCs w:val="24"/>
              </w:rPr>
              <w:t>质量</w:t>
            </w:r>
          </w:p>
          <w:p w14:paraId="1DCA9E00">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r>
              <w:rPr>
                <w:rFonts w:hint="default" w:ascii="Times New Roman" w:hAnsi="Times New Roman" w:eastAsia="宋体" w:cs="Times New Roman"/>
                <w:color w:val="auto"/>
                <w:spacing w:val="0"/>
                <w:kern w:val="0"/>
                <w:position w:val="0"/>
                <w:sz w:val="24"/>
                <w:szCs w:val="24"/>
              </w:rPr>
              <w:t>现状</w:t>
            </w:r>
          </w:p>
          <w:p w14:paraId="217A5DF8">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133089D4">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70297ABC">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25645C38">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3A8E6783">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20DE9B0A">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6F0C255F">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160F4ABA">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496FD917">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444F15B8">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43D0901B">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07CA1672">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237CF795">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7304B8E4">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79CB81A8">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39F2A771">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1420F05E">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79D58706">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539B3091">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2F2B04E5">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2DD8900A">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22DC8BEE">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24ECE2F3">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p w14:paraId="3EA5AF05">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p>
        </w:tc>
        <w:tc>
          <w:tcPr>
            <w:tcW w:w="8332" w:type="dxa"/>
            <w:noWrap w:val="0"/>
            <w:vAlign w:val="center"/>
          </w:tcPr>
          <w:p w14:paraId="32BD6734">
            <w:pPr>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default" w:ascii="Times New Roman" w:hAnsi="Times New Roman" w:eastAsia="宋体" w:cs="Times New Roman"/>
                <w:b/>
                <w:color w:val="auto"/>
                <w:spacing w:val="0"/>
                <w:position w:val="0"/>
                <w:sz w:val="24"/>
                <w:szCs w:val="24"/>
              </w:rPr>
            </w:pPr>
            <w:r>
              <w:rPr>
                <w:rFonts w:hint="default" w:ascii="Times New Roman" w:hAnsi="Times New Roman" w:eastAsia="宋体" w:cs="Times New Roman"/>
                <w:b/>
                <w:color w:val="auto"/>
                <w:spacing w:val="0"/>
                <w:position w:val="0"/>
                <w:sz w:val="24"/>
                <w:szCs w:val="24"/>
                <w:lang w:val="en-US" w:eastAsia="zh-CN"/>
              </w:rPr>
              <w:t>1</w:t>
            </w:r>
            <w:r>
              <w:rPr>
                <w:rFonts w:hint="default" w:ascii="Times New Roman" w:hAnsi="Times New Roman" w:eastAsia="宋体" w:cs="Times New Roman"/>
                <w:b/>
                <w:color w:val="auto"/>
                <w:spacing w:val="0"/>
                <w:position w:val="0"/>
                <w:sz w:val="24"/>
                <w:szCs w:val="24"/>
              </w:rPr>
              <w:t>环境空气质量现状调查及评价</w:t>
            </w:r>
          </w:p>
          <w:p w14:paraId="3EE9B2AA">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highlight w:val="none"/>
                <w:lang w:val="en-US" w:eastAsia="zh-CN"/>
              </w:rPr>
              <w:t>1.1</w:t>
            </w:r>
            <w:r>
              <w:rPr>
                <w:rFonts w:hint="default" w:ascii="Times New Roman" w:hAnsi="Times New Roman" w:eastAsia="宋体" w:cs="Times New Roman"/>
                <w:b/>
                <w:color w:val="auto"/>
                <w:spacing w:val="0"/>
                <w:position w:val="0"/>
                <w:sz w:val="24"/>
                <w:szCs w:val="24"/>
                <w:lang w:val="en-US" w:eastAsia="zh-CN"/>
              </w:rPr>
              <w:t>空气质量达标区判定</w:t>
            </w:r>
          </w:p>
          <w:p w14:paraId="3A72EC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0" w:firstLine="480" w:firstLineChars="200"/>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4"/>
                <w:szCs w:val="24"/>
                <w:lang w:val="en-US" w:eastAsia="zh-CN"/>
              </w:rPr>
              <w:t>本项目</w:t>
            </w:r>
            <w:r>
              <w:rPr>
                <w:rFonts w:hint="default" w:ascii="Times New Roman" w:hAnsi="Times New Roman" w:eastAsia="宋体" w:cs="Times New Roman"/>
                <w:color w:val="auto"/>
                <w:spacing w:val="0"/>
                <w:kern w:val="0"/>
                <w:sz w:val="24"/>
                <w:szCs w:val="24"/>
                <w:highlight w:val="none"/>
                <w:lang w:val="en-US" w:eastAsia="zh-CN"/>
              </w:rPr>
              <w:t>位于</w:t>
            </w:r>
            <w:r>
              <w:rPr>
                <w:rFonts w:hint="default" w:ascii="Times New Roman" w:hAnsi="Times New Roman" w:cs="Times New Roman"/>
                <w:color w:val="auto"/>
                <w:spacing w:val="0"/>
                <w:kern w:val="0"/>
                <w:sz w:val="24"/>
                <w:szCs w:val="24"/>
                <w:highlight w:val="none"/>
                <w:lang w:val="en-US" w:eastAsia="zh-CN"/>
              </w:rPr>
              <w:t>吉木萨尔县北三台循环经济工业园</w:t>
            </w:r>
            <w:r>
              <w:rPr>
                <w:rFonts w:hint="default" w:ascii="Times New Roman" w:hAnsi="Times New Roman" w:eastAsia="宋体" w:cs="Times New Roman"/>
                <w:color w:val="auto"/>
                <w:sz w:val="24"/>
                <w:szCs w:val="24"/>
                <w:lang w:val="en-US" w:eastAsia="zh-CN"/>
              </w:rPr>
              <w:t>，</w:t>
            </w:r>
            <w:r>
              <w:rPr>
                <w:rFonts w:hint="default" w:ascii="Times New Roman" w:hAnsi="Times New Roman" w:cs="Times New Roman"/>
                <w:color w:val="auto"/>
                <w:sz w:val="24"/>
                <w:szCs w:val="24"/>
                <w:lang w:val="en-US" w:eastAsia="zh-CN"/>
              </w:rPr>
              <w:t>采用2023年吉木萨尔县环境监测站环境空气质量逐日统计结果中的</w:t>
            </w:r>
            <w:r>
              <w:rPr>
                <w:rFonts w:hint="default" w:ascii="Times New Roman" w:hAnsi="Times New Roman" w:eastAsia="宋体" w:cs="Times New Roman"/>
                <w:color w:val="auto"/>
                <w:kern w:val="0"/>
                <w:sz w:val="24"/>
                <w:szCs w:val="24"/>
                <w:highlight w:val="none"/>
                <w:lang w:val="en-US" w:eastAsia="zh-CN"/>
              </w:rPr>
              <w:t>SO</w:t>
            </w:r>
            <w:r>
              <w:rPr>
                <w:rFonts w:hint="default" w:ascii="Times New Roman" w:hAnsi="Times New Roman" w:eastAsia="宋体" w:cs="Times New Roman"/>
                <w:color w:val="auto"/>
                <w:kern w:val="0"/>
                <w:sz w:val="24"/>
                <w:szCs w:val="24"/>
                <w:highlight w:val="none"/>
                <w:vertAlign w:val="subscript"/>
                <w:lang w:val="en-US" w:eastAsia="zh-CN"/>
              </w:rPr>
              <w:t>2</w:t>
            </w:r>
            <w:r>
              <w:rPr>
                <w:rFonts w:hint="default" w:ascii="Times New Roman" w:hAnsi="Times New Roman" w:eastAsia="宋体" w:cs="Times New Roman"/>
                <w:color w:val="auto"/>
                <w:kern w:val="0"/>
                <w:sz w:val="24"/>
                <w:szCs w:val="24"/>
                <w:highlight w:val="none"/>
                <w:lang w:val="en-US" w:eastAsia="zh-CN"/>
              </w:rPr>
              <w:t>、NO</w:t>
            </w:r>
            <w:r>
              <w:rPr>
                <w:rFonts w:hint="default" w:ascii="Times New Roman" w:hAnsi="Times New Roman" w:eastAsia="宋体" w:cs="Times New Roman"/>
                <w:color w:val="auto"/>
                <w:kern w:val="0"/>
                <w:sz w:val="24"/>
                <w:szCs w:val="24"/>
                <w:highlight w:val="none"/>
                <w:vertAlign w:val="subscript"/>
                <w:lang w:val="en-US" w:eastAsia="zh-CN"/>
              </w:rPr>
              <w:t>2</w:t>
            </w:r>
            <w:r>
              <w:rPr>
                <w:rFonts w:hint="default" w:ascii="Times New Roman" w:hAnsi="Times New Roman" w:eastAsia="宋体" w:cs="Times New Roman"/>
                <w:color w:val="auto"/>
                <w:kern w:val="0"/>
                <w:sz w:val="24"/>
                <w:szCs w:val="24"/>
                <w:highlight w:val="none"/>
                <w:lang w:val="en-US" w:eastAsia="zh-CN"/>
              </w:rPr>
              <w:t>、PM</w:t>
            </w:r>
            <w:r>
              <w:rPr>
                <w:rFonts w:hint="default" w:ascii="Times New Roman" w:hAnsi="Times New Roman" w:eastAsia="宋体" w:cs="Times New Roman"/>
                <w:color w:val="auto"/>
                <w:kern w:val="0"/>
                <w:sz w:val="24"/>
                <w:szCs w:val="24"/>
                <w:highlight w:val="none"/>
                <w:vertAlign w:val="subscript"/>
                <w:lang w:val="en-US" w:eastAsia="zh-CN"/>
              </w:rPr>
              <w:t>10</w:t>
            </w:r>
            <w:r>
              <w:rPr>
                <w:rFonts w:hint="default" w:ascii="Times New Roman" w:hAnsi="Times New Roman" w:eastAsia="宋体" w:cs="Times New Roman"/>
                <w:color w:val="auto"/>
                <w:kern w:val="0"/>
                <w:sz w:val="24"/>
                <w:szCs w:val="24"/>
                <w:highlight w:val="none"/>
                <w:lang w:val="en-US" w:eastAsia="zh-CN"/>
              </w:rPr>
              <w:t>、PM</w:t>
            </w:r>
            <w:r>
              <w:rPr>
                <w:rFonts w:hint="default" w:ascii="Times New Roman" w:hAnsi="Times New Roman" w:eastAsia="宋体" w:cs="Times New Roman"/>
                <w:color w:val="auto"/>
                <w:kern w:val="0"/>
                <w:sz w:val="24"/>
                <w:szCs w:val="24"/>
                <w:highlight w:val="none"/>
                <w:vertAlign w:val="subscript"/>
                <w:lang w:val="en-US" w:eastAsia="zh-CN"/>
              </w:rPr>
              <w:t>2.5</w:t>
            </w:r>
            <w:r>
              <w:rPr>
                <w:rFonts w:hint="default" w:ascii="Times New Roman" w:hAnsi="Times New Roman" w:eastAsia="宋体" w:cs="Times New Roman"/>
                <w:color w:val="auto"/>
                <w:kern w:val="0"/>
                <w:sz w:val="24"/>
                <w:szCs w:val="24"/>
                <w:highlight w:val="none"/>
                <w:lang w:val="en-US" w:eastAsia="zh-CN"/>
              </w:rPr>
              <w:t>、CO和O</w:t>
            </w:r>
            <w:r>
              <w:rPr>
                <w:rFonts w:hint="default" w:ascii="Times New Roman" w:hAnsi="Times New Roman" w:eastAsia="宋体" w:cs="Times New Roman"/>
                <w:color w:val="auto"/>
                <w:kern w:val="0"/>
                <w:sz w:val="24"/>
                <w:szCs w:val="24"/>
                <w:highlight w:val="none"/>
                <w:vertAlign w:val="subscript"/>
                <w:lang w:val="en-US" w:eastAsia="zh-CN"/>
              </w:rPr>
              <w:t>3</w:t>
            </w:r>
            <w:r>
              <w:rPr>
                <w:rFonts w:hint="default" w:ascii="Times New Roman" w:hAnsi="Times New Roman" w:eastAsia="宋体" w:cs="Times New Roman"/>
                <w:color w:val="auto"/>
                <w:kern w:val="0"/>
                <w:sz w:val="24"/>
                <w:szCs w:val="24"/>
                <w:highlight w:val="none"/>
                <w:lang w:val="en-US" w:eastAsia="zh-CN"/>
              </w:rPr>
              <w:t>的数据</w:t>
            </w:r>
            <w:r>
              <w:rPr>
                <w:rFonts w:hint="default" w:ascii="Times New Roman" w:hAnsi="Times New Roman" w:cs="Times New Roman"/>
                <w:color w:val="auto"/>
                <w:kern w:val="0"/>
                <w:sz w:val="24"/>
                <w:szCs w:val="24"/>
                <w:highlight w:val="none"/>
                <w:lang w:val="en-US" w:eastAsia="zh-CN"/>
              </w:rPr>
              <w:t>进行空气质量达标区判定</w:t>
            </w:r>
            <w:r>
              <w:rPr>
                <w:rFonts w:hint="default" w:ascii="Times New Roman" w:hAnsi="Times New Roman" w:eastAsia="宋体" w:cs="Times New Roman"/>
                <w:color w:val="auto"/>
                <w:kern w:val="0"/>
                <w:sz w:val="24"/>
                <w:szCs w:val="24"/>
                <w:highlight w:val="none"/>
                <w:lang w:val="en-US" w:eastAsia="zh-CN"/>
              </w:rPr>
              <w:t>。</w:t>
            </w:r>
            <w:r>
              <w:rPr>
                <w:rFonts w:hint="default" w:ascii="Times New Roman" w:hAnsi="Times New Roman" w:cs="Times New Roman"/>
                <w:color w:val="auto"/>
                <w:sz w:val="24"/>
                <w:szCs w:val="24"/>
                <w:lang w:val="en-US" w:eastAsia="zh-CN"/>
              </w:rPr>
              <w:t>需说明的是，该数据监测时执行的是《环境空气质量标准》（GB3095-2012）。2026年3月1日起，新标准《环境空气质量标准》（GB3095-2026）正式实施，因此</w:t>
            </w:r>
            <w:r>
              <w:rPr>
                <w:rFonts w:hint="default" w:ascii="Times New Roman" w:hAnsi="Times New Roman" w:cs="Times New Roman"/>
                <w:color w:val="auto"/>
                <w:sz w:val="24"/>
                <w:szCs w:val="24"/>
                <w:lang w:eastAsia="zh-CN"/>
              </w:rPr>
              <w:t>基本污染物现状</w:t>
            </w:r>
            <w:r>
              <w:rPr>
                <w:rFonts w:hint="default" w:ascii="Times New Roman" w:hAnsi="Times New Roman" w:cs="Times New Roman"/>
                <w:color w:val="auto"/>
                <w:sz w:val="24"/>
                <w:szCs w:val="24"/>
                <w:lang w:val="en-US" w:eastAsia="zh-CN"/>
              </w:rPr>
              <w:t>按照新标准中表1过渡阶段二级浓度限值进行评价，本项目</w:t>
            </w:r>
            <w:r>
              <w:rPr>
                <w:rFonts w:hint="default" w:ascii="Times New Roman" w:hAnsi="Times New Roman" w:cs="Times New Roman"/>
                <w:color w:val="auto"/>
                <w:sz w:val="24"/>
                <w:szCs w:val="24"/>
              </w:rPr>
              <w:t>区域环境空气质量现状评价</w:t>
            </w:r>
            <w:r>
              <w:rPr>
                <w:rFonts w:hint="default" w:ascii="Times New Roman" w:hAnsi="Times New Roman" w:eastAsia="宋体" w:cs="Times New Roman"/>
                <w:color w:val="auto"/>
                <w:sz w:val="24"/>
                <w:szCs w:val="24"/>
                <w:lang w:val="en-US" w:eastAsia="zh-CN"/>
              </w:rPr>
              <w:t>详</w:t>
            </w:r>
            <w:r>
              <w:rPr>
                <w:rFonts w:hint="default" w:ascii="Times New Roman" w:hAnsi="Times New Roman" w:eastAsia="宋体" w:cs="Times New Roman"/>
                <w:color w:val="auto"/>
                <w:sz w:val="24"/>
                <w:szCs w:val="24"/>
                <w:lang w:eastAsia="zh-CN"/>
              </w:rPr>
              <w:t>见表</w:t>
            </w:r>
            <w:r>
              <w:rPr>
                <w:rFonts w:hint="default" w:ascii="Times New Roman" w:hAnsi="Times New Roman" w:eastAsia="宋体" w:cs="Times New Roman"/>
                <w:color w:val="auto"/>
                <w:sz w:val="24"/>
                <w:szCs w:val="24"/>
                <w:lang w:val="en-US" w:eastAsia="zh-CN"/>
              </w:rPr>
              <w:t>3-1</w:t>
            </w:r>
            <w:r>
              <w:rPr>
                <w:rFonts w:hint="default" w:ascii="Times New Roman" w:hAnsi="Times New Roman" w:eastAsia="宋体" w:cs="Times New Roman"/>
                <w:color w:val="auto"/>
                <w:sz w:val="24"/>
                <w:szCs w:val="24"/>
                <w:lang w:eastAsia="zh-CN"/>
              </w:rPr>
              <w:t>。</w:t>
            </w:r>
          </w:p>
          <w:p w14:paraId="07387CD0">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
                <w:bCs/>
                <w:color w:val="auto"/>
                <w:sz w:val="21"/>
                <w:szCs w:val="21"/>
                <w:highlight w:val="none"/>
              </w:rPr>
              <w:t>表</w:t>
            </w:r>
            <w:r>
              <w:rPr>
                <w:rFonts w:hint="default" w:ascii="Times New Roman" w:hAnsi="Times New Roman" w:eastAsia="宋体" w:cs="Times New Roman"/>
                <w:b/>
                <w:bCs/>
                <w:color w:val="auto"/>
                <w:sz w:val="21"/>
                <w:szCs w:val="21"/>
                <w:highlight w:val="none"/>
                <w:lang w:val="en-US" w:eastAsia="zh-CN"/>
              </w:rPr>
              <w:t>3-1</w:t>
            </w:r>
            <w:r>
              <w:rPr>
                <w:rFonts w:hint="default" w:ascii="Times New Roman" w:hAnsi="Times New Roman" w:eastAsia="宋体" w:cs="Times New Roman"/>
                <w:b/>
                <w:bCs/>
                <w:color w:val="auto"/>
                <w:sz w:val="21"/>
                <w:szCs w:val="21"/>
                <w:highlight w:val="none"/>
              </w:rPr>
              <w:t>基本污染物环境质量现状</w:t>
            </w:r>
          </w:p>
          <w:tbl>
            <w:tblPr>
              <w:tblStyle w:val="32"/>
              <w:tblW w:w="4987" w:type="pct"/>
              <w:tblInd w:w="-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781"/>
              <w:gridCol w:w="3040"/>
              <w:gridCol w:w="965"/>
              <w:gridCol w:w="1510"/>
              <w:gridCol w:w="929"/>
              <w:gridCol w:w="942"/>
            </w:tblGrid>
            <w:tr w14:paraId="000C9F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478" w:type="pct"/>
                  <w:vMerge w:val="restart"/>
                  <w:tcBorders>
                    <w:tl2br w:val="nil"/>
                    <w:tr2bl w:val="nil"/>
                  </w:tcBorders>
                  <w:noWrap w:val="0"/>
                  <w:vAlign w:val="center"/>
                </w:tcPr>
                <w:p w14:paraId="2682E372">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污染物</w:t>
                  </w:r>
                </w:p>
              </w:tc>
              <w:tc>
                <w:tcPr>
                  <w:tcW w:w="1861" w:type="pct"/>
                  <w:vMerge w:val="restart"/>
                  <w:tcBorders>
                    <w:tl2br w:val="nil"/>
                    <w:tr2bl w:val="nil"/>
                  </w:tcBorders>
                  <w:noWrap w:val="0"/>
                  <w:vAlign w:val="center"/>
                </w:tcPr>
                <w:p w14:paraId="71E08411">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lang w:eastAsia="zh-CN"/>
                    </w:rPr>
                    <w:t>年</w:t>
                  </w:r>
                  <w:r>
                    <w:rPr>
                      <w:rFonts w:hint="default" w:ascii="Times New Roman" w:hAnsi="Times New Roman" w:eastAsia="宋体" w:cs="Times New Roman"/>
                      <w:b/>
                      <w:bCs w:val="0"/>
                      <w:color w:val="auto"/>
                      <w:sz w:val="21"/>
                      <w:szCs w:val="21"/>
                      <w:highlight w:val="none"/>
                    </w:rPr>
                    <w:t>评价指标</w:t>
                  </w:r>
                </w:p>
              </w:tc>
              <w:tc>
                <w:tcPr>
                  <w:tcW w:w="590" w:type="pct"/>
                  <w:vMerge w:val="restart"/>
                  <w:tcBorders>
                    <w:tl2br w:val="nil"/>
                    <w:tr2bl w:val="nil"/>
                  </w:tcBorders>
                  <w:noWrap w:val="0"/>
                  <w:vAlign w:val="center"/>
                </w:tcPr>
                <w:p w14:paraId="5A561AFC">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现状浓度</w:t>
                  </w:r>
                </w:p>
                <w:p w14:paraId="4A379D7D">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
                      <w:bCs w:val="0"/>
                      <w:color w:val="auto"/>
                      <w:sz w:val="21"/>
                      <w:szCs w:val="21"/>
                      <w:highlight w:val="none"/>
                      <w:lang w:eastAsia="zh-CN"/>
                    </w:rPr>
                  </w:pPr>
                  <w:r>
                    <w:rPr>
                      <w:rFonts w:hint="default" w:ascii="Times New Roman" w:hAnsi="Times New Roman" w:cs="Times New Roman"/>
                      <w:b/>
                      <w:bCs w:val="0"/>
                      <w:color w:val="auto"/>
                      <w:sz w:val="21"/>
                      <w:szCs w:val="21"/>
                      <w:highlight w:val="none"/>
                      <w:lang w:eastAsia="zh-CN"/>
                    </w:rPr>
                    <w:t>（</w:t>
                  </w:r>
                  <w:r>
                    <w:rPr>
                      <w:rFonts w:hint="default" w:ascii="Times New Roman" w:hAnsi="Times New Roman" w:eastAsia="宋体" w:cs="Times New Roman"/>
                      <w:b/>
                      <w:bCs w:val="0"/>
                      <w:color w:val="auto"/>
                      <w:sz w:val="21"/>
                      <w:szCs w:val="21"/>
                      <w:highlight w:val="none"/>
                    </w:rPr>
                    <w:t>μg/m</w:t>
                  </w:r>
                  <w:r>
                    <w:rPr>
                      <w:rFonts w:hint="default" w:ascii="Times New Roman" w:hAnsi="Times New Roman" w:eastAsia="宋体" w:cs="Times New Roman"/>
                      <w:b/>
                      <w:bCs w:val="0"/>
                      <w:color w:val="auto"/>
                      <w:sz w:val="21"/>
                      <w:szCs w:val="21"/>
                      <w:highlight w:val="none"/>
                      <w:vertAlign w:val="superscript"/>
                    </w:rPr>
                    <w:t>3</w:t>
                  </w:r>
                  <w:r>
                    <w:rPr>
                      <w:rFonts w:hint="default" w:ascii="Times New Roman" w:hAnsi="Times New Roman" w:cs="Times New Roman"/>
                      <w:b/>
                      <w:bCs w:val="0"/>
                      <w:color w:val="auto"/>
                      <w:sz w:val="21"/>
                      <w:szCs w:val="21"/>
                      <w:highlight w:val="none"/>
                      <w:vertAlign w:val="superscript"/>
                      <w:lang w:eastAsia="zh-CN"/>
                    </w:rPr>
                    <w:t>）</w:t>
                  </w:r>
                </w:p>
              </w:tc>
              <w:tc>
                <w:tcPr>
                  <w:tcW w:w="924" w:type="pct"/>
                  <w:vMerge w:val="restart"/>
                  <w:tcBorders>
                    <w:tl2br w:val="nil"/>
                    <w:tr2bl w:val="nil"/>
                  </w:tcBorders>
                  <w:noWrap w:val="0"/>
                  <w:vAlign w:val="center"/>
                </w:tcPr>
                <w:p w14:paraId="3EDD0814">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cs="Times New Roman"/>
                      <w:b/>
                      <w:bCs w:val="0"/>
                      <w:color w:val="auto"/>
                      <w:sz w:val="21"/>
                      <w:szCs w:val="21"/>
                      <w:highlight w:val="none"/>
                      <w:lang w:val="en-US" w:eastAsia="zh-CN"/>
                    </w:rPr>
                  </w:pPr>
                  <w:r>
                    <w:rPr>
                      <w:rFonts w:hint="default" w:ascii="Times New Roman" w:hAnsi="Times New Roman" w:cs="Times New Roman"/>
                      <w:b/>
                      <w:bCs w:val="0"/>
                      <w:color w:val="auto"/>
                      <w:sz w:val="21"/>
                      <w:szCs w:val="21"/>
                      <w:highlight w:val="none"/>
                      <w:lang w:val="en-US" w:eastAsia="zh-CN"/>
                    </w:rPr>
                    <w:t>过渡阶段</w:t>
                  </w:r>
                </w:p>
                <w:p w14:paraId="7AF0ECE3">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
                      <w:bCs w:val="0"/>
                      <w:color w:val="auto"/>
                      <w:sz w:val="21"/>
                      <w:szCs w:val="21"/>
                      <w:highlight w:val="none"/>
                    </w:rPr>
                  </w:pPr>
                  <w:r>
                    <w:rPr>
                      <w:rFonts w:hint="default" w:ascii="Times New Roman" w:hAnsi="Times New Roman" w:cs="Times New Roman"/>
                      <w:b/>
                      <w:bCs w:val="0"/>
                      <w:color w:val="auto"/>
                      <w:sz w:val="21"/>
                      <w:szCs w:val="21"/>
                      <w:highlight w:val="none"/>
                      <w:lang w:val="en-US" w:eastAsia="zh-CN"/>
                    </w:rPr>
                    <w:t>二级</w:t>
                  </w:r>
                  <w:r>
                    <w:rPr>
                      <w:rFonts w:hint="default" w:ascii="Times New Roman" w:hAnsi="Times New Roman" w:eastAsia="宋体" w:cs="Times New Roman"/>
                      <w:b/>
                      <w:bCs w:val="0"/>
                      <w:color w:val="auto"/>
                      <w:sz w:val="21"/>
                      <w:szCs w:val="21"/>
                      <w:highlight w:val="none"/>
                    </w:rPr>
                    <w:t>评价标准</w:t>
                  </w:r>
                </w:p>
                <w:p w14:paraId="1F62FBE3">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cs="Times New Roman"/>
                      <w:b/>
                      <w:bCs w:val="0"/>
                      <w:color w:val="auto"/>
                      <w:sz w:val="21"/>
                      <w:szCs w:val="21"/>
                      <w:highlight w:val="none"/>
                      <w:lang w:eastAsia="zh-CN"/>
                    </w:rPr>
                    <w:t>（</w:t>
                  </w:r>
                  <w:r>
                    <w:rPr>
                      <w:rFonts w:hint="default" w:ascii="Times New Roman" w:hAnsi="Times New Roman" w:eastAsia="宋体" w:cs="Times New Roman"/>
                      <w:b/>
                      <w:bCs w:val="0"/>
                      <w:color w:val="auto"/>
                      <w:sz w:val="21"/>
                      <w:szCs w:val="21"/>
                      <w:highlight w:val="none"/>
                    </w:rPr>
                    <w:t>μg/m</w:t>
                  </w:r>
                  <w:r>
                    <w:rPr>
                      <w:rFonts w:hint="default" w:ascii="Times New Roman" w:hAnsi="Times New Roman" w:eastAsia="宋体" w:cs="Times New Roman"/>
                      <w:b/>
                      <w:bCs w:val="0"/>
                      <w:color w:val="auto"/>
                      <w:sz w:val="21"/>
                      <w:szCs w:val="21"/>
                      <w:highlight w:val="none"/>
                      <w:vertAlign w:val="superscript"/>
                    </w:rPr>
                    <w:t>3</w:t>
                  </w:r>
                  <w:r>
                    <w:rPr>
                      <w:rFonts w:hint="default" w:ascii="Times New Roman" w:hAnsi="Times New Roman" w:cs="Times New Roman"/>
                      <w:b/>
                      <w:bCs w:val="0"/>
                      <w:color w:val="auto"/>
                      <w:sz w:val="21"/>
                      <w:szCs w:val="21"/>
                      <w:highlight w:val="none"/>
                      <w:vertAlign w:val="superscript"/>
                      <w:lang w:eastAsia="zh-CN"/>
                    </w:rPr>
                    <w:t>）</w:t>
                  </w:r>
                </w:p>
              </w:tc>
              <w:tc>
                <w:tcPr>
                  <w:tcW w:w="568" w:type="pct"/>
                  <w:vMerge w:val="restart"/>
                  <w:tcBorders>
                    <w:tl2br w:val="nil"/>
                    <w:tr2bl w:val="nil"/>
                  </w:tcBorders>
                  <w:noWrap w:val="0"/>
                  <w:vAlign w:val="center"/>
                </w:tcPr>
                <w:p w14:paraId="180DBF65">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占标率</w:t>
                  </w:r>
                </w:p>
                <w:p w14:paraId="5457BA87">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lang w:eastAsia="zh-CN"/>
                    </w:rPr>
                    <w:t>（</w:t>
                  </w:r>
                  <w:r>
                    <w:rPr>
                      <w:rFonts w:hint="default" w:ascii="Times New Roman" w:hAnsi="Times New Roman" w:eastAsia="宋体" w:cs="Times New Roman"/>
                      <w:b/>
                      <w:bCs w:val="0"/>
                      <w:color w:val="auto"/>
                      <w:sz w:val="21"/>
                      <w:szCs w:val="21"/>
                      <w:highlight w:val="none"/>
                    </w:rPr>
                    <w:t>%</w:t>
                  </w:r>
                  <w:r>
                    <w:rPr>
                      <w:rFonts w:hint="default" w:ascii="Times New Roman" w:hAnsi="Times New Roman" w:eastAsia="宋体" w:cs="Times New Roman"/>
                      <w:b/>
                      <w:bCs w:val="0"/>
                      <w:color w:val="auto"/>
                      <w:sz w:val="21"/>
                      <w:szCs w:val="21"/>
                      <w:highlight w:val="none"/>
                      <w:lang w:eastAsia="zh-CN"/>
                    </w:rPr>
                    <w:t>）</w:t>
                  </w:r>
                </w:p>
              </w:tc>
              <w:tc>
                <w:tcPr>
                  <w:tcW w:w="576" w:type="pct"/>
                  <w:vMerge w:val="restart"/>
                  <w:tcBorders>
                    <w:tl2br w:val="nil"/>
                    <w:tr2bl w:val="nil"/>
                  </w:tcBorders>
                  <w:noWrap w:val="0"/>
                  <w:vAlign w:val="center"/>
                </w:tcPr>
                <w:p w14:paraId="3D1E084B">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达标</w:t>
                  </w:r>
                </w:p>
                <w:p w14:paraId="285F304D">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
                      <w:bCs w:val="0"/>
                      <w:color w:val="auto"/>
                      <w:sz w:val="21"/>
                      <w:szCs w:val="21"/>
                      <w:highlight w:val="none"/>
                    </w:rPr>
                  </w:pPr>
                  <w:r>
                    <w:rPr>
                      <w:rFonts w:hint="default" w:ascii="Times New Roman" w:hAnsi="Times New Roman" w:eastAsia="宋体" w:cs="Times New Roman"/>
                      <w:b/>
                      <w:bCs w:val="0"/>
                      <w:color w:val="auto"/>
                      <w:sz w:val="21"/>
                      <w:szCs w:val="21"/>
                      <w:highlight w:val="none"/>
                    </w:rPr>
                    <w:t>情况</w:t>
                  </w:r>
                </w:p>
              </w:tc>
            </w:tr>
            <w:tr w14:paraId="493124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12" w:hRule="atLeast"/>
              </w:trPr>
              <w:tc>
                <w:tcPr>
                  <w:tcW w:w="478" w:type="pct"/>
                  <w:vMerge w:val="continue"/>
                  <w:tcBorders>
                    <w:tl2br w:val="nil"/>
                    <w:tr2bl w:val="nil"/>
                  </w:tcBorders>
                  <w:noWrap w:val="0"/>
                  <w:vAlign w:val="center"/>
                </w:tcPr>
                <w:p w14:paraId="776299AD">
                  <w:pPr>
                    <w:keepNext w:val="0"/>
                    <w:keepLines w:val="0"/>
                    <w:pageBreakBefore w:val="0"/>
                    <w:widowControl w:val="0"/>
                    <w:kinsoku/>
                    <w:wordWrap/>
                    <w:topLinePunct w:val="0"/>
                    <w:autoSpaceDE/>
                    <w:autoSpaceDN/>
                    <w:bidi w:val="0"/>
                    <w:adjustRightInd/>
                    <w:snapToGrid/>
                    <w:spacing w:line="240" w:lineRule="auto"/>
                    <w:ind w:right="0" w:firstLine="0" w:firstLineChars="0"/>
                    <w:textAlignment w:val="auto"/>
                    <w:outlineLvl w:val="9"/>
                    <w:rPr>
                      <w:rFonts w:hint="default" w:ascii="Times New Roman" w:hAnsi="Times New Roman" w:eastAsia="宋体" w:cs="Times New Roman"/>
                      <w:bCs/>
                      <w:color w:val="auto"/>
                      <w:sz w:val="21"/>
                      <w:szCs w:val="21"/>
                      <w:highlight w:val="none"/>
                    </w:rPr>
                  </w:pPr>
                </w:p>
              </w:tc>
              <w:tc>
                <w:tcPr>
                  <w:tcW w:w="1861" w:type="pct"/>
                  <w:vMerge w:val="continue"/>
                  <w:tcBorders>
                    <w:tl2br w:val="nil"/>
                    <w:tr2bl w:val="nil"/>
                  </w:tcBorders>
                  <w:noWrap w:val="0"/>
                  <w:vAlign w:val="center"/>
                </w:tcPr>
                <w:p w14:paraId="3CA641C2">
                  <w:pPr>
                    <w:keepNext w:val="0"/>
                    <w:keepLines w:val="0"/>
                    <w:pageBreakBefore w:val="0"/>
                    <w:widowControl w:val="0"/>
                    <w:kinsoku/>
                    <w:wordWrap/>
                    <w:topLinePunct w:val="0"/>
                    <w:autoSpaceDE/>
                    <w:autoSpaceDN/>
                    <w:bidi w:val="0"/>
                    <w:adjustRightInd/>
                    <w:snapToGrid/>
                    <w:spacing w:line="240" w:lineRule="auto"/>
                    <w:ind w:right="0" w:firstLine="0" w:firstLineChars="0"/>
                    <w:textAlignment w:val="auto"/>
                    <w:outlineLvl w:val="9"/>
                    <w:rPr>
                      <w:rFonts w:hint="default" w:ascii="Times New Roman" w:hAnsi="Times New Roman" w:eastAsia="宋体" w:cs="Times New Roman"/>
                      <w:bCs/>
                      <w:color w:val="auto"/>
                      <w:sz w:val="21"/>
                      <w:szCs w:val="21"/>
                      <w:highlight w:val="none"/>
                    </w:rPr>
                  </w:pPr>
                </w:p>
              </w:tc>
              <w:tc>
                <w:tcPr>
                  <w:tcW w:w="590" w:type="pct"/>
                  <w:vMerge w:val="continue"/>
                  <w:tcBorders>
                    <w:tl2br w:val="nil"/>
                    <w:tr2bl w:val="nil"/>
                  </w:tcBorders>
                  <w:noWrap w:val="0"/>
                  <w:vAlign w:val="center"/>
                </w:tcPr>
                <w:p w14:paraId="0A4FE079">
                  <w:pPr>
                    <w:keepNext w:val="0"/>
                    <w:keepLines w:val="0"/>
                    <w:pageBreakBefore w:val="0"/>
                    <w:widowControl w:val="0"/>
                    <w:kinsoku/>
                    <w:wordWrap/>
                    <w:topLinePunct w:val="0"/>
                    <w:autoSpaceDE/>
                    <w:autoSpaceDN/>
                    <w:bidi w:val="0"/>
                    <w:adjustRightInd/>
                    <w:snapToGrid/>
                    <w:spacing w:line="240" w:lineRule="auto"/>
                    <w:ind w:right="0" w:firstLine="0" w:firstLineChars="0"/>
                    <w:textAlignment w:val="auto"/>
                    <w:outlineLvl w:val="9"/>
                    <w:rPr>
                      <w:rFonts w:hint="default" w:ascii="Times New Roman" w:hAnsi="Times New Roman" w:eastAsia="宋体" w:cs="Times New Roman"/>
                      <w:bCs/>
                      <w:color w:val="auto"/>
                      <w:sz w:val="21"/>
                      <w:szCs w:val="21"/>
                      <w:highlight w:val="none"/>
                    </w:rPr>
                  </w:pPr>
                </w:p>
              </w:tc>
              <w:tc>
                <w:tcPr>
                  <w:tcW w:w="924" w:type="pct"/>
                  <w:vMerge w:val="continue"/>
                  <w:tcBorders>
                    <w:tl2br w:val="nil"/>
                    <w:tr2bl w:val="nil"/>
                  </w:tcBorders>
                  <w:noWrap w:val="0"/>
                  <w:vAlign w:val="center"/>
                </w:tcPr>
                <w:p w14:paraId="53F9D9A1">
                  <w:pPr>
                    <w:keepNext w:val="0"/>
                    <w:keepLines w:val="0"/>
                    <w:pageBreakBefore w:val="0"/>
                    <w:widowControl w:val="0"/>
                    <w:kinsoku/>
                    <w:wordWrap/>
                    <w:topLinePunct w:val="0"/>
                    <w:autoSpaceDE/>
                    <w:autoSpaceDN/>
                    <w:bidi w:val="0"/>
                    <w:adjustRightInd/>
                    <w:snapToGrid/>
                    <w:spacing w:line="240" w:lineRule="auto"/>
                    <w:ind w:right="0" w:firstLine="0" w:firstLineChars="0"/>
                    <w:textAlignment w:val="auto"/>
                    <w:outlineLvl w:val="9"/>
                    <w:rPr>
                      <w:rFonts w:hint="default" w:ascii="Times New Roman" w:hAnsi="Times New Roman" w:eastAsia="宋体" w:cs="Times New Roman"/>
                      <w:color w:val="auto"/>
                      <w:sz w:val="21"/>
                      <w:szCs w:val="21"/>
                      <w:highlight w:val="none"/>
                    </w:rPr>
                  </w:pPr>
                </w:p>
              </w:tc>
              <w:tc>
                <w:tcPr>
                  <w:tcW w:w="568" w:type="pct"/>
                  <w:vMerge w:val="continue"/>
                  <w:tcBorders>
                    <w:tl2br w:val="nil"/>
                    <w:tr2bl w:val="nil"/>
                  </w:tcBorders>
                  <w:noWrap w:val="0"/>
                  <w:vAlign w:val="center"/>
                </w:tcPr>
                <w:p w14:paraId="7D483B29">
                  <w:pPr>
                    <w:keepNext w:val="0"/>
                    <w:keepLines w:val="0"/>
                    <w:pageBreakBefore w:val="0"/>
                    <w:widowControl w:val="0"/>
                    <w:kinsoku/>
                    <w:wordWrap/>
                    <w:topLinePunct w:val="0"/>
                    <w:autoSpaceDE/>
                    <w:autoSpaceDN/>
                    <w:bidi w:val="0"/>
                    <w:adjustRightInd/>
                    <w:snapToGrid/>
                    <w:spacing w:line="240" w:lineRule="auto"/>
                    <w:ind w:right="0" w:firstLine="0" w:firstLineChars="0"/>
                    <w:textAlignment w:val="auto"/>
                    <w:outlineLvl w:val="9"/>
                    <w:rPr>
                      <w:rFonts w:hint="default" w:ascii="Times New Roman" w:hAnsi="Times New Roman" w:eastAsia="宋体" w:cs="Times New Roman"/>
                      <w:bCs/>
                      <w:color w:val="auto"/>
                      <w:sz w:val="21"/>
                      <w:szCs w:val="21"/>
                      <w:highlight w:val="none"/>
                    </w:rPr>
                  </w:pPr>
                </w:p>
              </w:tc>
              <w:tc>
                <w:tcPr>
                  <w:tcW w:w="576" w:type="pct"/>
                  <w:vMerge w:val="continue"/>
                  <w:tcBorders>
                    <w:tl2br w:val="nil"/>
                    <w:tr2bl w:val="nil"/>
                  </w:tcBorders>
                  <w:noWrap w:val="0"/>
                  <w:vAlign w:val="center"/>
                </w:tcPr>
                <w:p w14:paraId="72A0584B">
                  <w:pPr>
                    <w:keepNext w:val="0"/>
                    <w:keepLines w:val="0"/>
                    <w:pageBreakBefore w:val="0"/>
                    <w:widowControl w:val="0"/>
                    <w:kinsoku/>
                    <w:wordWrap/>
                    <w:topLinePunct w:val="0"/>
                    <w:autoSpaceDE/>
                    <w:autoSpaceDN/>
                    <w:bidi w:val="0"/>
                    <w:adjustRightInd/>
                    <w:snapToGrid/>
                    <w:spacing w:line="240" w:lineRule="auto"/>
                    <w:ind w:right="0" w:firstLine="0" w:firstLineChars="0"/>
                    <w:textAlignment w:val="auto"/>
                    <w:outlineLvl w:val="9"/>
                    <w:rPr>
                      <w:rFonts w:hint="default" w:ascii="Times New Roman" w:hAnsi="Times New Roman" w:eastAsia="宋体" w:cs="Times New Roman"/>
                      <w:bCs/>
                      <w:color w:val="auto"/>
                      <w:sz w:val="21"/>
                      <w:szCs w:val="21"/>
                      <w:highlight w:val="none"/>
                    </w:rPr>
                  </w:pPr>
                </w:p>
              </w:tc>
            </w:tr>
            <w:tr w14:paraId="1F5133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07" w:hRule="atLeast"/>
              </w:trPr>
              <w:tc>
                <w:tcPr>
                  <w:tcW w:w="478" w:type="pct"/>
                  <w:tcBorders>
                    <w:tl2br w:val="nil"/>
                    <w:tr2bl w:val="nil"/>
                  </w:tcBorders>
                  <w:noWrap w:val="0"/>
                  <w:vAlign w:val="center"/>
                </w:tcPr>
                <w:p w14:paraId="5E9E1D15">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SO</w:t>
                  </w:r>
                  <w:r>
                    <w:rPr>
                      <w:rFonts w:hint="default" w:ascii="Times New Roman" w:hAnsi="Times New Roman" w:eastAsia="宋体" w:cs="Times New Roman"/>
                      <w:bCs/>
                      <w:color w:val="auto"/>
                      <w:sz w:val="21"/>
                      <w:szCs w:val="21"/>
                      <w:highlight w:val="none"/>
                      <w:vertAlign w:val="subscript"/>
                    </w:rPr>
                    <w:t>2</w:t>
                  </w:r>
                </w:p>
              </w:tc>
              <w:tc>
                <w:tcPr>
                  <w:tcW w:w="1861" w:type="pct"/>
                  <w:tcBorders>
                    <w:tl2br w:val="nil"/>
                    <w:tr2bl w:val="nil"/>
                  </w:tcBorders>
                  <w:noWrap w:val="0"/>
                  <w:vAlign w:val="center"/>
                </w:tcPr>
                <w:p w14:paraId="1C97F712">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Cs/>
                      <w:color w:val="auto"/>
                      <w:sz w:val="21"/>
                      <w:szCs w:val="21"/>
                      <w:highlight w:val="none"/>
                      <w:lang w:eastAsia="zh-CN"/>
                    </w:rPr>
                  </w:pPr>
                  <w:r>
                    <w:rPr>
                      <w:rFonts w:hint="default" w:ascii="Times New Roman" w:hAnsi="Times New Roman" w:eastAsia="宋体" w:cs="Times New Roman"/>
                      <w:bCs/>
                      <w:color w:val="auto"/>
                      <w:sz w:val="21"/>
                      <w:szCs w:val="21"/>
                      <w:highlight w:val="none"/>
                      <w:lang w:eastAsia="zh-CN"/>
                    </w:rPr>
                    <w:t>年平均质量浓度</w:t>
                  </w:r>
                </w:p>
              </w:tc>
              <w:tc>
                <w:tcPr>
                  <w:tcW w:w="590" w:type="pct"/>
                  <w:tcBorders>
                    <w:tl2br w:val="nil"/>
                    <w:tr2bl w:val="nil"/>
                  </w:tcBorders>
                  <w:noWrap w:val="0"/>
                  <w:vAlign w:val="center"/>
                </w:tcPr>
                <w:p w14:paraId="3771AB23">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7</w:t>
                  </w:r>
                  <w:r>
                    <w:rPr>
                      <w:rFonts w:hint="default" w:ascii="Times New Roman" w:hAnsi="Times New Roman" w:cs="Times New Roman"/>
                      <w:i w:val="0"/>
                      <w:iCs w:val="0"/>
                      <w:color w:val="auto"/>
                      <w:kern w:val="0"/>
                      <w:sz w:val="21"/>
                      <w:szCs w:val="21"/>
                      <w:u w:val="none"/>
                      <w:lang w:val="en-US" w:eastAsia="zh-CN" w:bidi="ar"/>
                    </w:rPr>
                    <w:t>.7</w:t>
                  </w:r>
                </w:p>
              </w:tc>
              <w:tc>
                <w:tcPr>
                  <w:tcW w:w="924" w:type="pct"/>
                  <w:tcBorders>
                    <w:tl2br w:val="nil"/>
                    <w:tr2bl w:val="nil"/>
                  </w:tcBorders>
                  <w:noWrap w:val="0"/>
                  <w:vAlign w:val="center"/>
                </w:tcPr>
                <w:p w14:paraId="7575DF3A">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60</w:t>
                  </w:r>
                </w:p>
              </w:tc>
              <w:tc>
                <w:tcPr>
                  <w:tcW w:w="568" w:type="pct"/>
                  <w:tcBorders>
                    <w:tl2br w:val="nil"/>
                    <w:tr2bl w:val="nil"/>
                  </w:tcBorders>
                  <w:noWrap w:val="0"/>
                  <w:vAlign w:val="center"/>
                </w:tcPr>
                <w:p w14:paraId="0ED9F97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12.83%</w:t>
                  </w:r>
                </w:p>
              </w:tc>
              <w:tc>
                <w:tcPr>
                  <w:tcW w:w="576" w:type="pct"/>
                  <w:tcBorders>
                    <w:tl2br w:val="nil"/>
                    <w:tr2bl w:val="nil"/>
                  </w:tcBorders>
                  <w:noWrap w:val="0"/>
                  <w:vAlign w:val="center"/>
                </w:tcPr>
                <w:p w14:paraId="3118CA0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35B9B9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78" w:type="pct"/>
                  <w:tcBorders>
                    <w:tl2br w:val="nil"/>
                    <w:tr2bl w:val="nil"/>
                  </w:tcBorders>
                  <w:noWrap w:val="0"/>
                  <w:vAlign w:val="center"/>
                </w:tcPr>
                <w:p w14:paraId="164EED44">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NO</w:t>
                  </w:r>
                  <w:r>
                    <w:rPr>
                      <w:rFonts w:hint="default" w:ascii="Times New Roman" w:hAnsi="Times New Roman" w:eastAsia="宋体" w:cs="Times New Roman"/>
                      <w:bCs/>
                      <w:color w:val="auto"/>
                      <w:sz w:val="21"/>
                      <w:szCs w:val="21"/>
                      <w:highlight w:val="none"/>
                      <w:vertAlign w:val="subscript"/>
                    </w:rPr>
                    <w:t>2</w:t>
                  </w:r>
                </w:p>
              </w:tc>
              <w:tc>
                <w:tcPr>
                  <w:tcW w:w="1861" w:type="pct"/>
                  <w:tcBorders>
                    <w:tl2br w:val="nil"/>
                    <w:tr2bl w:val="nil"/>
                  </w:tcBorders>
                  <w:noWrap w:val="0"/>
                  <w:vAlign w:val="center"/>
                </w:tcPr>
                <w:p w14:paraId="277A4117">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eastAsia="zh-CN"/>
                    </w:rPr>
                    <w:t>年平均质量浓度</w:t>
                  </w:r>
                </w:p>
              </w:tc>
              <w:tc>
                <w:tcPr>
                  <w:tcW w:w="590" w:type="pct"/>
                  <w:tcBorders>
                    <w:tl2br w:val="nil"/>
                    <w:tr2bl w:val="nil"/>
                  </w:tcBorders>
                  <w:noWrap w:val="0"/>
                  <w:vAlign w:val="center"/>
                </w:tcPr>
                <w:p w14:paraId="0772E222">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i w:val="0"/>
                      <w:iCs w:val="0"/>
                      <w:color w:val="auto"/>
                      <w:kern w:val="0"/>
                      <w:sz w:val="21"/>
                      <w:szCs w:val="21"/>
                      <w:u w:val="none"/>
                      <w:lang w:val="en-US" w:eastAsia="zh-CN" w:bidi="ar"/>
                    </w:rPr>
                    <w:t>22.6</w:t>
                  </w:r>
                </w:p>
              </w:tc>
              <w:tc>
                <w:tcPr>
                  <w:tcW w:w="924" w:type="pct"/>
                  <w:tcBorders>
                    <w:tl2br w:val="nil"/>
                    <w:tr2bl w:val="nil"/>
                  </w:tcBorders>
                  <w:noWrap w:val="0"/>
                  <w:vAlign w:val="center"/>
                </w:tcPr>
                <w:p w14:paraId="4A08FDC2">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40</w:t>
                  </w:r>
                </w:p>
              </w:tc>
              <w:tc>
                <w:tcPr>
                  <w:tcW w:w="568" w:type="pct"/>
                  <w:tcBorders>
                    <w:tl2br w:val="nil"/>
                    <w:tr2bl w:val="nil"/>
                  </w:tcBorders>
                  <w:noWrap w:val="0"/>
                  <w:vAlign w:val="center"/>
                </w:tcPr>
                <w:p w14:paraId="20F7821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56.50%</w:t>
                  </w:r>
                </w:p>
              </w:tc>
              <w:tc>
                <w:tcPr>
                  <w:tcW w:w="576" w:type="pct"/>
                  <w:tcBorders>
                    <w:tl2br w:val="nil"/>
                    <w:tr2bl w:val="nil"/>
                  </w:tcBorders>
                  <w:noWrap w:val="0"/>
                  <w:vAlign w:val="center"/>
                </w:tcPr>
                <w:p w14:paraId="43B4A2F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392222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78" w:type="pct"/>
                  <w:tcBorders>
                    <w:tl2br w:val="nil"/>
                    <w:tr2bl w:val="nil"/>
                  </w:tcBorders>
                  <w:noWrap w:val="0"/>
                  <w:vAlign w:val="center"/>
                </w:tcPr>
                <w:p w14:paraId="03619162">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PM</w:t>
                  </w:r>
                  <w:r>
                    <w:rPr>
                      <w:rFonts w:hint="default" w:ascii="Times New Roman" w:hAnsi="Times New Roman" w:eastAsia="宋体" w:cs="Times New Roman"/>
                      <w:bCs/>
                      <w:color w:val="auto"/>
                      <w:sz w:val="21"/>
                      <w:szCs w:val="21"/>
                      <w:highlight w:val="none"/>
                      <w:vertAlign w:val="subscript"/>
                    </w:rPr>
                    <w:t>2.5</w:t>
                  </w:r>
                </w:p>
              </w:tc>
              <w:tc>
                <w:tcPr>
                  <w:tcW w:w="1861" w:type="pct"/>
                  <w:tcBorders>
                    <w:tl2br w:val="nil"/>
                    <w:tr2bl w:val="nil"/>
                  </w:tcBorders>
                  <w:noWrap w:val="0"/>
                  <w:vAlign w:val="center"/>
                </w:tcPr>
                <w:p w14:paraId="3FA321BE">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eastAsia="zh-CN"/>
                    </w:rPr>
                    <w:t>年平均质量浓度</w:t>
                  </w:r>
                </w:p>
              </w:tc>
              <w:tc>
                <w:tcPr>
                  <w:tcW w:w="590" w:type="pct"/>
                  <w:tcBorders>
                    <w:tl2br w:val="nil"/>
                    <w:tr2bl w:val="nil"/>
                  </w:tcBorders>
                  <w:noWrap w:val="0"/>
                  <w:vAlign w:val="center"/>
                </w:tcPr>
                <w:p w14:paraId="3CD1F31F">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i w:val="0"/>
                      <w:iCs w:val="0"/>
                      <w:color w:val="auto"/>
                      <w:kern w:val="0"/>
                      <w:sz w:val="21"/>
                      <w:szCs w:val="21"/>
                      <w:u w:val="none"/>
                      <w:lang w:val="en-US" w:eastAsia="zh-CN" w:bidi="ar"/>
                    </w:rPr>
                    <w:t>36.3</w:t>
                  </w:r>
                </w:p>
              </w:tc>
              <w:tc>
                <w:tcPr>
                  <w:tcW w:w="924" w:type="pct"/>
                  <w:tcBorders>
                    <w:tl2br w:val="nil"/>
                    <w:tr2bl w:val="nil"/>
                  </w:tcBorders>
                  <w:noWrap w:val="0"/>
                  <w:vAlign w:val="center"/>
                </w:tcPr>
                <w:p w14:paraId="088ADCE0">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i w:val="0"/>
                      <w:iCs w:val="0"/>
                      <w:color w:val="auto"/>
                      <w:kern w:val="0"/>
                      <w:sz w:val="21"/>
                      <w:szCs w:val="21"/>
                      <w:u w:val="none"/>
                      <w:lang w:val="en-US" w:eastAsia="zh-CN" w:bidi="ar"/>
                    </w:rPr>
                    <w:t>30</w:t>
                  </w:r>
                </w:p>
              </w:tc>
              <w:tc>
                <w:tcPr>
                  <w:tcW w:w="568" w:type="pct"/>
                  <w:tcBorders>
                    <w:tl2br w:val="nil"/>
                    <w:tr2bl w:val="nil"/>
                  </w:tcBorders>
                  <w:noWrap w:val="0"/>
                  <w:vAlign w:val="center"/>
                </w:tcPr>
                <w:p w14:paraId="01BA989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121.00%</w:t>
                  </w:r>
                </w:p>
              </w:tc>
              <w:tc>
                <w:tcPr>
                  <w:tcW w:w="576" w:type="pct"/>
                  <w:tcBorders>
                    <w:tl2br w:val="nil"/>
                    <w:tr2bl w:val="nil"/>
                  </w:tcBorders>
                  <w:noWrap w:val="0"/>
                  <w:vAlign w:val="center"/>
                </w:tcPr>
                <w:p w14:paraId="5EB2E41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不达标</w:t>
                  </w:r>
                </w:p>
              </w:tc>
            </w:tr>
            <w:tr w14:paraId="5A6FAA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78" w:type="pct"/>
                  <w:tcBorders>
                    <w:tl2br w:val="nil"/>
                    <w:tr2bl w:val="nil"/>
                  </w:tcBorders>
                  <w:noWrap w:val="0"/>
                  <w:vAlign w:val="center"/>
                </w:tcPr>
                <w:p w14:paraId="672C11CF">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PM</w:t>
                  </w:r>
                  <w:r>
                    <w:rPr>
                      <w:rFonts w:hint="default" w:ascii="Times New Roman" w:hAnsi="Times New Roman" w:eastAsia="宋体" w:cs="Times New Roman"/>
                      <w:bCs/>
                      <w:color w:val="auto"/>
                      <w:sz w:val="21"/>
                      <w:szCs w:val="21"/>
                      <w:highlight w:val="none"/>
                      <w:vertAlign w:val="subscript"/>
                    </w:rPr>
                    <w:t>10</w:t>
                  </w:r>
                </w:p>
              </w:tc>
              <w:tc>
                <w:tcPr>
                  <w:tcW w:w="1861" w:type="pct"/>
                  <w:tcBorders>
                    <w:tl2br w:val="nil"/>
                    <w:tr2bl w:val="nil"/>
                  </w:tcBorders>
                  <w:noWrap w:val="0"/>
                  <w:vAlign w:val="center"/>
                </w:tcPr>
                <w:p w14:paraId="1CF454E4">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eastAsia="zh-CN"/>
                    </w:rPr>
                    <w:t>年平均质量浓度</w:t>
                  </w:r>
                </w:p>
              </w:tc>
              <w:tc>
                <w:tcPr>
                  <w:tcW w:w="590" w:type="pct"/>
                  <w:tcBorders>
                    <w:tl2br w:val="nil"/>
                    <w:tr2bl w:val="nil"/>
                  </w:tcBorders>
                  <w:noWrap w:val="0"/>
                  <w:vAlign w:val="center"/>
                </w:tcPr>
                <w:p w14:paraId="307A8274">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i w:val="0"/>
                      <w:iCs w:val="0"/>
                      <w:color w:val="auto"/>
                      <w:kern w:val="0"/>
                      <w:sz w:val="21"/>
                      <w:szCs w:val="21"/>
                      <w:u w:val="none"/>
                      <w:lang w:val="en-US" w:eastAsia="zh-CN" w:bidi="ar"/>
                    </w:rPr>
                    <w:t>70.1</w:t>
                  </w:r>
                </w:p>
              </w:tc>
              <w:tc>
                <w:tcPr>
                  <w:tcW w:w="924" w:type="pct"/>
                  <w:tcBorders>
                    <w:tl2br w:val="nil"/>
                    <w:tr2bl w:val="nil"/>
                  </w:tcBorders>
                  <w:noWrap w:val="0"/>
                  <w:vAlign w:val="center"/>
                </w:tcPr>
                <w:p w14:paraId="1A218A4F">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i w:val="0"/>
                      <w:iCs w:val="0"/>
                      <w:color w:val="auto"/>
                      <w:kern w:val="0"/>
                      <w:sz w:val="21"/>
                      <w:szCs w:val="21"/>
                      <w:u w:val="none"/>
                      <w:lang w:val="en-US" w:eastAsia="zh-CN" w:bidi="ar"/>
                    </w:rPr>
                    <w:t>60</w:t>
                  </w:r>
                </w:p>
              </w:tc>
              <w:tc>
                <w:tcPr>
                  <w:tcW w:w="568" w:type="pct"/>
                  <w:tcBorders>
                    <w:tl2br w:val="nil"/>
                    <w:tr2bl w:val="nil"/>
                  </w:tcBorders>
                  <w:noWrap w:val="0"/>
                  <w:vAlign w:val="center"/>
                </w:tcPr>
                <w:p w14:paraId="5EB16ED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116.83%</w:t>
                  </w:r>
                </w:p>
              </w:tc>
              <w:tc>
                <w:tcPr>
                  <w:tcW w:w="576" w:type="pct"/>
                  <w:tcBorders>
                    <w:tl2br w:val="nil"/>
                    <w:tr2bl w:val="nil"/>
                  </w:tcBorders>
                  <w:noWrap w:val="0"/>
                  <w:vAlign w:val="center"/>
                </w:tcPr>
                <w:p w14:paraId="0126B35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不达标</w:t>
                  </w:r>
                </w:p>
              </w:tc>
            </w:tr>
            <w:tr w14:paraId="43F139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78" w:type="pct"/>
                  <w:tcBorders>
                    <w:tl2br w:val="nil"/>
                    <w:tr2bl w:val="nil"/>
                  </w:tcBorders>
                  <w:noWrap w:val="0"/>
                  <w:vAlign w:val="center"/>
                </w:tcPr>
                <w:p w14:paraId="79993B70">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CO</w:t>
                  </w:r>
                </w:p>
              </w:tc>
              <w:tc>
                <w:tcPr>
                  <w:tcW w:w="1861" w:type="pct"/>
                  <w:tcBorders>
                    <w:tl2br w:val="nil"/>
                    <w:tr2bl w:val="nil"/>
                  </w:tcBorders>
                  <w:noWrap w:val="0"/>
                  <w:vAlign w:val="center"/>
                </w:tcPr>
                <w:p w14:paraId="00ABE613">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eastAsia="zh-CN"/>
                    </w:rPr>
                    <w:t>第</w:t>
                  </w:r>
                  <w:r>
                    <w:rPr>
                      <w:rFonts w:hint="default" w:ascii="Times New Roman" w:hAnsi="Times New Roman" w:eastAsia="宋体" w:cs="Times New Roman"/>
                      <w:bCs/>
                      <w:color w:val="auto"/>
                      <w:sz w:val="21"/>
                      <w:szCs w:val="21"/>
                      <w:highlight w:val="none"/>
                      <w:lang w:val="en-US" w:eastAsia="zh-CN"/>
                    </w:rPr>
                    <w:t>95百分位数日平均质量浓度</w:t>
                  </w:r>
                </w:p>
              </w:tc>
              <w:tc>
                <w:tcPr>
                  <w:tcW w:w="590" w:type="pct"/>
                  <w:tcBorders>
                    <w:tl2br w:val="nil"/>
                    <w:tr2bl w:val="nil"/>
                  </w:tcBorders>
                  <w:noWrap w:val="0"/>
                  <w:vAlign w:val="center"/>
                </w:tcPr>
                <w:p w14:paraId="595B63D1">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i w:val="0"/>
                      <w:iCs w:val="0"/>
                      <w:color w:val="auto"/>
                      <w:kern w:val="0"/>
                      <w:sz w:val="21"/>
                      <w:szCs w:val="21"/>
                      <w:u w:val="none"/>
                      <w:lang w:val="en-US" w:eastAsia="zh-CN" w:bidi="ar"/>
                    </w:rPr>
                    <w:t>1800</w:t>
                  </w:r>
                </w:p>
              </w:tc>
              <w:tc>
                <w:tcPr>
                  <w:tcW w:w="924" w:type="pct"/>
                  <w:tcBorders>
                    <w:tl2br w:val="nil"/>
                    <w:tr2bl w:val="nil"/>
                  </w:tcBorders>
                  <w:noWrap w:val="0"/>
                  <w:vAlign w:val="center"/>
                </w:tcPr>
                <w:p w14:paraId="319C3765">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4000</w:t>
                  </w:r>
                </w:p>
              </w:tc>
              <w:tc>
                <w:tcPr>
                  <w:tcW w:w="568" w:type="pct"/>
                  <w:tcBorders>
                    <w:tl2br w:val="nil"/>
                    <w:tr2bl w:val="nil"/>
                  </w:tcBorders>
                  <w:noWrap w:val="0"/>
                  <w:vAlign w:val="center"/>
                </w:tcPr>
                <w:p w14:paraId="2985903E">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45.00%</w:t>
                  </w:r>
                </w:p>
              </w:tc>
              <w:tc>
                <w:tcPr>
                  <w:tcW w:w="576" w:type="pct"/>
                  <w:tcBorders>
                    <w:tl2br w:val="nil"/>
                    <w:tr2bl w:val="nil"/>
                  </w:tcBorders>
                  <w:noWrap w:val="0"/>
                  <w:vAlign w:val="center"/>
                </w:tcPr>
                <w:p w14:paraId="5D8DED5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1231E4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478" w:type="pct"/>
                  <w:tcBorders>
                    <w:tl2br w:val="nil"/>
                    <w:tr2bl w:val="nil"/>
                  </w:tcBorders>
                  <w:noWrap w:val="0"/>
                  <w:vAlign w:val="center"/>
                </w:tcPr>
                <w:p w14:paraId="4B1237B7">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rPr>
                    <w:t>O</w:t>
                  </w:r>
                  <w:r>
                    <w:rPr>
                      <w:rFonts w:hint="default" w:ascii="Times New Roman" w:hAnsi="Times New Roman" w:eastAsia="宋体" w:cs="Times New Roman"/>
                      <w:bCs/>
                      <w:color w:val="auto"/>
                      <w:sz w:val="21"/>
                      <w:szCs w:val="21"/>
                      <w:highlight w:val="none"/>
                      <w:vertAlign w:val="subscript"/>
                    </w:rPr>
                    <w:t>3</w:t>
                  </w:r>
                </w:p>
              </w:tc>
              <w:tc>
                <w:tcPr>
                  <w:tcW w:w="1861" w:type="pct"/>
                  <w:tcBorders>
                    <w:tl2br w:val="nil"/>
                    <w:tr2bl w:val="nil"/>
                  </w:tcBorders>
                  <w:noWrap w:val="0"/>
                  <w:vAlign w:val="center"/>
                </w:tcPr>
                <w:p w14:paraId="6A452095">
                  <w:pPr>
                    <w:keepNext w:val="0"/>
                    <w:keepLines w:val="0"/>
                    <w:pageBreakBefore w:val="0"/>
                    <w:widowControl w:val="0"/>
                    <w:kinsoku/>
                    <w:wordWrap/>
                    <w:overflowPunct w:val="0"/>
                    <w:topLinePunct w:val="0"/>
                    <w:autoSpaceDE/>
                    <w:autoSpaceDN/>
                    <w:bidi w:val="0"/>
                    <w:adjustRightInd/>
                    <w:snapToGrid/>
                    <w:spacing w:line="240" w:lineRule="auto"/>
                    <w:ind w:right="0" w:firstLine="0" w:firstLineChars="0"/>
                    <w:jc w:val="center"/>
                    <w:textAlignment w:val="auto"/>
                    <w:outlineLvl w:val="9"/>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Cs/>
                      <w:color w:val="auto"/>
                      <w:sz w:val="21"/>
                      <w:szCs w:val="21"/>
                      <w:highlight w:val="none"/>
                      <w:lang w:eastAsia="zh-CN"/>
                    </w:rPr>
                    <w:t>第</w:t>
                  </w:r>
                  <w:r>
                    <w:rPr>
                      <w:rFonts w:hint="default" w:ascii="Times New Roman" w:hAnsi="Times New Roman" w:eastAsia="宋体" w:cs="Times New Roman"/>
                      <w:bCs/>
                      <w:color w:val="auto"/>
                      <w:sz w:val="21"/>
                      <w:szCs w:val="21"/>
                      <w:highlight w:val="none"/>
                      <w:lang w:val="en-US" w:eastAsia="zh-CN"/>
                    </w:rPr>
                    <w:t>90百分位数8h平均质量浓度</w:t>
                  </w:r>
                </w:p>
              </w:tc>
              <w:tc>
                <w:tcPr>
                  <w:tcW w:w="590" w:type="pct"/>
                  <w:tcBorders>
                    <w:tl2br w:val="nil"/>
                    <w:tr2bl w:val="nil"/>
                  </w:tcBorders>
                  <w:noWrap w:val="0"/>
                  <w:vAlign w:val="center"/>
                </w:tcPr>
                <w:p w14:paraId="233FF979">
                  <w:pPr>
                    <w:keepNext w:val="0"/>
                    <w:keepLines w:val="0"/>
                    <w:widowControl/>
                    <w:suppressLineNumbers w:val="0"/>
                    <w:jc w:val="center"/>
                    <w:textAlignment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cs="Times New Roman"/>
                      <w:i w:val="0"/>
                      <w:iCs w:val="0"/>
                      <w:color w:val="auto"/>
                      <w:kern w:val="0"/>
                      <w:sz w:val="21"/>
                      <w:szCs w:val="21"/>
                      <w:u w:val="none"/>
                      <w:lang w:val="en-US" w:eastAsia="zh-CN" w:bidi="ar"/>
                    </w:rPr>
                    <w:t>116</w:t>
                  </w:r>
                </w:p>
              </w:tc>
              <w:tc>
                <w:tcPr>
                  <w:tcW w:w="924" w:type="pct"/>
                  <w:tcBorders>
                    <w:tl2br w:val="nil"/>
                    <w:tr2bl w:val="nil"/>
                  </w:tcBorders>
                  <w:noWrap w:val="0"/>
                  <w:vAlign w:val="center"/>
                </w:tcPr>
                <w:p w14:paraId="4A977547">
                  <w:pPr>
                    <w:keepNext w:val="0"/>
                    <w:keepLines w:val="0"/>
                    <w:widowControl/>
                    <w:suppressLineNumbers w:val="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160</w:t>
                  </w:r>
                </w:p>
              </w:tc>
              <w:tc>
                <w:tcPr>
                  <w:tcW w:w="568" w:type="pct"/>
                  <w:tcBorders>
                    <w:tl2br w:val="nil"/>
                    <w:tr2bl w:val="nil"/>
                  </w:tcBorders>
                  <w:noWrap w:val="0"/>
                  <w:vAlign w:val="center"/>
                </w:tcPr>
                <w:p w14:paraId="5742E1A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72.50%</w:t>
                  </w:r>
                </w:p>
              </w:tc>
              <w:tc>
                <w:tcPr>
                  <w:tcW w:w="576" w:type="pct"/>
                  <w:tcBorders>
                    <w:tl2br w:val="nil"/>
                    <w:tr2bl w:val="nil"/>
                  </w:tcBorders>
                  <w:noWrap w:val="0"/>
                  <w:vAlign w:val="center"/>
                </w:tcPr>
                <w:p w14:paraId="7A8B248D">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达标</w:t>
                  </w:r>
                </w:p>
              </w:tc>
            </w:tr>
          </w:tbl>
          <w:p w14:paraId="74DA1CF8">
            <w:pPr>
              <w:keepNext w:val="0"/>
              <w:keepLines w:val="0"/>
              <w:pageBreakBefore w:val="0"/>
              <w:widowControl w:val="0"/>
              <w:kinsoku/>
              <w:wordWrap/>
              <w:overflowPunct/>
              <w:topLinePunct w:val="0"/>
              <w:autoSpaceDE/>
              <w:autoSpaceDN/>
              <w:bidi w:val="0"/>
              <w:adjustRightInd/>
              <w:snapToGrid/>
              <w:spacing w:before="157" w:beforeLines="50" w:line="360" w:lineRule="auto"/>
              <w:ind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本</w:t>
            </w:r>
            <w:r>
              <w:rPr>
                <w:rFonts w:hint="default" w:ascii="Times New Roman" w:hAnsi="Times New Roman" w:eastAsia="宋体" w:cs="Times New Roman"/>
                <w:color w:val="auto"/>
                <w:sz w:val="24"/>
                <w:szCs w:val="24"/>
                <w:highlight w:val="none"/>
                <w:lang w:val="en-US" w:eastAsia="zh-CN"/>
              </w:rPr>
              <w:t>项目所在区域空气质量现状评价指标中除</w:t>
            </w:r>
            <w:r>
              <w:rPr>
                <w:rFonts w:hint="default" w:ascii="Times New Roman" w:hAnsi="Times New Roman" w:eastAsia="宋体" w:cs="Times New Roman"/>
                <w:bCs/>
                <w:color w:val="auto"/>
                <w:sz w:val="24"/>
                <w:szCs w:val="24"/>
                <w:highlight w:val="none"/>
              </w:rPr>
              <w:t>PM</w:t>
            </w:r>
            <w:r>
              <w:rPr>
                <w:rFonts w:hint="default" w:ascii="Times New Roman" w:hAnsi="Times New Roman" w:eastAsia="宋体" w:cs="Times New Roman"/>
                <w:bCs/>
                <w:color w:val="auto"/>
                <w:sz w:val="24"/>
                <w:szCs w:val="24"/>
                <w:highlight w:val="none"/>
                <w:vertAlign w:val="subscript"/>
              </w:rPr>
              <w:t>2.5</w:t>
            </w:r>
            <w:r>
              <w:rPr>
                <w:rFonts w:hint="default" w:ascii="Times New Roman" w:hAnsi="Times New Roman" w:eastAsia="宋体" w:cs="Times New Roman"/>
                <w:bCs/>
                <w:color w:val="auto"/>
                <w:sz w:val="24"/>
                <w:szCs w:val="24"/>
                <w:highlight w:val="none"/>
                <w:vertAlign w:val="baseline"/>
                <w:lang w:val="en-US" w:eastAsia="zh-CN"/>
              </w:rPr>
              <w:t>和</w:t>
            </w:r>
            <w:r>
              <w:rPr>
                <w:rFonts w:hint="default" w:ascii="Times New Roman" w:hAnsi="Times New Roman" w:eastAsia="宋体" w:cs="Times New Roman"/>
                <w:bCs/>
                <w:color w:val="auto"/>
                <w:sz w:val="24"/>
                <w:szCs w:val="24"/>
                <w:highlight w:val="none"/>
              </w:rPr>
              <w:t>PM</w:t>
            </w:r>
            <w:r>
              <w:rPr>
                <w:rFonts w:hint="default" w:ascii="Times New Roman" w:hAnsi="Times New Roman" w:eastAsia="宋体" w:cs="Times New Roman"/>
                <w:bCs/>
                <w:color w:val="auto"/>
                <w:sz w:val="24"/>
                <w:szCs w:val="24"/>
                <w:highlight w:val="none"/>
                <w:vertAlign w:val="subscript"/>
              </w:rPr>
              <w:t>10</w:t>
            </w:r>
            <w:r>
              <w:rPr>
                <w:rFonts w:hint="default" w:ascii="Times New Roman" w:hAnsi="Times New Roman" w:eastAsia="宋体" w:cs="Times New Roman"/>
                <w:bCs/>
                <w:color w:val="auto"/>
                <w:sz w:val="24"/>
                <w:szCs w:val="24"/>
                <w:highlight w:val="none"/>
                <w:vertAlign w:val="baseline"/>
                <w:lang w:val="en-US" w:eastAsia="zh-CN"/>
              </w:rPr>
              <w:t>不能满足</w:t>
            </w: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环境空气质量标准</w:t>
            </w:r>
            <w:r>
              <w:rPr>
                <w:rFonts w:hint="default" w:ascii="Times New Roman" w:hAnsi="Times New Roman" w:eastAsia="宋体" w:cs="Times New Roman"/>
                <w:color w:val="auto"/>
                <w:sz w:val="24"/>
                <w:szCs w:val="24"/>
                <w:highlight w:val="none"/>
              </w:rPr>
              <w:t>》（GB3095-</w:t>
            </w:r>
            <w:r>
              <w:rPr>
                <w:rFonts w:hint="default" w:ascii="Times New Roman" w:hAnsi="Times New Roman" w:cs="Times New Roman"/>
                <w:color w:val="auto"/>
                <w:sz w:val="24"/>
                <w:szCs w:val="24"/>
                <w:highlight w:val="none"/>
                <w:lang w:val="en-US" w:eastAsia="zh-CN"/>
              </w:rPr>
              <w:t>2026</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中过渡期</w:t>
            </w:r>
            <w:r>
              <w:rPr>
                <w:rFonts w:hint="default" w:ascii="Times New Roman" w:hAnsi="Times New Roman" w:eastAsia="宋体" w:cs="Times New Roman"/>
                <w:color w:val="auto"/>
                <w:sz w:val="24"/>
                <w:szCs w:val="24"/>
                <w:highlight w:val="none"/>
              </w:rPr>
              <w:t>二级标准要求</w:t>
            </w:r>
            <w:r>
              <w:rPr>
                <w:rFonts w:hint="default" w:ascii="Times New Roman" w:hAnsi="Times New Roman" w:eastAsia="宋体" w:cs="Times New Roman"/>
                <w:color w:val="auto"/>
                <w:sz w:val="24"/>
                <w:szCs w:val="24"/>
                <w:highlight w:val="none"/>
                <w:lang w:val="en-US" w:eastAsia="zh-CN"/>
              </w:rPr>
              <w:t>外，其他污染物均能够满足</w:t>
            </w:r>
            <w:r>
              <w:rPr>
                <w:rFonts w:hint="default" w:ascii="Times New Roman" w:hAnsi="Times New Roman"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rPr>
              <w:t>项目所在区域为</w:t>
            </w:r>
            <w:r>
              <w:rPr>
                <w:rFonts w:hint="default" w:ascii="Times New Roman" w:hAnsi="Times New Roman" w:eastAsia="宋体" w:cs="Times New Roman"/>
                <w:color w:val="auto"/>
                <w:sz w:val="24"/>
                <w:szCs w:val="24"/>
                <w:highlight w:val="none"/>
                <w:lang w:val="en-US" w:eastAsia="zh-CN"/>
              </w:rPr>
              <w:t>不</w:t>
            </w:r>
            <w:r>
              <w:rPr>
                <w:rFonts w:hint="default" w:ascii="Times New Roman" w:hAnsi="Times New Roman" w:eastAsia="宋体" w:cs="Times New Roman"/>
                <w:color w:val="auto"/>
                <w:sz w:val="24"/>
                <w:szCs w:val="24"/>
                <w:highlight w:val="none"/>
              </w:rPr>
              <w:t>达标区</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不达标原因主要为气象条件不利造成，</w:t>
            </w:r>
            <w:r>
              <w:rPr>
                <w:rFonts w:hint="default" w:ascii="Times New Roman" w:hAnsi="Times New Roman" w:cs="Times New Roman"/>
                <w:color w:val="auto"/>
                <w:sz w:val="24"/>
                <w:szCs w:val="24"/>
                <w:highlight w:val="none"/>
                <w:lang w:val="en-US" w:eastAsia="zh-CN"/>
              </w:rPr>
              <w:t>该地区</w:t>
            </w:r>
            <w:r>
              <w:rPr>
                <w:rFonts w:hint="default" w:ascii="Times New Roman" w:hAnsi="Times New Roman" w:eastAsia="宋体" w:cs="Times New Roman"/>
                <w:color w:val="auto"/>
                <w:sz w:val="24"/>
                <w:szCs w:val="24"/>
                <w:highlight w:val="none"/>
                <w:lang w:val="en-US" w:eastAsia="zh-CN"/>
              </w:rPr>
              <w:t>冬季多静稳天气，边界层低、风速小、湿度大，污染物扩散条件</w:t>
            </w:r>
            <w:r>
              <w:rPr>
                <w:rFonts w:hint="default" w:ascii="Times New Roman" w:hAnsi="Times New Roman" w:cs="Times New Roman"/>
                <w:color w:val="auto"/>
                <w:sz w:val="24"/>
                <w:szCs w:val="24"/>
                <w:highlight w:val="none"/>
                <w:lang w:val="en-US" w:eastAsia="zh-CN"/>
              </w:rPr>
              <w:t>较</w:t>
            </w:r>
            <w:r>
              <w:rPr>
                <w:rFonts w:hint="default" w:ascii="Times New Roman" w:hAnsi="Times New Roman" w:eastAsia="宋体" w:cs="Times New Roman"/>
                <w:color w:val="auto"/>
                <w:sz w:val="24"/>
                <w:szCs w:val="24"/>
                <w:highlight w:val="none"/>
                <w:lang w:val="en-US" w:eastAsia="zh-CN"/>
              </w:rPr>
              <w:t>差。</w:t>
            </w:r>
          </w:p>
          <w:p w14:paraId="44F202B7">
            <w:pPr>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textAlignment w:val="auto"/>
              <w:rPr>
                <w:rFonts w:hint="default" w:ascii="Times New Roman" w:hAnsi="Times New Roman" w:eastAsia="宋体" w:cs="Times New Roman"/>
                <w:b/>
                <w:color w:val="auto"/>
                <w:spacing w:val="0"/>
                <w:position w:val="0"/>
                <w:sz w:val="24"/>
                <w:szCs w:val="24"/>
                <w:lang w:val="en-US" w:eastAsia="zh-CN"/>
              </w:rPr>
            </w:pPr>
            <w:r>
              <w:rPr>
                <w:rFonts w:hint="default" w:ascii="Times New Roman" w:hAnsi="Times New Roman" w:eastAsia="宋体" w:cs="Times New Roman"/>
                <w:b/>
                <w:color w:val="auto"/>
                <w:spacing w:val="0"/>
                <w:position w:val="0"/>
                <w:sz w:val="24"/>
                <w:szCs w:val="24"/>
                <w:lang w:val="en-US" w:eastAsia="zh-CN"/>
              </w:rPr>
              <w:t>1.2特征污染物环境质量调查与评价</w:t>
            </w:r>
          </w:p>
          <w:p w14:paraId="59730E97">
            <w:pPr>
              <w:keepNext w:val="0"/>
              <w:keepLines w:val="0"/>
              <w:pageBreakBefore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bCs/>
                <w:color w:val="auto"/>
                <w:sz w:val="24"/>
                <w:szCs w:val="24"/>
                <w:highlight w:val="none"/>
                <w:lang w:val="en-US" w:eastAsia="zh-CN"/>
              </w:rPr>
            </w:pPr>
            <w:r>
              <w:rPr>
                <w:rFonts w:hint="default" w:ascii="Times New Roman" w:hAnsi="Times New Roman" w:cs="Times New Roman"/>
                <w:bCs/>
                <w:color w:val="auto"/>
                <w:sz w:val="24"/>
                <w:szCs w:val="24"/>
                <w:highlight w:val="none"/>
                <w:lang w:eastAsia="zh-CN"/>
              </w:rPr>
              <w:t>（</w:t>
            </w:r>
            <w:r>
              <w:rPr>
                <w:rFonts w:hint="default" w:ascii="Times New Roman" w:hAnsi="Times New Roman" w:cs="Times New Roman"/>
                <w:bCs/>
                <w:color w:val="auto"/>
                <w:sz w:val="24"/>
                <w:szCs w:val="24"/>
                <w:highlight w:val="none"/>
                <w:lang w:val="en-US" w:eastAsia="zh-CN"/>
              </w:rPr>
              <w:t>1）数据来源</w:t>
            </w:r>
          </w:p>
          <w:p w14:paraId="2B6DFFB8">
            <w:pPr>
              <w:keepNext w:val="0"/>
              <w:keepLines w:val="0"/>
              <w:pageBreakBefore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bCs/>
                <w:color w:val="auto"/>
                <w:sz w:val="24"/>
                <w:szCs w:val="24"/>
                <w:highlight w:val="none"/>
              </w:rPr>
              <w:t>本次大气环境质量现状评价的特征污染因子</w:t>
            </w:r>
            <w:r>
              <w:rPr>
                <w:rFonts w:hint="default" w:ascii="Times New Roman" w:hAnsi="Times New Roman" w:cs="Times New Roman"/>
                <w:bCs/>
                <w:color w:val="auto"/>
                <w:sz w:val="24"/>
                <w:szCs w:val="24"/>
                <w:highlight w:val="none"/>
                <w:lang w:val="en-US" w:eastAsia="zh-CN"/>
              </w:rPr>
              <w:t>为TSP</w:t>
            </w:r>
            <w:r>
              <w:rPr>
                <w:rFonts w:hint="default" w:ascii="Times New Roman" w:hAnsi="Times New Roman" w:cs="Times New Roman"/>
                <w:bCs/>
                <w:color w:val="auto"/>
                <w:sz w:val="24"/>
                <w:szCs w:val="24"/>
                <w:highlight w:val="none"/>
              </w:rPr>
              <w:t>，根据《建设项目环境影响报告表编制技术指南（污染影响类）（试行）</w:t>
            </w:r>
            <w:r>
              <w:rPr>
                <w:rFonts w:hint="default" w:ascii="Times New Roman" w:hAnsi="Times New Roman" w:cs="Times New Roman"/>
                <w:bCs/>
                <w:color w:val="auto"/>
                <w:sz w:val="24"/>
                <w:szCs w:val="24"/>
                <w:highlight w:val="none"/>
                <w:lang w:eastAsia="zh-CN"/>
              </w:rPr>
              <w:t>》</w:t>
            </w:r>
            <w:r>
              <w:rPr>
                <w:rFonts w:hint="default" w:ascii="Times New Roman" w:hAnsi="Times New Roman" w:cs="Times New Roman"/>
                <w:bCs/>
                <w:color w:val="auto"/>
                <w:sz w:val="24"/>
                <w:szCs w:val="24"/>
                <w:highlight w:val="none"/>
              </w:rPr>
              <w:t>要求，</w:t>
            </w:r>
            <w:r>
              <w:rPr>
                <w:rFonts w:hint="default" w:ascii="Times New Roman" w:hAnsi="Times New Roman" w:cs="Times New Roman"/>
                <w:bCs/>
                <w:color w:val="auto"/>
                <w:sz w:val="24"/>
                <w:szCs w:val="24"/>
                <w:highlight w:val="none"/>
                <w:lang w:val="en-US" w:eastAsia="zh-CN"/>
              </w:rPr>
              <w:t>本项目引用现状监测的数据。</w:t>
            </w:r>
          </w:p>
          <w:p w14:paraId="22425492">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2）评价方法</w:t>
            </w:r>
          </w:p>
          <w:p w14:paraId="779C9DF4">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根据项目污染源初步调查结果，计算项目排放主要污染物的最大空气浓度占标率</w:t>
            </w:r>
            <w:r>
              <w:rPr>
                <w:rFonts w:hint="default" w:ascii="Times New Roman" w:hAnsi="Times New Roman" w:cs="Times New Roman"/>
                <w:color w:val="auto"/>
                <w:sz w:val="24"/>
                <w:szCs w:val="24"/>
                <w:highlight w:val="none"/>
              </w:rPr>
              <w:t>P</w:t>
            </w:r>
            <w:r>
              <w:rPr>
                <w:rFonts w:hint="default" w:ascii="Times New Roman" w:hAnsi="Times New Roman" w:cs="Times New Roman"/>
                <w:color w:val="auto"/>
                <w:sz w:val="24"/>
                <w:szCs w:val="24"/>
                <w:highlight w:val="none"/>
                <w:vertAlign w:val="subscript"/>
              </w:rPr>
              <w:t>i</w:t>
            </w:r>
            <w:r>
              <w:rPr>
                <w:rFonts w:hint="default" w:ascii="Times New Roman" w:hAnsi="Times New Roman" w:cs="Times New Roman"/>
                <w:color w:val="auto"/>
                <w:sz w:val="24"/>
                <w:szCs w:val="24"/>
                <w:highlight w:val="none"/>
                <w:vertAlign w:val="baseline"/>
                <w:lang w:eastAsia="zh-CN"/>
              </w:rPr>
              <w:t>（</w:t>
            </w:r>
            <w:r>
              <w:rPr>
                <w:rFonts w:hint="default" w:ascii="Times New Roman" w:hAnsi="Times New Roman" w:cs="Times New Roman"/>
                <w:color w:val="auto"/>
                <w:sz w:val="24"/>
                <w:szCs w:val="24"/>
                <w:highlight w:val="none"/>
                <w:vertAlign w:val="baseline"/>
                <w:lang w:val="en-US" w:eastAsia="zh-CN"/>
              </w:rPr>
              <w:t>第i个污染物，简称“最大浓度占标率”</w:t>
            </w:r>
            <w:r>
              <w:rPr>
                <w:rFonts w:hint="default" w:ascii="Times New Roman" w:hAnsi="Times New Roman" w:cs="Times New Roman"/>
                <w:color w:val="auto"/>
                <w:sz w:val="24"/>
                <w:szCs w:val="24"/>
                <w:highlight w:val="none"/>
                <w:vertAlign w:val="baseline"/>
                <w:lang w:eastAsia="zh-CN"/>
              </w:rPr>
              <w:t>），</w:t>
            </w:r>
            <w:r>
              <w:rPr>
                <w:rFonts w:hint="default" w:ascii="Times New Roman" w:hAnsi="Times New Roman" w:cs="Times New Roman"/>
                <w:color w:val="auto"/>
                <w:sz w:val="24"/>
                <w:szCs w:val="24"/>
                <w:highlight w:val="none"/>
                <w:vertAlign w:val="baseline"/>
                <w:lang w:val="en-US" w:eastAsia="zh-CN"/>
              </w:rPr>
              <w:t>计算公式为：</w:t>
            </w:r>
          </w:p>
          <w:p w14:paraId="12BFD77C">
            <w:pPr>
              <w:keepNext w:val="0"/>
              <w:keepLines w:val="0"/>
              <w:pageBreakBefore w:val="0"/>
              <w:widowControl/>
              <w:kinsoku/>
              <w:wordWrap/>
              <w:overflowPunct/>
              <w:topLinePunct w:val="0"/>
              <w:autoSpaceDE/>
              <w:autoSpaceDN/>
              <w:bidi w:val="0"/>
              <w:spacing w:line="360" w:lineRule="auto"/>
              <w:ind w:firstLine="480" w:firstLineChars="200"/>
              <w:jc w:val="center"/>
              <w:textAlignment w:val="auto"/>
              <w:rPr>
                <w:rFonts w:hint="default" w:ascii="Times New Roman" w:hAnsi="Times New Roman" w:cs="Times New Roman"/>
                <w:color w:val="auto"/>
                <w:sz w:val="24"/>
                <w:szCs w:val="24"/>
                <w:highlight w:val="none"/>
              </w:rPr>
            </w:pPr>
            <m:oMathPara>
              <m:oMath>
                <m:sSub>
                  <m:sSubPr>
                    <m:ctrlPr>
                      <w:rPr>
                        <w:rFonts w:hint="default" w:ascii="Cambria Math" w:hAnsi="Cambria Math" w:cs="Times New Roman"/>
                        <w:i/>
                        <w:color w:val="auto"/>
                        <w:sz w:val="24"/>
                        <w:szCs w:val="24"/>
                        <w:highlight w:val="none"/>
                      </w:rPr>
                    </m:ctrlPr>
                  </m:sSubPr>
                  <m:e>
                    <m:r>
                      <m:rPr>
                        <m:nor/>
                      </m:rPr>
                      <w:rPr>
                        <w:rFonts w:hint="default" w:ascii="Times New Roman" w:hAnsi="Times New Roman" w:cs="Times New Roman"/>
                        <w:i/>
                        <w:color w:val="auto"/>
                        <w:sz w:val="24"/>
                        <w:szCs w:val="24"/>
                        <w:highlight w:val="none"/>
                        <w:lang w:val="en-US" w:eastAsia="zh-CN"/>
                      </w:rPr>
                      <m:t>P</m:t>
                    </m:r>
                    <m:ctrlPr>
                      <w:rPr>
                        <w:rFonts w:hint="default" w:ascii="Cambria Math" w:hAnsi="Cambria Math" w:cs="Times New Roman"/>
                        <w:i/>
                        <w:color w:val="auto"/>
                        <w:sz w:val="24"/>
                        <w:szCs w:val="24"/>
                        <w:highlight w:val="none"/>
                      </w:rPr>
                    </m:ctrlPr>
                  </m:e>
                  <m:sub>
                    <m:r>
                      <m:rPr>
                        <m:nor/>
                      </m:rPr>
                      <w:rPr>
                        <w:rFonts w:hint="default" w:ascii="Times New Roman" w:hAnsi="Times New Roman" w:cs="Times New Roman"/>
                        <w:i/>
                        <w:color w:val="auto"/>
                        <w:sz w:val="24"/>
                        <w:szCs w:val="24"/>
                        <w:highlight w:val="none"/>
                        <w:lang w:val="en-US" w:eastAsia="zh-CN"/>
                      </w:rPr>
                      <m:t>i</m:t>
                    </m:r>
                    <m:ctrlPr>
                      <w:rPr>
                        <w:rFonts w:hint="default" w:ascii="Cambria Math" w:hAnsi="Cambria Math" w:cs="Times New Roman"/>
                        <w:i/>
                        <w:color w:val="auto"/>
                        <w:sz w:val="24"/>
                        <w:szCs w:val="24"/>
                        <w:highlight w:val="none"/>
                      </w:rPr>
                    </m:ctrlPr>
                  </m:sub>
                </m:sSub>
                <m:r>
                  <m:rPr>
                    <m:nor/>
                    <m:sty m:val="p"/>
                  </m:rPr>
                  <w:rPr>
                    <w:rFonts w:hint="default" w:ascii="Times New Roman" w:hAnsi="Times New Roman" w:cs="Times New Roman"/>
                    <w:b w:val="0"/>
                    <w:i w:val="0"/>
                    <w:color w:val="auto"/>
                    <w:sz w:val="24"/>
                    <w:szCs w:val="24"/>
                    <w:highlight w:val="none"/>
                    <w:lang w:val="en-US" w:eastAsia="zh-CN"/>
                  </w:rPr>
                  <m:t>=</m:t>
                </m:r>
                <m:f>
                  <m:fPr>
                    <m:ctrlPr>
                      <w:rPr>
                        <w:rFonts w:hint="default" w:ascii="Cambria Math" w:hAnsi="Cambria Math" w:cs="Times New Roman"/>
                        <w:i/>
                        <w:color w:val="auto"/>
                        <w:sz w:val="24"/>
                        <w:szCs w:val="24"/>
                        <w:highlight w:val="none"/>
                        <w:lang w:val="en-US" w:eastAsia="zh-CN"/>
                      </w:rPr>
                    </m:ctrlPr>
                  </m:fPr>
                  <m:num>
                    <m:sSub>
                      <m:sSubPr>
                        <m:ctrlPr>
                          <w:rPr>
                            <w:rFonts w:hint="default" w:ascii="Cambria Math" w:hAnsi="Cambria Math" w:cs="Times New Roman"/>
                            <w:i/>
                            <w:color w:val="auto"/>
                            <w:sz w:val="24"/>
                            <w:szCs w:val="24"/>
                            <w:highlight w:val="none"/>
                            <w:lang w:val="en-US" w:eastAsia="zh-CN"/>
                          </w:rPr>
                        </m:ctrlPr>
                      </m:sSubPr>
                      <m:e>
                        <m:r>
                          <m:rPr>
                            <m:nor/>
                          </m:rPr>
                          <w:rPr>
                            <w:rFonts w:hint="default" w:ascii="Times New Roman" w:hAnsi="Times New Roman" w:cs="Times New Roman"/>
                            <w:i/>
                            <w:color w:val="auto"/>
                            <w:sz w:val="24"/>
                            <w:szCs w:val="24"/>
                            <w:highlight w:val="none"/>
                            <w:lang w:val="en-US"/>
                          </w:rPr>
                          <m:t>ρ</m:t>
                        </m:r>
                        <m:ctrlPr>
                          <w:rPr>
                            <w:rFonts w:hint="default" w:ascii="Cambria Math" w:hAnsi="Cambria Math" w:cs="Times New Roman"/>
                            <w:i/>
                            <w:color w:val="auto"/>
                            <w:sz w:val="24"/>
                            <w:szCs w:val="24"/>
                            <w:highlight w:val="none"/>
                            <w:lang w:val="en-US" w:eastAsia="zh-CN"/>
                          </w:rPr>
                        </m:ctrlPr>
                      </m:e>
                      <m:sub>
                        <m:r>
                          <m:rPr>
                            <m:nor/>
                          </m:rPr>
                          <w:rPr>
                            <w:rFonts w:hint="default" w:ascii="Times New Roman" w:hAnsi="Times New Roman" w:cs="Times New Roman"/>
                            <w:i/>
                            <w:color w:val="auto"/>
                            <w:sz w:val="24"/>
                            <w:szCs w:val="24"/>
                            <w:highlight w:val="none"/>
                            <w:lang w:val="en-US" w:eastAsia="zh-CN"/>
                          </w:rPr>
                          <m:t>i</m:t>
                        </m:r>
                        <m:ctrlPr>
                          <w:rPr>
                            <w:rFonts w:hint="default" w:ascii="Cambria Math" w:hAnsi="Cambria Math" w:cs="Times New Roman"/>
                            <w:i/>
                            <w:color w:val="auto"/>
                            <w:sz w:val="24"/>
                            <w:szCs w:val="24"/>
                            <w:highlight w:val="none"/>
                            <w:lang w:val="en-US" w:eastAsia="zh-CN"/>
                          </w:rPr>
                        </m:ctrlPr>
                      </m:sub>
                    </m:sSub>
                    <m:ctrlPr>
                      <w:rPr>
                        <w:rFonts w:hint="default" w:ascii="Cambria Math" w:hAnsi="Cambria Math" w:cs="Times New Roman"/>
                        <w:i/>
                        <w:color w:val="auto"/>
                        <w:sz w:val="24"/>
                        <w:szCs w:val="24"/>
                        <w:highlight w:val="none"/>
                        <w:lang w:val="en-US" w:eastAsia="zh-CN"/>
                      </w:rPr>
                    </m:ctrlPr>
                  </m:num>
                  <m:den>
                    <m:sSub>
                      <m:sSubPr>
                        <m:ctrlPr>
                          <w:rPr>
                            <w:rFonts w:hint="default" w:ascii="Cambria Math" w:hAnsi="Cambria Math" w:cs="Times New Roman"/>
                            <w:i/>
                            <w:color w:val="auto"/>
                            <w:sz w:val="24"/>
                            <w:szCs w:val="24"/>
                            <w:highlight w:val="none"/>
                            <w:lang w:val="en-US" w:eastAsia="zh-CN"/>
                          </w:rPr>
                        </m:ctrlPr>
                      </m:sSubPr>
                      <m:e>
                        <m:r>
                          <m:rPr>
                            <m:nor/>
                          </m:rPr>
                          <w:rPr>
                            <w:rFonts w:hint="default" w:ascii="Times New Roman" w:hAnsi="Times New Roman" w:cs="Times New Roman"/>
                            <w:i/>
                            <w:color w:val="auto"/>
                            <w:sz w:val="24"/>
                            <w:szCs w:val="24"/>
                            <w:highlight w:val="none"/>
                            <w:lang w:val="en-US"/>
                          </w:rPr>
                          <m:t>ρ</m:t>
                        </m:r>
                        <m:ctrlPr>
                          <w:rPr>
                            <w:rFonts w:hint="default" w:ascii="Cambria Math" w:hAnsi="Cambria Math" w:cs="Times New Roman"/>
                            <w:i/>
                            <w:color w:val="auto"/>
                            <w:sz w:val="24"/>
                            <w:szCs w:val="24"/>
                            <w:highlight w:val="none"/>
                            <w:lang w:val="en-US" w:eastAsia="zh-CN"/>
                          </w:rPr>
                        </m:ctrlPr>
                      </m:e>
                      <m:sub>
                        <m:r>
                          <m:rPr>
                            <m:nor/>
                            <m:sty m:val="p"/>
                          </m:rPr>
                          <w:rPr>
                            <w:rFonts w:hint="default" w:ascii="Times New Roman" w:hAnsi="Times New Roman" w:cs="Times New Roman"/>
                            <w:b w:val="0"/>
                            <w:i w:val="0"/>
                            <w:color w:val="auto"/>
                            <w:sz w:val="24"/>
                            <w:szCs w:val="24"/>
                            <w:highlight w:val="none"/>
                            <w:lang w:val="en-US" w:eastAsia="zh-CN"/>
                          </w:rPr>
                          <m:t>0</m:t>
                        </m:r>
                        <m:r>
                          <m:rPr>
                            <m:nor/>
                          </m:rPr>
                          <w:rPr>
                            <w:rFonts w:hint="default" w:ascii="Times New Roman" w:hAnsi="Times New Roman" w:cs="Times New Roman"/>
                            <w:i/>
                            <w:color w:val="auto"/>
                            <w:sz w:val="24"/>
                            <w:szCs w:val="24"/>
                            <w:highlight w:val="none"/>
                            <w:lang w:val="en-US" w:eastAsia="zh-CN"/>
                          </w:rPr>
                          <m:t>i</m:t>
                        </m:r>
                        <m:ctrlPr>
                          <w:rPr>
                            <w:rFonts w:hint="default" w:ascii="Cambria Math" w:hAnsi="Cambria Math" w:cs="Times New Roman"/>
                            <w:i/>
                            <w:color w:val="auto"/>
                            <w:sz w:val="24"/>
                            <w:szCs w:val="24"/>
                            <w:highlight w:val="none"/>
                            <w:lang w:val="en-US" w:eastAsia="zh-CN"/>
                          </w:rPr>
                        </m:ctrlPr>
                      </m:sub>
                    </m:sSub>
                    <m:ctrlPr>
                      <w:rPr>
                        <w:rFonts w:hint="default" w:ascii="Cambria Math" w:hAnsi="Cambria Math" w:cs="Times New Roman"/>
                        <w:i/>
                        <w:color w:val="auto"/>
                        <w:sz w:val="24"/>
                        <w:szCs w:val="24"/>
                        <w:highlight w:val="none"/>
                        <w:lang w:val="en-US" w:eastAsia="zh-CN"/>
                      </w:rPr>
                    </m:ctrlPr>
                  </m:den>
                </m:f>
                <m:r>
                  <m:rPr>
                    <m:nor/>
                    <m:sty m:val="p"/>
                  </m:rPr>
                  <w:rPr>
                    <w:rFonts w:hint="default" w:ascii="Times New Roman" w:hAnsi="Times New Roman" w:cs="Times New Roman"/>
                    <w:b w:val="0"/>
                    <w:i w:val="0"/>
                    <w:color w:val="auto"/>
                    <w:sz w:val="24"/>
                    <w:szCs w:val="24"/>
                    <w:highlight w:val="none"/>
                    <w:lang w:val="en-US" w:eastAsia="zh-CN"/>
                  </w:rPr>
                  <m:t>×100%</m:t>
                </m:r>
              </m:oMath>
            </m:oMathPara>
          </w:p>
          <w:p w14:paraId="58A16D10">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式中：P</w:t>
            </w:r>
            <w:r>
              <w:rPr>
                <w:rFonts w:hint="default" w:ascii="Times New Roman" w:hAnsi="Times New Roman" w:cs="Times New Roman"/>
                <w:color w:val="auto"/>
                <w:sz w:val="24"/>
                <w:szCs w:val="24"/>
                <w:highlight w:val="none"/>
                <w:vertAlign w:val="subscript"/>
              </w:rPr>
              <w:t>i</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第i个污染物的最大地面空气质量浓度占标率，%；</w:t>
            </w:r>
          </w:p>
          <w:p w14:paraId="7D1F4B34">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vertAlign w:val="baseline"/>
              </w:rPr>
              <w:t>ρ</w:t>
            </w:r>
            <w:r>
              <w:rPr>
                <w:rFonts w:hint="default" w:ascii="Times New Roman" w:hAnsi="Times New Roman" w:cs="Times New Roman"/>
                <w:color w:val="auto"/>
                <w:sz w:val="24"/>
                <w:szCs w:val="24"/>
                <w:highlight w:val="none"/>
                <w:vertAlign w:val="subscript"/>
              </w:rPr>
              <w:t>i</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采用估算模型计算出的第i个污染物的最大1h地面空气质量浓度</w:t>
            </w:r>
            <w:r>
              <w:rPr>
                <w:rFonts w:hint="default" w:ascii="Times New Roman" w:hAnsi="Times New Roman" w:cs="Times New Roman"/>
                <w:color w:val="auto"/>
                <w:sz w:val="24"/>
                <w:szCs w:val="24"/>
                <w:highlight w:val="none"/>
              </w:rPr>
              <w:t>，μg/m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w:t>
            </w:r>
          </w:p>
          <w:p w14:paraId="49499700">
            <w:pPr>
              <w:keepNext w:val="0"/>
              <w:keepLines w:val="0"/>
              <w:pageBreakBefore w:val="0"/>
              <w:widowControl/>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vertAlign w:val="baseline"/>
              </w:rPr>
              <w:t>ρ</w:t>
            </w:r>
            <w:r>
              <w:rPr>
                <w:rFonts w:hint="default" w:ascii="Times New Roman" w:hAnsi="Times New Roman" w:cs="Times New Roman"/>
                <w:color w:val="auto"/>
                <w:sz w:val="24"/>
                <w:szCs w:val="24"/>
                <w:highlight w:val="none"/>
                <w:vertAlign w:val="subscript"/>
              </w:rPr>
              <w:t>0i</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第i个污染物的环境空气质量浓度标准</w:t>
            </w:r>
            <w:r>
              <w:rPr>
                <w:rFonts w:hint="default" w:ascii="Times New Roman" w:hAnsi="Times New Roman" w:cs="Times New Roman"/>
                <w:color w:val="auto"/>
                <w:sz w:val="24"/>
                <w:szCs w:val="24"/>
                <w:highlight w:val="none"/>
              </w:rPr>
              <w:t>，μg/m</w:t>
            </w:r>
            <w:r>
              <w:rPr>
                <w:rFonts w:hint="default" w:ascii="Times New Roman" w:hAnsi="Times New Roman" w:cs="Times New Roman"/>
                <w:color w:val="auto"/>
                <w:sz w:val="24"/>
                <w:szCs w:val="24"/>
                <w:highlight w:val="none"/>
                <w:vertAlign w:val="superscript"/>
              </w:rPr>
              <w:t>3</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一般选用GB3095中1h平均质量浓度的二级浓度限值。</w:t>
            </w:r>
          </w:p>
          <w:p w14:paraId="44127A1B">
            <w:pPr>
              <w:keepNext w:val="0"/>
              <w:keepLines w:val="0"/>
              <w:pageBreakBefore w:val="0"/>
              <w:widowControl/>
              <w:numPr>
                <w:ilvl w:val="0"/>
                <w:numId w:val="0"/>
              </w:numPr>
              <w:kinsoku/>
              <w:wordWrap/>
              <w:overflowPunct/>
              <w:topLinePunct w:val="0"/>
              <w:autoSpaceDE/>
              <w:autoSpaceDN/>
              <w:bidi w:val="0"/>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kern w:val="2"/>
                <w:sz w:val="24"/>
                <w:szCs w:val="24"/>
                <w:highlight w:val="none"/>
                <w:lang w:val="en-US" w:eastAsia="zh-CN" w:bidi="ar-SA"/>
              </w:rPr>
              <w:t>（3）</w:t>
            </w:r>
            <w:r>
              <w:rPr>
                <w:rFonts w:hint="default" w:ascii="Times New Roman" w:hAnsi="Times New Roman" w:cs="Times New Roman"/>
                <w:color w:val="auto"/>
                <w:sz w:val="24"/>
                <w:szCs w:val="24"/>
                <w:highlight w:val="none"/>
                <w:lang w:val="en-US" w:eastAsia="zh-CN"/>
              </w:rPr>
              <w:t>引用特征污染物数据监测方案</w:t>
            </w:r>
          </w:p>
          <w:p w14:paraId="248C8DD3">
            <w:pPr>
              <w:keepNext w:val="0"/>
              <w:keepLines w:val="0"/>
              <w:pageBreakBefore w:val="0"/>
              <w:widowControl/>
              <w:numPr>
                <w:ilvl w:val="0"/>
                <w:numId w:val="0"/>
              </w:numPr>
              <w:kinsoku/>
              <w:wordWrap/>
              <w:overflowPunct/>
              <w:topLinePunct w:val="0"/>
              <w:autoSpaceDE/>
              <w:autoSpaceDN/>
              <w:bidi w:val="0"/>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监测项目：TSP。</w:t>
            </w:r>
          </w:p>
          <w:p w14:paraId="30571A41">
            <w:pPr>
              <w:keepNext w:val="0"/>
              <w:keepLines w:val="0"/>
              <w:pageBreakBefore w:val="0"/>
              <w:widowControl/>
              <w:numPr>
                <w:ilvl w:val="0"/>
                <w:numId w:val="0"/>
              </w:numPr>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监测</w:t>
            </w:r>
            <w:r>
              <w:rPr>
                <w:rFonts w:hint="default" w:ascii="Times New Roman" w:hAnsi="Times New Roman" w:eastAsia="宋体" w:cs="Times New Roman"/>
                <w:color w:val="auto"/>
                <w:sz w:val="24"/>
                <w:szCs w:val="24"/>
                <w:highlight w:val="none"/>
                <w:lang w:val="en-US" w:eastAsia="zh-CN"/>
              </w:rPr>
              <w:t>点位：位于项目区东北侧660m处，详见附图</w:t>
            </w:r>
            <w:r>
              <w:rPr>
                <w:rFonts w:hint="default" w:ascii="Times New Roman" w:hAns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w:t>
            </w:r>
          </w:p>
          <w:p w14:paraId="7649D99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监测时间及频率：连续监测3天（2023年1月6日～2023年1月8日），每天采样一次。</w:t>
            </w:r>
          </w:p>
          <w:p w14:paraId="6FE60611">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采样及检测方法：采样环境、采样高度的要求按《环境监测技术规范》（大气部分）执行，分析方法执行</w:t>
            </w:r>
            <w:r>
              <w:rPr>
                <w:rFonts w:hint="default" w:ascii="Times New Roman" w:hAnsi="Times New Roman" w:eastAsia="宋体" w:cs="Times New Roman"/>
                <w:color w:val="auto"/>
                <w:sz w:val="24"/>
                <w:szCs w:val="24"/>
                <w:highlight w:val="none"/>
              </w:rPr>
              <w:t>《环境空气质量标准》</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rPr>
              <w:t>GB3095-</w:t>
            </w:r>
            <w:r>
              <w:rPr>
                <w:rFonts w:hint="default" w:ascii="Times New Roman" w:hAnsi="Times New Roman" w:cs="Times New Roman"/>
                <w:color w:val="auto"/>
                <w:sz w:val="24"/>
                <w:szCs w:val="24"/>
                <w:highlight w:val="none"/>
                <w:lang w:val="en-US" w:eastAsia="zh-CN"/>
              </w:rPr>
              <w:t>2026</w:t>
            </w:r>
            <w:r>
              <w:rPr>
                <w:rFonts w:hint="default"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中规定的方法。</w:t>
            </w:r>
          </w:p>
          <w:p w14:paraId="35FF6526">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执行标准：</w:t>
            </w:r>
            <w:r>
              <w:rPr>
                <w:rFonts w:hint="default" w:ascii="Times New Roman" w:hAnsi="Times New Roman" w:eastAsia="宋体" w:cs="Times New Roman"/>
                <w:color w:val="auto"/>
                <w:sz w:val="24"/>
                <w:szCs w:val="24"/>
                <w:highlight w:val="none"/>
                <w:lang w:val="en-US" w:eastAsia="zh-CN"/>
              </w:rPr>
              <w:t>TSP执行《环境空气质量标准》（GB3095-</w:t>
            </w:r>
            <w:r>
              <w:rPr>
                <w:rFonts w:hint="default" w:ascii="Times New Roman" w:hAnsi="Times New Roman" w:cs="Times New Roman"/>
                <w:color w:val="auto"/>
                <w:sz w:val="24"/>
                <w:szCs w:val="24"/>
                <w:highlight w:val="none"/>
                <w:lang w:val="en-US" w:eastAsia="zh-CN"/>
              </w:rPr>
              <w:t>2026</w:t>
            </w:r>
            <w:r>
              <w:rPr>
                <w:rFonts w:hint="default" w:ascii="Times New Roman" w:hAnsi="Times New Roman" w:eastAsia="宋体" w:cs="Times New Roman"/>
                <w:color w:val="auto"/>
                <w:sz w:val="24"/>
                <w:szCs w:val="24"/>
                <w:highlight w:val="none"/>
                <w:lang w:val="en-US" w:eastAsia="zh-CN"/>
              </w:rPr>
              <w:t>）。</w:t>
            </w:r>
          </w:p>
          <w:p w14:paraId="78184D9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lang w:val="en-US" w:eastAsia="zh-CN"/>
              </w:rPr>
              <w:t>特征污染物现状监测结果详见表3-2。</w:t>
            </w:r>
          </w:p>
          <w:p w14:paraId="74C77EF7">
            <w:pPr>
              <w:keepNext w:val="0"/>
              <w:keepLines w:val="0"/>
              <w:pageBreakBefore w:val="0"/>
              <w:widowControl w:val="0"/>
              <w:kinsoku/>
              <w:wordWrap/>
              <w:overflowPunct/>
              <w:topLinePunct w:val="0"/>
              <w:autoSpaceDE/>
              <w:autoSpaceDN/>
              <w:bidi w:val="0"/>
              <w:adjustRightInd/>
              <w:snapToGrid/>
              <w:spacing w:line="240" w:lineRule="auto"/>
              <w:ind w:left="0" w:leftChars="0" w:right="0" w:firstLine="0" w:firstLineChars="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表3-2特征污染物环境质量现状评价表</w:t>
            </w:r>
          </w:p>
          <w:tbl>
            <w:tblPr>
              <w:tblStyle w:val="32"/>
              <w:tblW w:w="8135" w:type="dxa"/>
              <w:tblInd w:w="86"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092"/>
              <w:gridCol w:w="641"/>
              <w:gridCol w:w="1071"/>
              <w:gridCol w:w="1722"/>
              <w:gridCol w:w="1079"/>
              <w:gridCol w:w="1197"/>
              <w:gridCol w:w="663"/>
              <w:gridCol w:w="670"/>
            </w:tblGrid>
            <w:tr w14:paraId="7CACEC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44" w:hRule="atLeast"/>
              </w:trPr>
              <w:tc>
                <w:tcPr>
                  <w:tcW w:w="1092" w:type="dxa"/>
                  <w:vMerge w:val="restart"/>
                  <w:tcBorders>
                    <w:tl2br w:val="nil"/>
                    <w:tr2bl w:val="nil"/>
                  </w:tcBorders>
                  <w:noWrap w:val="0"/>
                  <w:vAlign w:val="center"/>
                </w:tcPr>
                <w:p w14:paraId="7BEFADA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点位</w:t>
                  </w:r>
                </w:p>
              </w:tc>
              <w:tc>
                <w:tcPr>
                  <w:tcW w:w="641" w:type="dxa"/>
                  <w:vMerge w:val="restart"/>
                  <w:tcBorders>
                    <w:tl2br w:val="nil"/>
                    <w:tr2bl w:val="nil"/>
                  </w:tcBorders>
                  <w:noWrap w:val="0"/>
                  <w:vAlign w:val="center"/>
                </w:tcPr>
                <w:p w14:paraId="5668E6D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污染物</w:t>
                  </w:r>
                </w:p>
              </w:tc>
              <w:tc>
                <w:tcPr>
                  <w:tcW w:w="1071" w:type="dxa"/>
                  <w:vMerge w:val="restart"/>
                  <w:tcBorders>
                    <w:tl2br w:val="nil"/>
                    <w:tr2bl w:val="nil"/>
                  </w:tcBorders>
                  <w:noWrap w:val="0"/>
                  <w:vAlign w:val="center"/>
                </w:tcPr>
                <w:p w14:paraId="226C337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坐标</w:t>
                  </w:r>
                </w:p>
              </w:tc>
              <w:tc>
                <w:tcPr>
                  <w:tcW w:w="1722" w:type="dxa"/>
                  <w:vMerge w:val="restart"/>
                  <w:tcBorders>
                    <w:tl2br w:val="nil"/>
                    <w:tr2bl w:val="nil"/>
                  </w:tcBorders>
                  <w:noWrap w:val="0"/>
                  <w:vAlign w:val="center"/>
                </w:tcPr>
                <w:p w14:paraId="361BDAD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采样日期</w:t>
                  </w:r>
                </w:p>
              </w:tc>
              <w:tc>
                <w:tcPr>
                  <w:tcW w:w="1079" w:type="dxa"/>
                  <w:vMerge w:val="restart"/>
                  <w:tcBorders>
                    <w:tl2br w:val="nil"/>
                    <w:tr2bl w:val="nil"/>
                  </w:tcBorders>
                  <w:noWrap w:val="0"/>
                  <w:vAlign w:val="center"/>
                </w:tcPr>
                <w:p w14:paraId="248E856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监测结果（</w:t>
                  </w:r>
                  <w:r>
                    <w:rPr>
                      <w:rFonts w:hint="default" w:ascii="Times New Roman" w:hAnsi="Times New Roman" w:eastAsia="宋体" w:cs="Times New Roman"/>
                      <w:b/>
                      <w:bCs/>
                      <w:color w:val="auto"/>
                      <w:sz w:val="21"/>
                      <w:szCs w:val="21"/>
                      <w:highlight w:val="none"/>
                      <w:lang w:val="en-US" w:eastAsia="zh-CN"/>
                    </w:rPr>
                    <w:t>μg/m</w:t>
                  </w:r>
                  <w:r>
                    <w:rPr>
                      <w:rFonts w:hint="default" w:ascii="Times New Roman" w:hAnsi="Times New Roman" w:eastAsia="宋体" w:cs="Times New Roman"/>
                      <w:b/>
                      <w:bCs/>
                      <w:color w:val="auto"/>
                      <w:sz w:val="21"/>
                      <w:szCs w:val="21"/>
                      <w:highlight w:val="none"/>
                      <w:vertAlign w:val="superscript"/>
                      <w:lang w:val="en-US" w:eastAsia="zh-CN"/>
                    </w:rPr>
                    <w:t>3</w:t>
                  </w:r>
                  <w:r>
                    <w:rPr>
                      <w:rFonts w:hint="default" w:ascii="Times New Roman" w:hAnsi="Times New Roman" w:eastAsia="宋体" w:cs="Times New Roman"/>
                      <w:b/>
                      <w:bCs/>
                      <w:i w:val="0"/>
                      <w:iCs w:val="0"/>
                      <w:color w:val="auto"/>
                      <w:kern w:val="0"/>
                      <w:sz w:val="21"/>
                      <w:szCs w:val="21"/>
                      <w:highlight w:val="none"/>
                      <w:u w:val="none"/>
                      <w:lang w:val="en-US" w:eastAsia="zh-CN" w:bidi="ar"/>
                    </w:rPr>
                    <w:t>）</w:t>
                  </w:r>
                </w:p>
              </w:tc>
              <w:tc>
                <w:tcPr>
                  <w:tcW w:w="1197" w:type="dxa"/>
                  <w:vMerge w:val="restart"/>
                  <w:tcBorders>
                    <w:tl2br w:val="nil"/>
                    <w:tr2bl w:val="nil"/>
                  </w:tcBorders>
                  <w:noWrap w:val="0"/>
                  <w:vAlign w:val="center"/>
                </w:tcPr>
                <w:p w14:paraId="63D894B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评价标准（</w:t>
                  </w:r>
                  <w:r>
                    <w:rPr>
                      <w:rFonts w:hint="default" w:ascii="Times New Roman" w:hAnsi="Times New Roman" w:eastAsia="宋体" w:cs="Times New Roman"/>
                      <w:b/>
                      <w:bCs/>
                      <w:color w:val="auto"/>
                      <w:sz w:val="21"/>
                      <w:szCs w:val="21"/>
                      <w:highlight w:val="none"/>
                      <w:lang w:val="en-US" w:eastAsia="zh-CN"/>
                    </w:rPr>
                    <w:t>μg/m</w:t>
                  </w:r>
                  <w:r>
                    <w:rPr>
                      <w:rFonts w:hint="default" w:ascii="Times New Roman" w:hAnsi="Times New Roman" w:eastAsia="宋体" w:cs="Times New Roman"/>
                      <w:b/>
                      <w:bCs/>
                      <w:color w:val="auto"/>
                      <w:sz w:val="21"/>
                      <w:szCs w:val="21"/>
                      <w:highlight w:val="none"/>
                      <w:vertAlign w:val="superscript"/>
                      <w:lang w:val="en-US" w:eastAsia="zh-CN"/>
                    </w:rPr>
                    <w:t>3</w:t>
                  </w:r>
                  <w:r>
                    <w:rPr>
                      <w:rFonts w:hint="default" w:ascii="Times New Roman" w:hAnsi="Times New Roman" w:eastAsia="宋体" w:cs="Times New Roman"/>
                      <w:b/>
                      <w:bCs/>
                      <w:i w:val="0"/>
                      <w:iCs w:val="0"/>
                      <w:color w:val="auto"/>
                      <w:kern w:val="0"/>
                      <w:sz w:val="21"/>
                      <w:szCs w:val="21"/>
                      <w:highlight w:val="none"/>
                      <w:u w:val="none"/>
                      <w:lang w:val="en-US" w:eastAsia="zh-CN" w:bidi="ar"/>
                    </w:rPr>
                    <w:t>）</w:t>
                  </w:r>
                </w:p>
              </w:tc>
              <w:tc>
                <w:tcPr>
                  <w:tcW w:w="663" w:type="dxa"/>
                  <w:vMerge w:val="restart"/>
                  <w:tcBorders>
                    <w:tl2br w:val="nil"/>
                    <w:tr2bl w:val="nil"/>
                  </w:tcBorders>
                  <w:noWrap w:val="0"/>
                  <w:vAlign w:val="center"/>
                </w:tcPr>
                <w:p w14:paraId="0DBEA40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最大占标率</w:t>
                  </w:r>
                </w:p>
              </w:tc>
              <w:tc>
                <w:tcPr>
                  <w:tcW w:w="670" w:type="dxa"/>
                  <w:vMerge w:val="restart"/>
                  <w:tcBorders>
                    <w:tl2br w:val="nil"/>
                    <w:tr2bl w:val="nil"/>
                  </w:tcBorders>
                  <w:noWrap w:val="0"/>
                  <w:vAlign w:val="center"/>
                </w:tcPr>
                <w:p w14:paraId="37D0197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达标情况</w:t>
                  </w:r>
                </w:p>
              </w:tc>
            </w:tr>
            <w:tr w14:paraId="52E8EB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09" w:hRule="atLeast"/>
              </w:trPr>
              <w:tc>
                <w:tcPr>
                  <w:tcW w:w="1092" w:type="dxa"/>
                  <w:vMerge w:val="continue"/>
                  <w:tcBorders>
                    <w:tl2br w:val="nil"/>
                    <w:tr2bl w:val="nil"/>
                  </w:tcBorders>
                  <w:noWrap w:val="0"/>
                  <w:vAlign w:val="center"/>
                </w:tcPr>
                <w:p w14:paraId="586B34C9">
                  <w:pPr>
                    <w:jc w:val="center"/>
                    <w:rPr>
                      <w:rFonts w:hint="default" w:ascii="Times New Roman" w:hAnsi="Times New Roman" w:eastAsia="宋体" w:cs="Times New Roman"/>
                      <w:b/>
                      <w:bCs/>
                      <w:i w:val="0"/>
                      <w:iCs w:val="0"/>
                      <w:color w:val="auto"/>
                      <w:sz w:val="21"/>
                      <w:szCs w:val="21"/>
                      <w:highlight w:val="none"/>
                      <w:u w:val="none"/>
                    </w:rPr>
                  </w:pPr>
                </w:p>
              </w:tc>
              <w:tc>
                <w:tcPr>
                  <w:tcW w:w="641" w:type="dxa"/>
                  <w:vMerge w:val="continue"/>
                  <w:tcBorders>
                    <w:tl2br w:val="nil"/>
                    <w:tr2bl w:val="nil"/>
                  </w:tcBorders>
                  <w:noWrap w:val="0"/>
                  <w:vAlign w:val="center"/>
                </w:tcPr>
                <w:p w14:paraId="08F20481">
                  <w:pPr>
                    <w:jc w:val="center"/>
                    <w:rPr>
                      <w:rFonts w:hint="default" w:ascii="Times New Roman" w:hAnsi="Times New Roman" w:eastAsia="宋体" w:cs="Times New Roman"/>
                      <w:b/>
                      <w:bCs/>
                      <w:i w:val="0"/>
                      <w:iCs w:val="0"/>
                      <w:color w:val="auto"/>
                      <w:sz w:val="21"/>
                      <w:szCs w:val="21"/>
                      <w:highlight w:val="none"/>
                      <w:u w:val="none"/>
                    </w:rPr>
                  </w:pPr>
                </w:p>
              </w:tc>
              <w:tc>
                <w:tcPr>
                  <w:tcW w:w="1071" w:type="dxa"/>
                  <w:vMerge w:val="continue"/>
                  <w:tcBorders>
                    <w:tl2br w:val="nil"/>
                    <w:tr2bl w:val="nil"/>
                  </w:tcBorders>
                  <w:noWrap w:val="0"/>
                  <w:vAlign w:val="center"/>
                </w:tcPr>
                <w:p w14:paraId="69D48AB1">
                  <w:pPr>
                    <w:jc w:val="center"/>
                    <w:rPr>
                      <w:rFonts w:hint="default" w:ascii="Times New Roman" w:hAnsi="Times New Roman" w:eastAsia="宋体" w:cs="Times New Roman"/>
                      <w:b/>
                      <w:bCs/>
                      <w:i w:val="0"/>
                      <w:iCs w:val="0"/>
                      <w:color w:val="auto"/>
                      <w:sz w:val="21"/>
                      <w:szCs w:val="21"/>
                      <w:highlight w:val="none"/>
                      <w:u w:val="none"/>
                    </w:rPr>
                  </w:pPr>
                </w:p>
              </w:tc>
              <w:tc>
                <w:tcPr>
                  <w:tcW w:w="1722" w:type="dxa"/>
                  <w:vMerge w:val="continue"/>
                  <w:tcBorders>
                    <w:tl2br w:val="nil"/>
                    <w:tr2bl w:val="nil"/>
                  </w:tcBorders>
                  <w:noWrap w:val="0"/>
                  <w:vAlign w:val="center"/>
                </w:tcPr>
                <w:p w14:paraId="0F5E7490">
                  <w:pPr>
                    <w:jc w:val="center"/>
                    <w:rPr>
                      <w:rFonts w:hint="default" w:ascii="Times New Roman" w:hAnsi="Times New Roman" w:eastAsia="宋体" w:cs="Times New Roman"/>
                      <w:b/>
                      <w:bCs/>
                      <w:i w:val="0"/>
                      <w:iCs w:val="0"/>
                      <w:color w:val="auto"/>
                      <w:sz w:val="21"/>
                      <w:szCs w:val="21"/>
                      <w:highlight w:val="none"/>
                      <w:u w:val="none"/>
                    </w:rPr>
                  </w:pPr>
                </w:p>
              </w:tc>
              <w:tc>
                <w:tcPr>
                  <w:tcW w:w="1079" w:type="dxa"/>
                  <w:vMerge w:val="continue"/>
                  <w:tcBorders>
                    <w:tl2br w:val="nil"/>
                    <w:tr2bl w:val="nil"/>
                  </w:tcBorders>
                  <w:noWrap w:val="0"/>
                  <w:vAlign w:val="center"/>
                </w:tcPr>
                <w:p w14:paraId="63B47B86">
                  <w:pPr>
                    <w:jc w:val="center"/>
                    <w:rPr>
                      <w:rFonts w:hint="default" w:ascii="Times New Roman" w:hAnsi="Times New Roman" w:eastAsia="宋体" w:cs="Times New Roman"/>
                      <w:b/>
                      <w:bCs/>
                      <w:i w:val="0"/>
                      <w:iCs w:val="0"/>
                      <w:color w:val="auto"/>
                      <w:sz w:val="21"/>
                      <w:szCs w:val="21"/>
                      <w:highlight w:val="none"/>
                      <w:u w:val="none"/>
                    </w:rPr>
                  </w:pPr>
                </w:p>
              </w:tc>
              <w:tc>
                <w:tcPr>
                  <w:tcW w:w="1197" w:type="dxa"/>
                  <w:vMerge w:val="continue"/>
                  <w:tcBorders>
                    <w:tl2br w:val="nil"/>
                    <w:tr2bl w:val="nil"/>
                  </w:tcBorders>
                  <w:noWrap w:val="0"/>
                  <w:vAlign w:val="center"/>
                </w:tcPr>
                <w:p w14:paraId="611DA7CE">
                  <w:pPr>
                    <w:jc w:val="center"/>
                    <w:rPr>
                      <w:rFonts w:hint="default" w:ascii="Times New Roman" w:hAnsi="Times New Roman" w:eastAsia="宋体" w:cs="Times New Roman"/>
                      <w:b/>
                      <w:bCs/>
                      <w:i w:val="0"/>
                      <w:iCs w:val="0"/>
                      <w:color w:val="auto"/>
                      <w:sz w:val="21"/>
                      <w:szCs w:val="21"/>
                      <w:highlight w:val="none"/>
                      <w:u w:val="none"/>
                    </w:rPr>
                  </w:pPr>
                </w:p>
              </w:tc>
              <w:tc>
                <w:tcPr>
                  <w:tcW w:w="663" w:type="dxa"/>
                  <w:vMerge w:val="continue"/>
                  <w:tcBorders>
                    <w:tl2br w:val="nil"/>
                    <w:tr2bl w:val="nil"/>
                  </w:tcBorders>
                  <w:noWrap w:val="0"/>
                  <w:vAlign w:val="center"/>
                </w:tcPr>
                <w:p w14:paraId="6AB29DE8">
                  <w:pPr>
                    <w:jc w:val="center"/>
                    <w:rPr>
                      <w:rFonts w:hint="default" w:ascii="Times New Roman" w:hAnsi="Times New Roman" w:eastAsia="宋体" w:cs="Times New Roman"/>
                      <w:b/>
                      <w:bCs/>
                      <w:i w:val="0"/>
                      <w:iCs w:val="0"/>
                      <w:color w:val="auto"/>
                      <w:sz w:val="21"/>
                      <w:szCs w:val="21"/>
                      <w:highlight w:val="none"/>
                      <w:u w:val="none"/>
                    </w:rPr>
                  </w:pPr>
                </w:p>
              </w:tc>
              <w:tc>
                <w:tcPr>
                  <w:tcW w:w="670" w:type="dxa"/>
                  <w:vMerge w:val="continue"/>
                  <w:tcBorders>
                    <w:tl2br w:val="nil"/>
                    <w:tr2bl w:val="nil"/>
                  </w:tcBorders>
                  <w:noWrap w:val="0"/>
                  <w:vAlign w:val="center"/>
                </w:tcPr>
                <w:p w14:paraId="503F5EC1">
                  <w:pPr>
                    <w:jc w:val="center"/>
                    <w:rPr>
                      <w:rFonts w:hint="default" w:ascii="Times New Roman" w:hAnsi="Times New Roman" w:eastAsia="宋体" w:cs="Times New Roman"/>
                      <w:b/>
                      <w:bCs/>
                      <w:i w:val="0"/>
                      <w:iCs w:val="0"/>
                      <w:color w:val="auto"/>
                      <w:sz w:val="21"/>
                      <w:szCs w:val="21"/>
                      <w:highlight w:val="none"/>
                      <w:u w:val="none"/>
                    </w:rPr>
                  </w:pPr>
                </w:p>
              </w:tc>
            </w:tr>
            <w:tr w14:paraId="490ADD6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4" w:hRule="atLeast"/>
              </w:trPr>
              <w:tc>
                <w:tcPr>
                  <w:tcW w:w="1092" w:type="dxa"/>
                  <w:vMerge w:val="restart"/>
                  <w:tcBorders>
                    <w:tl2br w:val="nil"/>
                    <w:tr2bl w:val="nil"/>
                  </w:tcBorders>
                  <w:noWrap w:val="0"/>
                  <w:vAlign w:val="center"/>
                </w:tcPr>
                <w:p w14:paraId="3CD241B8">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lang w:val="en-US" w:eastAsia="zh-CN"/>
                    </w:rPr>
                  </w:pPr>
                  <w:r>
                    <w:rPr>
                      <w:rFonts w:hint="default" w:ascii="Times New Roman" w:hAnsi="Times New Roman" w:eastAsia="宋体" w:cs="Times New Roman"/>
                      <w:b w:val="0"/>
                      <w:bCs w:val="0"/>
                      <w:i w:val="0"/>
                      <w:iCs w:val="0"/>
                      <w:color w:val="auto"/>
                      <w:sz w:val="21"/>
                      <w:szCs w:val="21"/>
                      <w:highlight w:val="none"/>
                      <w:u w:val="none"/>
                      <w:lang w:val="en-US" w:eastAsia="zh-CN"/>
                    </w:rPr>
                    <w:t>位于项目区东北侧660m处</w:t>
                  </w:r>
                </w:p>
              </w:tc>
              <w:tc>
                <w:tcPr>
                  <w:tcW w:w="641" w:type="dxa"/>
                  <w:vMerge w:val="restart"/>
                  <w:tcBorders>
                    <w:tl2br w:val="nil"/>
                    <w:tr2bl w:val="nil"/>
                  </w:tcBorders>
                  <w:noWrap w:val="0"/>
                  <w:vAlign w:val="center"/>
                </w:tcPr>
                <w:p w14:paraId="29DE0F2F">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TSP</w:t>
                  </w:r>
                </w:p>
              </w:tc>
              <w:tc>
                <w:tcPr>
                  <w:tcW w:w="1071" w:type="dxa"/>
                  <w:vMerge w:val="restart"/>
                  <w:tcBorders>
                    <w:tl2br w:val="nil"/>
                    <w:tr2bl w:val="nil"/>
                  </w:tcBorders>
                  <w:noWrap w:val="0"/>
                  <w:vAlign w:val="center"/>
                </w:tcPr>
                <w:p w14:paraId="3B4F4F26">
                  <w:pPr>
                    <w:jc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cs="Times New Roman"/>
                      <w:color w:val="auto"/>
                      <w:sz w:val="21"/>
                      <w:szCs w:val="21"/>
                      <w:highlight w:val="none"/>
                      <w:lang w:val="en-US" w:eastAsia="zh-CN"/>
                    </w:rPr>
                    <w:t>88°58′28.800″E，43°56′21.760″N</w:t>
                  </w:r>
                </w:p>
              </w:tc>
              <w:tc>
                <w:tcPr>
                  <w:tcW w:w="1722" w:type="dxa"/>
                  <w:tcBorders>
                    <w:tl2br w:val="nil"/>
                    <w:tr2bl w:val="nil"/>
                  </w:tcBorders>
                  <w:noWrap w:val="0"/>
                  <w:vAlign w:val="center"/>
                </w:tcPr>
                <w:p w14:paraId="39E5C429">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2023年1月6日</w:t>
                  </w:r>
                </w:p>
              </w:tc>
              <w:tc>
                <w:tcPr>
                  <w:tcW w:w="1079" w:type="dxa"/>
                  <w:tcBorders>
                    <w:tl2br w:val="nil"/>
                    <w:tr2bl w:val="nil"/>
                  </w:tcBorders>
                  <w:noWrap w:val="0"/>
                  <w:vAlign w:val="center"/>
                </w:tcPr>
                <w:p w14:paraId="40E0B089">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183</w:t>
                  </w:r>
                </w:p>
              </w:tc>
              <w:tc>
                <w:tcPr>
                  <w:tcW w:w="1197" w:type="dxa"/>
                  <w:vMerge w:val="restart"/>
                  <w:tcBorders>
                    <w:tl2br w:val="nil"/>
                    <w:tr2bl w:val="nil"/>
                  </w:tcBorders>
                  <w:noWrap w:val="0"/>
                  <w:vAlign w:val="center"/>
                </w:tcPr>
                <w:p w14:paraId="7CF1664D">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300</w:t>
                  </w:r>
                </w:p>
              </w:tc>
              <w:tc>
                <w:tcPr>
                  <w:tcW w:w="663" w:type="dxa"/>
                  <w:vMerge w:val="restart"/>
                  <w:tcBorders>
                    <w:tl2br w:val="nil"/>
                    <w:tr2bl w:val="nil"/>
                  </w:tcBorders>
                  <w:noWrap w:val="0"/>
                  <w:vAlign w:val="center"/>
                </w:tcPr>
                <w:p w14:paraId="438A68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72%</w:t>
                  </w:r>
                </w:p>
              </w:tc>
              <w:tc>
                <w:tcPr>
                  <w:tcW w:w="670" w:type="dxa"/>
                  <w:vMerge w:val="restart"/>
                  <w:tcBorders>
                    <w:tl2br w:val="nil"/>
                    <w:tr2bl w:val="nil"/>
                  </w:tcBorders>
                  <w:noWrap/>
                  <w:vAlign w:val="center"/>
                </w:tcPr>
                <w:p w14:paraId="35AED19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达标</w:t>
                  </w:r>
                </w:p>
              </w:tc>
            </w:tr>
            <w:tr w14:paraId="58A62C0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4" w:hRule="atLeast"/>
              </w:trPr>
              <w:tc>
                <w:tcPr>
                  <w:tcW w:w="1092" w:type="dxa"/>
                  <w:vMerge w:val="continue"/>
                  <w:tcBorders>
                    <w:tl2br w:val="nil"/>
                    <w:tr2bl w:val="nil"/>
                  </w:tcBorders>
                  <w:noWrap w:val="0"/>
                  <w:vAlign w:val="center"/>
                </w:tcPr>
                <w:p w14:paraId="12C39CDA">
                  <w:pPr>
                    <w:jc w:val="center"/>
                    <w:rPr>
                      <w:rFonts w:hint="default" w:ascii="Times New Roman" w:hAnsi="Times New Roman" w:eastAsia="宋体" w:cs="Times New Roman"/>
                      <w:i w:val="0"/>
                      <w:iCs w:val="0"/>
                      <w:color w:val="auto"/>
                      <w:sz w:val="21"/>
                      <w:szCs w:val="21"/>
                      <w:highlight w:val="none"/>
                      <w:u w:val="none"/>
                    </w:rPr>
                  </w:pPr>
                </w:p>
              </w:tc>
              <w:tc>
                <w:tcPr>
                  <w:tcW w:w="641" w:type="dxa"/>
                  <w:vMerge w:val="continue"/>
                  <w:tcBorders>
                    <w:tl2br w:val="nil"/>
                    <w:tr2bl w:val="nil"/>
                  </w:tcBorders>
                  <w:noWrap w:val="0"/>
                  <w:vAlign w:val="center"/>
                </w:tcPr>
                <w:p w14:paraId="490B04F8">
                  <w:pPr>
                    <w:jc w:val="center"/>
                    <w:rPr>
                      <w:rFonts w:hint="default" w:ascii="Times New Roman" w:hAnsi="Times New Roman" w:eastAsia="宋体" w:cs="Times New Roman"/>
                      <w:i w:val="0"/>
                      <w:iCs w:val="0"/>
                      <w:color w:val="auto"/>
                      <w:sz w:val="21"/>
                      <w:szCs w:val="21"/>
                      <w:highlight w:val="none"/>
                      <w:u w:val="none"/>
                    </w:rPr>
                  </w:pPr>
                </w:p>
              </w:tc>
              <w:tc>
                <w:tcPr>
                  <w:tcW w:w="1071" w:type="dxa"/>
                  <w:vMerge w:val="continue"/>
                  <w:tcBorders>
                    <w:tl2br w:val="nil"/>
                    <w:tr2bl w:val="nil"/>
                  </w:tcBorders>
                  <w:noWrap w:val="0"/>
                  <w:vAlign w:val="center"/>
                </w:tcPr>
                <w:p w14:paraId="6DBFC898">
                  <w:pPr>
                    <w:jc w:val="center"/>
                    <w:rPr>
                      <w:rFonts w:hint="default" w:ascii="Times New Roman" w:hAnsi="Times New Roman" w:eastAsia="宋体" w:cs="Times New Roman"/>
                      <w:i w:val="0"/>
                      <w:iCs w:val="0"/>
                      <w:color w:val="auto"/>
                      <w:sz w:val="21"/>
                      <w:szCs w:val="21"/>
                      <w:highlight w:val="none"/>
                      <w:u w:val="none"/>
                    </w:rPr>
                  </w:pPr>
                </w:p>
              </w:tc>
              <w:tc>
                <w:tcPr>
                  <w:tcW w:w="1722" w:type="dxa"/>
                  <w:tcBorders>
                    <w:tl2br w:val="nil"/>
                    <w:tr2bl w:val="nil"/>
                  </w:tcBorders>
                  <w:noWrap w:val="0"/>
                  <w:vAlign w:val="center"/>
                </w:tcPr>
                <w:p w14:paraId="13162A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2023年1月7日</w:t>
                  </w:r>
                </w:p>
              </w:tc>
              <w:tc>
                <w:tcPr>
                  <w:tcW w:w="1079" w:type="dxa"/>
                  <w:tcBorders>
                    <w:tl2br w:val="nil"/>
                    <w:tr2bl w:val="nil"/>
                  </w:tcBorders>
                  <w:noWrap w:val="0"/>
                  <w:vAlign w:val="center"/>
                </w:tcPr>
                <w:p w14:paraId="356E65E4">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215</w:t>
                  </w:r>
                </w:p>
              </w:tc>
              <w:tc>
                <w:tcPr>
                  <w:tcW w:w="1197" w:type="dxa"/>
                  <w:vMerge w:val="continue"/>
                  <w:tcBorders>
                    <w:tl2br w:val="nil"/>
                    <w:tr2bl w:val="nil"/>
                  </w:tcBorders>
                  <w:noWrap w:val="0"/>
                  <w:vAlign w:val="center"/>
                </w:tcPr>
                <w:p w14:paraId="244EE0FA">
                  <w:pPr>
                    <w:jc w:val="center"/>
                    <w:rPr>
                      <w:rFonts w:hint="default" w:ascii="Times New Roman" w:hAnsi="Times New Roman" w:eastAsia="宋体" w:cs="Times New Roman"/>
                      <w:i w:val="0"/>
                      <w:iCs w:val="0"/>
                      <w:color w:val="auto"/>
                      <w:sz w:val="21"/>
                      <w:szCs w:val="21"/>
                      <w:highlight w:val="none"/>
                      <w:u w:val="none"/>
                    </w:rPr>
                  </w:pPr>
                </w:p>
              </w:tc>
              <w:tc>
                <w:tcPr>
                  <w:tcW w:w="663" w:type="dxa"/>
                  <w:vMerge w:val="continue"/>
                  <w:tcBorders>
                    <w:tl2br w:val="nil"/>
                    <w:tr2bl w:val="nil"/>
                  </w:tcBorders>
                  <w:noWrap w:val="0"/>
                  <w:vAlign w:val="center"/>
                </w:tcPr>
                <w:p w14:paraId="7FE1F07A">
                  <w:pPr>
                    <w:jc w:val="center"/>
                    <w:rPr>
                      <w:rFonts w:hint="default" w:ascii="Times New Roman" w:hAnsi="Times New Roman" w:eastAsia="宋体" w:cs="Times New Roman"/>
                      <w:i w:val="0"/>
                      <w:iCs w:val="0"/>
                      <w:color w:val="auto"/>
                      <w:sz w:val="21"/>
                      <w:szCs w:val="21"/>
                      <w:highlight w:val="none"/>
                      <w:u w:val="none"/>
                    </w:rPr>
                  </w:pPr>
                </w:p>
              </w:tc>
              <w:tc>
                <w:tcPr>
                  <w:tcW w:w="670" w:type="dxa"/>
                  <w:vMerge w:val="continue"/>
                  <w:tcBorders>
                    <w:tl2br w:val="nil"/>
                    <w:tr2bl w:val="nil"/>
                  </w:tcBorders>
                  <w:noWrap/>
                  <w:vAlign w:val="center"/>
                </w:tcPr>
                <w:p w14:paraId="18FB0346">
                  <w:pPr>
                    <w:jc w:val="center"/>
                    <w:rPr>
                      <w:rFonts w:hint="default" w:ascii="Times New Roman" w:hAnsi="Times New Roman" w:eastAsia="宋体" w:cs="Times New Roman"/>
                      <w:i w:val="0"/>
                      <w:iCs w:val="0"/>
                      <w:color w:val="auto"/>
                      <w:sz w:val="21"/>
                      <w:szCs w:val="21"/>
                      <w:highlight w:val="none"/>
                      <w:u w:val="none"/>
                    </w:rPr>
                  </w:pPr>
                </w:p>
              </w:tc>
            </w:tr>
            <w:tr w14:paraId="1D9AD5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092" w:type="dxa"/>
                  <w:vMerge w:val="continue"/>
                  <w:tcBorders>
                    <w:tl2br w:val="nil"/>
                    <w:tr2bl w:val="nil"/>
                  </w:tcBorders>
                  <w:noWrap w:val="0"/>
                  <w:vAlign w:val="center"/>
                </w:tcPr>
                <w:p w14:paraId="327D8D8B">
                  <w:pPr>
                    <w:jc w:val="center"/>
                    <w:rPr>
                      <w:rFonts w:hint="default" w:ascii="Times New Roman" w:hAnsi="Times New Roman" w:eastAsia="宋体" w:cs="Times New Roman"/>
                      <w:i w:val="0"/>
                      <w:iCs w:val="0"/>
                      <w:color w:val="auto"/>
                      <w:sz w:val="21"/>
                      <w:szCs w:val="21"/>
                      <w:highlight w:val="none"/>
                      <w:u w:val="none"/>
                    </w:rPr>
                  </w:pPr>
                </w:p>
              </w:tc>
              <w:tc>
                <w:tcPr>
                  <w:tcW w:w="641" w:type="dxa"/>
                  <w:vMerge w:val="continue"/>
                  <w:tcBorders>
                    <w:tl2br w:val="nil"/>
                    <w:tr2bl w:val="nil"/>
                  </w:tcBorders>
                  <w:noWrap w:val="0"/>
                  <w:vAlign w:val="center"/>
                </w:tcPr>
                <w:p w14:paraId="335B57FA">
                  <w:pPr>
                    <w:jc w:val="center"/>
                    <w:rPr>
                      <w:rFonts w:hint="default" w:ascii="Times New Roman" w:hAnsi="Times New Roman" w:eastAsia="宋体" w:cs="Times New Roman"/>
                      <w:i w:val="0"/>
                      <w:iCs w:val="0"/>
                      <w:color w:val="auto"/>
                      <w:sz w:val="21"/>
                      <w:szCs w:val="21"/>
                      <w:highlight w:val="none"/>
                      <w:u w:val="none"/>
                    </w:rPr>
                  </w:pPr>
                </w:p>
              </w:tc>
              <w:tc>
                <w:tcPr>
                  <w:tcW w:w="1071" w:type="dxa"/>
                  <w:vMerge w:val="continue"/>
                  <w:tcBorders>
                    <w:tl2br w:val="nil"/>
                    <w:tr2bl w:val="nil"/>
                  </w:tcBorders>
                  <w:noWrap w:val="0"/>
                  <w:vAlign w:val="center"/>
                </w:tcPr>
                <w:p w14:paraId="095A0F78">
                  <w:pPr>
                    <w:jc w:val="center"/>
                    <w:rPr>
                      <w:rFonts w:hint="default" w:ascii="Times New Roman" w:hAnsi="Times New Roman" w:eastAsia="宋体" w:cs="Times New Roman"/>
                      <w:i w:val="0"/>
                      <w:iCs w:val="0"/>
                      <w:color w:val="auto"/>
                      <w:sz w:val="21"/>
                      <w:szCs w:val="21"/>
                      <w:highlight w:val="none"/>
                      <w:u w:val="none"/>
                    </w:rPr>
                  </w:pPr>
                </w:p>
              </w:tc>
              <w:tc>
                <w:tcPr>
                  <w:tcW w:w="1722" w:type="dxa"/>
                  <w:tcBorders>
                    <w:tl2br w:val="nil"/>
                    <w:tr2bl w:val="nil"/>
                  </w:tcBorders>
                  <w:noWrap w:val="0"/>
                  <w:vAlign w:val="center"/>
                </w:tcPr>
                <w:p w14:paraId="4514C65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2023年1月8日</w:t>
                  </w:r>
                </w:p>
              </w:tc>
              <w:tc>
                <w:tcPr>
                  <w:tcW w:w="1079" w:type="dxa"/>
                  <w:tcBorders>
                    <w:tl2br w:val="nil"/>
                    <w:tr2bl w:val="nil"/>
                  </w:tcBorders>
                  <w:noWrap w:val="0"/>
                  <w:vAlign w:val="center"/>
                </w:tcPr>
                <w:p w14:paraId="20BFF53D">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highlight w:val="none"/>
                      <w:u w:val="none"/>
                      <w:lang w:val="en-US"/>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172</w:t>
                  </w:r>
                </w:p>
              </w:tc>
              <w:tc>
                <w:tcPr>
                  <w:tcW w:w="1197" w:type="dxa"/>
                  <w:vMerge w:val="continue"/>
                  <w:tcBorders>
                    <w:tl2br w:val="nil"/>
                    <w:tr2bl w:val="nil"/>
                  </w:tcBorders>
                  <w:noWrap w:val="0"/>
                  <w:vAlign w:val="center"/>
                </w:tcPr>
                <w:p w14:paraId="3705F58D">
                  <w:pPr>
                    <w:jc w:val="center"/>
                    <w:rPr>
                      <w:rFonts w:hint="default" w:ascii="Times New Roman" w:hAnsi="Times New Roman" w:eastAsia="宋体" w:cs="Times New Roman"/>
                      <w:i w:val="0"/>
                      <w:iCs w:val="0"/>
                      <w:color w:val="auto"/>
                      <w:sz w:val="21"/>
                      <w:szCs w:val="21"/>
                      <w:highlight w:val="none"/>
                      <w:u w:val="none"/>
                    </w:rPr>
                  </w:pPr>
                </w:p>
              </w:tc>
              <w:tc>
                <w:tcPr>
                  <w:tcW w:w="663" w:type="dxa"/>
                  <w:vMerge w:val="continue"/>
                  <w:tcBorders>
                    <w:tl2br w:val="nil"/>
                    <w:tr2bl w:val="nil"/>
                  </w:tcBorders>
                  <w:noWrap w:val="0"/>
                  <w:vAlign w:val="center"/>
                </w:tcPr>
                <w:p w14:paraId="71FA5E6D">
                  <w:pPr>
                    <w:jc w:val="center"/>
                    <w:rPr>
                      <w:rFonts w:hint="default" w:ascii="Times New Roman" w:hAnsi="Times New Roman" w:eastAsia="宋体" w:cs="Times New Roman"/>
                      <w:i w:val="0"/>
                      <w:iCs w:val="0"/>
                      <w:color w:val="auto"/>
                      <w:sz w:val="21"/>
                      <w:szCs w:val="21"/>
                      <w:highlight w:val="none"/>
                      <w:u w:val="none"/>
                    </w:rPr>
                  </w:pPr>
                </w:p>
              </w:tc>
              <w:tc>
                <w:tcPr>
                  <w:tcW w:w="670" w:type="dxa"/>
                  <w:vMerge w:val="continue"/>
                  <w:tcBorders>
                    <w:tl2br w:val="nil"/>
                    <w:tr2bl w:val="nil"/>
                  </w:tcBorders>
                  <w:noWrap/>
                  <w:vAlign w:val="center"/>
                </w:tcPr>
                <w:p w14:paraId="1F0DDE7B">
                  <w:pPr>
                    <w:jc w:val="center"/>
                    <w:rPr>
                      <w:rFonts w:hint="default" w:ascii="Times New Roman" w:hAnsi="Times New Roman" w:eastAsia="宋体" w:cs="Times New Roman"/>
                      <w:i w:val="0"/>
                      <w:iCs w:val="0"/>
                      <w:color w:val="auto"/>
                      <w:sz w:val="21"/>
                      <w:szCs w:val="21"/>
                      <w:highlight w:val="none"/>
                      <w:u w:val="none"/>
                    </w:rPr>
                  </w:pPr>
                </w:p>
              </w:tc>
            </w:tr>
          </w:tbl>
          <w:p w14:paraId="77D4014C">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根据监测结果，本项目所在区域现状补充监测因子TSP满足《环境空气质量标准》（GB3095-</w:t>
            </w:r>
            <w:r>
              <w:rPr>
                <w:rFonts w:hint="default" w:ascii="Times New Roman" w:hAnsi="Times New Roman" w:cs="Times New Roman"/>
                <w:color w:val="auto"/>
                <w:sz w:val="24"/>
                <w:szCs w:val="24"/>
                <w:highlight w:val="none"/>
                <w:lang w:val="en-US" w:eastAsia="zh-CN"/>
              </w:rPr>
              <w:t>2026</w:t>
            </w:r>
            <w:r>
              <w:rPr>
                <w:rFonts w:hint="default" w:ascii="Times New Roman" w:hAnsi="Times New Roman" w:eastAsia="宋体" w:cs="Times New Roman"/>
                <w:color w:val="auto"/>
                <w:sz w:val="24"/>
                <w:szCs w:val="24"/>
                <w:highlight w:val="none"/>
                <w:lang w:val="en-US" w:eastAsia="zh-CN"/>
              </w:rPr>
              <w:t>）。</w:t>
            </w:r>
          </w:p>
          <w:p w14:paraId="0FFC655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color w:val="auto"/>
                <w:spacing w:val="0"/>
                <w:position w:val="0"/>
                <w:sz w:val="24"/>
                <w:szCs w:val="24"/>
              </w:rPr>
            </w:pPr>
            <w:r>
              <w:rPr>
                <w:rFonts w:hint="default" w:ascii="Times New Roman" w:hAnsi="Times New Roman" w:eastAsia="宋体" w:cs="Times New Roman"/>
                <w:b/>
                <w:color w:val="auto"/>
                <w:spacing w:val="0"/>
                <w:position w:val="0"/>
                <w:sz w:val="24"/>
                <w:szCs w:val="24"/>
                <w:lang w:val="en-US" w:eastAsia="zh-CN"/>
              </w:rPr>
              <w:t>2</w:t>
            </w:r>
            <w:r>
              <w:rPr>
                <w:rFonts w:hint="default" w:ascii="Times New Roman" w:hAnsi="Times New Roman" w:cs="Times New Roman"/>
                <w:b/>
                <w:color w:val="auto"/>
                <w:spacing w:val="0"/>
                <w:position w:val="0"/>
                <w:sz w:val="24"/>
                <w:szCs w:val="24"/>
                <w:lang w:val="en-US" w:eastAsia="zh-CN"/>
              </w:rPr>
              <w:t>.</w:t>
            </w:r>
            <w:r>
              <w:rPr>
                <w:rFonts w:hint="default" w:ascii="Times New Roman" w:hAnsi="Times New Roman" w:eastAsia="宋体" w:cs="Times New Roman"/>
                <w:b/>
                <w:color w:val="auto"/>
                <w:spacing w:val="0"/>
                <w:position w:val="0"/>
                <w:sz w:val="24"/>
                <w:szCs w:val="24"/>
                <w:lang w:val="en-US" w:eastAsia="zh-CN"/>
              </w:rPr>
              <w:t>地表水</w:t>
            </w:r>
            <w:r>
              <w:rPr>
                <w:rFonts w:hint="default" w:ascii="Times New Roman" w:hAnsi="Times New Roman" w:eastAsia="宋体" w:cs="Times New Roman"/>
                <w:b/>
                <w:color w:val="auto"/>
                <w:spacing w:val="0"/>
                <w:position w:val="0"/>
                <w:sz w:val="24"/>
                <w:szCs w:val="24"/>
              </w:rPr>
              <w:t>环境现状调查及评价</w:t>
            </w:r>
          </w:p>
          <w:p w14:paraId="118C18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pacing w:val="0"/>
                <w:position w:val="0"/>
                <w:sz w:val="24"/>
                <w:szCs w:val="24"/>
                <w:lang w:eastAsia="zh-CN"/>
              </w:rPr>
            </w:pPr>
            <w:bookmarkStart w:id="36" w:name="_Toc123617253"/>
            <w:bookmarkStart w:id="37" w:name="_Toc122767240"/>
            <w:bookmarkStart w:id="38" w:name="_Toc203981548"/>
            <w:bookmarkStart w:id="39" w:name="_Toc121558111"/>
            <w:r>
              <w:rPr>
                <w:rFonts w:hint="default" w:ascii="Times New Roman" w:hAnsi="Times New Roman" w:eastAsia="宋体" w:cs="Times New Roman"/>
                <w:color w:val="auto"/>
                <w:spacing w:val="0"/>
                <w:position w:val="0"/>
                <w:sz w:val="24"/>
                <w:szCs w:val="24"/>
                <w:lang w:val="en-US" w:eastAsia="zh-CN"/>
              </w:rPr>
              <w:t>本项目生产废水回用于</w:t>
            </w:r>
            <w:r>
              <w:rPr>
                <w:rFonts w:hint="default" w:ascii="Times New Roman" w:hAnsi="Times New Roman" w:cs="Times New Roman"/>
                <w:color w:val="auto"/>
                <w:spacing w:val="0"/>
                <w:position w:val="0"/>
                <w:sz w:val="24"/>
                <w:szCs w:val="24"/>
                <w:lang w:val="en-US" w:eastAsia="zh-CN"/>
              </w:rPr>
              <w:t>脱硫</w:t>
            </w:r>
            <w:r>
              <w:rPr>
                <w:rFonts w:hint="default" w:ascii="Times New Roman" w:hAnsi="Times New Roman" w:eastAsia="宋体" w:cs="Times New Roman"/>
                <w:color w:val="auto"/>
                <w:spacing w:val="0"/>
                <w:position w:val="0"/>
                <w:sz w:val="24"/>
                <w:szCs w:val="24"/>
                <w:lang w:val="en-US" w:eastAsia="zh-CN"/>
              </w:rPr>
              <w:t>工序，无外排生产废水；项目食宿区依托吉木萨尔县恒信煤炭制品工贸有限公司120万吨煤制品深加工升级改造项目厂内综合办公区、食堂以及员工宿舍；厂内办公区位于辅助车间综合楼，厂内建设排污管道</w:t>
            </w:r>
            <w:r>
              <w:rPr>
                <w:rFonts w:hint="default" w:ascii="Times New Roman" w:hAnsi="Times New Roman" w:cs="Times New Roman"/>
                <w:color w:val="auto"/>
                <w:spacing w:val="0"/>
                <w:position w:val="0"/>
                <w:sz w:val="24"/>
                <w:szCs w:val="24"/>
                <w:lang w:val="en-US" w:eastAsia="zh-CN"/>
              </w:rPr>
              <w:t>，</w:t>
            </w:r>
            <w:r>
              <w:rPr>
                <w:rFonts w:hint="default" w:ascii="Times New Roman" w:hAnsi="Times New Roman" w:eastAsia="宋体" w:cs="Times New Roman"/>
                <w:color w:val="auto"/>
                <w:spacing w:val="0"/>
                <w:position w:val="0"/>
                <w:sz w:val="24"/>
                <w:szCs w:val="24"/>
                <w:lang w:val="en-US" w:eastAsia="zh-CN"/>
              </w:rPr>
              <w:t>排至吉木萨尔县恒信煤炭制品工贸有限公司120万吨煤制品深加工升级改造项目厂内食宿</w:t>
            </w:r>
            <w:r>
              <w:rPr>
                <w:rFonts w:hint="default" w:ascii="Times New Roman" w:hAnsi="Times New Roman" w:cs="Times New Roman"/>
                <w:color w:val="auto"/>
                <w:spacing w:val="0"/>
                <w:position w:val="0"/>
                <w:sz w:val="24"/>
                <w:szCs w:val="24"/>
                <w:lang w:val="en-US" w:eastAsia="zh-CN"/>
              </w:rPr>
              <w:t>区和</w:t>
            </w:r>
            <w:r>
              <w:rPr>
                <w:rFonts w:hint="default" w:ascii="Times New Roman" w:hAnsi="Times New Roman" w:eastAsia="宋体" w:cs="Times New Roman"/>
                <w:color w:val="auto"/>
                <w:spacing w:val="0"/>
                <w:position w:val="0"/>
                <w:sz w:val="24"/>
                <w:szCs w:val="24"/>
                <w:lang w:val="en-US" w:eastAsia="zh-CN"/>
              </w:rPr>
              <w:t>生活区的地埋式一体化污水处理设备处理后，冬储夏灌。不与地表水体发生直接联系。</w:t>
            </w:r>
            <w:r>
              <w:rPr>
                <w:rFonts w:hint="default" w:ascii="Times New Roman" w:hAnsi="Times New Roman" w:eastAsia="宋体" w:cs="Times New Roman"/>
                <w:color w:val="auto"/>
                <w:spacing w:val="0"/>
                <w:position w:val="0"/>
                <w:sz w:val="24"/>
                <w:szCs w:val="24"/>
                <w:lang w:eastAsia="zh-CN"/>
              </w:rPr>
              <w:t>本项目东侧约</w:t>
            </w:r>
            <w:r>
              <w:rPr>
                <w:rFonts w:hint="default" w:ascii="Times New Roman" w:hAnsi="Times New Roman" w:cs="Times New Roman"/>
                <w:color w:val="auto"/>
                <w:spacing w:val="0"/>
                <w:position w:val="0"/>
                <w:sz w:val="24"/>
                <w:szCs w:val="24"/>
                <w:lang w:val="en-US" w:eastAsia="zh-CN"/>
              </w:rPr>
              <w:t>170m</w:t>
            </w:r>
            <w:r>
              <w:rPr>
                <w:rFonts w:hint="default" w:ascii="Times New Roman" w:hAnsi="Times New Roman" w:eastAsia="宋体" w:cs="Times New Roman"/>
                <w:color w:val="auto"/>
                <w:spacing w:val="0"/>
                <w:position w:val="0"/>
                <w:sz w:val="24"/>
                <w:szCs w:val="24"/>
                <w:lang w:eastAsia="zh-CN"/>
              </w:rPr>
              <w:t>为水溪沟河，根据查阅《中国新疆水环境功能区划》、水溪沟河不在其范围内，不属于吉木萨尔县主要河道、饮用水水源保护区及主要补给区、江河源头区、重要水源涵养区，根据吉木萨尔县水利局文件资料，水溪沟河属于季节性防洪道</w:t>
            </w:r>
            <w:r>
              <w:rPr>
                <w:rFonts w:hint="default" w:ascii="Times New Roman" w:hAnsi="Times New Roman" w:cs="Times New Roman"/>
                <w:color w:val="auto"/>
                <w:spacing w:val="0"/>
                <w:position w:val="0"/>
                <w:sz w:val="24"/>
                <w:szCs w:val="24"/>
                <w:lang w:eastAsia="zh-CN"/>
              </w:rPr>
              <w:t>（</w:t>
            </w:r>
            <w:r>
              <w:rPr>
                <w:rFonts w:hint="default" w:ascii="Times New Roman" w:hAnsi="Times New Roman" w:cs="Times New Roman"/>
                <w:color w:val="auto"/>
                <w:spacing w:val="0"/>
                <w:position w:val="0"/>
                <w:sz w:val="24"/>
                <w:szCs w:val="24"/>
                <w:lang w:val="en-US" w:eastAsia="zh-CN"/>
              </w:rPr>
              <w:t>详见附件</w:t>
            </w:r>
            <w:r>
              <w:rPr>
                <w:rFonts w:hint="default" w:ascii="Times New Roman" w:hAnsi="Times New Roman" w:cs="Times New Roman"/>
                <w:color w:val="auto"/>
                <w:spacing w:val="0"/>
                <w:position w:val="0"/>
                <w:sz w:val="24"/>
                <w:szCs w:val="24"/>
                <w:lang w:eastAsia="zh-CN"/>
              </w:rPr>
              <w:t>）。</w:t>
            </w:r>
          </w:p>
          <w:p w14:paraId="162DF7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pacing w:val="0"/>
                <w:position w:val="0"/>
                <w:sz w:val="24"/>
                <w:szCs w:val="24"/>
                <w:lang w:bidi="ar"/>
              </w:rPr>
            </w:pPr>
            <w:r>
              <w:rPr>
                <w:rFonts w:hint="default" w:ascii="Times New Roman" w:hAnsi="Times New Roman" w:eastAsia="宋体" w:cs="Times New Roman"/>
                <w:color w:val="auto"/>
                <w:spacing w:val="0"/>
                <w:position w:val="0"/>
                <w:sz w:val="24"/>
                <w:szCs w:val="24"/>
                <w:lang w:eastAsia="zh-CN"/>
              </w:rPr>
              <w:t>根据《环境影响评价技术导则</w:t>
            </w:r>
            <w:r>
              <w:rPr>
                <w:rFonts w:hint="default" w:ascii="Times New Roman" w:hAnsi="Times New Roman" w:eastAsia="宋体" w:cs="Times New Roman"/>
                <w:color w:val="auto"/>
                <w:spacing w:val="0"/>
                <w:position w:val="0"/>
                <w:sz w:val="24"/>
                <w:szCs w:val="24"/>
                <w:lang w:val="en-US" w:eastAsia="zh-CN"/>
              </w:rPr>
              <w:t>地表水环境</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lang w:val="en-US" w:eastAsia="zh-CN"/>
              </w:rPr>
              <w:t>HJ2.3-2018</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z w:val="24"/>
                <w:szCs w:val="24"/>
                <w:lang w:val="en-US" w:eastAsia="zh-CN"/>
              </w:rPr>
              <w:t>中表1水污染影响型建设项目评价等级判定表判定，本项目评价等级为三级B</w:t>
            </w:r>
            <w:r>
              <w:rPr>
                <w:rFonts w:hint="default" w:ascii="Times New Roman" w:hAnsi="Times New Roman" w:eastAsia="宋体" w:cs="Times New Roman"/>
                <w:color w:val="auto"/>
                <w:spacing w:val="0"/>
                <w:position w:val="0"/>
                <w:sz w:val="24"/>
                <w:szCs w:val="24"/>
                <w:lang w:eastAsia="zh-CN"/>
              </w:rPr>
              <w:t>，</w:t>
            </w:r>
            <w:r>
              <w:rPr>
                <w:rFonts w:hint="default" w:ascii="Times New Roman" w:hAnsi="Times New Roman" w:eastAsia="宋体" w:cs="Times New Roman"/>
                <w:color w:val="auto"/>
                <w:spacing w:val="0"/>
                <w:position w:val="0"/>
                <w:sz w:val="24"/>
                <w:szCs w:val="24"/>
                <w:lang w:val="en-US" w:eastAsia="zh-CN"/>
              </w:rPr>
              <w:t>因此</w:t>
            </w:r>
            <w:r>
              <w:rPr>
                <w:rFonts w:hint="default" w:ascii="Times New Roman" w:hAnsi="Times New Roman" w:eastAsia="宋体" w:cs="Times New Roman"/>
                <w:bCs/>
                <w:color w:val="auto"/>
                <w:spacing w:val="0"/>
                <w:position w:val="0"/>
                <w:sz w:val="24"/>
                <w:szCs w:val="24"/>
                <w:lang w:bidi="ar"/>
              </w:rPr>
              <w:t>本次不对地表水</w:t>
            </w:r>
            <w:r>
              <w:rPr>
                <w:rFonts w:hint="default" w:ascii="Times New Roman" w:hAnsi="Times New Roman" w:eastAsia="宋体" w:cs="Times New Roman"/>
                <w:bCs/>
                <w:color w:val="auto"/>
                <w:spacing w:val="0"/>
                <w:position w:val="0"/>
                <w:sz w:val="24"/>
                <w:szCs w:val="24"/>
                <w:lang w:eastAsia="zh-CN" w:bidi="ar"/>
              </w:rPr>
              <w:t>环境质量进行现状调查</w:t>
            </w:r>
            <w:r>
              <w:rPr>
                <w:rFonts w:hint="default" w:ascii="Times New Roman" w:hAnsi="Times New Roman" w:eastAsia="宋体" w:cs="Times New Roman"/>
                <w:bCs/>
                <w:color w:val="auto"/>
                <w:spacing w:val="0"/>
                <w:position w:val="0"/>
                <w:sz w:val="24"/>
                <w:szCs w:val="24"/>
                <w:lang w:bidi="ar"/>
              </w:rPr>
              <w:t>。</w:t>
            </w:r>
          </w:p>
          <w:bookmarkEnd w:id="36"/>
          <w:bookmarkEnd w:id="37"/>
          <w:bookmarkEnd w:id="38"/>
          <w:bookmarkEnd w:id="39"/>
          <w:p w14:paraId="390F0B0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cs="Times New Roman"/>
                <w:b/>
                <w:bCs/>
                <w:color w:val="auto"/>
                <w:sz w:val="24"/>
                <w:szCs w:val="24"/>
                <w:highlight w:val="none"/>
                <w:lang w:val="en-US" w:eastAsia="zh-CN"/>
              </w:rPr>
              <w:t>.</w:t>
            </w:r>
            <w:r>
              <w:rPr>
                <w:rFonts w:hint="default" w:ascii="Times New Roman" w:hAnsi="Times New Roman" w:eastAsia="宋体" w:cs="Times New Roman"/>
                <w:b/>
                <w:bCs/>
                <w:color w:val="auto"/>
                <w:sz w:val="24"/>
                <w:szCs w:val="24"/>
                <w:highlight w:val="none"/>
              </w:rPr>
              <w:t>地下水</w:t>
            </w:r>
            <w:r>
              <w:rPr>
                <w:rFonts w:hint="default" w:ascii="Times New Roman" w:hAnsi="Times New Roman" w:cs="Times New Roman"/>
                <w:b/>
                <w:bCs/>
                <w:color w:val="auto"/>
                <w:sz w:val="24"/>
                <w:szCs w:val="24"/>
                <w:highlight w:val="none"/>
                <w:lang w:eastAsia="zh-CN"/>
              </w:rPr>
              <w:t>、</w:t>
            </w:r>
            <w:r>
              <w:rPr>
                <w:rFonts w:hint="default" w:ascii="Times New Roman" w:hAnsi="Times New Roman" w:cs="Times New Roman"/>
                <w:b/>
                <w:bCs/>
                <w:color w:val="auto"/>
                <w:sz w:val="24"/>
                <w:szCs w:val="24"/>
                <w:highlight w:val="none"/>
                <w:lang w:val="en-US" w:eastAsia="zh-CN"/>
              </w:rPr>
              <w:t>土壤</w:t>
            </w:r>
            <w:r>
              <w:rPr>
                <w:rFonts w:hint="default" w:ascii="Times New Roman" w:hAnsi="Times New Roman" w:eastAsia="宋体" w:cs="Times New Roman"/>
                <w:b/>
                <w:bCs/>
                <w:color w:val="auto"/>
                <w:sz w:val="24"/>
                <w:szCs w:val="24"/>
                <w:highlight w:val="none"/>
              </w:rPr>
              <w:t>环境现状调查及评价</w:t>
            </w:r>
          </w:p>
          <w:p w14:paraId="3B5622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eastAsia="zh-CN"/>
              </w:rPr>
              <w:t>根据《建设项目环境影响报告表编制技术指南（污染影响类）（试行）》，原则上不开展</w:t>
            </w:r>
            <w:r>
              <w:rPr>
                <w:rFonts w:hint="default" w:ascii="Times New Roman" w:hAnsi="Times New Roman" w:eastAsia="宋体" w:cs="Times New Roman"/>
                <w:color w:val="auto"/>
                <w:spacing w:val="0"/>
                <w:position w:val="0"/>
                <w:sz w:val="24"/>
                <w:szCs w:val="24"/>
                <w:highlight w:val="none"/>
                <w:lang w:val="en-US" w:eastAsia="zh-CN"/>
              </w:rPr>
              <w:t>地下水</w:t>
            </w:r>
            <w:r>
              <w:rPr>
                <w:rFonts w:hint="default" w:ascii="Times New Roman" w:hAnsi="Times New Roman" w:eastAsia="宋体" w:cs="Times New Roman"/>
                <w:color w:val="auto"/>
                <w:spacing w:val="0"/>
                <w:position w:val="0"/>
                <w:sz w:val="24"/>
                <w:szCs w:val="24"/>
                <w:highlight w:val="none"/>
                <w:lang w:eastAsia="zh-CN"/>
              </w:rPr>
              <w:t>环境质量现状调查。</w:t>
            </w:r>
            <w:r>
              <w:rPr>
                <w:rFonts w:hint="default" w:ascii="Times New Roman" w:hAnsi="Times New Roman" w:cs="Times New Roman"/>
                <w:color w:val="auto"/>
                <w:spacing w:val="-3"/>
                <w:sz w:val="24"/>
                <w:szCs w:val="24"/>
              </w:rPr>
              <w:t>建设项目存在土壤、地下水环境污染途径的，应结合污染源、保护目标分布情况开展现状调查以留作背景值</w:t>
            </w:r>
            <w:r>
              <w:rPr>
                <w:rFonts w:hint="default" w:ascii="Times New Roman" w:hAnsi="Times New Roman" w:cs="Times New Roman"/>
                <w:color w:val="auto"/>
                <w:spacing w:val="-3"/>
                <w:sz w:val="24"/>
                <w:szCs w:val="24"/>
                <w:lang w:eastAsia="zh-CN"/>
              </w:rPr>
              <w:t>，</w:t>
            </w:r>
            <w:r>
              <w:rPr>
                <w:rFonts w:hint="default" w:ascii="Times New Roman" w:hAnsi="Times New Roman" w:cs="Times New Roman"/>
                <w:color w:val="auto"/>
                <w:spacing w:val="-3"/>
                <w:sz w:val="24"/>
                <w:szCs w:val="24"/>
              </w:rPr>
              <w:t>考虑到本项目</w:t>
            </w:r>
            <w:r>
              <w:rPr>
                <w:rFonts w:hint="default" w:ascii="Times New Roman" w:hAnsi="Times New Roman" w:cs="Times New Roman"/>
                <w:color w:val="auto"/>
                <w:spacing w:val="-3"/>
                <w:sz w:val="24"/>
                <w:szCs w:val="24"/>
                <w:lang w:val="en-US" w:eastAsia="zh-CN"/>
              </w:rPr>
              <w:t>正常工况下不</w:t>
            </w:r>
            <w:r>
              <w:rPr>
                <w:rFonts w:hint="default" w:ascii="Times New Roman" w:hAnsi="Times New Roman" w:eastAsia="宋体" w:cs="Times New Roman"/>
                <w:color w:val="auto"/>
                <w:spacing w:val="0"/>
                <w:position w:val="0"/>
                <w:sz w:val="24"/>
                <w:szCs w:val="24"/>
                <w:highlight w:val="none"/>
                <w:lang w:eastAsia="zh-CN"/>
              </w:rPr>
              <w:t>存在地下水</w:t>
            </w:r>
            <w:r>
              <w:rPr>
                <w:rFonts w:hint="default" w:ascii="Times New Roman" w:hAnsi="Times New Roman" w:cs="Times New Roman"/>
                <w:color w:val="auto"/>
                <w:spacing w:val="0"/>
                <w:position w:val="0"/>
                <w:sz w:val="24"/>
                <w:szCs w:val="24"/>
                <w:highlight w:val="none"/>
                <w:lang w:val="en-US" w:eastAsia="zh-CN"/>
              </w:rPr>
              <w:t>和土壤</w:t>
            </w:r>
            <w:r>
              <w:rPr>
                <w:rFonts w:hint="default" w:ascii="Times New Roman" w:hAnsi="Times New Roman" w:eastAsia="宋体" w:cs="Times New Roman"/>
                <w:color w:val="auto"/>
                <w:spacing w:val="0"/>
                <w:position w:val="0"/>
                <w:sz w:val="24"/>
                <w:szCs w:val="24"/>
                <w:highlight w:val="none"/>
                <w:lang w:eastAsia="zh-CN"/>
              </w:rPr>
              <w:t>污染途径，因此</w:t>
            </w:r>
            <w:r>
              <w:rPr>
                <w:rFonts w:hint="default" w:ascii="Times New Roman" w:hAnsi="Times New Roman" w:eastAsia="宋体" w:cs="Times New Roman"/>
                <w:color w:val="auto"/>
                <w:spacing w:val="0"/>
                <w:position w:val="0"/>
                <w:sz w:val="24"/>
                <w:szCs w:val="24"/>
                <w:highlight w:val="none"/>
                <w:lang w:val="en-US" w:eastAsia="zh-CN"/>
              </w:rPr>
              <w:t>本环评</w:t>
            </w:r>
            <w:r>
              <w:rPr>
                <w:rFonts w:hint="default" w:ascii="Times New Roman" w:hAnsi="Times New Roman" w:cs="Times New Roman"/>
                <w:color w:val="auto"/>
                <w:spacing w:val="0"/>
                <w:position w:val="0"/>
                <w:sz w:val="24"/>
                <w:szCs w:val="24"/>
                <w:highlight w:val="none"/>
                <w:lang w:val="en-US" w:eastAsia="zh-CN"/>
              </w:rPr>
              <w:t>不</w:t>
            </w:r>
            <w:r>
              <w:rPr>
                <w:rFonts w:hint="default" w:ascii="Times New Roman" w:hAnsi="Times New Roman" w:eastAsia="宋体" w:cs="Times New Roman"/>
                <w:color w:val="auto"/>
                <w:spacing w:val="0"/>
                <w:position w:val="0"/>
                <w:sz w:val="24"/>
                <w:szCs w:val="24"/>
                <w:highlight w:val="none"/>
                <w:lang w:val="en-US" w:eastAsia="zh-CN"/>
              </w:rPr>
              <w:t>进行地下水</w:t>
            </w:r>
            <w:r>
              <w:rPr>
                <w:rFonts w:hint="default" w:ascii="Times New Roman" w:hAnsi="Times New Roman" w:cs="Times New Roman"/>
                <w:color w:val="auto"/>
                <w:spacing w:val="0"/>
                <w:position w:val="0"/>
                <w:sz w:val="24"/>
                <w:szCs w:val="24"/>
                <w:highlight w:val="none"/>
                <w:lang w:val="en-US" w:eastAsia="zh-CN"/>
              </w:rPr>
              <w:t>和土壤</w:t>
            </w:r>
            <w:r>
              <w:rPr>
                <w:rFonts w:hint="default" w:ascii="Times New Roman" w:hAnsi="Times New Roman" w:eastAsia="宋体" w:cs="Times New Roman"/>
                <w:color w:val="auto"/>
                <w:spacing w:val="0"/>
                <w:position w:val="0"/>
                <w:sz w:val="24"/>
                <w:szCs w:val="24"/>
                <w:highlight w:val="none"/>
                <w:lang w:val="en-US" w:eastAsia="zh-CN"/>
              </w:rPr>
              <w:t>环境质量现状监测。</w:t>
            </w:r>
          </w:p>
          <w:p w14:paraId="26A0E32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b/>
                <w:bCs/>
                <w:color w:val="auto"/>
                <w:spacing w:val="0"/>
                <w:kern w:val="0"/>
                <w:position w:val="0"/>
                <w:sz w:val="24"/>
                <w:szCs w:val="24"/>
                <w:lang w:val="en-US" w:eastAsia="zh-CN"/>
              </w:rPr>
            </w:pPr>
            <w:r>
              <w:rPr>
                <w:rFonts w:hint="default" w:ascii="Times New Roman" w:hAnsi="Times New Roman" w:eastAsia="宋体" w:cs="Times New Roman"/>
                <w:b/>
                <w:bCs/>
                <w:color w:val="auto"/>
                <w:spacing w:val="0"/>
                <w:kern w:val="0"/>
                <w:position w:val="0"/>
                <w:sz w:val="24"/>
                <w:szCs w:val="24"/>
                <w:lang w:val="en-US" w:eastAsia="zh-CN"/>
              </w:rPr>
              <w:t>5.声环境质量现状监测及评价</w:t>
            </w:r>
          </w:p>
          <w:p w14:paraId="700468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1</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数据来源</w:t>
            </w:r>
          </w:p>
          <w:p w14:paraId="7AC1D81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根据《建设项目环境影响报告表编制技术指南（污染影响类）（试行）》，厂界外周边50m范围内存在声环境保护目标的建设项目，应监测保护目标声环境质量现状并评价达标情况。本项目区50m范围内无声环境保护目标。</w:t>
            </w:r>
          </w:p>
          <w:p w14:paraId="0A7A7E6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b/>
                <w:bCs/>
                <w:color w:val="auto"/>
                <w:spacing w:val="0"/>
                <w:kern w:val="0"/>
                <w:position w:val="0"/>
                <w:sz w:val="24"/>
                <w:szCs w:val="24"/>
                <w:lang w:val="en-US" w:eastAsia="zh-CN"/>
              </w:rPr>
            </w:pPr>
            <w:r>
              <w:rPr>
                <w:rFonts w:hint="default" w:ascii="Times New Roman" w:hAnsi="Times New Roman" w:cs="Times New Roman"/>
                <w:b/>
                <w:bCs/>
                <w:color w:val="auto"/>
                <w:spacing w:val="0"/>
                <w:kern w:val="0"/>
                <w:position w:val="0"/>
                <w:sz w:val="24"/>
                <w:szCs w:val="24"/>
                <w:lang w:val="en-US" w:eastAsia="zh-CN"/>
              </w:rPr>
              <w:t>6</w:t>
            </w:r>
            <w:r>
              <w:rPr>
                <w:rFonts w:hint="default" w:ascii="Times New Roman" w:hAnsi="Times New Roman" w:eastAsia="宋体" w:cs="Times New Roman"/>
                <w:b/>
                <w:bCs/>
                <w:color w:val="auto"/>
                <w:spacing w:val="0"/>
                <w:kern w:val="0"/>
                <w:position w:val="0"/>
                <w:sz w:val="24"/>
                <w:szCs w:val="24"/>
                <w:lang w:val="en-US" w:eastAsia="zh-CN"/>
              </w:rPr>
              <w:t>.生态环境现状调查及评价</w:t>
            </w:r>
          </w:p>
          <w:p w14:paraId="71746C2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Times New Roman" w:hAnsi="Times New Roman" w:eastAsia="宋体" w:cs="Times New Roman"/>
                <w:b/>
                <w:bCs/>
                <w:color w:val="auto"/>
                <w:kern w:val="0"/>
                <w:sz w:val="24"/>
                <w:szCs w:val="24"/>
                <w:lang w:val="en-US" w:eastAsia="zh-CN"/>
              </w:rPr>
            </w:pPr>
            <w:r>
              <w:rPr>
                <w:rFonts w:hint="default" w:ascii="Times New Roman" w:hAnsi="Times New Roman" w:eastAsia="宋体" w:cs="Times New Roman"/>
                <w:b/>
                <w:bCs/>
                <w:color w:val="auto"/>
                <w:kern w:val="0"/>
                <w:sz w:val="24"/>
                <w:szCs w:val="24"/>
                <w:lang w:val="en-US" w:eastAsia="zh-CN"/>
              </w:rPr>
              <w:t>3.5.1新疆生态功能区划</w:t>
            </w:r>
          </w:p>
          <w:p w14:paraId="37CB3BE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根据《新疆生态功能区划》，</w:t>
            </w:r>
            <w:r>
              <w:rPr>
                <w:rFonts w:hint="default" w:ascii="Times New Roman" w:hAnsi="Times New Roman" w:eastAsia="宋体" w:cs="Times New Roman"/>
                <w:color w:val="auto"/>
                <w:kern w:val="0"/>
                <w:sz w:val="24"/>
                <w:szCs w:val="24"/>
                <w:lang w:val="en-US" w:eastAsia="zh-CN"/>
              </w:rPr>
              <w:t>本项目</w:t>
            </w:r>
            <w:r>
              <w:rPr>
                <w:rFonts w:hint="default" w:ascii="Times New Roman" w:hAnsi="Times New Roman" w:eastAsia="宋体" w:cs="Times New Roman"/>
                <w:color w:val="auto"/>
                <w:kern w:val="0"/>
                <w:sz w:val="24"/>
                <w:szCs w:val="24"/>
              </w:rPr>
              <w:t>所在区域属于</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kern w:val="0"/>
                <w:sz w:val="24"/>
                <w:szCs w:val="24"/>
              </w:rPr>
              <w:t>Ⅱ准噶尔盆地温性荒漠与绿洲农业生态区—Ⅱ5准噶尔盆地南部荒漠绿洲农业生态亚区中</w:t>
            </w:r>
            <w:r>
              <w:rPr>
                <w:rFonts w:hint="default" w:ascii="Times New Roman" w:hAnsi="Times New Roman" w:eastAsia="宋体" w:cs="Times New Roman"/>
                <w:color w:val="auto"/>
                <w:kern w:val="0"/>
                <w:sz w:val="24"/>
                <w:szCs w:val="24"/>
                <w:lang w:val="en-US" w:eastAsia="zh-CN"/>
              </w:rPr>
              <w:t>28．阜康—木垒绿洲农业、荒漠草地保护生态功能区</w:t>
            </w:r>
            <w:r>
              <w:rPr>
                <w:rFonts w:hint="default" w:ascii="Times New Roman" w:hAnsi="Times New Roman" w:eastAsia="宋体" w:cs="Times New Roman"/>
                <w:color w:val="auto"/>
                <w:kern w:val="0"/>
                <w:sz w:val="24"/>
                <w:szCs w:val="24"/>
              </w:rPr>
              <w:t>”。该生态功能区功能定位为</w:t>
            </w:r>
            <w:r>
              <w:rPr>
                <w:rFonts w:hint="default" w:ascii="Times New Roman" w:hAnsi="Times New Roman" w:eastAsia="宋体" w:cs="Times New Roman"/>
                <w:color w:val="auto"/>
                <w:kern w:val="0"/>
                <w:sz w:val="24"/>
                <w:szCs w:val="24"/>
                <w:lang w:eastAsia="zh-CN"/>
              </w:rPr>
              <w:t>：</w:t>
            </w:r>
            <w:r>
              <w:rPr>
                <w:rFonts w:hint="default" w:ascii="Times New Roman" w:hAnsi="Times New Roman" w:eastAsia="宋体" w:cs="Times New Roman"/>
                <w:color w:val="auto"/>
                <w:sz w:val="24"/>
                <w:szCs w:val="24"/>
              </w:rPr>
              <w:t>农牧业产品生产、人居环境、荒漠化控制</w:t>
            </w:r>
            <w:r>
              <w:rPr>
                <w:rFonts w:hint="default" w:ascii="Times New Roman" w:hAnsi="Times New Roman" w:eastAsia="宋体" w:cs="Times New Roman"/>
                <w:color w:val="auto"/>
                <w:kern w:val="0"/>
                <w:sz w:val="24"/>
                <w:szCs w:val="24"/>
              </w:rPr>
              <w:t>。生态功能区主要生态环境问题、保护措施及发展方向，</w:t>
            </w:r>
            <w:r>
              <w:rPr>
                <w:rFonts w:hint="default" w:ascii="Times New Roman" w:hAnsi="Times New Roman" w:eastAsia="宋体" w:cs="Times New Roman"/>
                <w:color w:val="auto"/>
                <w:kern w:val="0"/>
                <w:sz w:val="24"/>
                <w:szCs w:val="24"/>
                <w:lang w:val="en-US" w:eastAsia="zh-CN"/>
              </w:rPr>
              <w:t>详见</w:t>
            </w:r>
            <w:r>
              <w:rPr>
                <w:rFonts w:hint="default" w:ascii="Times New Roman" w:hAnsi="Times New Roman" w:eastAsia="宋体" w:cs="Times New Roman"/>
                <w:color w:val="auto"/>
                <w:kern w:val="0"/>
                <w:sz w:val="24"/>
                <w:szCs w:val="24"/>
              </w:rPr>
              <w:t>表</w:t>
            </w:r>
            <w:r>
              <w:rPr>
                <w:rFonts w:hint="default" w:ascii="Times New Roman" w:hAnsi="Times New Roman" w:eastAsia="宋体" w:cs="Times New Roman"/>
                <w:color w:val="auto"/>
                <w:kern w:val="0"/>
                <w:sz w:val="24"/>
                <w:szCs w:val="24"/>
                <w:lang w:val="en-US" w:eastAsia="zh-CN"/>
              </w:rPr>
              <w:t>3-</w:t>
            </w:r>
            <w:r>
              <w:rPr>
                <w:rFonts w:hint="default" w:ascii="Times New Roman" w:hAnsi="Times New Roman" w:cs="Times New Roman"/>
                <w:color w:val="auto"/>
                <w:kern w:val="0"/>
                <w:sz w:val="24"/>
                <w:szCs w:val="24"/>
                <w:lang w:val="en-US" w:eastAsia="zh-CN"/>
              </w:rPr>
              <w:t>4</w:t>
            </w:r>
            <w:r>
              <w:rPr>
                <w:rFonts w:hint="default" w:ascii="Times New Roman" w:hAnsi="Times New Roman" w:eastAsia="宋体" w:cs="Times New Roman"/>
                <w:color w:val="auto"/>
                <w:kern w:val="0"/>
                <w:sz w:val="24"/>
                <w:szCs w:val="24"/>
                <w:lang w:val="en-US" w:eastAsia="zh-CN"/>
              </w:rPr>
              <w:t>。</w:t>
            </w:r>
          </w:p>
          <w:p w14:paraId="17A00994">
            <w:pPr>
              <w:adjustRightInd w:val="0"/>
              <w:snapToGrid w:val="0"/>
              <w:ind w:firstLine="422" w:firstLineChars="200"/>
              <w:jc w:val="center"/>
              <w:rPr>
                <w:rFonts w:hint="default" w:ascii="Times New Roman" w:hAnsi="Times New Roman" w:eastAsia="宋体" w:cs="Times New Roman"/>
                <w:color w:val="auto"/>
                <w:sz w:val="21"/>
                <w:szCs w:val="21"/>
                <w:lang w:eastAsia="zh-CN"/>
              </w:rPr>
            </w:pPr>
            <w:r>
              <w:rPr>
                <w:rFonts w:hint="default" w:ascii="Times New Roman" w:hAnsi="Times New Roman" w:cs="Times New Roman"/>
                <w:b/>
                <w:color w:val="auto"/>
                <w:kern w:val="0"/>
                <w:sz w:val="21"/>
                <w:szCs w:val="21"/>
              </w:rPr>
              <w:t>表3-</w:t>
            </w:r>
            <w:r>
              <w:rPr>
                <w:rFonts w:hint="default" w:ascii="Times New Roman" w:hAnsi="Times New Roman" w:cs="Times New Roman"/>
                <w:b/>
                <w:color w:val="auto"/>
                <w:kern w:val="0"/>
                <w:sz w:val="21"/>
                <w:szCs w:val="21"/>
                <w:lang w:val="en-US" w:eastAsia="zh-CN"/>
              </w:rPr>
              <w:t>4</w:t>
            </w:r>
            <w:r>
              <w:rPr>
                <w:rFonts w:hint="default" w:ascii="Times New Roman" w:hAnsi="Times New Roman" w:cs="Times New Roman"/>
                <w:b/>
                <w:color w:val="auto"/>
                <w:kern w:val="0"/>
                <w:sz w:val="21"/>
                <w:szCs w:val="21"/>
              </w:rPr>
              <w:t>新疆生态功能区划简表（片段</w:t>
            </w:r>
            <w:r>
              <w:rPr>
                <w:rFonts w:hint="default" w:ascii="Times New Roman" w:hAnsi="Times New Roman" w:cs="Times New Roman"/>
                <w:b/>
                <w:color w:val="auto"/>
                <w:kern w:val="0"/>
                <w:sz w:val="21"/>
                <w:szCs w:val="21"/>
                <w:lang w:eastAsia="zh-CN"/>
              </w:rPr>
              <w:t>）</w:t>
            </w:r>
          </w:p>
          <w:tbl>
            <w:tblPr>
              <w:tblStyle w:val="32"/>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59"/>
              <w:gridCol w:w="744"/>
              <w:gridCol w:w="810"/>
              <w:gridCol w:w="915"/>
              <w:gridCol w:w="1306"/>
              <w:gridCol w:w="659"/>
              <w:gridCol w:w="1290"/>
              <w:gridCol w:w="882"/>
            </w:tblGrid>
            <w:tr w14:paraId="4D3E86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434" w:type="dxa"/>
                  <w:gridSpan w:val="2"/>
                  <w:tcBorders>
                    <w:tl2br w:val="nil"/>
                    <w:tr2bl w:val="nil"/>
                  </w:tcBorders>
                  <w:noWrap w:val="0"/>
                  <w:vAlign w:val="center"/>
                </w:tcPr>
                <w:p w14:paraId="26148B40">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b/>
                      <w:color w:val="auto"/>
                      <w:kern w:val="0"/>
                      <w:sz w:val="21"/>
                      <w:szCs w:val="21"/>
                    </w:rPr>
                  </w:pPr>
                  <w:r>
                    <w:rPr>
                      <w:rFonts w:hint="default" w:ascii="Times New Roman" w:hAnsi="Times New Roman" w:cs="Times New Roman"/>
                      <w:b/>
                      <w:color w:val="auto"/>
                      <w:kern w:val="0"/>
                      <w:sz w:val="21"/>
                      <w:szCs w:val="21"/>
                    </w:rPr>
                    <w:t>生态功能分区单元</w:t>
                  </w:r>
                </w:p>
              </w:tc>
              <w:tc>
                <w:tcPr>
                  <w:tcW w:w="744" w:type="dxa"/>
                  <w:vMerge w:val="restart"/>
                  <w:tcBorders>
                    <w:tl2br w:val="nil"/>
                    <w:tr2bl w:val="nil"/>
                  </w:tcBorders>
                  <w:noWrap w:val="0"/>
                  <w:vAlign w:val="center"/>
                </w:tcPr>
                <w:p w14:paraId="620B27A7">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b/>
                      <w:color w:val="auto"/>
                      <w:kern w:val="0"/>
                      <w:sz w:val="21"/>
                      <w:szCs w:val="21"/>
                    </w:rPr>
                  </w:pPr>
                  <w:r>
                    <w:rPr>
                      <w:rFonts w:hint="default" w:ascii="Times New Roman" w:hAnsi="Times New Roman" w:cs="Times New Roman"/>
                      <w:b/>
                      <w:color w:val="auto"/>
                      <w:kern w:val="0"/>
                      <w:sz w:val="21"/>
                      <w:szCs w:val="21"/>
                    </w:rPr>
                    <w:t>隶属行政区</w:t>
                  </w:r>
                </w:p>
              </w:tc>
              <w:tc>
                <w:tcPr>
                  <w:tcW w:w="810" w:type="dxa"/>
                  <w:vMerge w:val="restart"/>
                  <w:tcBorders>
                    <w:tl2br w:val="nil"/>
                    <w:tr2bl w:val="nil"/>
                  </w:tcBorders>
                  <w:noWrap w:val="0"/>
                  <w:vAlign w:val="center"/>
                </w:tcPr>
                <w:p w14:paraId="55C8D2F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b/>
                      <w:color w:val="auto"/>
                      <w:kern w:val="0"/>
                      <w:sz w:val="21"/>
                      <w:szCs w:val="21"/>
                    </w:rPr>
                  </w:pPr>
                  <w:r>
                    <w:rPr>
                      <w:rFonts w:hint="default" w:ascii="Times New Roman" w:hAnsi="Times New Roman" w:cs="Times New Roman"/>
                      <w:b/>
                      <w:color w:val="auto"/>
                      <w:kern w:val="0"/>
                      <w:sz w:val="21"/>
                      <w:szCs w:val="21"/>
                    </w:rPr>
                    <w:t>主要生态服务功能</w:t>
                  </w:r>
                </w:p>
              </w:tc>
              <w:tc>
                <w:tcPr>
                  <w:tcW w:w="915" w:type="dxa"/>
                  <w:vMerge w:val="restart"/>
                  <w:tcBorders>
                    <w:tl2br w:val="nil"/>
                    <w:tr2bl w:val="nil"/>
                  </w:tcBorders>
                  <w:noWrap w:val="0"/>
                  <w:vAlign w:val="center"/>
                </w:tcPr>
                <w:p w14:paraId="755B058B">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b/>
                      <w:color w:val="auto"/>
                      <w:kern w:val="0"/>
                      <w:sz w:val="21"/>
                      <w:szCs w:val="21"/>
                    </w:rPr>
                  </w:pPr>
                  <w:r>
                    <w:rPr>
                      <w:rFonts w:hint="default" w:ascii="Times New Roman" w:hAnsi="Times New Roman" w:cs="Times New Roman"/>
                      <w:b/>
                      <w:color w:val="auto"/>
                      <w:kern w:val="0"/>
                      <w:sz w:val="21"/>
                      <w:szCs w:val="21"/>
                    </w:rPr>
                    <w:t>主要生态环境问题</w:t>
                  </w:r>
                </w:p>
              </w:tc>
              <w:tc>
                <w:tcPr>
                  <w:tcW w:w="1306" w:type="dxa"/>
                  <w:vMerge w:val="restart"/>
                  <w:tcBorders>
                    <w:tl2br w:val="nil"/>
                    <w:tr2bl w:val="nil"/>
                  </w:tcBorders>
                  <w:noWrap w:val="0"/>
                  <w:vAlign w:val="center"/>
                </w:tcPr>
                <w:p w14:paraId="17DF1D21">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b/>
                      <w:color w:val="auto"/>
                      <w:kern w:val="0"/>
                      <w:sz w:val="21"/>
                      <w:szCs w:val="21"/>
                    </w:rPr>
                  </w:pPr>
                  <w:r>
                    <w:rPr>
                      <w:rFonts w:hint="default" w:ascii="Times New Roman" w:hAnsi="Times New Roman" w:cs="Times New Roman"/>
                      <w:b/>
                      <w:color w:val="auto"/>
                      <w:kern w:val="0"/>
                      <w:sz w:val="21"/>
                      <w:szCs w:val="21"/>
                    </w:rPr>
                    <w:t>主要生态敏</w:t>
                  </w:r>
                  <w:r>
                    <w:rPr>
                      <w:rFonts w:hint="default" w:ascii="Times New Roman" w:hAnsi="Times New Roman" w:cs="Times New Roman"/>
                      <w:b/>
                      <w:color w:val="auto"/>
                      <w:kern w:val="0"/>
                      <w:sz w:val="18"/>
                      <w:szCs w:val="18"/>
                    </w:rPr>
                    <w:t>感因子、敏感</w:t>
                  </w:r>
                  <w:r>
                    <w:rPr>
                      <w:rFonts w:hint="default" w:ascii="Times New Roman" w:hAnsi="Times New Roman" w:cs="Times New Roman"/>
                      <w:b/>
                      <w:color w:val="auto"/>
                      <w:kern w:val="0"/>
                      <w:sz w:val="21"/>
                      <w:szCs w:val="21"/>
                    </w:rPr>
                    <w:t>程度</w:t>
                  </w:r>
                </w:p>
              </w:tc>
              <w:tc>
                <w:tcPr>
                  <w:tcW w:w="659" w:type="dxa"/>
                  <w:vMerge w:val="restart"/>
                  <w:tcBorders>
                    <w:tl2br w:val="nil"/>
                    <w:tr2bl w:val="nil"/>
                  </w:tcBorders>
                  <w:noWrap w:val="0"/>
                  <w:vAlign w:val="center"/>
                </w:tcPr>
                <w:p w14:paraId="7971158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b/>
                      <w:color w:val="auto"/>
                      <w:kern w:val="0"/>
                      <w:sz w:val="21"/>
                      <w:szCs w:val="21"/>
                    </w:rPr>
                  </w:pPr>
                  <w:r>
                    <w:rPr>
                      <w:rFonts w:hint="default" w:ascii="Times New Roman" w:hAnsi="Times New Roman" w:cs="Times New Roman"/>
                      <w:b/>
                      <w:color w:val="auto"/>
                      <w:kern w:val="0"/>
                      <w:sz w:val="21"/>
                      <w:szCs w:val="21"/>
                    </w:rPr>
                    <w:t>主要保护目标</w:t>
                  </w:r>
                </w:p>
              </w:tc>
              <w:tc>
                <w:tcPr>
                  <w:tcW w:w="1290" w:type="dxa"/>
                  <w:vMerge w:val="restart"/>
                  <w:tcBorders>
                    <w:tl2br w:val="nil"/>
                    <w:tr2bl w:val="nil"/>
                  </w:tcBorders>
                  <w:noWrap w:val="0"/>
                  <w:vAlign w:val="center"/>
                </w:tcPr>
                <w:p w14:paraId="50DD529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b/>
                      <w:color w:val="auto"/>
                      <w:kern w:val="0"/>
                      <w:sz w:val="21"/>
                      <w:szCs w:val="21"/>
                    </w:rPr>
                  </w:pPr>
                  <w:r>
                    <w:rPr>
                      <w:rFonts w:hint="default" w:ascii="Times New Roman" w:hAnsi="Times New Roman" w:cs="Times New Roman"/>
                      <w:b/>
                      <w:color w:val="auto"/>
                      <w:kern w:val="0"/>
                      <w:sz w:val="21"/>
                      <w:szCs w:val="21"/>
                    </w:rPr>
                    <w:t>主要保护措施</w:t>
                  </w:r>
                </w:p>
              </w:tc>
              <w:tc>
                <w:tcPr>
                  <w:tcW w:w="882" w:type="dxa"/>
                  <w:vMerge w:val="restart"/>
                  <w:tcBorders>
                    <w:tl2br w:val="nil"/>
                    <w:tr2bl w:val="nil"/>
                  </w:tcBorders>
                  <w:noWrap w:val="0"/>
                  <w:vAlign w:val="center"/>
                </w:tcPr>
                <w:p w14:paraId="4FDE634F">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b/>
                      <w:color w:val="auto"/>
                      <w:kern w:val="0"/>
                      <w:sz w:val="21"/>
                      <w:szCs w:val="21"/>
                    </w:rPr>
                  </w:pPr>
                  <w:r>
                    <w:rPr>
                      <w:rFonts w:hint="default" w:ascii="Times New Roman" w:hAnsi="Times New Roman" w:cs="Times New Roman"/>
                      <w:b/>
                      <w:color w:val="auto"/>
                      <w:kern w:val="0"/>
                      <w:sz w:val="21"/>
                      <w:szCs w:val="21"/>
                    </w:rPr>
                    <w:t>适宜发展方向</w:t>
                  </w:r>
                </w:p>
              </w:tc>
            </w:tr>
            <w:tr w14:paraId="437AFF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5" w:type="dxa"/>
                  <w:tcBorders>
                    <w:tl2br w:val="nil"/>
                    <w:tr2bl w:val="nil"/>
                  </w:tcBorders>
                  <w:noWrap w:val="0"/>
                  <w:vAlign w:val="center"/>
                </w:tcPr>
                <w:p w14:paraId="31E9F995">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b/>
                      <w:color w:val="auto"/>
                      <w:kern w:val="0"/>
                      <w:sz w:val="21"/>
                      <w:szCs w:val="21"/>
                    </w:rPr>
                  </w:pPr>
                  <w:r>
                    <w:rPr>
                      <w:rFonts w:hint="default" w:ascii="Times New Roman" w:hAnsi="Times New Roman" w:cs="Times New Roman"/>
                      <w:b/>
                      <w:color w:val="auto"/>
                      <w:kern w:val="0"/>
                      <w:sz w:val="21"/>
                      <w:szCs w:val="21"/>
                    </w:rPr>
                    <w:t>生态亚区</w:t>
                  </w:r>
                </w:p>
              </w:tc>
              <w:tc>
                <w:tcPr>
                  <w:tcW w:w="759" w:type="dxa"/>
                  <w:tcBorders>
                    <w:tl2br w:val="nil"/>
                    <w:tr2bl w:val="nil"/>
                  </w:tcBorders>
                  <w:noWrap w:val="0"/>
                  <w:vAlign w:val="center"/>
                </w:tcPr>
                <w:p w14:paraId="57245B48">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b/>
                      <w:color w:val="auto"/>
                      <w:kern w:val="0"/>
                      <w:sz w:val="21"/>
                      <w:szCs w:val="21"/>
                    </w:rPr>
                  </w:pPr>
                  <w:r>
                    <w:rPr>
                      <w:rFonts w:hint="default" w:ascii="Times New Roman" w:hAnsi="Times New Roman" w:cs="Times New Roman"/>
                      <w:b/>
                      <w:color w:val="auto"/>
                      <w:kern w:val="0"/>
                      <w:sz w:val="21"/>
                      <w:szCs w:val="21"/>
                    </w:rPr>
                    <w:t>生态功能区</w:t>
                  </w:r>
                </w:p>
              </w:tc>
              <w:tc>
                <w:tcPr>
                  <w:tcW w:w="744" w:type="dxa"/>
                  <w:vMerge w:val="continue"/>
                  <w:tcBorders>
                    <w:tl2br w:val="nil"/>
                    <w:tr2bl w:val="nil"/>
                  </w:tcBorders>
                  <w:noWrap w:val="0"/>
                  <w:vAlign w:val="center"/>
                </w:tcPr>
                <w:p w14:paraId="30A5D0C7">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b/>
                      <w:color w:val="auto"/>
                      <w:kern w:val="0"/>
                      <w:sz w:val="21"/>
                      <w:szCs w:val="21"/>
                    </w:rPr>
                  </w:pPr>
                </w:p>
              </w:tc>
              <w:tc>
                <w:tcPr>
                  <w:tcW w:w="810" w:type="dxa"/>
                  <w:vMerge w:val="continue"/>
                  <w:tcBorders>
                    <w:tl2br w:val="nil"/>
                    <w:tr2bl w:val="nil"/>
                  </w:tcBorders>
                  <w:noWrap w:val="0"/>
                  <w:vAlign w:val="center"/>
                </w:tcPr>
                <w:p w14:paraId="008E184A">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b/>
                      <w:color w:val="auto"/>
                      <w:kern w:val="0"/>
                      <w:sz w:val="21"/>
                      <w:szCs w:val="21"/>
                    </w:rPr>
                  </w:pPr>
                </w:p>
              </w:tc>
              <w:tc>
                <w:tcPr>
                  <w:tcW w:w="915" w:type="dxa"/>
                  <w:vMerge w:val="continue"/>
                  <w:tcBorders>
                    <w:tl2br w:val="nil"/>
                    <w:tr2bl w:val="nil"/>
                  </w:tcBorders>
                  <w:noWrap w:val="0"/>
                  <w:vAlign w:val="center"/>
                </w:tcPr>
                <w:p w14:paraId="5230549D">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b/>
                      <w:color w:val="auto"/>
                      <w:kern w:val="0"/>
                      <w:sz w:val="21"/>
                      <w:szCs w:val="21"/>
                    </w:rPr>
                  </w:pPr>
                </w:p>
              </w:tc>
              <w:tc>
                <w:tcPr>
                  <w:tcW w:w="1306" w:type="dxa"/>
                  <w:vMerge w:val="continue"/>
                  <w:tcBorders>
                    <w:tl2br w:val="nil"/>
                    <w:tr2bl w:val="nil"/>
                  </w:tcBorders>
                  <w:noWrap w:val="0"/>
                  <w:vAlign w:val="center"/>
                </w:tcPr>
                <w:p w14:paraId="269DE602">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b/>
                      <w:color w:val="auto"/>
                      <w:kern w:val="0"/>
                      <w:sz w:val="21"/>
                      <w:szCs w:val="21"/>
                    </w:rPr>
                  </w:pPr>
                </w:p>
              </w:tc>
              <w:tc>
                <w:tcPr>
                  <w:tcW w:w="659" w:type="dxa"/>
                  <w:vMerge w:val="continue"/>
                  <w:tcBorders>
                    <w:tl2br w:val="nil"/>
                    <w:tr2bl w:val="nil"/>
                  </w:tcBorders>
                  <w:noWrap w:val="0"/>
                  <w:vAlign w:val="center"/>
                </w:tcPr>
                <w:p w14:paraId="656E0065">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b/>
                      <w:color w:val="auto"/>
                      <w:kern w:val="0"/>
                      <w:sz w:val="21"/>
                      <w:szCs w:val="21"/>
                    </w:rPr>
                  </w:pPr>
                </w:p>
              </w:tc>
              <w:tc>
                <w:tcPr>
                  <w:tcW w:w="1290" w:type="dxa"/>
                  <w:vMerge w:val="continue"/>
                  <w:tcBorders>
                    <w:tl2br w:val="nil"/>
                    <w:tr2bl w:val="nil"/>
                  </w:tcBorders>
                  <w:noWrap w:val="0"/>
                  <w:vAlign w:val="center"/>
                </w:tcPr>
                <w:p w14:paraId="7B97741D">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b/>
                      <w:color w:val="auto"/>
                      <w:kern w:val="0"/>
                      <w:sz w:val="21"/>
                      <w:szCs w:val="21"/>
                    </w:rPr>
                  </w:pPr>
                </w:p>
              </w:tc>
              <w:tc>
                <w:tcPr>
                  <w:tcW w:w="882" w:type="dxa"/>
                  <w:vMerge w:val="continue"/>
                  <w:tcBorders>
                    <w:tl2br w:val="nil"/>
                    <w:tr2bl w:val="nil"/>
                  </w:tcBorders>
                  <w:noWrap w:val="0"/>
                  <w:vAlign w:val="center"/>
                </w:tcPr>
                <w:p w14:paraId="7CD59200">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cs="Times New Roman"/>
                      <w:b/>
                      <w:color w:val="auto"/>
                      <w:kern w:val="0"/>
                      <w:sz w:val="21"/>
                      <w:szCs w:val="21"/>
                    </w:rPr>
                  </w:pPr>
                </w:p>
              </w:tc>
            </w:tr>
            <w:tr w14:paraId="3189C6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75" w:type="dxa"/>
                  <w:tcBorders>
                    <w:tl2br w:val="nil"/>
                    <w:tr2bl w:val="nil"/>
                  </w:tcBorders>
                  <w:noWrap w:val="0"/>
                  <w:vAlign w:val="center"/>
                </w:tcPr>
                <w:p w14:paraId="76643B06">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Ⅱ</w:t>
                  </w:r>
                  <w:r>
                    <w:rPr>
                      <w:rFonts w:hint="default" w:ascii="Times New Roman" w:hAnsi="Times New Roman" w:eastAsia="宋体" w:cs="Times New Roman"/>
                      <w:color w:val="auto"/>
                      <w:sz w:val="21"/>
                      <w:szCs w:val="21"/>
                      <w:vertAlign w:val="subscript"/>
                    </w:rPr>
                    <w:t>5</w:t>
                  </w:r>
                  <w:r>
                    <w:rPr>
                      <w:rFonts w:hint="default" w:ascii="Times New Roman" w:hAnsi="Times New Roman" w:eastAsia="宋体" w:cs="Times New Roman"/>
                      <w:color w:val="auto"/>
                      <w:sz w:val="21"/>
                      <w:szCs w:val="21"/>
                    </w:rPr>
                    <w:t>准噶尔盆地南部荒漠绿洲农业生态亚区</w:t>
                  </w:r>
                </w:p>
              </w:tc>
              <w:tc>
                <w:tcPr>
                  <w:tcW w:w="759" w:type="dxa"/>
                  <w:tcBorders>
                    <w:tl2br w:val="nil"/>
                    <w:tr2bl w:val="nil"/>
                  </w:tcBorders>
                  <w:noWrap w:val="0"/>
                  <w:vAlign w:val="center"/>
                </w:tcPr>
                <w:p w14:paraId="308D6A79">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sz w:val="21"/>
                      <w:szCs w:val="21"/>
                    </w:rPr>
                  </w:pPr>
                  <w:r>
                    <w:rPr>
                      <w:rFonts w:hint="default" w:ascii="Times New Roman" w:hAnsi="Times New Roman" w:cs="Times New Roman"/>
                      <w:color w:val="auto"/>
                    </w:rPr>
                    <w:t>28．阜康—木垒绿洲农业、荒漠草地保护生态功能区</w:t>
                  </w:r>
                </w:p>
              </w:tc>
              <w:tc>
                <w:tcPr>
                  <w:tcW w:w="744" w:type="dxa"/>
                  <w:tcBorders>
                    <w:tl2br w:val="nil"/>
                    <w:tr2bl w:val="nil"/>
                  </w:tcBorders>
                  <w:noWrap w:val="0"/>
                  <w:vAlign w:val="center"/>
                </w:tcPr>
                <w:p w14:paraId="327A1AFE">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阜康市、</w:t>
                  </w:r>
                </w:p>
                <w:p w14:paraId="734586BC">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吉木萨尔县、奇台县、</w:t>
                  </w:r>
                </w:p>
                <w:p w14:paraId="327EEE75">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木垒县</w:t>
                  </w:r>
                </w:p>
              </w:tc>
              <w:tc>
                <w:tcPr>
                  <w:tcW w:w="810" w:type="dxa"/>
                  <w:tcBorders>
                    <w:tl2br w:val="nil"/>
                    <w:tr2bl w:val="nil"/>
                  </w:tcBorders>
                  <w:noWrap w:val="0"/>
                  <w:vAlign w:val="center"/>
                </w:tcPr>
                <w:p w14:paraId="3B238DA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农牧业产品生产、人居环境、荒漠化控制</w:t>
                  </w:r>
                </w:p>
              </w:tc>
              <w:tc>
                <w:tcPr>
                  <w:tcW w:w="915" w:type="dxa"/>
                  <w:tcBorders>
                    <w:tl2br w:val="nil"/>
                    <w:tr2bl w:val="nil"/>
                  </w:tcBorders>
                  <w:noWrap w:val="0"/>
                  <w:vAlign w:val="center"/>
                </w:tcPr>
                <w:p w14:paraId="3772C958">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地下水超采、荒漠植被退化、沙漠化威胁、局部土壤盐渍化、河流萎缩、滥开荒地</w:t>
                  </w:r>
                </w:p>
              </w:tc>
              <w:tc>
                <w:tcPr>
                  <w:tcW w:w="1306" w:type="dxa"/>
                  <w:tcBorders>
                    <w:tl2br w:val="nil"/>
                    <w:tr2bl w:val="nil"/>
                  </w:tcBorders>
                  <w:noWrap w:val="0"/>
                  <w:vAlign w:val="center"/>
                </w:tcPr>
                <w:p w14:paraId="439ABF9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生物多样性及其生境中度敏感，土壤侵蚀轻度敏感，土地沙漠化中度敏感，土壤盐渍化轻度敏感</w:t>
                  </w:r>
                </w:p>
              </w:tc>
              <w:tc>
                <w:tcPr>
                  <w:tcW w:w="659" w:type="dxa"/>
                  <w:tcBorders>
                    <w:tl2br w:val="nil"/>
                    <w:tr2bl w:val="nil"/>
                  </w:tcBorders>
                  <w:noWrap w:val="0"/>
                  <w:vAlign w:val="center"/>
                </w:tcPr>
                <w:p w14:paraId="2EAEE354">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保护基本农田、保护荒漠植被、保护土壤环境质量</w:t>
                  </w:r>
                </w:p>
              </w:tc>
              <w:tc>
                <w:tcPr>
                  <w:tcW w:w="1290" w:type="dxa"/>
                  <w:tcBorders>
                    <w:tl2br w:val="nil"/>
                    <w:tr2bl w:val="nil"/>
                  </w:tcBorders>
                  <w:noWrap w:val="0"/>
                  <w:vAlign w:val="center"/>
                </w:tcPr>
                <w:p w14:paraId="56E41ADF">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节水灌溉、草场休牧、对坡耕地和沙化土地实施退耕还林（草），在水源无保障、植被稀少、生态脆弱地带禁止开荒、加强农田投入品的使用管理</w:t>
                  </w:r>
                </w:p>
              </w:tc>
              <w:tc>
                <w:tcPr>
                  <w:tcW w:w="882" w:type="dxa"/>
                  <w:tcBorders>
                    <w:tl2br w:val="nil"/>
                    <w:tr2bl w:val="nil"/>
                  </w:tcBorders>
                  <w:noWrap w:val="0"/>
                  <w:vAlign w:val="center"/>
                </w:tcPr>
                <w:p w14:paraId="582A9D6B">
                  <w:pPr>
                    <w:keepNext w:val="0"/>
                    <w:keepLines w:val="0"/>
                    <w:pageBreakBefore w:val="0"/>
                    <w:widowControl w:val="0"/>
                    <w:kinsoku/>
                    <w:wordWrap/>
                    <w:overflowPunct/>
                    <w:topLinePunct w:val="0"/>
                    <w:autoSpaceDE/>
                    <w:autoSpaceDN/>
                    <w:bidi w:val="0"/>
                    <w:adjustRightInd/>
                    <w:snapToGrid/>
                    <w:ind w:left="0" w:leftChars="0" w:right="0" w:rightChars="0"/>
                    <w:jc w:val="center"/>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农牧结合，发展优质、高效特色农业和畜牧业</w:t>
                  </w:r>
                </w:p>
              </w:tc>
            </w:tr>
          </w:tbl>
          <w:p w14:paraId="371B81E1">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Times New Roman" w:hAnsi="Times New Roman" w:cs="Times New Roman"/>
                <w:b/>
                <w:bCs/>
                <w:color w:val="auto"/>
                <w:kern w:val="0"/>
                <w:sz w:val="24"/>
                <w:szCs w:val="24"/>
              </w:rPr>
            </w:pPr>
            <w:r>
              <w:rPr>
                <w:rFonts w:hint="default" w:ascii="Times New Roman" w:hAnsi="Times New Roman" w:cs="Times New Roman"/>
                <w:b/>
                <w:bCs/>
                <w:color w:val="auto"/>
                <w:kern w:val="0"/>
                <w:sz w:val="24"/>
                <w:szCs w:val="24"/>
                <w:lang w:val="en-US" w:eastAsia="zh-CN"/>
              </w:rPr>
              <w:t>3.5</w:t>
            </w:r>
            <w:r>
              <w:rPr>
                <w:rFonts w:hint="default" w:ascii="Times New Roman" w:hAnsi="Times New Roman" w:cs="Times New Roman"/>
                <w:b/>
                <w:bCs/>
                <w:color w:val="auto"/>
                <w:kern w:val="0"/>
                <w:sz w:val="24"/>
                <w:szCs w:val="24"/>
              </w:rPr>
              <w:t>.2项目区生态现状</w:t>
            </w:r>
          </w:p>
          <w:p w14:paraId="1F31DE54">
            <w:pPr>
              <w:spacing w:line="360" w:lineRule="auto"/>
              <w:ind w:firstLine="480" w:firstLineChars="200"/>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（1</w:t>
            </w:r>
            <w:r>
              <w:rPr>
                <w:rFonts w:hint="default" w:ascii="Times New Roman" w:hAnsi="Times New Roman" w:cs="Times New Roman"/>
                <w:color w:val="auto"/>
                <w:kern w:val="0"/>
                <w:sz w:val="24"/>
                <w:szCs w:val="24"/>
                <w:lang w:eastAsia="zh-CN"/>
              </w:rPr>
              <w:t>）</w:t>
            </w:r>
            <w:r>
              <w:rPr>
                <w:rFonts w:hint="default" w:ascii="Times New Roman" w:hAnsi="Times New Roman" w:cs="Times New Roman"/>
                <w:color w:val="auto"/>
                <w:kern w:val="0"/>
                <w:sz w:val="24"/>
                <w:szCs w:val="24"/>
              </w:rPr>
              <w:t>区域植被现状调查</w:t>
            </w:r>
          </w:p>
          <w:p w14:paraId="4D63E0FF">
            <w:pPr>
              <w:spacing w:line="360" w:lineRule="auto"/>
              <w:ind w:firstLine="480" w:firstLineChars="200"/>
              <w:rPr>
                <w:rFonts w:hint="default" w:ascii="Times New Roman" w:hAnsi="Times New Roman" w:cs="Times New Roman"/>
                <w:color w:val="auto"/>
                <w:kern w:val="0"/>
                <w:sz w:val="24"/>
                <w:szCs w:val="24"/>
                <w:lang w:val="en-US" w:eastAsia="zh-CN"/>
              </w:rPr>
            </w:pPr>
            <w:r>
              <w:rPr>
                <w:rFonts w:hint="default" w:ascii="Times New Roman" w:hAnsi="Times New Roman" w:cs="Times New Roman"/>
                <w:color w:val="auto"/>
                <w:sz w:val="24"/>
                <w:lang w:val="en-US" w:eastAsia="zh-CN" w:bidi="en-US"/>
              </w:rPr>
              <w:t>本项目区场地已进行平整，项目区内无植被。</w:t>
            </w:r>
          </w:p>
          <w:p w14:paraId="7728E80E">
            <w:pPr>
              <w:spacing w:line="16" w:lineRule="exact"/>
              <w:rPr>
                <w:rFonts w:hint="default" w:ascii="Times New Roman" w:hAnsi="Times New Roman" w:cs="Times New Roman"/>
                <w:color w:val="auto"/>
                <w:sz w:val="24"/>
                <w:szCs w:val="24"/>
              </w:rPr>
            </w:pPr>
          </w:p>
          <w:p w14:paraId="165475B1">
            <w:pPr>
              <w:spacing w:line="360" w:lineRule="auto"/>
              <w:ind w:firstLine="480" w:firstLineChars="200"/>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（2</w:t>
            </w:r>
            <w:r>
              <w:rPr>
                <w:rFonts w:hint="default" w:ascii="Times New Roman" w:hAnsi="Times New Roman" w:cs="Times New Roman"/>
                <w:color w:val="auto"/>
                <w:kern w:val="0"/>
                <w:sz w:val="24"/>
                <w:szCs w:val="24"/>
                <w:lang w:eastAsia="zh-CN"/>
              </w:rPr>
              <w:t>）</w:t>
            </w:r>
            <w:r>
              <w:rPr>
                <w:rFonts w:hint="default" w:ascii="Times New Roman" w:hAnsi="Times New Roman" w:cs="Times New Roman"/>
                <w:color w:val="auto"/>
                <w:kern w:val="0"/>
                <w:sz w:val="24"/>
                <w:szCs w:val="24"/>
              </w:rPr>
              <w:t>区域野生动物现状调查</w:t>
            </w:r>
          </w:p>
          <w:p w14:paraId="5AF619C2">
            <w:pPr>
              <w:spacing w:line="360" w:lineRule="auto"/>
              <w:ind w:firstLine="480" w:firstLineChars="200"/>
              <w:rPr>
                <w:rFonts w:hint="default" w:ascii="Times New Roman" w:hAnsi="Times New Roman"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本项目位于新疆昌吉州吉木萨尔县北三台工业园区恒信片区南侧，场址东侧临近水溪沟，西侧与吉木萨尔县双安煤矿接壤，北与荒山相连，北侧7km外与G335公路相接。</w:t>
            </w:r>
            <w:r>
              <w:rPr>
                <w:rFonts w:hint="default" w:ascii="Times New Roman" w:hAnsi="Times New Roman" w:cs="Times New Roman"/>
                <w:color w:val="auto"/>
                <w:kern w:val="0"/>
                <w:sz w:val="24"/>
                <w:szCs w:val="24"/>
                <w:lang w:val="en-US" w:eastAsia="zh-CN"/>
              </w:rPr>
              <w:t>在《中国动物地理区划》中隶属于古北界－中亚亚界－蒙新区－西部荒漠亚区－准噶尔盆地省</w:t>
            </w:r>
          </w:p>
          <w:p w14:paraId="25451D1D">
            <w:pPr>
              <w:spacing w:line="360" w:lineRule="auto"/>
              <w:ind w:firstLine="480" w:firstLineChars="200"/>
              <w:rPr>
                <w:rFonts w:hint="default" w:ascii="Times New Roman" w:hAnsi="Times New Roman" w:cs="Times New Roman"/>
                <w:color w:val="auto"/>
                <w:kern w:val="0"/>
                <w:sz w:val="24"/>
                <w:szCs w:val="24"/>
                <w:lang w:val="en-US" w:eastAsia="zh-CN"/>
              </w:rPr>
            </w:pPr>
            <w:r>
              <w:rPr>
                <w:rFonts w:hint="default" w:ascii="Times New Roman" w:hAnsi="Times New Roman" w:cs="Times New Roman"/>
                <w:color w:val="auto"/>
                <w:kern w:val="0"/>
                <w:sz w:val="24"/>
                <w:szCs w:val="24"/>
                <w:lang w:val="en-US" w:eastAsia="zh-CN"/>
              </w:rPr>
              <w:t>在系统查阅《新疆脊椎动物志》《吉木萨尔县生物多样性调查报告》及当地林业和草原部门监测资料的基础上，结合历史调查数据推测，目前评价区的野生动物（指脊椎动物中的兽类、鸟类、爬行类和两栖类）约有40余种。其中兽类以有蹄类为优势类群，常见物种包括蒙古野驴、鹅喉羚（黄羊）、赤狐、沙狐、草兔等；鸟类以荒漠型种类为主，主要有毛腿沙鸡、红尾伯劳、沙百灵、环颈雉等，部分区域还可见红嘴山鸦、斑鸠活动；爬行类以荒漠适应性物种为代表，如草原鬣蜥、沙蜥等较为常见。</w:t>
            </w:r>
          </w:p>
          <w:p w14:paraId="31CB849D">
            <w:pPr>
              <w:spacing w:line="360" w:lineRule="auto"/>
              <w:ind w:firstLine="480" w:firstLineChars="200"/>
              <w:rPr>
                <w:rFonts w:hint="default" w:ascii="Times New Roman" w:hAnsi="Times New Roman" w:cs="Times New Roman"/>
                <w:color w:val="auto"/>
                <w:kern w:val="0"/>
                <w:sz w:val="24"/>
                <w:szCs w:val="24"/>
                <w:lang w:val="en-US" w:eastAsia="zh-CN"/>
              </w:rPr>
            </w:pPr>
            <w:r>
              <w:rPr>
                <w:rFonts w:hint="default" w:ascii="Times New Roman" w:hAnsi="Times New Roman" w:cs="Times New Roman"/>
                <w:color w:val="auto"/>
                <w:kern w:val="0"/>
                <w:sz w:val="24"/>
                <w:szCs w:val="24"/>
                <w:lang w:val="en-US" w:eastAsia="zh-CN"/>
              </w:rPr>
              <w:t>经核查，本项目整个评价区分布的国家重点保护野生动物中，共有4种国家二级保护动物，分别是鹅喉羚（黄羊）、蒙古野驴、猎隼、红隼。其中鹅喉羚（黄羊）在吉木萨尔县老台乡西地村戈壁滩、沙漠狩猎场等区域已形成稳定种群，蒙古野驴主要活动于北部喀拉麦里山周边，猎隼、红隼则以开阔荒漠为栖息环境。本项目不在老台乡西地村戈壁滩、沙漠狩猎场和北部喀拉麦里山周边等区域，且项目周边已建设工业企业，人类活动痕迹较为频繁，现场调查期间项目所在区域内未直接观测到上述国家二级保护动物及活动痕迹。</w:t>
            </w:r>
          </w:p>
          <w:p w14:paraId="2E82D038">
            <w:pPr>
              <w:spacing w:line="360" w:lineRule="auto"/>
              <w:ind w:firstLine="480" w:firstLineChars="200"/>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lang w:eastAsia="zh-CN"/>
              </w:rPr>
              <w:t>（</w:t>
            </w:r>
            <w:r>
              <w:rPr>
                <w:rFonts w:hint="default" w:ascii="Times New Roman" w:hAnsi="Times New Roman" w:cs="Times New Roman"/>
                <w:color w:val="auto"/>
                <w:kern w:val="0"/>
                <w:sz w:val="24"/>
                <w:szCs w:val="24"/>
                <w:lang w:val="en-US" w:eastAsia="zh-CN"/>
              </w:rPr>
              <w:t>3</w:t>
            </w:r>
            <w:r>
              <w:rPr>
                <w:rFonts w:hint="default" w:ascii="Times New Roman" w:hAnsi="Times New Roman" w:cs="Times New Roman"/>
                <w:color w:val="auto"/>
                <w:kern w:val="0"/>
                <w:sz w:val="24"/>
                <w:szCs w:val="24"/>
                <w:lang w:eastAsia="zh-CN"/>
              </w:rPr>
              <w:t>）</w:t>
            </w:r>
            <w:r>
              <w:rPr>
                <w:rFonts w:hint="default" w:ascii="Times New Roman" w:hAnsi="Times New Roman" w:cs="Times New Roman"/>
                <w:color w:val="auto"/>
                <w:kern w:val="0"/>
                <w:sz w:val="24"/>
                <w:szCs w:val="24"/>
              </w:rPr>
              <w:t>区域土壤调查</w:t>
            </w:r>
          </w:p>
          <w:p w14:paraId="0472C981">
            <w:pPr>
              <w:spacing w:line="360" w:lineRule="auto"/>
              <w:ind w:firstLine="480" w:firstLineChars="200"/>
              <w:rPr>
                <w:rFonts w:hint="default" w:ascii="Times New Roman" w:hAnsi="Times New Roman" w:cs="Times New Roman"/>
                <w:color w:val="auto"/>
                <w:kern w:val="0"/>
                <w:sz w:val="24"/>
                <w:szCs w:val="24"/>
                <w:lang w:val="en-US" w:eastAsia="zh-CN"/>
              </w:rPr>
            </w:pPr>
            <w:r>
              <w:rPr>
                <w:rFonts w:hint="default" w:ascii="Times New Roman" w:hAnsi="Times New Roman" w:cs="Times New Roman"/>
                <w:color w:val="auto"/>
                <w:kern w:val="0"/>
                <w:sz w:val="24"/>
                <w:szCs w:val="24"/>
              </w:rPr>
              <w:t>本项目所在区域地处吉木萨尔县中部平原与北部荒漠过渡带，根据《吉木萨尔县土壤志》及区域地质勘察资料，该区域土壤类型以棕钙土为主体，属吉木萨尔县5个主要土区中“丘陵荒漠草原土区”的典型土壤类型，广泛分布于海拔800-1000米的低山丘陵及戈壁地带。成土过程中腐殖质累积薄弱，碳酸钙富集明显，全剖面呈碱性反应。</w:t>
            </w:r>
          </w:p>
          <w:p w14:paraId="22F7F617">
            <w:pPr>
              <w:spacing w:line="360" w:lineRule="auto"/>
              <w:ind w:firstLine="480" w:firstLineChars="200"/>
              <w:rPr>
                <w:rFonts w:hint="default" w:ascii="Times New Roman" w:hAnsi="Times New Roman" w:cs="Times New Roman"/>
                <w:color w:val="auto"/>
                <w:kern w:val="0"/>
                <w:sz w:val="24"/>
                <w:szCs w:val="24"/>
                <w:lang w:val="en-US" w:eastAsia="zh-CN"/>
              </w:rPr>
            </w:pPr>
            <w:r>
              <w:rPr>
                <w:rFonts w:hint="default" w:ascii="Times New Roman" w:hAnsi="Times New Roman" w:cs="Times New Roman"/>
                <w:color w:val="auto"/>
                <w:kern w:val="0"/>
                <w:sz w:val="24"/>
                <w:szCs w:val="24"/>
                <w:lang w:val="en-US" w:eastAsia="zh-CN"/>
              </w:rPr>
              <w:t>（4）沙化情况</w:t>
            </w:r>
          </w:p>
          <w:p w14:paraId="0F073D09">
            <w:pPr>
              <w:spacing w:line="360" w:lineRule="auto"/>
              <w:ind w:firstLine="480" w:firstLineChars="200"/>
              <w:rPr>
                <w:rFonts w:hint="default" w:ascii="Times New Roman" w:hAnsi="Times New Roman" w:cs="Times New Roman"/>
                <w:color w:val="auto"/>
                <w:kern w:val="0"/>
                <w:sz w:val="24"/>
                <w:szCs w:val="24"/>
                <w:lang w:val="en-US" w:eastAsia="zh-CN"/>
              </w:rPr>
            </w:pPr>
            <w:r>
              <w:rPr>
                <w:rFonts w:hint="default" w:ascii="Times New Roman" w:hAnsi="Times New Roman" w:cs="Times New Roman"/>
                <w:color w:val="auto"/>
                <w:kern w:val="0"/>
                <w:sz w:val="24"/>
                <w:szCs w:val="24"/>
                <w:lang w:val="en-US" w:eastAsia="zh-CN"/>
              </w:rPr>
              <w:t>根据新疆第六次沙化监测沙化土地类型分布图，本项目所在地为戈壁，不属于沙化土地，本项目与沙化土地的位置关系详见附图6。</w:t>
            </w:r>
          </w:p>
          <w:p w14:paraId="4F295374">
            <w:pPr>
              <w:spacing w:line="360" w:lineRule="auto"/>
              <w:jc w:val="left"/>
              <w:rPr>
                <w:rFonts w:hint="default" w:ascii="Times New Roman" w:hAnsi="Times New Roman" w:cs="Times New Roman"/>
                <w:b/>
                <w:bCs/>
                <w:color w:val="auto"/>
                <w:kern w:val="0"/>
                <w:sz w:val="24"/>
                <w:szCs w:val="24"/>
              </w:rPr>
            </w:pPr>
            <w:r>
              <w:rPr>
                <w:rFonts w:hint="default" w:ascii="Times New Roman" w:hAnsi="Times New Roman" w:cs="Times New Roman"/>
                <w:b/>
                <w:bCs/>
                <w:color w:val="auto"/>
                <w:kern w:val="0"/>
                <w:sz w:val="24"/>
                <w:szCs w:val="24"/>
                <w:lang w:val="en-US" w:eastAsia="zh-CN"/>
              </w:rPr>
              <w:t>3.5.3</w:t>
            </w:r>
            <w:r>
              <w:rPr>
                <w:rFonts w:hint="default" w:ascii="Times New Roman" w:hAnsi="Times New Roman" w:cs="Times New Roman"/>
                <w:b/>
                <w:bCs/>
                <w:color w:val="auto"/>
                <w:kern w:val="0"/>
                <w:sz w:val="24"/>
                <w:szCs w:val="24"/>
              </w:rPr>
              <w:t>项目区主要生态问题</w:t>
            </w:r>
          </w:p>
          <w:p w14:paraId="1E9A15F3">
            <w:pPr>
              <w:spacing w:line="360" w:lineRule="auto"/>
              <w:ind w:firstLine="480" w:firstLineChars="200"/>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本项目所在区域物种单一，以当地固有植被为主</w:t>
            </w:r>
            <w:r>
              <w:rPr>
                <w:rFonts w:hint="default" w:ascii="Times New Roman" w:hAnsi="Times New Roman" w:cs="Times New Roman"/>
                <w:color w:val="auto"/>
                <w:kern w:val="0"/>
                <w:sz w:val="24"/>
                <w:szCs w:val="24"/>
                <w:lang w:val="en-US" w:eastAsia="zh-CN"/>
              </w:rPr>
              <w:t>，具</w:t>
            </w:r>
            <w:r>
              <w:rPr>
                <w:rFonts w:hint="default" w:ascii="Times New Roman" w:hAnsi="Times New Roman" w:eastAsia="宋体" w:cs="Times New Roman"/>
                <w:color w:val="auto"/>
                <w:kern w:val="0"/>
                <w:sz w:val="24"/>
                <w:szCs w:val="24"/>
                <w:lang w:val="en-US" w:eastAsia="zh-CN"/>
              </w:rPr>
              <w:t>有一定的涵养水源能力，系统有一定对外界干扰的调节和抵抗力，稳定性一般；野生动物种类数量都很少，难以见到大型野生动物，小型野生动物也很少。</w:t>
            </w:r>
          </w:p>
          <w:p w14:paraId="15501E0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imes New Roman" w:hAnsi="Times New Roman" w:eastAsia="宋体" w:cs="Times New Roman"/>
                <w:b/>
                <w:bCs/>
                <w:color w:val="auto"/>
                <w:spacing w:val="0"/>
                <w:kern w:val="0"/>
                <w:position w:val="0"/>
                <w:sz w:val="24"/>
                <w:szCs w:val="24"/>
                <w:lang w:val="en-US" w:eastAsia="zh-CN"/>
              </w:rPr>
            </w:pPr>
            <w:r>
              <w:rPr>
                <w:rFonts w:hint="default" w:ascii="Times New Roman" w:hAnsi="Times New Roman" w:cs="Times New Roman"/>
                <w:b/>
                <w:bCs/>
                <w:color w:val="auto"/>
                <w:spacing w:val="0"/>
                <w:kern w:val="0"/>
                <w:position w:val="0"/>
                <w:sz w:val="24"/>
                <w:szCs w:val="24"/>
                <w:lang w:val="en-US" w:eastAsia="zh-CN"/>
              </w:rPr>
              <w:t>7</w:t>
            </w:r>
            <w:r>
              <w:rPr>
                <w:rFonts w:hint="default" w:ascii="Times New Roman" w:hAnsi="Times New Roman" w:eastAsia="宋体" w:cs="Times New Roman"/>
                <w:b/>
                <w:bCs/>
                <w:color w:val="auto"/>
                <w:spacing w:val="0"/>
                <w:kern w:val="0"/>
                <w:position w:val="0"/>
                <w:sz w:val="24"/>
                <w:szCs w:val="24"/>
                <w:lang w:val="en-US" w:eastAsia="zh-CN"/>
              </w:rPr>
              <w:t>.电磁环境现状调查及评价</w:t>
            </w:r>
          </w:p>
          <w:p w14:paraId="09E0913D">
            <w:pPr>
              <w:spacing w:line="360" w:lineRule="auto"/>
              <w:ind w:firstLine="480" w:firstLineChars="200"/>
              <w:rPr>
                <w:rFonts w:hint="default" w:ascii="Times New Roman" w:hAnsi="Times New Roman" w:cs="Times New Roman"/>
                <w:color w:val="auto"/>
                <w:kern w:val="0"/>
                <w:sz w:val="24"/>
                <w:szCs w:val="24"/>
                <w:lang w:val="en-US" w:eastAsia="zh-CN"/>
              </w:rPr>
            </w:pPr>
            <w:r>
              <w:rPr>
                <w:rFonts w:hint="eastAsia" w:cs="Times New Roman"/>
                <w:color w:val="auto"/>
                <w:kern w:val="0"/>
                <w:sz w:val="24"/>
                <w:szCs w:val="24"/>
                <w:lang w:val="en-US" w:eastAsia="zh-CN"/>
              </w:rPr>
              <w:t>无</w:t>
            </w:r>
            <w:r>
              <w:rPr>
                <w:rFonts w:hint="default" w:ascii="Times New Roman" w:hAnsi="Times New Roman" w:eastAsia="宋体" w:cs="Times New Roman"/>
                <w:color w:val="auto"/>
                <w:kern w:val="0"/>
                <w:sz w:val="24"/>
                <w:szCs w:val="24"/>
                <w:lang w:val="en-US" w:eastAsia="zh-CN"/>
              </w:rPr>
              <w:t>。</w:t>
            </w:r>
          </w:p>
        </w:tc>
      </w:tr>
      <w:tr w14:paraId="1C3590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390" w:hRule="atLeast"/>
          <w:jc w:val="center"/>
        </w:trPr>
        <w:tc>
          <w:tcPr>
            <w:tcW w:w="627" w:type="dxa"/>
            <w:noWrap w:val="0"/>
            <w:vAlign w:val="center"/>
          </w:tcPr>
          <w:p w14:paraId="12F6EA38">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r>
              <w:rPr>
                <w:rFonts w:hint="default" w:ascii="Times New Roman" w:hAnsi="Times New Roman" w:eastAsia="宋体" w:cs="Times New Roman"/>
                <w:color w:val="auto"/>
                <w:spacing w:val="0"/>
                <w:kern w:val="0"/>
                <w:position w:val="0"/>
                <w:sz w:val="24"/>
                <w:szCs w:val="24"/>
              </w:rPr>
              <w:t>环境</w:t>
            </w:r>
          </w:p>
          <w:p w14:paraId="38747641">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r>
              <w:rPr>
                <w:rFonts w:hint="default" w:ascii="Times New Roman" w:hAnsi="Times New Roman" w:eastAsia="宋体" w:cs="Times New Roman"/>
                <w:color w:val="auto"/>
                <w:spacing w:val="0"/>
                <w:kern w:val="0"/>
                <w:position w:val="0"/>
                <w:sz w:val="24"/>
                <w:szCs w:val="24"/>
              </w:rPr>
              <w:t>保护</w:t>
            </w:r>
          </w:p>
          <w:p w14:paraId="31FCA2FB">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r>
              <w:rPr>
                <w:rFonts w:hint="default" w:ascii="Times New Roman" w:hAnsi="Times New Roman" w:eastAsia="宋体" w:cs="Times New Roman"/>
                <w:color w:val="auto"/>
                <w:spacing w:val="0"/>
                <w:kern w:val="0"/>
                <w:position w:val="0"/>
                <w:sz w:val="24"/>
                <w:szCs w:val="24"/>
              </w:rPr>
              <w:t>目标</w:t>
            </w:r>
          </w:p>
        </w:tc>
        <w:tc>
          <w:tcPr>
            <w:tcW w:w="8332" w:type="dxa"/>
            <w:noWrap w:val="0"/>
            <w:vAlign w:val="center"/>
          </w:tcPr>
          <w:p w14:paraId="29DE9FB3">
            <w:pPr>
              <w:keepNext w:val="0"/>
              <w:keepLines w:val="0"/>
              <w:pageBreakBefore w:val="0"/>
              <w:widowControl w:val="0"/>
              <w:kinsoku/>
              <w:wordWrap/>
              <w:overflowPunct/>
              <w:topLinePunct w:val="0"/>
              <w:autoSpaceDE/>
              <w:autoSpaceDN/>
              <w:bidi w:val="0"/>
              <w:adjustRightInd/>
              <w:snapToGrid/>
              <w:spacing w:before="157" w:beforeLines="50" w:line="360" w:lineRule="auto"/>
              <w:ind w:firstLine="482" w:firstLineChars="200"/>
              <w:jc w:val="both"/>
              <w:textAlignment w:val="auto"/>
              <w:rPr>
                <w:rFonts w:hint="default" w:ascii="Times New Roman" w:hAnsi="Times New Roman" w:eastAsia="宋体" w:cs="Times New Roman"/>
                <w:color w:val="auto"/>
                <w:spacing w:val="0"/>
                <w:position w:val="0"/>
                <w:sz w:val="24"/>
                <w:szCs w:val="24"/>
                <w:u w:val="none"/>
                <w:lang w:eastAsia="zh-CN"/>
              </w:rPr>
            </w:pPr>
            <w:r>
              <w:rPr>
                <w:rFonts w:hint="default" w:ascii="Times New Roman" w:hAnsi="Times New Roman" w:eastAsia="宋体" w:cs="Times New Roman"/>
                <w:b/>
                <w:bCs/>
                <w:color w:val="auto"/>
                <w:spacing w:val="0"/>
                <w:kern w:val="0"/>
                <w:position w:val="0"/>
                <w:sz w:val="24"/>
                <w:szCs w:val="24"/>
                <w:lang w:val="en-US" w:eastAsia="zh-CN"/>
              </w:rPr>
              <w:t>大气环境：</w:t>
            </w:r>
            <w:r>
              <w:rPr>
                <w:rFonts w:hint="default" w:ascii="Times New Roman" w:hAnsi="Times New Roman" w:eastAsia="宋体" w:cs="Times New Roman"/>
                <w:b w:val="0"/>
                <w:bCs w:val="0"/>
                <w:color w:val="auto"/>
                <w:spacing w:val="0"/>
                <w:kern w:val="0"/>
                <w:position w:val="0"/>
                <w:sz w:val="24"/>
                <w:szCs w:val="24"/>
                <w:lang w:val="en-US" w:eastAsia="zh-CN"/>
              </w:rPr>
              <w:t>项目区厂界外500m范围内无自然保护区、风景名胜区、居住区、文化区等人群较集中的区域。</w:t>
            </w:r>
          </w:p>
          <w:p w14:paraId="2D85E4CC">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color w:val="auto"/>
                <w:spacing w:val="0"/>
                <w:kern w:val="0"/>
                <w:position w:val="0"/>
                <w:sz w:val="24"/>
                <w:szCs w:val="24"/>
                <w:lang w:val="en-US" w:eastAsia="zh-CN"/>
              </w:rPr>
            </w:pPr>
            <w:r>
              <w:rPr>
                <w:rFonts w:hint="default" w:ascii="Times New Roman" w:hAnsi="Times New Roman" w:eastAsia="宋体" w:cs="Times New Roman"/>
                <w:b/>
                <w:bCs/>
                <w:color w:val="auto"/>
                <w:spacing w:val="0"/>
                <w:kern w:val="0"/>
                <w:position w:val="0"/>
                <w:sz w:val="24"/>
                <w:szCs w:val="24"/>
                <w:lang w:val="en-US" w:eastAsia="zh-CN"/>
              </w:rPr>
              <w:t>声环境：</w:t>
            </w:r>
            <w:r>
              <w:rPr>
                <w:rFonts w:hint="default" w:ascii="Times New Roman" w:hAnsi="Times New Roman" w:eastAsia="宋体" w:cs="Times New Roman"/>
                <w:color w:val="auto"/>
                <w:spacing w:val="0"/>
                <w:position w:val="0"/>
                <w:sz w:val="24"/>
                <w:szCs w:val="24"/>
              </w:rPr>
              <w:t>项目区</w:t>
            </w:r>
            <w:r>
              <w:rPr>
                <w:rFonts w:hint="default" w:ascii="Times New Roman" w:hAnsi="Times New Roman" w:eastAsia="宋体" w:cs="Times New Roman"/>
                <w:color w:val="auto"/>
                <w:spacing w:val="0"/>
                <w:position w:val="0"/>
                <w:sz w:val="24"/>
                <w:szCs w:val="24"/>
                <w:lang w:eastAsia="zh-CN"/>
              </w:rPr>
              <w:t>厂界外</w:t>
            </w:r>
            <w:r>
              <w:rPr>
                <w:rFonts w:hint="default" w:ascii="Times New Roman" w:hAnsi="Times New Roman" w:eastAsia="宋体" w:cs="Times New Roman"/>
                <w:color w:val="auto"/>
                <w:spacing w:val="0"/>
                <w:position w:val="0"/>
                <w:sz w:val="24"/>
                <w:szCs w:val="24"/>
                <w:lang w:val="en-US" w:eastAsia="zh-CN"/>
              </w:rPr>
              <w:t>50m范围内</w:t>
            </w:r>
            <w:r>
              <w:rPr>
                <w:rFonts w:hint="default" w:ascii="Times New Roman" w:hAnsi="Times New Roman" w:eastAsia="宋体" w:cs="Times New Roman"/>
                <w:color w:val="auto"/>
                <w:spacing w:val="0"/>
                <w:position w:val="0"/>
                <w:sz w:val="24"/>
                <w:szCs w:val="24"/>
              </w:rPr>
              <w:t>无</w:t>
            </w:r>
            <w:r>
              <w:rPr>
                <w:rFonts w:hint="default" w:ascii="Times New Roman" w:hAnsi="Times New Roman" w:eastAsia="宋体" w:cs="Times New Roman"/>
                <w:color w:val="auto"/>
                <w:spacing w:val="0"/>
                <w:position w:val="0"/>
                <w:sz w:val="24"/>
                <w:szCs w:val="24"/>
                <w:lang w:val="en-US" w:eastAsia="zh-CN"/>
              </w:rPr>
              <w:t>声环境保护目标</w:t>
            </w:r>
            <w:r>
              <w:rPr>
                <w:rFonts w:hint="default" w:ascii="Times New Roman" w:hAnsi="Times New Roman" w:eastAsia="宋体" w:cs="Times New Roman"/>
                <w:color w:val="auto"/>
                <w:spacing w:val="0"/>
                <w:position w:val="0"/>
                <w:sz w:val="24"/>
                <w:szCs w:val="24"/>
                <w:lang w:eastAsia="zh-CN"/>
              </w:rPr>
              <w:t>。</w:t>
            </w:r>
          </w:p>
          <w:p w14:paraId="12243DF2">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color w:val="auto"/>
                <w:spacing w:val="0"/>
                <w:kern w:val="0"/>
                <w:position w:val="0"/>
                <w:sz w:val="24"/>
                <w:szCs w:val="24"/>
                <w:lang w:val="en-US" w:eastAsia="zh-CN"/>
              </w:rPr>
            </w:pPr>
            <w:r>
              <w:rPr>
                <w:rFonts w:hint="default" w:ascii="Times New Roman" w:hAnsi="Times New Roman" w:eastAsia="宋体" w:cs="Times New Roman"/>
                <w:b/>
                <w:bCs/>
                <w:color w:val="auto"/>
                <w:spacing w:val="0"/>
                <w:kern w:val="0"/>
                <w:position w:val="0"/>
                <w:sz w:val="24"/>
                <w:szCs w:val="24"/>
                <w:lang w:val="en-US" w:eastAsia="zh-CN"/>
              </w:rPr>
              <w:t>地下水环境：</w:t>
            </w:r>
            <w:r>
              <w:rPr>
                <w:rFonts w:hint="default" w:ascii="Times New Roman" w:hAnsi="Times New Roman" w:eastAsia="宋体" w:cs="Times New Roman"/>
                <w:color w:val="auto"/>
                <w:spacing w:val="0"/>
                <w:position w:val="0"/>
                <w:sz w:val="24"/>
                <w:szCs w:val="24"/>
              </w:rPr>
              <w:t>项目区厂界外500</w:t>
            </w:r>
            <w:r>
              <w:rPr>
                <w:rFonts w:hint="default" w:ascii="Times New Roman" w:hAnsi="Times New Roman" w:eastAsia="宋体" w:cs="Times New Roman"/>
                <w:color w:val="auto"/>
                <w:spacing w:val="0"/>
                <w:position w:val="0"/>
                <w:sz w:val="24"/>
                <w:szCs w:val="24"/>
                <w:lang w:eastAsia="zh-CN"/>
              </w:rPr>
              <w:t>m</w:t>
            </w:r>
            <w:r>
              <w:rPr>
                <w:rFonts w:hint="default" w:ascii="Times New Roman" w:hAnsi="Times New Roman" w:eastAsia="宋体" w:cs="Times New Roman"/>
                <w:color w:val="auto"/>
                <w:spacing w:val="0"/>
                <w:position w:val="0"/>
                <w:sz w:val="24"/>
                <w:szCs w:val="24"/>
              </w:rPr>
              <w:t>范围内</w:t>
            </w:r>
            <w:r>
              <w:rPr>
                <w:rFonts w:hint="default" w:ascii="Times New Roman" w:hAnsi="Times New Roman" w:eastAsia="宋体" w:cs="Times New Roman"/>
                <w:color w:val="auto"/>
                <w:spacing w:val="0"/>
                <w:position w:val="0"/>
                <w:sz w:val="24"/>
                <w:szCs w:val="24"/>
                <w:lang w:eastAsia="zh-CN"/>
              </w:rPr>
              <w:t>无</w:t>
            </w:r>
            <w:r>
              <w:rPr>
                <w:rFonts w:hint="default" w:ascii="Times New Roman" w:hAnsi="Times New Roman" w:eastAsia="宋体" w:cs="Times New Roman"/>
                <w:color w:val="auto"/>
                <w:spacing w:val="0"/>
                <w:position w:val="0"/>
                <w:sz w:val="24"/>
                <w:szCs w:val="24"/>
              </w:rPr>
              <w:t>地下水集中式饮用水水源和热水、矿泉水、温泉等特殊地下水资源</w:t>
            </w:r>
            <w:r>
              <w:rPr>
                <w:rFonts w:hint="default" w:ascii="Times New Roman" w:hAnsi="Times New Roman" w:eastAsia="宋体" w:cs="Times New Roman"/>
                <w:color w:val="auto"/>
                <w:spacing w:val="0"/>
                <w:position w:val="0"/>
                <w:sz w:val="24"/>
                <w:szCs w:val="24"/>
                <w:lang w:eastAsia="zh-CN"/>
              </w:rPr>
              <w:t>。</w:t>
            </w:r>
          </w:p>
          <w:p w14:paraId="71C4EB48">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default" w:ascii="Times New Roman" w:hAnsi="Times New Roman" w:eastAsia="宋体" w:cs="Times New Roman"/>
                <w:b w:val="0"/>
                <w:bCs w:val="0"/>
                <w:color w:val="auto"/>
                <w:spacing w:val="0"/>
                <w:kern w:val="0"/>
                <w:position w:val="0"/>
                <w:sz w:val="24"/>
                <w:szCs w:val="24"/>
                <w:lang w:val="en-US" w:eastAsia="zh-CN"/>
              </w:rPr>
            </w:pPr>
            <w:r>
              <w:rPr>
                <w:rFonts w:hint="default" w:ascii="Times New Roman" w:hAnsi="Times New Roman" w:eastAsia="宋体" w:cs="Times New Roman"/>
                <w:b/>
                <w:bCs/>
                <w:color w:val="auto"/>
                <w:spacing w:val="0"/>
                <w:kern w:val="0"/>
                <w:position w:val="0"/>
                <w:sz w:val="24"/>
                <w:szCs w:val="24"/>
                <w:lang w:val="en-US" w:eastAsia="zh-CN"/>
              </w:rPr>
              <w:t>生态环境：</w:t>
            </w:r>
            <w:r>
              <w:rPr>
                <w:rFonts w:hint="default" w:ascii="Times New Roman" w:hAnsi="Times New Roman" w:eastAsia="宋体" w:cs="Times New Roman"/>
                <w:color w:val="auto"/>
                <w:spacing w:val="0"/>
                <w:position w:val="0"/>
                <w:sz w:val="24"/>
                <w:szCs w:val="24"/>
                <w:lang w:val="en-US" w:eastAsia="zh-CN"/>
              </w:rPr>
              <w:t>经调查，项目区内及周</w:t>
            </w:r>
            <w:r>
              <w:rPr>
                <w:rFonts w:hint="default" w:ascii="Times New Roman" w:hAnsi="Times New Roman" w:eastAsia="宋体" w:cs="Times New Roman"/>
                <w:b w:val="0"/>
                <w:bCs w:val="0"/>
                <w:color w:val="auto"/>
                <w:spacing w:val="0"/>
                <w:kern w:val="0"/>
                <w:position w:val="0"/>
                <w:sz w:val="24"/>
                <w:szCs w:val="24"/>
                <w:lang w:val="en-US" w:eastAsia="zh-CN"/>
              </w:rPr>
              <w:t>边不存在生态环境保护目标。</w:t>
            </w:r>
          </w:p>
        </w:tc>
      </w:tr>
      <w:tr w14:paraId="66E826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7169" w:hRule="atLeast"/>
          <w:jc w:val="center"/>
        </w:trPr>
        <w:tc>
          <w:tcPr>
            <w:tcW w:w="627" w:type="dxa"/>
            <w:noWrap w:val="0"/>
            <w:tcMar>
              <w:left w:w="28" w:type="dxa"/>
              <w:right w:w="28" w:type="dxa"/>
            </w:tcMar>
            <w:vAlign w:val="center"/>
          </w:tcPr>
          <w:p w14:paraId="0FDC7E33">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r>
              <w:rPr>
                <w:rFonts w:hint="default" w:ascii="Times New Roman" w:hAnsi="Times New Roman" w:eastAsia="宋体" w:cs="Times New Roman"/>
                <w:color w:val="auto"/>
                <w:spacing w:val="0"/>
                <w:kern w:val="0"/>
                <w:position w:val="0"/>
                <w:sz w:val="24"/>
                <w:szCs w:val="24"/>
              </w:rPr>
              <w:t>污染</w:t>
            </w:r>
          </w:p>
          <w:p w14:paraId="1AFBD208">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r>
              <w:rPr>
                <w:rFonts w:hint="default" w:ascii="Times New Roman" w:hAnsi="Times New Roman" w:eastAsia="宋体" w:cs="Times New Roman"/>
                <w:color w:val="auto"/>
                <w:spacing w:val="0"/>
                <w:kern w:val="0"/>
                <w:position w:val="0"/>
                <w:sz w:val="24"/>
                <w:szCs w:val="24"/>
              </w:rPr>
              <w:t>物排</w:t>
            </w:r>
          </w:p>
          <w:p w14:paraId="19292EBC">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r>
              <w:rPr>
                <w:rFonts w:hint="default" w:ascii="Times New Roman" w:hAnsi="Times New Roman" w:eastAsia="宋体" w:cs="Times New Roman"/>
                <w:color w:val="auto"/>
                <w:spacing w:val="0"/>
                <w:kern w:val="0"/>
                <w:position w:val="0"/>
                <w:sz w:val="24"/>
                <w:szCs w:val="24"/>
              </w:rPr>
              <w:t>放控</w:t>
            </w:r>
          </w:p>
          <w:p w14:paraId="57C6F346">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r>
              <w:rPr>
                <w:rFonts w:hint="default" w:ascii="Times New Roman" w:hAnsi="Times New Roman" w:eastAsia="宋体" w:cs="Times New Roman"/>
                <w:color w:val="auto"/>
                <w:spacing w:val="0"/>
                <w:kern w:val="0"/>
                <w:position w:val="0"/>
                <w:sz w:val="24"/>
                <w:szCs w:val="24"/>
              </w:rPr>
              <w:t>制标</w:t>
            </w:r>
          </w:p>
          <w:p w14:paraId="4D3E666A">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r>
              <w:rPr>
                <w:rFonts w:hint="default" w:ascii="Times New Roman" w:hAnsi="Times New Roman" w:eastAsia="宋体" w:cs="Times New Roman"/>
                <w:color w:val="auto"/>
                <w:spacing w:val="0"/>
                <w:kern w:val="0"/>
                <w:position w:val="0"/>
                <w:sz w:val="24"/>
                <w:szCs w:val="24"/>
              </w:rPr>
              <w:t>准</w:t>
            </w:r>
          </w:p>
        </w:tc>
        <w:tc>
          <w:tcPr>
            <w:tcW w:w="8332" w:type="dxa"/>
            <w:noWrap w:val="0"/>
            <w:vAlign w:val="center"/>
          </w:tcPr>
          <w:p w14:paraId="4298DB9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auto"/>
                <w:spacing w:val="0"/>
                <w:position w:val="0"/>
                <w:sz w:val="24"/>
                <w:szCs w:val="24"/>
                <w:lang w:val="en-US" w:eastAsia="zh-CN"/>
              </w:rPr>
            </w:pPr>
            <w:r>
              <w:rPr>
                <w:rFonts w:hint="default" w:ascii="Times New Roman" w:hAnsi="Times New Roman" w:eastAsia="宋体" w:cs="Times New Roman"/>
                <w:b/>
                <w:bCs/>
                <w:color w:val="auto"/>
                <w:spacing w:val="0"/>
                <w:position w:val="0"/>
                <w:sz w:val="24"/>
                <w:szCs w:val="24"/>
                <w:lang w:val="en-US" w:eastAsia="zh-CN"/>
              </w:rPr>
              <w:t>1.废气</w:t>
            </w:r>
          </w:p>
          <w:p w14:paraId="54DD64E6">
            <w:pPr>
              <w:pStyle w:val="10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jc w:val="both"/>
              <w:textAlignment w:val="auto"/>
              <w:rPr>
                <w:rFonts w:hint="default" w:ascii="Times New Roman" w:hAnsi="Times New Roman" w:eastAsia="宋体" w:cs="Times New Roman"/>
                <w:color w:val="auto"/>
                <w:spacing w:val="0"/>
                <w:kern w:val="2"/>
                <w:position w:val="0"/>
                <w:sz w:val="24"/>
                <w:szCs w:val="24"/>
                <w:lang w:val="en-US" w:eastAsia="zh-CN" w:bidi="ar-SA"/>
              </w:rPr>
            </w:pPr>
            <w:r>
              <w:rPr>
                <w:rFonts w:hint="default" w:ascii="Times New Roman" w:hAnsi="Times New Roman" w:eastAsia="宋体" w:cs="Times New Roman"/>
                <w:color w:val="auto"/>
                <w:spacing w:val="0"/>
                <w:kern w:val="2"/>
                <w:position w:val="0"/>
                <w:sz w:val="24"/>
                <w:szCs w:val="24"/>
                <w:lang w:val="en-US" w:eastAsia="zh-CN" w:bidi="ar-SA"/>
              </w:rPr>
              <w:t>运营期</w:t>
            </w:r>
            <w:r>
              <w:rPr>
                <w:rFonts w:hint="default" w:ascii="Times New Roman" w:hAnsi="Times New Roman" w:cs="Times New Roman"/>
                <w:color w:val="auto"/>
                <w:spacing w:val="0"/>
                <w:kern w:val="2"/>
                <w:position w:val="0"/>
                <w:sz w:val="24"/>
                <w:szCs w:val="24"/>
                <w:lang w:val="en-US" w:eastAsia="zh-CN" w:bidi="ar-SA"/>
              </w:rPr>
              <w:t>煤气燃烧</w:t>
            </w:r>
            <w:r>
              <w:rPr>
                <w:rFonts w:hint="default" w:ascii="Times New Roman" w:hAnsi="Times New Roman" w:eastAsia="宋体" w:cs="Times New Roman"/>
                <w:color w:val="auto"/>
                <w:spacing w:val="0"/>
                <w:kern w:val="2"/>
                <w:position w:val="0"/>
                <w:sz w:val="24"/>
                <w:szCs w:val="24"/>
                <w:lang w:val="en-US" w:eastAsia="zh-CN" w:bidi="ar-SA"/>
              </w:rPr>
              <w:t>烟气</w:t>
            </w:r>
            <w:r>
              <w:rPr>
                <w:rFonts w:hint="default" w:ascii="Times New Roman" w:hAnsi="Times New Roman" w:cs="Times New Roman"/>
                <w:color w:val="auto"/>
                <w:spacing w:val="0"/>
                <w:kern w:val="2"/>
                <w:position w:val="0"/>
                <w:sz w:val="24"/>
                <w:szCs w:val="24"/>
                <w:lang w:val="en-US" w:eastAsia="zh-CN" w:bidi="ar-SA"/>
              </w:rPr>
              <w:t>中烟尘和二氧化硫</w:t>
            </w:r>
            <w:r>
              <w:rPr>
                <w:rFonts w:hint="default" w:ascii="Times New Roman" w:hAnsi="Times New Roman" w:eastAsia="宋体" w:cs="Times New Roman"/>
                <w:color w:val="auto"/>
                <w:spacing w:val="0"/>
                <w:kern w:val="2"/>
                <w:position w:val="0"/>
                <w:sz w:val="24"/>
                <w:szCs w:val="24"/>
                <w:lang w:val="en-US" w:eastAsia="zh-CN" w:bidi="ar-SA"/>
              </w:rPr>
              <w:t>排放执行《火电厂大气污染物排放标准》（GB13223-2011）</w:t>
            </w:r>
            <w:r>
              <w:rPr>
                <w:rFonts w:hint="default" w:ascii="Times New Roman" w:hAnsi="Times New Roman" w:cs="Times New Roman"/>
                <w:color w:val="auto"/>
                <w:spacing w:val="0"/>
                <w:kern w:val="2"/>
                <w:position w:val="0"/>
                <w:sz w:val="24"/>
                <w:szCs w:val="24"/>
                <w:lang w:val="en-US" w:eastAsia="zh-CN" w:bidi="ar-SA"/>
              </w:rPr>
              <w:t>表2大气污染物特别排放限值</w:t>
            </w:r>
            <w:r>
              <w:rPr>
                <w:rFonts w:hint="default" w:ascii="Times New Roman" w:hAnsi="Times New Roman" w:eastAsia="宋体" w:cs="Times New Roman"/>
                <w:color w:val="auto"/>
                <w:spacing w:val="0"/>
                <w:kern w:val="2"/>
                <w:position w:val="0"/>
                <w:sz w:val="24"/>
                <w:szCs w:val="24"/>
                <w:lang w:val="en-US" w:eastAsia="zh-CN" w:bidi="ar-SA"/>
              </w:rPr>
              <w:t>要求；氮氧化</w:t>
            </w:r>
            <w:r>
              <w:rPr>
                <w:rFonts w:hint="default" w:ascii="Times New Roman" w:hAnsi="Times New Roman" w:cs="Times New Roman"/>
                <w:color w:val="auto"/>
                <w:spacing w:val="0"/>
                <w:kern w:val="2"/>
                <w:position w:val="0"/>
                <w:sz w:val="24"/>
                <w:szCs w:val="24"/>
                <w:lang w:val="en-US" w:eastAsia="zh-CN" w:bidi="ar-SA"/>
              </w:rPr>
              <w:t>物执行《关于印发〈全面实施燃煤电厂超低排放和节能改造工作方案〉的通知》（</w:t>
            </w:r>
            <w:r>
              <w:rPr>
                <w:rFonts w:hint="default" w:ascii="Times New Roman" w:hAnsi="Times New Roman" w:eastAsia="宋体" w:cs="Times New Roman"/>
                <w:color w:val="auto"/>
                <w:spacing w:val="0"/>
                <w:kern w:val="2"/>
                <w:position w:val="0"/>
                <w:sz w:val="24"/>
                <w:szCs w:val="24"/>
                <w:lang w:val="en-US" w:eastAsia="zh-CN" w:bidi="ar-SA"/>
              </w:rPr>
              <w:t>环发〔2015〕164号）中要求</w:t>
            </w:r>
            <w:r>
              <w:rPr>
                <w:rFonts w:hint="default" w:ascii="Times New Roman" w:hAnsi="Times New Roman" w:cs="Times New Roman"/>
                <w:color w:val="auto"/>
                <w:spacing w:val="0"/>
                <w:kern w:val="2"/>
                <w:position w:val="0"/>
                <w:sz w:val="24"/>
                <w:szCs w:val="24"/>
                <w:lang w:val="en-US" w:eastAsia="zh-CN" w:bidi="ar-SA"/>
              </w:rPr>
              <w:t>“基准氧含量6%条件下，烟尘、二氧化硫、氮氧化物排放浓度分别不高于10、35、50毫克/立方米）”的要求。</w:t>
            </w:r>
            <w:r>
              <w:rPr>
                <w:rFonts w:hint="default" w:ascii="Times New Roman" w:hAnsi="Times New Roman" w:eastAsia="宋体" w:cs="Times New Roman"/>
                <w:color w:val="auto"/>
                <w:spacing w:val="0"/>
                <w:kern w:val="2"/>
                <w:position w:val="0"/>
                <w:sz w:val="24"/>
                <w:szCs w:val="24"/>
                <w:lang w:val="en-US" w:eastAsia="zh-CN" w:bidi="ar-SA"/>
              </w:rPr>
              <w:t>氨逃逸排放执行《火电厂烟气脱硝工程技术规范选择性催化还原法》（HJ562-2010）相应浓度限值要求；厂界无组织</w:t>
            </w:r>
            <w:r>
              <w:rPr>
                <w:rFonts w:hint="default" w:ascii="Times New Roman" w:hAnsi="Times New Roman" w:cs="Times New Roman"/>
                <w:color w:val="auto"/>
                <w:spacing w:val="0"/>
                <w:kern w:val="2"/>
                <w:position w:val="0"/>
                <w:sz w:val="24"/>
                <w:szCs w:val="24"/>
                <w:lang w:val="en-US" w:eastAsia="zh-CN" w:bidi="ar-SA"/>
              </w:rPr>
              <w:t>颗粒物</w:t>
            </w:r>
            <w:r>
              <w:rPr>
                <w:rFonts w:hint="default" w:ascii="Times New Roman" w:hAnsi="Times New Roman" w:eastAsia="宋体" w:cs="Times New Roman"/>
                <w:color w:val="auto"/>
                <w:spacing w:val="0"/>
                <w:kern w:val="2"/>
                <w:position w:val="0"/>
                <w:sz w:val="24"/>
                <w:szCs w:val="24"/>
                <w:lang w:val="en-US" w:eastAsia="zh-CN" w:bidi="ar-SA"/>
              </w:rPr>
              <w:t>执行《大气污染物综合排放标准》（GB16297-1996）表2</w:t>
            </w:r>
            <w:r>
              <w:rPr>
                <w:rFonts w:hint="default" w:ascii="Times New Roman" w:hAnsi="Times New Roman" w:cs="Times New Roman"/>
                <w:color w:val="auto"/>
                <w:spacing w:val="0"/>
                <w:kern w:val="2"/>
                <w:position w:val="0"/>
                <w:sz w:val="24"/>
                <w:szCs w:val="24"/>
                <w:lang w:val="en-US" w:eastAsia="zh-CN" w:bidi="ar-SA"/>
              </w:rPr>
              <w:t>限值</w:t>
            </w:r>
            <w:r>
              <w:rPr>
                <w:rFonts w:hint="default" w:ascii="Times New Roman" w:hAnsi="Times New Roman" w:eastAsia="宋体" w:cs="Times New Roman"/>
                <w:color w:val="auto"/>
                <w:spacing w:val="0"/>
                <w:kern w:val="2"/>
                <w:position w:val="0"/>
                <w:sz w:val="24"/>
                <w:szCs w:val="24"/>
                <w:lang w:val="en-US" w:eastAsia="zh-CN" w:bidi="ar-SA"/>
              </w:rPr>
              <w:t>要求。本项目大气污染物排放执行标准详见表3-</w:t>
            </w:r>
            <w:r>
              <w:rPr>
                <w:rFonts w:hint="default" w:ascii="Times New Roman" w:hAnsi="Times New Roman" w:cs="Times New Roman"/>
                <w:color w:val="auto"/>
                <w:spacing w:val="0"/>
                <w:kern w:val="2"/>
                <w:position w:val="0"/>
                <w:sz w:val="24"/>
                <w:szCs w:val="24"/>
                <w:lang w:val="en-US" w:eastAsia="zh-CN" w:bidi="ar-SA"/>
              </w:rPr>
              <w:t>5</w:t>
            </w:r>
            <w:r>
              <w:rPr>
                <w:rFonts w:hint="default" w:ascii="Times New Roman" w:hAnsi="Times New Roman" w:eastAsia="宋体" w:cs="Times New Roman"/>
                <w:color w:val="auto"/>
                <w:spacing w:val="0"/>
                <w:kern w:val="2"/>
                <w:position w:val="0"/>
                <w:sz w:val="24"/>
                <w:szCs w:val="24"/>
                <w:lang w:val="en-US" w:eastAsia="zh-CN" w:bidi="ar-SA"/>
              </w:rPr>
              <w:t>。</w:t>
            </w:r>
          </w:p>
          <w:p w14:paraId="798F6E27">
            <w:pPr>
              <w:numPr>
                <w:ilvl w:val="0"/>
                <w:numId w:val="0"/>
              </w:numPr>
              <w:wordWrap w:val="0"/>
              <w:adjustRightInd w:val="0"/>
              <w:snapToGrid w:val="0"/>
              <w:spacing w:line="240" w:lineRule="auto"/>
              <w:ind w:firstLine="422" w:firstLineChars="20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表3-</w:t>
            </w:r>
            <w:r>
              <w:rPr>
                <w:rFonts w:hint="default" w:ascii="Times New Roman" w:hAnsi="Times New Roman" w:cs="Times New Roman"/>
                <w:b/>
                <w:bCs/>
                <w:color w:val="auto"/>
                <w:sz w:val="21"/>
                <w:szCs w:val="21"/>
                <w:highlight w:val="none"/>
                <w:lang w:val="en-US" w:eastAsia="zh-CN"/>
              </w:rPr>
              <w:t>5</w:t>
            </w:r>
            <w:r>
              <w:rPr>
                <w:rFonts w:hint="default" w:ascii="Times New Roman" w:hAnsi="Times New Roman" w:eastAsia="宋体" w:cs="Times New Roman"/>
                <w:b/>
                <w:bCs/>
                <w:color w:val="auto"/>
                <w:sz w:val="21"/>
                <w:szCs w:val="21"/>
                <w:highlight w:val="none"/>
                <w:lang w:val="en-US" w:eastAsia="zh-CN"/>
              </w:rPr>
              <w:t>本项目大气污染物排放执行标准</w:t>
            </w:r>
          </w:p>
          <w:tbl>
            <w:tblPr>
              <w:tblStyle w:val="96"/>
              <w:tblW w:w="8208" w:type="dxa"/>
              <w:tblInd w:w="-1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68" w:type="dxa"/>
                <w:bottom w:w="0" w:type="dxa"/>
                <w:right w:w="68" w:type="dxa"/>
              </w:tblCellMar>
            </w:tblPr>
            <w:tblGrid>
              <w:gridCol w:w="708"/>
              <w:gridCol w:w="895"/>
              <w:gridCol w:w="838"/>
              <w:gridCol w:w="717"/>
              <w:gridCol w:w="1207"/>
              <w:gridCol w:w="3843"/>
            </w:tblGrid>
            <w:tr w14:paraId="1A3A7A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530" w:hRule="atLeast"/>
              </w:trPr>
              <w:tc>
                <w:tcPr>
                  <w:tcW w:w="431" w:type="pct"/>
                  <w:tcBorders>
                    <w:tl2br w:val="nil"/>
                    <w:tr2bl w:val="nil"/>
                  </w:tcBorders>
                  <w:vAlign w:val="center"/>
                </w:tcPr>
                <w:p w14:paraId="60B49445">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pacing w:val="2"/>
                      <w:sz w:val="21"/>
                      <w:szCs w:val="21"/>
                      <w:lang w:val="en-US" w:eastAsia="zh-CN"/>
                    </w:rPr>
                  </w:pPr>
                  <w:r>
                    <w:rPr>
                      <w:rFonts w:hint="default" w:ascii="Times New Roman" w:hAnsi="Times New Roman" w:cs="Times New Roman"/>
                      <w:b/>
                      <w:bCs/>
                      <w:color w:val="auto"/>
                      <w:spacing w:val="2"/>
                      <w:sz w:val="21"/>
                      <w:szCs w:val="21"/>
                      <w:lang w:val="en-US" w:eastAsia="zh-CN"/>
                    </w:rPr>
                    <w:t>产污环节</w:t>
                  </w:r>
                </w:p>
              </w:tc>
              <w:tc>
                <w:tcPr>
                  <w:tcW w:w="545" w:type="pct"/>
                  <w:tcBorders>
                    <w:tl2br w:val="nil"/>
                    <w:tr2bl w:val="nil"/>
                  </w:tcBorders>
                  <w:vAlign w:val="center"/>
                </w:tcPr>
                <w:p w14:paraId="2203B61C">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5"/>
                      <w:sz w:val="21"/>
                      <w:szCs w:val="21"/>
                    </w:rPr>
                    <w:t>污染物</w:t>
                  </w:r>
                </w:p>
              </w:tc>
              <w:tc>
                <w:tcPr>
                  <w:tcW w:w="510" w:type="pct"/>
                  <w:tcBorders>
                    <w:tl2br w:val="nil"/>
                    <w:tr2bl w:val="nil"/>
                  </w:tcBorders>
                  <w:vAlign w:val="center"/>
                </w:tcPr>
                <w:p w14:paraId="29C6B8DB">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3"/>
                      <w:sz w:val="21"/>
                      <w:szCs w:val="21"/>
                    </w:rPr>
                    <w:t>监控</w:t>
                  </w:r>
                  <w:r>
                    <w:rPr>
                      <w:rFonts w:hint="default" w:ascii="Times New Roman" w:hAnsi="Times New Roman" w:cs="Times New Roman"/>
                      <w:b/>
                      <w:bCs/>
                      <w:color w:val="auto"/>
                      <w:spacing w:val="-3"/>
                      <w:sz w:val="21"/>
                      <w:szCs w:val="21"/>
                    </w:rPr>
                    <w:t>点</w:t>
                  </w:r>
                </w:p>
              </w:tc>
              <w:tc>
                <w:tcPr>
                  <w:tcW w:w="436" w:type="pct"/>
                  <w:tcBorders>
                    <w:tl2br w:val="nil"/>
                    <w:tr2bl w:val="nil"/>
                  </w:tcBorders>
                  <w:vAlign w:val="center"/>
                </w:tcPr>
                <w:p w14:paraId="59E23E26">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3"/>
                      <w:sz w:val="21"/>
                      <w:szCs w:val="21"/>
                    </w:rPr>
                    <w:t>排放</w:t>
                  </w:r>
                </w:p>
                <w:p w14:paraId="189939A3">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2"/>
                      <w:sz w:val="21"/>
                      <w:szCs w:val="21"/>
                    </w:rPr>
                    <w:t>形式</w:t>
                  </w:r>
                </w:p>
              </w:tc>
              <w:tc>
                <w:tcPr>
                  <w:tcW w:w="735" w:type="pct"/>
                  <w:tcBorders>
                    <w:tl2br w:val="nil"/>
                    <w:tr2bl w:val="nil"/>
                  </w:tcBorders>
                  <w:vAlign w:val="center"/>
                </w:tcPr>
                <w:p w14:paraId="53CDA0DC">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6"/>
                      <w:sz w:val="21"/>
                      <w:szCs w:val="21"/>
                    </w:rPr>
                    <w:t>浓度限值</w:t>
                  </w:r>
                </w:p>
              </w:tc>
              <w:tc>
                <w:tcPr>
                  <w:tcW w:w="2341" w:type="pct"/>
                  <w:tcBorders>
                    <w:tl2br w:val="nil"/>
                    <w:tr2bl w:val="nil"/>
                  </w:tcBorders>
                  <w:vAlign w:val="center"/>
                </w:tcPr>
                <w:p w14:paraId="62994285">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b/>
                      <w:bCs/>
                      <w:color w:val="auto"/>
                      <w:spacing w:val="6"/>
                      <w:sz w:val="21"/>
                      <w:szCs w:val="21"/>
                    </w:rPr>
                    <w:t>标准规范</w:t>
                  </w:r>
                </w:p>
              </w:tc>
            </w:tr>
            <w:tr w14:paraId="7CFFE00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90" w:hRule="atLeast"/>
              </w:trPr>
              <w:tc>
                <w:tcPr>
                  <w:tcW w:w="431" w:type="pct"/>
                  <w:vMerge w:val="restart"/>
                  <w:tcBorders>
                    <w:tl2br w:val="nil"/>
                    <w:tr2bl w:val="nil"/>
                  </w:tcBorders>
                  <w:vAlign w:val="center"/>
                </w:tcPr>
                <w:p w14:paraId="5F45BDBC">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4"/>
                      <w:sz w:val="21"/>
                      <w:szCs w:val="21"/>
                    </w:rPr>
                    <w:t>锅炉烟气</w:t>
                  </w:r>
                </w:p>
              </w:tc>
              <w:tc>
                <w:tcPr>
                  <w:tcW w:w="545" w:type="pct"/>
                  <w:tcBorders>
                    <w:bottom w:val="single" w:color="auto" w:sz="4" w:space="0"/>
                    <w:tl2br w:val="nil"/>
                    <w:tr2bl w:val="nil"/>
                  </w:tcBorders>
                  <w:vAlign w:val="center"/>
                </w:tcPr>
                <w:p w14:paraId="29AD2366">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4"/>
                      <w:sz w:val="21"/>
                      <w:szCs w:val="21"/>
                    </w:rPr>
                    <w:t>烟尘</w:t>
                  </w:r>
                </w:p>
              </w:tc>
              <w:tc>
                <w:tcPr>
                  <w:tcW w:w="510" w:type="pct"/>
                  <w:vMerge w:val="restart"/>
                  <w:tcBorders>
                    <w:tl2br w:val="nil"/>
                    <w:tr2bl w:val="nil"/>
                  </w:tcBorders>
                  <w:vAlign w:val="center"/>
                </w:tcPr>
                <w:p w14:paraId="5FA64826">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4"/>
                      <w:sz w:val="21"/>
                      <w:szCs w:val="21"/>
                    </w:rPr>
                    <w:t>烟囱</w:t>
                  </w:r>
                </w:p>
              </w:tc>
              <w:tc>
                <w:tcPr>
                  <w:tcW w:w="436" w:type="pct"/>
                  <w:vMerge w:val="restart"/>
                  <w:tcBorders>
                    <w:tl2br w:val="nil"/>
                    <w:tr2bl w:val="nil"/>
                  </w:tcBorders>
                  <w:vAlign w:val="center"/>
                </w:tcPr>
                <w:p w14:paraId="1DFD5688">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有组织</w:t>
                  </w:r>
                </w:p>
              </w:tc>
              <w:tc>
                <w:tcPr>
                  <w:tcW w:w="735" w:type="pct"/>
                  <w:tcBorders>
                    <w:tl2br w:val="nil"/>
                    <w:tr2bl w:val="nil"/>
                  </w:tcBorders>
                  <w:vAlign w:val="center"/>
                </w:tcPr>
                <w:p w14:paraId="3DC8D5C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eastAsia="宋体" w:cs="Times New Roman"/>
                      <w:color w:val="auto"/>
                      <w:sz w:val="21"/>
                      <w:szCs w:val="21"/>
                      <w:lang w:val="en-US" w:eastAsia="zh-CN"/>
                    </w:rPr>
                    <w:t>5</w:t>
                  </w:r>
                  <w:r>
                    <w:rPr>
                      <w:rFonts w:hint="default" w:ascii="Times New Roman" w:hAnsi="Times New Roman" w:eastAsia="Times New Roman" w:cs="Times New Roman"/>
                      <w:color w:val="auto"/>
                      <w:sz w:val="21"/>
                      <w:szCs w:val="21"/>
                    </w:rPr>
                    <w:t>mg</w:t>
                  </w:r>
                  <w:r>
                    <w:rPr>
                      <w:rFonts w:hint="default" w:ascii="Times New Roman" w:hAnsi="Times New Roman" w:eastAsia="Times New Roman" w:cs="Times New Roman"/>
                      <w:color w:val="auto"/>
                      <w:spacing w:val="6"/>
                      <w:sz w:val="21"/>
                      <w:szCs w:val="21"/>
                    </w:rPr>
                    <w:t>/</w:t>
                  </w:r>
                  <w:r>
                    <w:rPr>
                      <w:rFonts w:hint="default" w:ascii="Times New Roman" w:hAnsi="Times New Roman" w:eastAsia="宋体" w:cs="Times New Roman"/>
                      <w:color w:val="auto"/>
                      <w:spacing w:val="6"/>
                      <w:sz w:val="21"/>
                      <w:szCs w:val="21"/>
                      <w:lang w:val="en-US" w:eastAsia="zh-CN"/>
                    </w:rPr>
                    <w:t>m</w:t>
                  </w:r>
                  <w:r>
                    <w:rPr>
                      <w:rFonts w:hint="default" w:ascii="Times New Roman" w:hAnsi="Times New Roman" w:eastAsia="宋体" w:cs="Times New Roman"/>
                      <w:color w:val="auto"/>
                      <w:spacing w:val="6"/>
                      <w:sz w:val="21"/>
                      <w:szCs w:val="21"/>
                      <w:vertAlign w:val="superscript"/>
                      <w:lang w:val="en-US" w:eastAsia="zh-CN"/>
                    </w:rPr>
                    <w:t>3</w:t>
                  </w:r>
                </w:p>
              </w:tc>
              <w:tc>
                <w:tcPr>
                  <w:tcW w:w="2341" w:type="pct"/>
                  <w:vMerge w:val="restart"/>
                  <w:tcBorders>
                    <w:tl2br w:val="nil"/>
                    <w:tr2bl w:val="nil"/>
                  </w:tcBorders>
                  <w:vAlign w:val="center"/>
                </w:tcPr>
                <w:p w14:paraId="5A7694FC">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pacing w:val="8"/>
                      <w:sz w:val="21"/>
                      <w:szCs w:val="21"/>
                    </w:rPr>
                    <w:t>《火电厂大气污染物排</w:t>
                  </w:r>
                  <w:r>
                    <w:rPr>
                      <w:rFonts w:hint="default" w:ascii="Times New Roman" w:hAnsi="Times New Roman" w:cs="Times New Roman"/>
                      <w:color w:val="auto"/>
                      <w:spacing w:val="-6"/>
                      <w:sz w:val="21"/>
                      <w:szCs w:val="21"/>
                    </w:rPr>
                    <w:t>放标准》（</w:t>
                  </w:r>
                  <w:r>
                    <w:rPr>
                      <w:rFonts w:hint="default" w:ascii="Times New Roman" w:hAnsi="Times New Roman" w:eastAsia="Times New Roman" w:cs="Times New Roman"/>
                      <w:color w:val="auto"/>
                      <w:spacing w:val="-6"/>
                      <w:sz w:val="21"/>
                      <w:szCs w:val="21"/>
                    </w:rPr>
                    <w:t>GB13223-2011</w:t>
                  </w:r>
                  <w:r>
                    <w:rPr>
                      <w:rFonts w:hint="default" w:ascii="Times New Roman" w:hAnsi="Times New Roman" w:cs="Times New Roman"/>
                      <w:color w:val="auto"/>
                      <w:spacing w:val="-6"/>
                      <w:sz w:val="21"/>
                      <w:szCs w:val="21"/>
                    </w:rPr>
                    <w:t>）</w:t>
                  </w:r>
                  <w:r>
                    <w:rPr>
                      <w:rFonts w:hint="default" w:ascii="Times New Roman" w:hAnsi="Times New Roman" w:cs="Times New Roman"/>
                      <w:color w:val="auto"/>
                      <w:spacing w:val="10"/>
                      <w:sz w:val="21"/>
                      <w:szCs w:val="21"/>
                      <w:lang w:eastAsia="zh-CN"/>
                    </w:rPr>
                    <w:t>表2大气污染物特别排放限值</w:t>
                  </w:r>
                </w:p>
              </w:tc>
            </w:tr>
            <w:tr w14:paraId="3A6ABF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228" w:hRule="atLeast"/>
              </w:trPr>
              <w:tc>
                <w:tcPr>
                  <w:tcW w:w="431" w:type="pct"/>
                  <w:vMerge w:val="continue"/>
                  <w:tcBorders>
                    <w:tl2br w:val="nil"/>
                    <w:tr2bl w:val="nil"/>
                  </w:tcBorders>
                  <w:vAlign w:val="center"/>
                </w:tcPr>
                <w:p w14:paraId="3DB4F045">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p>
              </w:tc>
              <w:tc>
                <w:tcPr>
                  <w:tcW w:w="545" w:type="pct"/>
                  <w:tcBorders>
                    <w:top w:val="single" w:color="auto" w:sz="4" w:space="0"/>
                    <w:bottom w:val="single" w:color="auto" w:sz="4" w:space="0"/>
                    <w:tl2br w:val="nil"/>
                    <w:tr2bl w:val="nil"/>
                  </w:tcBorders>
                  <w:vAlign w:val="center"/>
                </w:tcPr>
                <w:p w14:paraId="708CC59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eastAsia="Times New Roman" w:cs="Times New Roman"/>
                      <w:color w:val="auto"/>
                      <w:sz w:val="21"/>
                      <w:szCs w:val="21"/>
                    </w:rPr>
                    <w:t>SO</w:t>
                  </w:r>
                  <w:r>
                    <w:rPr>
                      <w:rFonts w:hint="default" w:ascii="Times New Roman" w:hAnsi="Times New Roman" w:eastAsia="Times New Roman" w:cs="Times New Roman"/>
                      <w:color w:val="auto"/>
                      <w:spacing w:val="3"/>
                      <w:position w:val="-1"/>
                      <w:sz w:val="21"/>
                      <w:szCs w:val="21"/>
                      <w:vertAlign w:val="subscript"/>
                    </w:rPr>
                    <w:t>2</w:t>
                  </w:r>
                </w:p>
              </w:tc>
              <w:tc>
                <w:tcPr>
                  <w:tcW w:w="510" w:type="pct"/>
                  <w:vMerge w:val="continue"/>
                  <w:tcBorders>
                    <w:tl2br w:val="nil"/>
                    <w:tr2bl w:val="nil"/>
                  </w:tcBorders>
                  <w:vAlign w:val="center"/>
                </w:tcPr>
                <w:p w14:paraId="6CB7FCA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p>
              </w:tc>
              <w:tc>
                <w:tcPr>
                  <w:tcW w:w="436" w:type="pct"/>
                  <w:vMerge w:val="continue"/>
                  <w:tcBorders>
                    <w:tl2br w:val="nil"/>
                    <w:tr2bl w:val="nil"/>
                  </w:tcBorders>
                  <w:vAlign w:val="center"/>
                </w:tcPr>
                <w:p w14:paraId="4A0A707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p>
              </w:tc>
              <w:tc>
                <w:tcPr>
                  <w:tcW w:w="735" w:type="pct"/>
                  <w:tcBorders>
                    <w:tl2br w:val="nil"/>
                    <w:tr2bl w:val="nil"/>
                  </w:tcBorders>
                  <w:vAlign w:val="center"/>
                </w:tcPr>
                <w:p w14:paraId="7F644AB3">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Times New Roman" w:cs="Times New Roman"/>
                      <w:color w:val="auto"/>
                      <w:sz w:val="21"/>
                      <w:szCs w:val="21"/>
                    </w:rPr>
                  </w:pPr>
                  <w:r>
                    <w:rPr>
                      <w:rFonts w:hint="default" w:ascii="Times New Roman" w:hAnsi="Times New Roman" w:cs="Times New Roman"/>
                      <w:color w:val="auto"/>
                      <w:sz w:val="21"/>
                      <w:szCs w:val="21"/>
                      <w:lang w:val="en-US" w:eastAsia="zh-CN"/>
                    </w:rPr>
                    <w:t>35</w:t>
                  </w:r>
                  <w:r>
                    <w:rPr>
                      <w:rFonts w:hint="default" w:ascii="Times New Roman" w:hAnsi="Times New Roman" w:eastAsia="Times New Roman" w:cs="Times New Roman"/>
                      <w:color w:val="auto"/>
                      <w:sz w:val="21"/>
                      <w:szCs w:val="21"/>
                    </w:rPr>
                    <w:t>mg</w:t>
                  </w:r>
                  <w:r>
                    <w:rPr>
                      <w:rFonts w:hint="default" w:ascii="Times New Roman" w:hAnsi="Times New Roman" w:eastAsia="Times New Roman" w:cs="Times New Roman"/>
                      <w:color w:val="auto"/>
                      <w:spacing w:val="6"/>
                      <w:sz w:val="21"/>
                      <w:szCs w:val="21"/>
                    </w:rPr>
                    <w:t>/</w:t>
                  </w:r>
                  <w:r>
                    <w:rPr>
                      <w:rFonts w:hint="default" w:ascii="Times New Roman" w:hAnsi="Times New Roman" w:eastAsia="宋体" w:cs="Times New Roman"/>
                      <w:color w:val="auto"/>
                      <w:spacing w:val="6"/>
                      <w:sz w:val="21"/>
                      <w:szCs w:val="21"/>
                      <w:lang w:val="en-US" w:eastAsia="zh-CN"/>
                    </w:rPr>
                    <w:t>m</w:t>
                  </w:r>
                  <w:r>
                    <w:rPr>
                      <w:rFonts w:hint="default" w:ascii="Times New Roman" w:hAnsi="Times New Roman" w:eastAsia="宋体" w:cs="Times New Roman"/>
                      <w:color w:val="auto"/>
                      <w:spacing w:val="6"/>
                      <w:sz w:val="21"/>
                      <w:szCs w:val="21"/>
                      <w:vertAlign w:val="superscript"/>
                      <w:lang w:val="en-US" w:eastAsia="zh-CN"/>
                    </w:rPr>
                    <w:t>3</w:t>
                  </w:r>
                </w:p>
              </w:tc>
              <w:tc>
                <w:tcPr>
                  <w:tcW w:w="2341" w:type="pct"/>
                  <w:vMerge w:val="continue"/>
                  <w:tcBorders>
                    <w:tl2br w:val="nil"/>
                    <w:tr2bl w:val="nil"/>
                  </w:tcBorders>
                  <w:vAlign w:val="center"/>
                </w:tcPr>
                <w:p w14:paraId="5FB8E79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p>
              </w:tc>
            </w:tr>
            <w:tr w14:paraId="704E661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117" w:hRule="atLeast"/>
              </w:trPr>
              <w:tc>
                <w:tcPr>
                  <w:tcW w:w="431" w:type="pct"/>
                  <w:vMerge w:val="continue"/>
                  <w:tcBorders>
                    <w:tl2br w:val="nil"/>
                    <w:tr2bl w:val="nil"/>
                  </w:tcBorders>
                  <w:vAlign w:val="center"/>
                </w:tcPr>
                <w:p w14:paraId="3EB1D6ED">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p>
              </w:tc>
              <w:tc>
                <w:tcPr>
                  <w:tcW w:w="545" w:type="pct"/>
                  <w:tcBorders>
                    <w:top w:val="single" w:color="auto" w:sz="4" w:space="0"/>
                    <w:bottom w:val="single" w:color="auto" w:sz="4" w:space="0"/>
                    <w:tl2br w:val="nil"/>
                    <w:tr2bl w:val="nil"/>
                  </w:tcBorders>
                  <w:vAlign w:val="center"/>
                </w:tcPr>
                <w:p w14:paraId="0F3CD507">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eastAsia="宋体" w:cs="Times New Roman"/>
                      <w:color w:val="auto"/>
                      <w:spacing w:val="4"/>
                      <w:sz w:val="21"/>
                      <w:szCs w:val="21"/>
                      <w:lang w:eastAsia="zh-CN"/>
                    </w:rPr>
                    <w:t>林格曼黑度</w:t>
                  </w:r>
                </w:p>
              </w:tc>
              <w:tc>
                <w:tcPr>
                  <w:tcW w:w="510" w:type="pct"/>
                  <w:vMerge w:val="continue"/>
                  <w:tcBorders>
                    <w:tl2br w:val="nil"/>
                    <w:tr2bl w:val="nil"/>
                  </w:tcBorders>
                  <w:vAlign w:val="center"/>
                </w:tcPr>
                <w:p w14:paraId="4C6DC03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p>
              </w:tc>
              <w:tc>
                <w:tcPr>
                  <w:tcW w:w="436" w:type="pct"/>
                  <w:vMerge w:val="continue"/>
                  <w:tcBorders>
                    <w:tl2br w:val="nil"/>
                    <w:tr2bl w:val="nil"/>
                  </w:tcBorders>
                  <w:vAlign w:val="center"/>
                </w:tcPr>
                <w:p w14:paraId="5978988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p>
              </w:tc>
              <w:tc>
                <w:tcPr>
                  <w:tcW w:w="735" w:type="pct"/>
                  <w:tcBorders>
                    <w:tl2br w:val="nil"/>
                    <w:tr2bl w:val="nil"/>
                  </w:tcBorders>
                  <w:vAlign w:val="center"/>
                </w:tcPr>
                <w:p w14:paraId="68494117">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微软雅黑" w:cs="Times New Roman"/>
                      <w:color w:val="auto"/>
                      <w:sz w:val="21"/>
                      <w:szCs w:val="21"/>
                      <w:lang w:val="en-US" w:eastAsia="zh-CN"/>
                    </w:rPr>
                  </w:pPr>
                  <w:r>
                    <w:rPr>
                      <w:rFonts w:hint="default" w:ascii="Times New Roman" w:hAnsi="Times New Roman" w:eastAsia="宋体" w:cs="Times New Roman"/>
                      <w:color w:val="auto"/>
                      <w:spacing w:val="8"/>
                      <w:kern w:val="2"/>
                      <w:sz w:val="21"/>
                      <w:szCs w:val="21"/>
                      <w:lang w:val="en-US" w:eastAsia="zh-CN" w:bidi="ar-SA"/>
                    </w:rPr>
                    <w:t>1级</w:t>
                  </w:r>
                </w:p>
              </w:tc>
              <w:tc>
                <w:tcPr>
                  <w:tcW w:w="2341" w:type="pct"/>
                  <w:vMerge w:val="continue"/>
                  <w:tcBorders>
                    <w:tl2br w:val="nil"/>
                    <w:tr2bl w:val="nil"/>
                  </w:tcBorders>
                  <w:vAlign w:val="center"/>
                </w:tcPr>
                <w:p w14:paraId="432CF3FF">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p>
              </w:tc>
            </w:tr>
            <w:tr w14:paraId="2E0C7B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90" w:hRule="atLeast"/>
              </w:trPr>
              <w:tc>
                <w:tcPr>
                  <w:tcW w:w="431" w:type="pct"/>
                  <w:vMerge w:val="continue"/>
                  <w:tcBorders>
                    <w:tl2br w:val="nil"/>
                    <w:tr2bl w:val="nil"/>
                  </w:tcBorders>
                  <w:vAlign w:val="center"/>
                </w:tcPr>
                <w:p w14:paraId="1DE5C575">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p>
              </w:tc>
              <w:tc>
                <w:tcPr>
                  <w:tcW w:w="545" w:type="pct"/>
                  <w:tcBorders>
                    <w:top w:val="single" w:color="auto" w:sz="4" w:space="0"/>
                    <w:bottom w:val="single" w:color="auto" w:sz="4" w:space="0"/>
                    <w:tl2br w:val="nil"/>
                    <w:tr2bl w:val="nil"/>
                  </w:tcBorders>
                  <w:vAlign w:val="center"/>
                </w:tcPr>
                <w:p w14:paraId="3DD34DF9">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eastAsia="Times New Roman" w:cs="Times New Roman"/>
                      <w:color w:val="auto"/>
                      <w:spacing w:val="7"/>
                      <w:sz w:val="21"/>
                      <w:szCs w:val="21"/>
                    </w:rPr>
                    <w:t>NO</w:t>
                  </w:r>
                  <w:r>
                    <w:rPr>
                      <w:rFonts w:hint="default" w:ascii="Times New Roman" w:hAnsi="Times New Roman" w:eastAsia="Times New Roman" w:cs="Times New Roman"/>
                      <w:color w:val="auto"/>
                      <w:spacing w:val="7"/>
                      <w:position w:val="-1"/>
                      <w:sz w:val="21"/>
                      <w:szCs w:val="21"/>
                      <w:vertAlign w:val="subscript"/>
                    </w:rPr>
                    <w:t>X</w:t>
                  </w:r>
                </w:p>
              </w:tc>
              <w:tc>
                <w:tcPr>
                  <w:tcW w:w="510" w:type="pct"/>
                  <w:vMerge w:val="continue"/>
                  <w:tcBorders>
                    <w:tl2br w:val="nil"/>
                    <w:tr2bl w:val="nil"/>
                  </w:tcBorders>
                  <w:vAlign w:val="center"/>
                </w:tcPr>
                <w:p w14:paraId="460AC09E">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p>
              </w:tc>
              <w:tc>
                <w:tcPr>
                  <w:tcW w:w="436" w:type="pct"/>
                  <w:vMerge w:val="continue"/>
                  <w:tcBorders>
                    <w:tl2br w:val="nil"/>
                    <w:tr2bl w:val="nil"/>
                  </w:tcBorders>
                  <w:vAlign w:val="center"/>
                </w:tcPr>
                <w:p w14:paraId="7993F1F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1"/>
                      <w:szCs w:val="21"/>
                      <w:lang w:val="en-US" w:eastAsia="zh-CN"/>
                    </w:rPr>
                  </w:pPr>
                </w:p>
              </w:tc>
              <w:tc>
                <w:tcPr>
                  <w:tcW w:w="735" w:type="pct"/>
                  <w:tcBorders>
                    <w:tl2br w:val="nil"/>
                    <w:tr2bl w:val="nil"/>
                  </w:tcBorders>
                  <w:vAlign w:val="center"/>
                </w:tcPr>
                <w:p w14:paraId="5ECA8EF2">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8"/>
                      <w:kern w:val="2"/>
                      <w:sz w:val="21"/>
                      <w:szCs w:val="21"/>
                      <w:lang w:val="en-US" w:eastAsia="en-US" w:bidi="ar-SA"/>
                    </w:rPr>
                  </w:pPr>
                  <w:r>
                    <w:rPr>
                      <w:rFonts w:hint="default" w:ascii="Times New Roman" w:hAnsi="Times New Roman" w:eastAsia="宋体" w:cs="Times New Roman"/>
                      <w:color w:val="auto"/>
                      <w:spacing w:val="8"/>
                      <w:kern w:val="2"/>
                      <w:sz w:val="21"/>
                      <w:szCs w:val="21"/>
                      <w:lang w:val="en-US" w:eastAsia="zh-CN" w:bidi="ar-SA"/>
                    </w:rPr>
                    <w:t>50</w:t>
                  </w:r>
                  <w:r>
                    <w:rPr>
                      <w:rFonts w:hint="default" w:ascii="Times New Roman" w:hAnsi="Times New Roman" w:eastAsia="宋体" w:cs="Times New Roman"/>
                      <w:color w:val="auto"/>
                      <w:spacing w:val="8"/>
                      <w:kern w:val="2"/>
                      <w:sz w:val="21"/>
                      <w:szCs w:val="21"/>
                      <w:lang w:val="en-US" w:eastAsia="en-US" w:bidi="ar-SA"/>
                    </w:rPr>
                    <w:t>mg/</w:t>
                  </w:r>
                  <w:r>
                    <w:rPr>
                      <w:rFonts w:hint="default" w:ascii="Times New Roman" w:hAnsi="Times New Roman" w:eastAsia="宋体" w:cs="Times New Roman"/>
                      <w:color w:val="auto"/>
                      <w:spacing w:val="8"/>
                      <w:kern w:val="2"/>
                      <w:sz w:val="21"/>
                      <w:szCs w:val="21"/>
                      <w:lang w:val="en-US" w:eastAsia="zh-CN" w:bidi="ar-SA"/>
                    </w:rPr>
                    <w:t>m</w:t>
                  </w:r>
                  <w:r>
                    <w:rPr>
                      <w:rFonts w:hint="default" w:ascii="Times New Roman" w:hAnsi="Times New Roman" w:eastAsia="宋体" w:cs="Times New Roman"/>
                      <w:color w:val="auto"/>
                      <w:spacing w:val="8"/>
                      <w:kern w:val="2"/>
                      <w:sz w:val="21"/>
                      <w:szCs w:val="21"/>
                      <w:vertAlign w:val="superscript"/>
                      <w:lang w:val="en-US" w:eastAsia="zh-CN" w:bidi="ar-SA"/>
                    </w:rPr>
                    <w:t>3</w:t>
                  </w:r>
                </w:p>
              </w:tc>
              <w:tc>
                <w:tcPr>
                  <w:tcW w:w="2341" w:type="pct"/>
                  <w:tcBorders>
                    <w:tl2br w:val="nil"/>
                    <w:tr2bl w:val="nil"/>
                  </w:tcBorders>
                  <w:vAlign w:val="center"/>
                </w:tcPr>
                <w:p w14:paraId="199F7755">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8"/>
                      <w:kern w:val="2"/>
                      <w:sz w:val="21"/>
                      <w:szCs w:val="21"/>
                      <w:lang w:val="en-US" w:eastAsia="en-US" w:bidi="ar-SA"/>
                    </w:rPr>
                  </w:pPr>
                  <w:r>
                    <w:rPr>
                      <w:rFonts w:hint="default" w:ascii="Times New Roman" w:hAnsi="Times New Roman" w:eastAsia="宋体" w:cs="Times New Roman"/>
                      <w:color w:val="auto"/>
                      <w:spacing w:val="8"/>
                      <w:kern w:val="2"/>
                      <w:sz w:val="21"/>
                      <w:szCs w:val="21"/>
                      <w:lang w:val="en-US" w:eastAsia="zh-CN" w:bidi="ar-SA"/>
                    </w:rPr>
                    <w:t>《关于印发〈全面实施燃煤电厂超低排放和节能改造工作方案〉的通知》（环发〔2015〕164号）</w:t>
                  </w:r>
                </w:p>
              </w:tc>
            </w:tr>
            <w:tr w14:paraId="25F66C7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90" w:hRule="atLeast"/>
              </w:trPr>
              <w:tc>
                <w:tcPr>
                  <w:tcW w:w="431" w:type="pct"/>
                  <w:vMerge w:val="continue"/>
                  <w:tcBorders>
                    <w:tl2br w:val="nil"/>
                    <w:tr2bl w:val="nil"/>
                  </w:tcBorders>
                  <w:vAlign w:val="center"/>
                </w:tcPr>
                <w:p w14:paraId="353DB1A8">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p>
              </w:tc>
              <w:tc>
                <w:tcPr>
                  <w:tcW w:w="545" w:type="pct"/>
                  <w:tcBorders>
                    <w:top w:val="single" w:color="auto" w:sz="4" w:space="0"/>
                    <w:bottom w:val="single" w:color="auto" w:sz="4" w:space="0"/>
                    <w:tl2br w:val="nil"/>
                    <w:tr2bl w:val="nil"/>
                  </w:tcBorders>
                  <w:vAlign w:val="center"/>
                </w:tcPr>
                <w:p w14:paraId="06D50D2C">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氨</w:t>
                  </w:r>
                </w:p>
              </w:tc>
              <w:tc>
                <w:tcPr>
                  <w:tcW w:w="510" w:type="pct"/>
                  <w:vMerge w:val="continue"/>
                  <w:tcBorders>
                    <w:bottom w:val="single" w:color="auto" w:sz="4" w:space="0"/>
                    <w:tl2br w:val="nil"/>
                    <w:tr2bl w:val="nil"/>
                  </w:tcBorders>
                  <w:vAlign w:val="center"/>
                </w:tcPr>
                <w:p w14:paraId="10A98256">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z w:val="21"/>
                      <w:szCs w:val="21"/>
                    </w:rPr>
                  </w:pPr>
                </w:p>
              </w:tc>
              <w:tc>
                <w:tcPr>
                  <w:tcW w:w="436" w:type="pct"/>
                  <w:vMerge w:val="continue"/>
                  <w:tcBorders>
                    <w:tl2br w:val="nil"/>
                    <w:tr2bl w:val="nil"/>
                  </w:tcBorders>
                  <w:vAlign w:val="center"/>
                </w:tcPr>
                <w:p w14:paraId="3AB6A540">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1"/>
                      <w:szCs w:val="21"/>
                      <w:lang w:val="en-US" w:eastAsia="zh-CN"/>
                    </w:rPr>
                  </w:pPr>
                </w:p>
              </w:tc>
              <w:tc>
                <w:tcPr>
                  <w:tcW w:w="735" w:type="pct"/>
                  <w:tcBorders>
                    <w:tl2br w:val="nil"/>
                    <w:tr2bl w:val="nil"/>
                  </w:tcBorders>
                  <w:vAlign w:val="center"/>
                </w:tcPr>
                <w:p w14:paraId="411C9101">
                  <w:pPr>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1"/>
                      <w:szCs w:val="21"/>
                      <w:lang w:eastAsia="zh-CN"/>
                    </w:rPr>
                  </w:pPr>
                  <w:r>
                    <w:rPr>
                      <w:rFonts w:hint="default" w:ascii="Times New Roman" w:hAnsi="Times New Roman" w:eastAsia="Times New Roman" w:cs="Times New Roman"/>
                      <w:color w:val="auto"/>
                      <w:spacing w:val="2"/>
                      <w:sz w:val="21"/>
                      <w:szCs w:val="21"/>
                    </w:rPr>
                    <w:t>2.5</w:t>
                  </w:r>
                  <w:r>
                    <w:rPr>
                      <w:rFonts w:hint="default" w:ascii="Times New Roman" w:hAnsi="Times New Roman" w:eastAsia="Times New Roman" w:cs="Times New Roman"/>
                      <w:color w:val="auto"/>
                      <w:sz w:val="21"/>
                      <w:szCs w:val="21"/>
                    </w:rPr>
                    <w:t>mg</w:t>
                  </w:r>
                  <w:r>
                    <w:rPr>
                      <w:rFonts w:hint="default" w:ascii="Times New Roman" w:hAnsi="Times New Roman" w:eastAsia="宋体" w:cs="Times New Roman"/>
                      <w:color w:val="auto"/>
                      <w:spacing w:val="6"/>
                      <w:sz w:val="21"/>
                      <w:szCs w:val="21"/>
                      <w:lang w:val="en-US" w:eastAsia="zh-CN"/>
                    </w:rPr>
                    <w:t>m</w:t>
                  </w:r>
                  <w:r>
                    <w:rPr>
                      <w:rFonts w:hint="default" w:ascii="Times New Roman" w:hAnsi="Times New Roman" w:eastAsia="宋体" w:cs="Times New Roman"/>
                      <w:color w:val="auto"/>
                      <w:spacing w:val="6"/>
                      <w:sz w:val="21"/>
                      <w:szCs w:val="21"/>
                      <w:vertAlign w:val="superscript"/>
                      <w:lang w:val="en-US" w:eastAsia="zh-CN"/>
                    </w:rPr>
                    <w:t>3</w:t>
                  </w:r>
                </w:p>
              </w:tc>
              <w:tc>
                <w:tcPr>
                  <w:tcW w:w="2341" w:type="pct"/>
                  <w:tcBorders>
                    <w:tl2br w:val="nil"/>
                    <w:tr2bl w:val="nil"/>
                  </w:tcBorders>
                  <w:vAlign w:val="center"/>
                </w:tcPr>
                <w:p w14:paraId="32973488">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pacing w:val="8"/>
                      <w:sz w:val="21"/>
                      <w:szCs w:val="21"/>
                    </w:rPr>
                  </w:pPr>
                  <w:r>
                    <w:rPr>
                      <w:rFonts w:hint="default" w:ascii="Times New Roman" w:hAnsi="Times New Roman" w:cs="Times New Roman"/>
                      <w:color w:val="auto"/>
                      <w:spacing w:val="8"/>
                      <w:sz w:val="21"/>
                      <w:szCs w:val="21"/>
                    </w:rPr>
                    <w:t>《火电厂烟气脱硝工程技术规范</w:t>
                  </w:r>
                  <w:r>
                    <w:rPr>
                      <w:rFonts w:hint="default" w:ascii="Times New Roman" w:hAnsi="Times New Roman" w:cs="Times New Roman"/>
                      <w:color w:val="auto"/>
                      <w:spacing w:val="8"/>
                      <w:sz w:val="21"/>
                      <w:szCs w:val="21"/>
                      <w:lang w:val="en-US" w:eastAsia="zh-CN"/>
                    </w:rPr>
                    <w:t>选择性催化还原法</w:t>
                  </w:r>
                  <w:r>
                    <w:rPr>
                      <w:rFonts w:hint="default" w:ascii="Times New Roman" w:hAnsi="Times New Roman" w:cs="Times New Roman"/>
                      <w:color w:val="auto"/>
                      <w:spacing w:val="8"/>
                      <w:sz w:val="21"/>
                      <w:szCs w:val="21"/>
                    </w:rPr>
                    <w:t>》（HJ562-2010）</w:t>
                  </w:r>
                </w:p>
              </w:tc>
            </w:tr>
            <w:tr w14:paraId="445CDB8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68" w:type="dxa"/>
                  <w:bottom w:w="0" w:type="dxa"/>
                  <w:right w:w="68" w:type="dxa"/>
                </w:tblCellMar>
              </w:tblPrEx>
              <w:trPr>
                <w:trHeight w:val="90" w:hRule="atLeast"/>
              </w:trPr>
              <w:tc>
                <w:tcPr>
                  <w:tcW w:w="431" w:type="pct"/>
                  <w:tcBorders>
                    <w:tl2br w:val="nil"/>
                    <w:tr2bl w:val="nil"/>
                  </w:tcBorders>
                  <w:vAlign w:val="center"/>
                </w:tcPr>
                <w:p w14:paraId="3D098324">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snapToGrid w:val="0"/>
                      <w:color w:val="auto"/>
                      <w:kern w:val="0"/>
                      <w:sz w:val="21"/>
                      <w:szCs w:val="21"/>
                      <w:lang w:val="en-US" w:eastAsia="zh-CN" w:bidi="ar-SA"/>
                    </w:rPr>
                    <w:t>厂界</w:t>
                  </w:r>
                </w:p>
              </w:tc>
              <w:tc>
                <w:tcPr>
                  <w:tcW w:w="545" w:type="pct"/>
                  <w:tcBorders>
                    <w:top w:val="single" w:color="auto" w:sz="4" w:space="0"/>
                    <w:tl2br w:val="nil"/>
                    <w:tr2bl w:val="nil"/>
                  </w:tcBorders>
                  <w:vAlign w:val="center"/>
                </w:tcPr>
                <w:p w14:paraId="00EEFD20">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color w:val="auto"/>
                      <w:spacing w:val="7"/>
                      <w:sz w:val="21"/>
                      <w:szCs w:val="21"/>
                    </w:rPr>
                    <w:t>颗粒物</w:t>
                  </w:r>
                </w:p>
              </w:tc>
              <w:tc>
                <w:tcPr>
                  <w:tcW w:w="510" w:type="pct"/>
                  <w:tcBorders>
                    <w:top w:val="single" w:color="auto" w:sz="4" w:space="0"/>
                    <w:tl2br w:val="nil"/>
                    <w:tr2bl w:val="nil"/>
                  </w:tcBorders>
                  <w:vAlign w:val="center"/>
                </w:tcPr>
                <w:p w14:paraId="367350BF">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auto"/>
                      <w:sz w:val="21"/>
                      <w:szCs w:val="21"/>
                    </w:rPr>
                  </w:pPr>
                  <w:r>
                    <w:rPr>
                      <w:rFonts w:hint="default" w:ascii="Times New Roman" w:hAnsi="Times New Roman" w:cs="Times New Roman"/>
                      <w:snapToGrid w:val="0"/>
                      <w:color w:val="auto"/>
                      <w:kern w:val="0"/>
                      <w:sz w:val="21"/>
                      <w:szCs w:val="21"/>
                      <w:lang w:val="en-US" w:eastAsia="zh-CN" w:bidi="ar-SA"/>
                    </w:rPr>
                    <w:t>厂界</w:t>
                  </w:r>
                </w:p>
              </w:tc>
              <w:tc>
                <w:tcPr>
                  <w:tcW w:w="436" w:type="pct"/>
                  <w:tcBorders>
                    <w:tl2br w:val="nil"/>
                    <w:tr2bl w:val="nil"/>
                  </w:tcBorders>
                  <w:vAlign w:val="center"/>
                </w:tcPr>
                <w:p w14:paraId="057D7CEB">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right="0" w:rightChars="0"/>
                    <w:jc w:val="center"/>
                    <w:textAlignment w:val="baseline"/>
                    <w:rPr>
                      <w:rFonts w:hint="default" w:ascii="Times New Roman" w:hAnsi="Times New Roman" w:eastAsia="宋体" w:cs="Times New Roman"/>
                      <w:color w:val="auto"/>
                      <w:sz w:val="21"/>
                      <w:szCs w:val="21"/>
                      <w:lang w:val="en-US" w:eastAsia="zh-CN"/>
                    </w:rPr>
                  </w:pPr>
                  <w:r>
                    <w:rPr>
                      <w:rFonts w:hint="default" w:ascii="Times New Roman" w:hAnsi="Times New Roman" w:cs="Times New Roman"/>
                      <w:snapToGrid w:val="0"/>
                      <w:color w:val="auto"/>
                      <w:kern w:val="0"/>
                      <w:sz w:val="21"/>
                      <w:szCs w:val="21"/>
                      <w:lang w:val="en-US" w:eastAsia="zh-CN" w:bidi="ar-SA"/>
                    </w:rPr>
                    <w:t>无组织</w:t>
                  </w:r>
                </w:p>
              </w:tc>
              <w:tc>
                <w:tcPr>
                  <w:tcW w:w="735" w:type="pct"/>
                  <w:tcBorders>
                    <w:tl2br w:val="nil"/>
                    <w:tr2bl w:val="nil"/>
                  </w:tcBorders>
                  <w:vAlign w:val="center"/>
                </w:tcPr>
                <w:p w14:paraId="6D57AF9C">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Times New Roman" w:cs="Times New Roman"/>
                      <w:color w:val="auto"/>
                      <w:spacing w:val="2"/>
                      <w:sz w:val="21"/>
                      <w:szCs w:val="21"/>
                    </w:rPr>
                  </w:pPr>
                  <w:r>
                    <w:rPr>
                      <w:rFonts w:hint="default" w:ascii="Times New Roman" w:hAnsi="Times New Roman" w:cs="Times New Roman"/>
                      <w:snapToGrid w:val="0"/>
                      <w:color w:val="auto"/>
                      <w:kern w:val="0"/>
                      <w:sz w:val="21"/>
                      <w:szCs w:val="21"/>
                      <w:lang w:val="en-US" w:eastAsia="zh-CN" w:bidi="ar-SA"/>
                    </w:rPr>
                    <w:t>1.0</w:t>
                  </w:r>
                  <w:r>
                    <w:rPr>
                      <w:rFonts w:hint="default" w:ascii="Times New Roman" w:hAnsi="Times New Roman" w:eastAsia="Times New Roman" w:cs="Times New Roman"/>
                      <w:color w:val="auto"/>
                      <w:sz w:val="21"/>
                      <w:szCs w:val="21"/>
                    </w:rPr>
                    <w:t>mg</w:t>
                  </w:r>
                  <w:r>
                    <w:rPr>
                      <w:rFonts w:hint="default" w:ascii="Times New Roman" w:hAnsi="Times New Roman" w:eastAsia="Times New Roman" w:cs="Times New Roman"/>
                      <w:color w:val="auto"/>
                      <w:spacing w:val="6"/>
                      <w:sz w:val="21"/>
                      <w:szCs w:val="21"/>
                    </w:rPr>
                    <w:t>/</w:t>
                  </w:r>
                  <w:r>
                    <w:rPr>
                      <w:rFonts w:hint="default" w:ascii="Times New Roman" w:hAnsi="Times New Roman" w:eastAsia="宋体" w:cs="Times New Roman"/>
                      <w:color w:val="auto"/>
                      <w:spacing w:val="6"/>
                      <w:sz w:val="21"/>
                      <w:szCs w:val="21"/>
                      <w:lang w:val="en-US" w:eastAsia="zh-CN"/>
                    </w:rPr>
                    <w:t>m</w:t>
                  </w:r>
                  <w:r>
                    <w:rPr>
                      <w:rFonts w:hint="default" w:ascii="Times New Roman" w:hAnsi="Times New Roman" w:eastAsia="宋体" w:cs="Times New Roman"/>
                      <w:color w:val="auto"/>
                      <w:spacing w:val="6"/>
                      <w:sz w:val="21"/>
                      <w:szCs w:val="21"/>
                      <w:vertAlign w:val="superscript"/>
                      <w:lang w:val="en-US" w:eastAsia="zh-CN"/>
                    </w:rPr>
                    <w:t>3</w:t>
                  </w:r>
                </w:p>
              </w:tc>
              <w:tc>
                <w:tcPr>
                  <w:tcW w:w="2341" w:type="pct"/>
                  <w:tcBorders>
                    <w:tl2br w:val="nil"/>
                    <w:tr2bl w:val="nil"/>
                  </w:tcBorders>
                  <w:vAlign w:val="center"/>
                </w:tcPr>
                <w:p w14:paraId="442E54E0">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auto"/>
                      <w:spacing w:val="8"/>
                      <w:sz w:val="21"/>
                      <w:szCs w:val="21"/>
                    </w:rPr>
                  </w:pPr>
                  <w:r>
                    <w:rPr>
                      <w:rFonts w:hint="default" w:ascii="Times New Roman" w:hAnsi="Times New Roman" w:cs="Times New Roman"/>
                      <w:color w:val="auto"/>
                      <w:spacing w:val="8"/>
                      <w:sz w:val="21"/>
                      <w:szCs w:val="21"/>
                    </w:rPr>
                    <w:t>《大气污染物综合排放</w:t>
                  </w:r>
                  <w:r>
                    <w:rPr>
                      <w:rFonts w:hint="default" w:ascii="Times New Roman" w:hAnsi="Times New Roman" w:cs="Times New Roman"/>
                      <w:color w:val="auto"/>
                      <w:spacing w:val="6"/>
                      <w:sz w:val="21"/>
                      <w:szCs w:val="21"/>
                    </w:rPr>
                    <w:t>标准》（</w:t>
                  </w:r>
                  <w:r>
                    <w:rPr>
                      <w:rFonts w:hint="default" w:ascii="Times New Roman" w:hAnsi="Times New Roman" w:eastAsia="Times New Roman" w:cs="Times New Roman"/>
                      <w:color w:val="auto"/>
                      <w:sz w:val="21"/>
                      <w:szCs w:val="21"/>
                    </w:rPr>
                    <w:t>GB</w:t>
                  </w:r>
                  <w:r>
                    <w:rPr>
                      <w:rFonts w:hint="default" w:ascii="Times New Roman" w:hAnsi="Times New Roman" w:eastAsia="Times New Roman" w:cs="Times New Roman"/>
                      <w:color w:val="auto"/>
                      <w:spacing w:val="6"/>
                      <w:sz w:val="21"/>
                      <w:szCs w:val="21"/>
                    </w:rPr>
                    <w:t>16297-1996</w:t>
                  </w:r>
                  <w:r>
                    <w:rPr>
                      <w:rFonts w:hint="default" w:ascii="Times New Roman" w:hAnsi="Times New Roman" w:cs="Times New Roman"/>
                      <w:color w:val="auto"/>
                      <w:spacing w:val="6"/>
                      <w:sz w:val="21"/>
                      <w:szCs w:val="21"/>
                    </w:rPr>
                    <w:t>）</w:t>
                  </w:r>
                  <w:r>
                    <w:rPr>
                      <w:rFonts w:hint="default" w:ascii="Times New Roman" w:hAnsi="Times New Roman" w:cs="Times New Roman"/>
                      <w:color w:val="auto"/>
                      <w:spacing w:val="6"/>
                      <w:sz w:val="21"/>
                      <w:szCs w:val="21"/>
                      <w:lang w:val="en-US" w:eastAsia="zh-CN"/>
                    </w:rPr>
                    <w:t>表2</w:t>
                  </w:r>
                </w:p>
              </w:tc>
            </w:tr>
          </w:tbl>
          <w:p w14:paraId="715012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auto"/>
                <w:spacing w:val="0"/>
                <w:position w:val="0"/>
                <w:sz w:val="24"/>
                <w:szCs w:val="24"/>
                <w:lang w:val="en-US" w:eastAsia="zh-CN"/>
              </w:rPr>
            </w:pPr>
            <w:r>
              <w:rPr>
                <w:rFonts w:hint="default" w:ascii="Times New Roman" w:hAnsi="Times New Roman" w:eastAsia="宋体" w:cs="Times New Roman"/>
                <w:b/>
                <w:bCs/>
                <w:color w:val="auto"/>
                <w:spacing w:val="0"/>
                <w:position w:val="0"/>
                <w:sz w:val="24"/>
                <w:szCs w:val="24"/>
                <w:lang w:val="en-US" w:eastAsia="zh-CN"/>
              </w:rPr>
              <w:t>2.噪声</w:t>
            </w:r>
          </w:p>
          <w:p w14:paraId="3821D5D9">
            <w:pPr>
              <w:keepNext w:val="0"/>
              <w:keepLines/>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bottom"/>
              <w:outlineLvl w:val="2"/>
              <w:rPr>
                <w:rFonts w:hint="default" w:ascii="Times New Roman" w:hAnsi="Times New Roman" w:eastAsia="宋体" w:cs="Times New Roman"/>
                <w:color w:val="auto"/>
                <w:kern w:val="0"/>
                <w:sz w:val="24"/>
                <w:szCs w:val="24"/>
                <w:lang w:val="zh-CN" w:eastAsia="zh-CN" w:bidi="ar-SA"/>
              </w:rPr>
            </w:pPr>
            <w:r>
              <w:rPr>
                <w:rFonts w:hint="default" w:ascii="Times New Roman" w:hAnsi="Times New Roman" w:eastAsia="宋体" w:cs="Times New Roman"/>
                <w:color w:val="auto"/>
                <w:kern w:val="0"/>
                <w:sz w:val="24"/>
                <w:szCs w:val="24"/>
                <w:lang w:val="en-US" w:eastAsia="zh-CN" w:bidi="ar-SA"/>
              </w:rPr>
              <w:t>本项目周边无噪声敏感建筑物，施工期执行《建筑施工噪声排放标准》（GB12523-2025）表1的要求，昼间场地边界噪声</w:t>
            </w:r>
            <w:r>
              <w:rPr>
                <w:rFonts w:hint="default" w:ascii="Times New Roman" w:hAnsi="Times New Roman" w:cs="Times New Roman"/>
                <w:color w:val="auto"/>
                <w:kern w:val="0"/>
                <w:sz w:val="24"/>
                <w:szCs w:val="24"/>
                <w:lang w:val="en-US" w:eastAsia="zh-CN" w:bidi="ar-SA"/>
              </w:rPr>
              <w:t>等效声级</w:t>
            </w:r>
            <w:r>
              <w:rPr>
                <w:rFonts w:hint="default" w:ascii="Times New Roman" w:hAnsi="Times New Roman" w:eastAsia="宋体" w:cs="Times New Roman"/>
                <w:color w:val="auto"/>
                <w:kern w:val="0"/>
                <w:sz w:val="24"/>
                <w:szCs w:val="24"/>
                <w:lang w:val="en-US" w:eastAsia="zh-CN" w:bidi="ar-SA"/>
              </w:rPr>
              <w:t>不应超过70dB（A），夜间须低于55dB（A），夜间场界噪声最大声级超过表1限值的幅度不得高于15dB（A）</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运营期</w:t>
            </w:r>
            <w:r>
              <w:rPr>
                <w:rFonts w:hint="default" w:ascii="Times New Roman" w:hAnsi="Times New Roman" w:eastAsia="宋体" w:cs="Times New Roman"/>
                <w:color w:val="auto"/>
                <w:kern w:val="0"/>
                <w:sz w:val="24"/>
                <w:szCs w:val="24"/>
                <w:lang w:val="en-US" w:eastAsia="zh-CN" w:bidi="ar-SA"/>
              </w:rPr>
              <w:t>噪声排放执行《工业企业厂界环境噪声排放标准》（GB12348-2008）表1中</w:t>
            </w:r>
            <w:r>
              <w:rPr>
                <w:rFonts w:hint="default" w:ascii="Times New Roman" w:hAnsi="Times New Roman" w:cs="Times New Roman"/>
                <w:color w:val="auto"/>
                <w:kern w:val="0"/>
                <w:sz w:val="24"/>
                <w:szCs w:val="24"/>
                <w:lang w:val="en-US" w:eastAsia="zh-CN" w:bidi="ar-SA"/>
              </w:rPr>
              <w:t>3</w:t>
            </w:r>
            <w:r>
              <w:rPr>
                <w:rFonts w:hint="default" w:ascii="Times New Roman" w:hAnsi="Times New Roman" w:eastAsia="宋体" w:cs="Times New Roman"/>
                <w:color w:val="auto"/>
                <w:kern w:val="0"/>
                <w:sz w:val="24"/>
                <w:szCs w:val="24"/>
                <w:lang w:val="en-US" w:eastAsia="zh-CN" w:bidi="ar-SA"/>
              </w:rPr>
              <w:t>类声环境功能区标准限值（昼间≤</w:t>
            </w:r>
            <w:r>
              <w:rPr>
                <w:rFonts w:hint="default" w:ascii="Times New Roman" w:hAnsi="Times New Roman" w:cs="Times New Roman"/>
                <w:color w:val="auto"/>
                <w:kern w:val="0"/>
                <w:sz w:val="24"/>
                <w:szCs w:val="24"/>
                <w:lang w:val="en-US" w:eastAsia="zh-CN" w:bidi="ar-SA"/>
              </w:rPr>
              <w:t>65</w:t>
            </w:r>
            <w:r>
              <w:rPr>
                <w:rFonts w:hint="default" w:ascii="Times New Roman" w:hAnsi="Times New Roman" w:eastAsia="宋体" w:cs="Times New Roman"/>
                <w:color w:val="auto"/>
                <w:kern w:val="0"/>
                <w:sz w:val="24"/>
                <w:szCs w:val="24"/>
                <w:lang w:val="en-US" w:eastAsia="zh-CN" w:bidi="ar-SA"/>
              </w:rPr>
              <w:t>dB（A）；夜间≤</w:t>
            </w:r>
            <w:r>
              <w:rPr>
                <w:rFonts w:hint="default" w:ascii="Times New Roman" w:hAnsi="Times New Roman" w:cs="Times New Roman"/>
                <w:color w:val="auto"/>
                <w:kern w:val="0"/>
                <w:sz w:val="24"/>
                <w:szCs w:val="24"/>
                <w:lang w:val="en-US" w:eastAsia="zh-CN" w:bidi="ar-SA"/>
              </w:rPr>
              <w:t>55</w:t>
            </w:r>
            <w:r>
              <w:rPr>
                <w:rFonts w:hint="default" w:ascii="Times New Roman" w:hAnsi="Times New Roman" w:eastAsia="宋体" w:cs="Times New Roman"/>
                <w:color w:val="auto"/>
                <w:kern w:val="0"/>
                <w:sz w:val="24"/>
                <w:szCs w:val="24"/>
                <w:lang w:val="en-US" w:eastAsia="zh-CN" w:bidi="ar-SA"/>
              </w:rPr>
              <w:t>dB（A））。</w:t>
            </w:r>
          </w:p>
          <w:p w14:paraId="72FEF7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auto"/>
                <w:spacing w:val="0"/>
                <w:position w:val="0"/>
                <w:sz w:val="24"/>
                <w:szCs w:val="24"/>
                <w:lang w:val="en-US" w:eastAsia="zh-CN"/>
              </w:rPr>
            </w:pPr>
            <w:r>
              <w:rPr>
                <w:rFonts w:hint="default" w:ascii="Times New Roman" w:hAnsi="Times New Roman" w:eastAsia="宋体" w:cs="Times New Roman"/>
                <w:b/>
                <w:bCs/>
                <w:color w:val="auto"/>
                <w:spacing w:val="0"/>
                <w:position w:val="0"/>
                <w:sz w:val="24"/>
                <w:szCs w:val="24"/>
                <w:lang w:val="en-US" w:eastAsia="zh-CN"/>
              </w:rPr>
              <w:t>3.废水</w:t>
            </w:r>
          </w:p>
          <w:p w14:paraId="5858ACF0">
            <w:pPr>
              <w:keepNext w:val="0"/>
              <w:keepLines/>
              <w:pageBreakBefore w:val="0"/>
              <w:widowControl w:val="0"/>
              <w:numPr>
                <w:ilvl w:val="0"/>
                <w:numId w:val="0"/>
              </w:numPr>
              <w:kinsoku/>
              <w:wordWrap/>
              <w:overflowPunct/>
              <w:topLinePunct w:val="0"/>
              <w:autoSpaceDE/>
              <w:autoSpaceDN/>
              <w:bidi w:val="0"/>
              <w:adjustRightInd/>
              <w:spacing w:line="360" w:lineRule="auto"/>
              <w:ind w:leftChars="0" w:firstLine="480" w:firstLineChars="200"/>
              <w:jc w:val="both"/>
              <w:textAlignment w:val="bottom"/>
              <w:outlineLvl w:val="2"/>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本项目生产废水回用于生产，不外排；生活污水依托吉木萨尔县恒信煤炭制品工贸有限公司120万吨煤制品深加工升级改造项目地埋式一体化污水处理设施处理后，满足《农村生活污水处理排放标准》（DB654275-2019）中表2农村生活污水处理设施出水用于生态恢复的污染物排放限值A级标准后，冬储夏灌，排放标准详见表3-</w:t>
            </w:r>
            <w:r>
              <w:rPr>
                <w:rFonts w:hint="default" w:ascii="Times New Roman" w:hAnsi="Times New Roman" w:cs="Times New Roman"/>
                <w:color w:val="auto"/>
                <w:kern w:val="0"/>
                <w:sz w:val="24"/>
                <w:szCs w:val="24"/>
                <w:lang w:val="en-US" w:eastAsia="zh-CN" w:bidi="ar-SA"/>
              </w:rPr>
              <w:t>6</w:t>
            </w:r>
            <w:r>
              <w:rPr>
                <w:rFonts w:hint="default" w:ascii="Times New Roman" w:hAnsi="Times New Roman" w:eastAsia="宋体" w:cs="Times New Roman"/>
                <w:color w:val="auto"/>
                <w:kern w:val="0"/>
                <w:sz w:val="24"/>
                <w:szCs w:val="24"/>
                <w:lang w:val="en-US" w:eastAsia="zh-CN" w:bidi="ar-SA"/>
              </w:rPr>
              <w:t>。</w:t>
            </w:r>
          </w:p>
          <w:p w14:paraId="2F0036AB">
            <w:pPr>
              <w:pStyle w:val="42"/>
              <w:keepNext w:val="0"/>
              <w:keepLines w:val="0"/>
              <w:pageBreakBefore w:val="0"/>
              <w:widowControl w:val="0"/>
              <w:tabs>
                <w:tab w:val="left" w:pos="4643"/>
                <w:tab w:val="clear" w:pos="6840"/>
              </w:tabs>
              <w:kinsoku/>
              <w:wordWrap/>
              <w:overflowPunct/>
              <w:topLinePunct/>
              <w:autoSpaceDE/>
              <w:autoSpaceDN/>
              <w:bidi w:val="0"/>
              <w:adjustRightInd w:val="0"/>
              <w:snapToGrid w:val="0"/>
              <w:spacing w:before="0" w:beforeLines="0" w:beforeAutospacing="0" w:after="0" w:afterLines="0" w:afterAutospacing="0" w:line="240" w:lineRule="auto"/>
              <w:ind w:left="0" w:leftChars="0" w:right="0" w:rightChars="0" w:firstLine="0"/>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zh-CN" w:eastAsia="zh-CN" w:bidi="ar-SA"/>
              </w:rPr>
              <w:t>表</w:t>
            </w:r>
            <w:r>
              <w:rPr>
                <w:rFonts w:hint="default" w:ascii="Times New Roman" w:hAnsi="Times New Roman" w:eastAsia="宋体" w:cs="Times New Roman"/>
                <w:b/>
                <w:bCs/>
                <w:color w:val="auto"/>
                <w:kern w:val="2"/>
                <w:sz w:val="21"/>
                <w:szCs w:val="21"/>
                <w:highlight w:val="none"/>
                <w:lang w:val="en-US" w:eastAsia="zh-CN" w:bidi="ar-SA"/>
              </w:rPr>
              <w:t>3-</w:t>
            </w:r>
            <w:r>
              <w:rPr>
                <w:rFonts w:hint="default" w:ascii="Times New Roman" w:hAnsi="Times New Roman" w:cs="Times New Roman"/>
                <w:b/>
                <w:bCs/>
                <w:color w:val="auto"/>
                <w:kern w:val="2"/>
                <w:sz w:val="21"/>
                <w:szCs w:val="21"/>
                <w:highlight w:val="none"/>
                <w:lang w:val="en-US" w:eastAsia="zh-CN" w:bidi="ar-SA"/>
              </w:rPr>
              <w:t>6</w:t>
            </w:r>
            <w:r>
              <w:rPr>
                <w:rFonts w:hint="default" w:ascii="Times New Roman" w:hAnsi="Times New Roman" w:eastAsia="宋体" w:cs="Times New Roman"/>
                <w:b/>
                <w:bCs/>
                <w:color w:val="auto"/>
                <w:kern w:val="2"/>
                <w:sz w:val="21"/>
                <w:szCs w:val="21"/>
                <w:highlight w:val="none"/>
                <w:lang w:val="en-US" w:eastAsia="zh-CN" w:bidi="ar-SA"/>
              </w:rPr>
              <w:t>农村生活污水处理排放标准</w:t>
            </w:r>
          </w:p>
          <w:p w14:paraId="29AEDB29">
            <w:pPr>
              <w:spacing w:line="33" w:lineRule="exact"/>
              <w:rPr>
                <w:rFonts w:hint="default" w:ascii="Times New Roman" w:hAnsi="Times New Roman" w:cs="Times New Roman"/>
                <w:color w:val="auto"/>
                <w:sz w:val="21"/>
                <w:szCs w:val="21"/>
              </w:rPr>
            </w:pPr>
          </w:p>
          <w:tbl>
            <w:tblPr>
              <w:tblStyle w:val="96"/>
              <w:tblW w:w="8118" w:type="dxa"/>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0" w:type="dxa"/>
                <w:bottom w:w="0" w:type="dxa"/>
                <w:right w:w="0" w:type="dxa"/>
              </w:tblCellMar>
            </w:tblPr>
            <w:tblGrid>
              <w:gridCol w:w="922"/>
              <w:gridCol w:w="3859"/>
              <w:gridCol w:w="3337"/>
            </w:tblGrid>
            <w:tr w14:paraId="1674D8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86" w:hRule="atLeast"/>
                <w:jc w:val="center"/>
              </w:trPr>
              <w:tc>
                <w:tcPr>
                  <w:tcW w:w="567" w:type="pct"/>
                  <w:tcBorders>
                    <w:tl2br w:val="nil"/>
                    <w:tr2bl w:val="nil"/>
                  </w:tcBorders>
                  <w:noWrap w:val="0"/>
                  <w:vAlign w:val="center"/>
                </w:tcPr>
                <w:p w14:paraId="424BD6AC">
                  <w:pPr>
                    <w:pStyle w:val="109"/>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rPr>
                      <w:rFonts w:hint="default" w:ascii="Times New Roman" w:hAnsi="Times New Roman" w:cs="Times New Roman"/>
                      <w:b/>
                      <w:bCs/>
                      <w:color w:val="auto"/>
                      <w:spacing w:val="8"/>
                      <w:sz w:val="21"/>
                      <w:szCs w:val="21"/>
                    </w:rPr>
                  </w:pPr>
                  <w:r>
                    <w:rPr>
                      <w:rFonts w:hint="default" w:ascii="Times New Roman" w:hAnsi="Times New Roman" w:cs="Times New Roman"/>
                      <w:b/>
                      <w:bCs/>
                      <w:color w:val="auto"/>
                      <w:spacing w:val="8"/>
                      <w:sz w:val="21"/>
                      <w:szCs w:val="21"/>
                    </w:rPr>
                    <w:t>序号</w:t>
                  </w:r>
                </w:p>
              </w:tc>
              <w:tc>
                <w:tcPr>
                  <w:tcW w:w="2376" w:type="pct"/>
                  <w:tcBorders>
                    <w:tl2br w:val="nil"/>
                    <w:tr2bl w:val="nil"/>
                  </w:tcBorders>
                  <w:noWrap w:val="0"/>
                  <w:vAlign w:val="center"/>
                </w:tcPr>
                <w:p w14:paraId="6E690696">
                  <w:pPr>
                    <w:pStyle w:val="109"/>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rPr>
                      <w:rFonts w:hint="default" w:ascii="Times New Roman" w:hAnsi="Times New Roman" w:cs="Times New Roman"/>
                      <w:b/>
                      <w:bCs/>
                      <w:color w:val="auto"/>
                      <w:spacing w:val="8"/>
                      <w:sz w:val="21"/>
                      <w:szCs w:val="21"/>
                    </w:rPr>
                  </w:pPr>
                  <w:r>
                    <w:rPr>
                      <w:rFonts w:hint="default" w:ascii="Times New Roman" w:hAnsi="Times New Roman" w:cs="Times New Roman"/>
                      <w:b/>
                      <w:bCs/>
                      <w:color w:val="auto"/>
                      <w:spacing w:val="8"/>
                      <w:sz w:val="21"/>
                      <w:szCs w:val="21"/>
                    </w:rPr>
                    <w:t>污染物名称</w:t>
                  </w:r>
                </w:p>
              </w:tc>
              <w:tc>
                <w:tcPr>
                  <w:tcW w:w="2055" w:type="pct"/>
                  <w:tcBorders>
                    <w:tl2br w:val="nil"/>
                    <w:tr2bl w:val="nil"/>
                  </w:tcBorders>
                  <w:noWrap w:val="0"/>
                  <w:vAlign w:val="center"/>
                </w:tcPr>
                <w:p w14:paraId="2759874C">
                  <w:pPr>
                    <w:pStyle w:val="109"/>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rPr>
                      <w:rFonts w:hint="default" w:ascii="Times New Roman" w:hAnsi="Times New Roman" w:cs="Times New Roman"/>
                      <w:b/>
                      <w:bCs/>
                      <w:color w:val="auto"/>
                      <w:spacing w:val="8"/>
                      <w:sz w:val="21"/>
                      <w:szCs w:val="21"/>
                    </w:rPr>
                  </w:pPr>
                  <w:r>
                    <w:rPr>
                      <w:rFonts w:hint="default" w:ascii="Times New Roman" w:hAnsi="Times New Roman" w:cs="Times New Roman"/>
                      <w:b/>
                      <w:bCs/>
                      <w:color w:val="auto"/>
                      <w:spacing w:val="8"/>
                      <w:sz w:val="21"/>
                      <w:szCs w:val="21"/>
                    </w:rPr>
                    <w:t>标准限值</w:t>
                  </w:r>
                </w:p>
              </w:tc>
            </w:tr>
            <w:tr w14:paraId="20B8032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67" w:hRule="atLeast"/>
                <w:jc w:val="center"/>
              </w:trPr>
              <w:tc>
                <w:tcPr>
                  <w:tcW w:w="567" w:type="pct"/>
                  <w:tcBorders>
                    <w:tl2br w:val="nil"/>
                    <w:tr2bl w:val="nil"/>
                  </w:tcBorders>
                  <w:noWrap w:val="0"/>
                  <w:vAlign w:val="center"/>
                </w:tcPr>
                <w:p w14:paraId="0B5CA6B4">
                  <w:pPr>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rPr>
                      <w:rFonts w:hint="default" w:ascii="Times New Roman" w:hAnsi="Times New Roman" w:eastAsia="宋体" w:cs="Times New Roman"/>
                      <w:color w:val="auto"/>
                      <w:spacing w:val="-3"/>
                      <w:sz w:val="21"/>
                      <w:szCs w:val="21"/>
                      <w:lang w:val="en-US" w:eastAsia="zh-CN"/>
                    </w:rPr>
                  </w:pPr>
                  <w:r>
                    <w:rPr>
                      <w:rFonts w:hint="default" w:ascii="Times New Roman" w:hAnsi="Times New Roman" w:eastAsia="宋体" w:cs="Times New Roman"/>
                      <w:color w:val="auto"/>
                      <w:spacing w:val="-3"/>
                      <w:sz w:val="21"/>
                      <w:szCs w:val="21"/>
                      <w:lang w:val="en-US" w:eastAsia="zh-CN"/>
                    </w:rPr>
                    <w:t>1</w:t>
                  </w:r>
                </w:p>
              </w:tc>
              <w:tc>
                <w:tcPr>
                  <w:tcW w:w="2376" w:type="pct"/>
                  <w:tcBorders>
                    <w:tl2br w:val="nil"/>
                    <w:tr2bl w:val="nil"/>
                  </w:tcBorders>
                  <w:noWrap w:val="0"/>
                  <w:vAlign w:val="center"/>
                </w:tcPr>
                <w:p w14:paraId="227561F0">
                  <w:pPr>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rPr>
                      <w:rFonts w:hint="default" w:ascii="Times New Roman" w:hAnsi="Times New Roman" w:eastAsia="宋体" w:cs="Times New Roman"/>
                      <w:color w:val="auto"/>
                      <w:spacing w:val="1"/>
                      <w:sz w:val="21"/>
                      <w:szCs w:val="21"/>
                      <w:lang w:eastAsia="zh-CN"/>
                    </w:rPr>
                  </w:pPr>
                  <w:r>
                    <w:rPr>
                      <w:rFonts w:hint="default" w:ascii="Times New Roman" w:hAnsi="Times New Roman" w:eastAsia="Times New Roman" w:cs="Times New Roman"/>
                      <w:color w:val="auto"/>
                      <w:spacing w:val="1"/>
                      <w:sz w:val="21"/>
                      <w:szCs w:val="21"/>
                    </w:rPr>
                    <w:t>pH（无量纲</w:t>
                  </w:r>
                  <w:r>
                    <w:rPr>
                      <w:rFonts w:hint="default" w:ascii="Times New Roman" w:hAnsi="Times New Roman" w:eastAsia="宋体" w:cs="Times New Roman"/>
                      <w:color w:val="auto"/>
                      <w:spacing w:val="1"/>
                      <w:sz w:val="21"/>
                      <w:szCs w:val="21"/>
                      <w:lang w:eastAsia="zh-CN"/>
                    </w:rPr>
                    <w:t>）</w:t>
                  </w:r>
                </w:p>
              </w:tc>
              <w:tc>
                <w:tcPr>
                  <w:tcW w:w="2055" w:type="pct"/>
                  <w:tcBorders>
                    <w:tl2br w:val="nil"/>
                    <w:tr2bl w:val="nil"/>
                  </w:tcBorders>
                  <w:noWrap w:val="0"/>
                  <w:vAlign w:val="center"/>
                </w:tcPr>
                <w:p w14:paraId="78866F20">
                  <w:pPr>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rPr>
                      <w:rFonts w:hint="default" w:ascii="Times New Roman" w:hAnsi="Times New Roman" w:eastAsia="Times New Roman" w:cs="Times New Roman"/>
                      <w:color w:val="auto"/>
                      <w:spacing w:val="1"/>
                      <w:sz w:val="21"/>
                      <w:szCs w:val="21"/>
                      <w:lang w:val="en-US" w:eastAsia="zh-CN"/>
                    </w:rPr>
                  </w:pPr>
                  <w:r>
                    <w:rPr>
                      <w:rFonts w:hint="default" w:ascii="Times New Roman" w:hAnsi="Times New Roman" w:eastAsia="Times New Roman" w:cs="Times New Roman"/>
                      <w:color w:val="auto"/>
                      <w:spacing w:val="1"/>
                      <w:sz w:val="21"/>
                      <w:szCs w:val="21"/>
                    </w:rPr>
                    <w:t>6</w:t>
                  </w:r>
                  <w:r>
                    <w:rPr>
                      <w:rFonts w:hint="default" w:ascii="Times New Roman" w:hAnsi="Times New Roman" w:eastAsia="Times New Roman" w:cs="Times New Roman"/>
                      <w:color w:val="auto"/>
                      <w:spacing w:val="1"/>
                      <w:sz w:val="21"/>
                      <w:szCs w:val="21"/>
                      <w:lang w:val="en-US" w:eastAsia="zh-CN"/>
                    </w:rPr>
                    <w:t>.0</w:t>
                  </w:r>
                  <w:r>
                    <w:rPr>
                      <w:rFonts w:hint="default" w:ascii="Times New Roman" w:hAnsi="Times New Roman" w:eastAsia="Times New Roman" w:cs="Times New Roman"/>
                      <w:color w:val="auto"/>
                      <w:spacing w:val="1"/>
                      <w:sz w:val="21"/>
                      <w:szCs w:val="21"/>
                    </w:rPr>
                    <w:t>~9</w:t>
                  </w:r>
                  <w:r>
                    <w:rPr>
                      <w:rFonts w:hint="default" w:ascii="Times New Roman" w:hAnsi="Times New Roman" w:eastAsia="Times New Roman" w:cs="Times New Roman"/>
                      <w:color w:val="auto"/>
                      <w:spacing w:val="1"/>
                      <w:sz w:val="21"/>
                      <w:szCs w:val="21"/>
                      <w:lang w:val="en-US" w:eastAsia="zh-CN"/>
                    </w:rPr>
                    <w:t>.0</w:t>
                  </w:r>
                </w:p>
              </w:tc>
            </w:tr>
            <w:tr w14:paraId="7A740B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8" w:hRule="atLeast"/>
                <w:jc w:val="center"/>
              </w:trPr>
              <w:tc>
                <w:tcPr>
                  <w:tcW w:w="567" w:type="pct"/>
                  <w:tcBorders>
                    <w:tl2br w:val="nil"/>
                    <w:tr2bl w:val="nil"/>
                  </w:tcBorders>
                  <w:noWrap w:val="0"/>
                  <w:vAlign w:val="center"/>
                </w:tcPr>
                <w:p w14:paraId="3ABD5488">
                  <w:pPr>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rPr>
                      <w:rFonts w:hint="default" w:ascii="Times New Roman" w:hAnsi="Times New Roman" w:eastAsia="宋体" w:cs="Times New Roman"/>
                      <w:color w:val="auto"/>
                      <w:spacing w:val="-3"/>
                      <w:sz w:val="21"/>
                      <w:szCs w:val="21"/>
                      <w:lang w:val="en-US" w:eastAsia="zh-CN"/>
                    </w:rPr>
                  </w:pPr>
                  <w:r>
                    <w:rPr>
                      <w:rFonts w:hint="default" w:ascii="Times New Roman" w:hAnsi="Times New Roman" w:eastAsia="宋体" w:cs="Times New Roman"/>
                      <w:color w:val="auto"/>
                      <w:spacing w:val="-3"/>
                      <w:sz w:val="21"/>
                      <w:szCs w:val="21"/>
                      <w:lang w:val="en-US" w:eastAsia="zh-CN"/>
                    </w:rPr>
                    <w:t>2</w:t>
                  </w:r>
                </w:p>
              </w:tc>
              <w:tc>
                <w:tcPr>
                  <w:tcW w:w="2376" w:type="pct"/>
                  <w:tcBorders>
                    <w:tl2br w:val="nil"/>
                    <w:tr2bl w:val="nil"/>
                  </w:tcBorders>
                  <w:noWrap w:val="0"/>
                  <w:vAlign w:val="center"/>
                </w:tcPr>
                <w:p w14:paraId="789C520A">
                  <w:pPr>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rPr>
                      <w:rFonts w:hint="default" w:ascii="Times New Roman" w:hAnsi="Times New Roman" w:eastAsia="Times New Roman" w:cs="Times New Roman"/>
                      <w:color w:val="auto"/>
                      <w:spacing w:val="1"/>
                      <w:sz w:val="21"/>
                      <w:szCs w:val="21"/>
                    </w:rPr>
                  </w:pPr>
                  <w:r>
                    <w:rPr>
                      <w:rFonts w:hint="default" w:ascii="Times New Roman" w:hAnsi="Times New Roman" w:eastAsia="Times New Roman" w:cs="Times New Roman"/>
                      <w:color w:val="auto"/>
                      <w:spacing w:val="1"/>
                      <w:sz w:val="21"/>
                      <w:szCs w:val="21"/>
                    </w:rPr>
                    <w:t>CODcr</w:t>
                  </w:r>
                </w:p>
              </w:tc>
              <w:tc>
                <w:tcPr>
                  <w:tcW w:w="2055" w:type="pct"/>
                  <w:tcBorders>
                    <w:tl2br w:val="nil"/>
                    <w:tr2bl w:val="nil"/>
                  </w:tcBorders>
                  <w:noWrap w:val="0"/>
                  <w:vAlign w:val="center"/>
                </w:tcPr>
                <w:p w14:paraId="4FE26B95">
                  <w:pPr>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rPr>
                      <w:rFonts w:hint="default" w:ascii="Times New Roman" w:hAnsi="Times New Roman" w:eastAsia="Times New Roman" w:cs="Times New Roman"/>
                      <w:color w:val="auto"/>
                      <w:spacing w:val="1"/>
                      <w:sz w:val="21"/>
                      <w:szCs w:val="21"/>
                      <w:lang w:val="en-US" w:eastAsia="zh-CN"/>
                    </w:rPr>
                  </w:pPr>
                  <w:r>
                    <w:rPr>
                      <w:rFonts w:hint="default" w:ascii="Times New Roman" w:hAnsi="Times New Roman" w:eastAsia="Times New Roman" w:cs="Times New Roman"/>
                      <w:color w:val="auto"/>
                      <w:spacing w:val="1"/>
                      <w:sz w:val="21"/>
                      <w:szCs w:val="21"/>
                      <w:lang w:val="en-US" w:eastAsia="zh-CN"/>
                    </w:rPr>
                    <w:t>60</w:t>
                  </w:r>
                  <w:r>
                    <w:rPr>
                      <w:rFonts w:hint="default" w:ascii="Times New Roman" w:hAnsi="Times New Roman" w:eastAsia="Times New Roman" w:cs="Times New Roman"/>
                      <w:color w:val="auto"/>
                      <w:spacing w:val="1"/>
                      <w:sz w:val="21"/>
                      <w:szCs w:val="21"/>
                      <w:lang w:val="zh-CN" w:eastAsia="zh-CN"/>
                    </w:rPr>
                    <w:t>mg/L</w:t>
                  </w:r>
                </w:p>
              </w:tc>
            </w:tr>
            <w:tr w14:paraId="2CD1C5B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38" w:hRule="atLeast"/>
                <w:jc w:val="center"/>
              </w:trPr>
              <w:tc>
                <w:tcPr>
                  <w:tcW w:w="567" w:type="pct"/>
                  <w:tcBorders>
                    <w:tl2br w:val="nil"/>
                    <w:tr2bl w:val="nil"/>
                  </w:tcBorders>
                  <w:noWrap w:val="0"/>
                  <w:vAlign w:val="center"/>
                </w:tcPr>
                <w:p w14:paraId="181EA4F7">
                  <w:pPr>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rPr>
                      <w:rFonts w:hint="default" w:ascii="Times New Roman" w:hAnsi="Times New Roman" w:eastAsia="宋体" w:cs="Times New Roman"/>
                      <w:color w:val="auto"/>
                      <w:spacing w:val="-3"/>
                      <w:sz w:val="21"/>
                      <w:szCs w:val="21"/>
                      <w:lang w:val="en-US" w:eastAsia="zh-CN"/>
                    </w:rPr>
                  </w:pPr>
                  <w:r>
                    <w:rPr>
                      <w:rFonts w:hint="default" w:ascii="Times New Roman" w:hAnsi="Times New Roman" w:eastAsia="宋体" w:cs="Times New Roman"/>
                      <w:color w:val="auto"/>
                      <w:spacing w:val="-3"/>
                      <w:sz w:val="21"/>
                      <w:szCs w:val="21"/>
                      <w:lang w:val="en-US" w:eastAsia="zh-CN"/>
                    </w:rPr>
                    <w:t>3</w:t>
                  </w:r>
                </w:p>
              </w:tc>
              <w:tc>
                <w:tcPr>
                  <w:tcW w:w="2376" w:type="pct"/>
                  <w:tcBorders>
                    <w:tl2br w:val="nil"/>
                    <w:tr2bl w:val="nil"/>
                  </w:tcBorders>
                  <w:noWrap w:val="0"/>
                  <w:vAlign w:val="center"/>
                </w:tcPr>
                <w:p w14:paraId="6B8A158B">
                  <w:pPr>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rPr>
                      <w:rFonts w:hint="default" w:ascii="Times New Roman" w:hAnsi="Times New Roman" w:eastAsia="Times New Roman" w:cs="Times New Roman"/>
                      <w:color w:val="auto"/>
                      <w:spacing w:val="1"/>
                      <w:sz w:val="21"/>
                      <w:szCs w:val="21"/>
                    </w:rPr>
                  </w:pPr>
                  <w:r>
                    <w:rPr>
                      <w:rFonts w:hint="default" w:ascii="Times New Roman" w:hAnsi="Times New Roman" w:eastAsia="Times New Roman" w:cs="Times New Roman"/>
                      <w:color w:val="auto"/>
                      <w:spacing w:val="1"/>
                      <w:sz w:val="21"/>
                      <w:szCs w:val="21"/>
                    </w:rPr>
                    <w:t>SS</w:t>
                  </w:r>
                </w:p>
              </w:tc>
              <w:tc>
                <w:tcPr>
                  <w:tcW w:w="2055" w:type="pct"/>
                  <w:tcBorders>
                    <w:tl2br w:val="nil"/>
                    <w:tr2bl w:val="nil"/>
                  </w:tcBorders>
                  <w:noWrap w:val="0"/>
                  <w:vAlign w:val="center"/>
                </w:tcPr>
                <w:p w14:paraId="716F794D">
                  <w:pPr>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rPr>
                      <w:rFonts w:hint="default" w:ascii="Times New Roman" w:hAnsi="Times New Roman" w:eastAsia="Times New Roman" w:cs="Times New Roman"/>
                      <w:color w:val="auto"/>
                      <w:spacing w:val="1"/>
                      <w:sz w:val="21"/>
                      <w:szCs w:val="21"/>
                      <w:lang w:val="en-US" w:eastAsia="zh-CN"/>
                    </w:rPr>
                  </w:pPr>
                  <w:r>
                    <w:rPr>
                      <w:rFonts w:hint="default" w:ascii="Times New Roman" w:hAnsi="Times New Roman" w:eastAsia="Times New Roman" w:cs="Times New Roman"/>
                      <w:color w:val="auto"/>
                      <w:spacing w:val="1"/>
                      <w:sz w:val="21"/>
                      <w:szCs w:val="21"/>
                      <w:lang w:val="en-US" w:eastAsia="zh-CN"/>
                    </w:rPr>
                    <w:t>30</w:t>
                  </w:r>
                  <w:r>
                    <w:rPr>
                      <w:rFonts w:hint="default" w:ascii="Times New Roman" w:hAnsi="Times New Roman" w:eastAsia="Times New Roman" w:cs="Times New Roman"/>
                      <w:color w:val="auto"/>
                      <w:spacing w:val="1"/>
                      <w:sz w:val="21"/>
                      <w:szCs w:val="21"/>
                      <w:lang w:val="zh-CN" w:eastAsia="zh-CN"/>
                    </w:rPr>
                    <w:t>mg/L</w:t>
                  </w:r>
                </w:p>
              </w:tc>
            </w:tr>
            <w:tr w14:paraId="39A39D0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67" w:hRule="atLeast"/>
                <w:jc w:val="center"/>
              </w:trPr>
              <w:tc>
                <w:tcPr>
                  <w:tcW w:w="567" w:type="pct"/>
                  <w:tcBorders>
                    <w:tl2br w:val="nil"/>
                    <w:tr2bl w:val="nil"/>
                  </w:tcBorders>
                  <w:noWrap w:val="0"/>
                  <w:vAlign w:val="center"/>
                </w:tcPr>
                <w:p w14:paraId="3C48C0B0">
                  <w:pPr>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rPr>
                      <w:rFonts w:hint="default" w:ascii="Times New Roman" w:hAnsi="Times New Roman" w:eastAsia="宋体" w:cs="Times New Roman"/>
                      <w:color w:val="auto"/>
                      <w:spacing w:val="-3"/>
                      <w:sz w:val="21"/>
                      <w:szCs w:val="21"/>
                      <w:lang w:val="en-US" w:eastAsia="zh-CN"/>
                    </w:rPr>
                  </w:pPr>
                  <w:r>
                    <w:rPr>
                      <w:rFonts w:hint="default" w:ascii="Times New Roman" w:hAnsi="Times New Roman" w:eastAsia="宋体" w:cs="Times New Roman"/>
                      <w:color w:val="auto"/>
                      <w:spacing w:val="-3"/>
                      <w:sz w:val="21"/>
                      <w:szCs w:val="21"/>
                      <w:lang w:val="en-US" w:eastAsia="zh-CN"/>
                    </w:rPr>
                    <w:t>4</w:t>
                  </w:r>
                </w:p>
              </w:tc>
              <w:tc>
                <w:tcPr>
                  <w:tcW w:w="2376" w:type="pct"/>
                  <w:tcBorders>
                    <w:tl2br w:val="nil"/>
                    <w:tr2bl w:val="nil"/>
                  </w:tcBorders>
                  <w:noWrap w:val="0"/>
                  <w:vAlign w:val="center"/>
                </w:tcPr>
                <w:p w14:paraId="2E1D78A1">
                  <w:pPr>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rPr>
                      <w:rFonts w:hint="default" w:ascii="Times New Roman" w:hAnsi="Times New Roman" w:eastAsia="Times New Roman" w:cs="Times New Roman"/>
                      <w:color w:val="auto"/>
                      <w:spacing w:val="1"/>
                      <w:sz w:val="21"/>
                      <w:szCs w:val="21"/>
                    </w:rPr>
                  </w:pPr>
                  <w:r>
                    <w:rPr>
                      <w:rFonts w:hint="default" w:ascii="Times New Roman" w:hAnsi="Times New Roman" w:eastAsia="Times New Roman" w:cs="Times New Roman"/>
                      <w:color w:val="auto"/>
                      <w:spacing w:val="1"/>
                      <w:sz w:val="21"/>
                      <w:szCs w:val="21"/>
                    </w:rPr>
                    <w:t>粪大肠菌群</w:t>
                  </w:r>
                </w:p>
              </w:tc>
              <w:tc>
                <w:tcPr>
                  <w:tcW w:w="2055" w:type="pct"/>
                  <w:tcBorders>
                    <w:tl2br w:val="nil"/>
                    <w:tr2bl w:val="nil"/>
                  </w:tcBorders>
                  <w:noWrap w:val="0"/>
                  <w:vAlign w:val="center"/>
                </w:tcPr>
                <w:p w14:paraId="43177E6D">
                  <w:pPr>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rPr>
                      <w:rFonts w:hint="default" w:ascii="Times New Roman" w:hAnsi="Times New Roman" w:eastAsia="Times New Roman" w:cs="Times New Roman"/>
                      <w:color w:val="auto"/>
                      <w:spacing w:val="1"/>
                      <w:sz w:val="21"/>
                      <w:szCs w:val="21"/>
                      <w:lang w:val="en-US" w:eastAsia="zh-CN"/>
                    </w:rPr>
                  </w:pPr>
                  <w:r>
                    <w:rPr>
                      <w:rFonts w:hint="default" w:ascii="Times New Roman" w:hAnsi="Times New Roman" w:eastAsia="Times New Roman" w:cs="Times New Roman"/>
                      <w:color w:val="auto"/>
                      <w:spacing w:val="1"/>
                      <w:sz w:val="21"/>
                      <w:szCs w:val="21"/>
                      <w:lang w:val="en-US" w:eastAsia="zh-CN"/>
                    </w:rPr>
                    <w:t>10000MPN/L</w:t>
                  </w:r>
                </w:p>
              </w:tc>
            </w:tr>
            <w:tr w14:paraId="17FB50F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0" w:type="dxa"/>
                  <w:bottom w:w="0" w:type="dxa"/>
                  <w:right w:w="0" w:type="dxa"/>
                </w:tblCellMar>
              </w:tblPrEx>
              <w:trPr>
                <w:trHeight w:val="296" w:hRule="atLeast"/>
                <w:jc w:val="center"/>
              </w:trPr>
              <w:tc>
                <w:tcPr>
                  <w:tcW w:w="567" w:type="pct"/>
                  <w:tcBorders>
                    <w:tl2br w:val="nil"/>
                    <w:tr2bl w:val="nil"/>
                  </w:tcBorders>
                  <w:noWrap w:val="0"/>
                  <w:vAlign w:val="center"/>
                </w:tcPr>
                <w:p w14:paraId="089911D3">
                  <w:pPr>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rPr>
                      <w:rFonts w:hint="default" w:ascii="Times New Roman" w:hAnsi="Times New Roman" w:eastAsia="宋体" w:cs="Times New Roman"/>
                      <w:color w:val="auto"/>
                      <w:spacing w:val="-3"/>
                      <w:sz w:val="21"/>
                      <w:szCs w:val="21"/>
                      <w:lang w:val="en-US" w:eastAsia="zh-CN"/>
                    </w:rPr>
                  </w:pPr>
                  <w:r>
                    <w:rPr>
                      <w:rFonts w:hint="default" w:ascii="Times New Roman" w:hAnsi="Times New Roman" w:eastAsia="宋体" w:cs="Times New Roman"/>
                      <w:color w:val="auto"/>
                      <w:spacing w:val="-3"/>
                      <w:sz w:val="21"/>
                      <w:szCs w:val="21"/>
                      <w:lang w:val="en-US" w:eastAsia="zh-CN"/>
                    </w:rPr>
                    <w:t>5</w:t>
                  </w:r>
                </w:p>
              </w:tc>
              <w:tc>
                <w:tcPr>
                  <w:tcW w:w="2376" w:type="pct"/>
                  <w:tcBorders>
                    <w:tl2br w:val="nil"/>
                    <w:tr2bl w:val="nil"/>
                  </w:tcBorders>
                  <w:noWrap w:val="0"/>
                  <w:vAlign w:val="center"/>
                </w:tcPr>
                <w:p w14:paraId="4C4F42F4">
                  <w:pPr>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rPr>
                      <w:rFonts w:hint="default" w:ascii="Times New Roman" w:hAnsi="Times New Roman" w:eastAsia="Times New Roman" w:cs="Times New Roman"/>
                      <w:color w:val="auto"/>
                      <w:spacing w:val="1"/>
                      <w:sz w:val="21"/>
                      <w:szCs w:val="21"/>
                    </w:rPr>
                  </w:pPr>
                  <w:r>
                    <w:rPr>
                      <w:rFonts w:hint="default" w:ascii="Times New Roman" w:hAnsi="Times New Roman" w:eastAsia="Times New Roman" w:cs="Times New Roman"/>
                      <w:color w:val="auto"/>
                      <w:spacing w:val="1"/>
                      <w:sz w:val="21"/>
                      <w:szCs w:val="21"/>
                    </w:rPr>
                    <w:t>蛔虫卵个数</w:t>
                  </w:r>
                </w:p>
              </w:tc>
              <w:tc>
                <w:tcPr>
                  <w:tcW w:w="2055" w:type="pct"/>
                  <w:tcBorders>
                    <w:tl2br w:val="nil"/>
                    <w:tr2bl w:val="nil"/>
                  </w:tcBorders>
                  <w:noWrap w:val="0"/>
                  <w:vAlign w:val="center"/>
                </w:tcPr>
                <w:p w14:paraId="363C46EF">
                  <w:pPr>
                    <w:keepNext w:val="0"/>
                    <w:keepLines w:val="0"/>
                    <w:pageBreakBefore w:val="0"/>
                    <w:widowControl w:val="0"/>
                    <w:kinsoku/>
                    <w:wordWrap/>
                    <w:overflowPunct/>
                    <w:topLinePunct w:val="0"/>
                    <w:autoSpaceDE w:val="0"/>
                    <w:autoSpaceDN w:val="0"/>
                    <w:bidi w:val="0"/>
                    <w:adjustRightInd/>
                    <w:snapToGrid/>
                    <w:spacing w:before="0" w:line="240" w:lineRule="auto"/>
                    <w:ind w:left="0" w:right="0" w:firstLine="0" w:firstLineChars="0"/>
                    <w:jc w:val="center"/>
                    <w:textAlignment w:val="auto"/>
                    <w:rPr>
                      <w:rFonts w:hint="default" w:ascii="Times New Roman" w:hAnsi="Times New Roman" w:eastAsia="Times New Roman" w:cs="Times New Roman"/>
                      <w:color w:val="auto"/>
                      <w:spacing w:val="1"/>
                      <w:sz w:val="21"/>
                      <w:szCs w:val="21"/>
                      <w:lang w:val="en-US" w:eastAsia="zh-CN"/>
                    </w:rPr>
                  </w:pPr>
                  <w:r>
                    <w:rPr>
                      <w:rFonts w:hint="default" w:ascii="Times New Roman" w:hAnsi="Times New Roman" w:eastAsia="Times New Roman" w:cs="Times New Roman"/>
                      <w:color w:val="auto"/>
                      <w:spacing w:val="1"/>
                      <w:sz w:val="21"/>
                      <w:szCs w:val="21"/>
                      <w:lang w:val="en-US" w:eastAsia="zh-CN"/>
                    </w:rPr>
                    <w:t>2个/L</w:t>
                  </w:r>
                </w:p>
              </w:tc>
            </w:tr>
          </w:tbl>
          <w:p w14:paraId="2AC7FA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val="0"/>
                <w:color w:val="auto"/>
                <w:sz w:val="24"/>
                <w:szCs w:val="24"/>
                <w:lang w:val="en-US" w:eastAsia="zh-CN"/>
              </w:rPr>
            </w:pPr>
            <w:r>
              <w:rPr>
                <w:rFonts w:hint="default" w:ascii="Times New Roman" w:hAnsi="Times New Roman" w:cs="Times New Roman"/>
                <w:b/>
                <w:bCs w:val="0"/>
                <w:color w:val="auto"/>
                <w:sz w:val="24"/>
                <w:szCs w:val="24"/>
                <w:lang w:val="en-US" w:eastAsia="zh-CN"/>
              </w:rPr>
              <w:t>4.</w:t>
            </w:r>
            <w:r>
              <w:rPr>
                <w:rFonts w:hint="default" w:ascii="Times New Roman" w:hAnsi="Times New Roman" w:eastAsia="宋体" w:cs="Times New Roman"/>
                <w:b/>
                <w:bCs w:val="0"/>
                <w:color w:val="auto"/>
                <w:sz w:val="24"/>
                <w:szCs w:val="24"/>
                <w:lang w:val="en-US" w:eastAsia="zh-CN"/>
              </w:rPr>
              <w:t>固废</w:t>
            </w:r>
          </w:p>
          <w:p w14:paraId="00475D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color w:val="auto"/>
                <w:lang w:val="en-US" w:eastAsia="zh-CN"/>
              </w:rPr>
            </w:pPr>
            <w:r>
              <w:rPr>
                <w:rFonts w:hint="default" w:ascii="Times New Roman" w:hAnsi="Times New Roman" w:cs="Times New Roman"/>
                <w:bCs/>
                <w:color w:val="auto"/>
                <w:sz w:val="24"/>
                <w:szCs w:val="24"/>
                <w:lang w:val="en-US" w:eastAsia="zh-CN"/>
              </w:rPr>
              <w:t>本项目</w:t>
            </w:r>
            <w:r>
              <w:rPr>
                <w:rFonts w:hint="default" w:ascii="Times New Roman" w:hAnsi="Times New Roman" w:eastAsia="宋体" w:cs="Times New Roman"/>
                <w:bCs/>
                <w:color w:val="auto"/>
                <w:sz w:val="24"/>
                <w:szCs w:val="24"/>
              </w:rPr>
              <w:t>一般工业固废执行《一般工业固体废物贮存和填埋污染控制标准》（GB18599-2020）；</w:t>
            </w:r>
            <w:r>
              <w:rPr>
                <w:rFonts w:hint="default" w:ascii="Times New Roman" w:hAnsi="Times New Roman" w:eastAsia="宋体" w:cs="Times New Roman"/>
                <w:color w:val="auto"/>
                <w:sz w:val="24"/>
                <w:szCs w:val="24"/>
              </w:rPr>
              <w:t>危险废物贮存执行《危险废物贮存污染控制标准》（GB18597-2023）相关要求。</w:t>
            </w:r>
          </w:p>
        </w:tc>
      </w:tr>
      <w:tr w14:paraId="542BEA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761" w:hRule="atLeast"/>
          <w:jc w:val="center"/>
        </w:trPr>
        <w:tc>
          <w:tcPr>
            <w:tcW w:w="627" w:type="dxa"/>
            <w:noWrap w:val="0"/>
            <w:vAlign w:val="center"/>
          </w:tcPr>
          <w:p w14:paraId="4AE76B13">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r>
              <w:rPr>
                <w:rFonts w:hint="default" w:ascii="Times New Roman" w:hAnsi="Times New Roman" w:eastAsia="宋体" w:cs="Times New Roman"/>
                <w:color w:val="auto"/>
                <w:spacing w:val="0"/>
                <w:kern w:val="0"/>
                <w:position w:val="0"/>
                <w:sz w:val="24"/>
                <w:szCs w:val="24"/>
              </w:rPr>
              <w:t>总量</w:t>
            </w:r>
          </w:p>
          <w:p w14:paraId="0B635839">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r>
              <w:rPr>
                <w:rFonts w:hint="default" w:ascii="Times New Roman" w:hAnsi="Times New Roman" w:eastAsia="宋体" w:cs="Times New Roman"/>
                <w:color w:val="auto"/>
                <w:spacing w:val="0"/>
                <w:kern w:val="0"/>
                <w:position w:val="0"/>
                <w:sz w:val="24"/>
                <w:szCs w:val="24"/>
              </w:rPr>
              <w:t>控制</w:t>
            </w:r>
          </w:p>
          <w:p w14:paraId="410ACC96">
            <w:pPr>
              <w:keepNext w:val="0"/>
              <w:keepLines w:val="0"/>
              <w:pageBreakBefore w:val="0"/>
              <w:kinsoku/>
              <w:wordWrap/>
              <w:topLinePunct w:val="0"/>
              <w:autoSpaceDE/>
              <w:autoSpaceDN/>
              <w:bidi w:val="0"/>
              <w:adjustRightInd/>
              <w:snapToGrid/>
              <w:jc w:val="center"/>
              <w:rPr>
                <w:rFonts w:hint="default" w:ascii="Times New Roman" w:hAnsi="Times New Roman" w:eastAsia="宋体" w:cs="Times New Roman"/>
                <w:color w:val="auto"/>
                <w:spacing w:val="0"/>
                <w:kern w:val="0"/>
                <w:position w:val="0"/>
                <w:sz w:val="24"/>
                <w:szCs w:val="24"/>
              </w:rPr>
            </w:pPr>
            <w:r>
              <w:rPr>
                <w:rFonts w:hint="default" w:ascii="Times New Roman" w:hAnsi="Times New Roman" w:eastAsia="宋体" w:cs="Times New Roman"/>
                <w:color w:val="auto"/>
                <w:spacing w:val="0"/>
                <w:kern w:val="0"/>
                <w:position w:val="0"/>
                <w:sz w:val="24"/>
                <w:szCs w:val="24"/>
              </w:rPr>
              <w:t>指标</w:t>
            </w:r>
          </w:p>
        </w:tc>
        <w:tc>
          <w:tcPr>
            <w:tcW w:w="8332" w:type="dxa"/>
            <w:noWrap w:val="0"/>
            <w:vAlign w:val="center"/>
          </w:tcPr>
          <w:p w14:paraId="0F924631">
            <w:pPr>
              <w:pStyle w:val="31"/>
              <w:spacing w:after="0" w:line="360" w:lineRule="auto"/>
              <w:ind w:left="0" w:leftChars="0"/>
              <w:rPr>
                <w:rFonts w:hint="default" w:ascii="Times New Roman" w:hAnsi="Times New Roman" w:eastAsia="宋体" w:cs="Times New Roman"/>
                <w:color w:val="auto"/>
                <w:spacing w:val="0"/>
                <w:kern w:val="2"/>
                <w:position w:val="0"/>
                <w:sz w:val="24"/>
                <w:szCs w:val="24"/>
                <w:lang w:val="en-US" w:eastAsia="zh-CN" w:bidi="zh-CN"/>
              </w:rPr>
            </w:pPr>
            <w:r>
              <w:rPr>
                <w:rFonts w:hint="default" w:ascii="Times New Roman" w:hAnsi="Times New Roman" w:eastAsia="宋体" w:cs="Times New Roman"/>
                <w:color w:val="auto"/>
                <w:spacing w:val="0"/>
                <w:kern w:val="2"/>
                <w:position w:val="0"/>
                <w:sz w:val="24"/>
                <w:szCs w:val="24"/>
                <w:lang w:val="en-US" w:eastAsia="zh-CN" w:bidi="zh-CN"/>
              </w:rPr>
              <w:t>根据自治区党委自治区人民政府印发的《新疆生态环境保护“十四五”规划》，新疆</w:t>
            </w:r>
            <w:r>
              <w:rPr>
                <w:rFonts w:hint="default" w:ascii="Times New Roman" w:hAnsi="Times New Roman" w:cs="Times New Roman"/>
                <w:color w:val="auto"/>
                <w:spacing w:val="0"/>
                <w:kern w:val="2"/>
                <w:position w:val="0"/>
                <w:sz w:val="24"/>
                <w:szCs w:val="24"/>
                <w:lang w:val="en-US" w:eastAsia="zh-CN" w:bidi="zh-CN"/>
              </w:rPr>
              <w:t>“</w:t>
            </w:r>
            <w:r>
              <w:rPr>
                <w:rFonts w:hint="default" w:ascii="Times New Roman" w:hAnsi="Times New Roman" w:eastAsia="宋体" w:cs="Times New Roman"/>
                <w:color w:val="auto"/>
                <w:spacing w:val="0"/>
                <w:kern w:val="2"/>
                <w:position w:val="0"/>
                <w:sz w:val="24"/>
                <w:szCs w:val="24"/>
                <w:lang w:val="en-US" w:eastAsia="zh-CN" w:bidi="zh-CN"/>
              </w:rPr>
              <w:t>十四五</w:t>
            </w:r>
            <w:r>
              <w:rPr>
                <w:rFonts w:hint="default" w:ascii="Times New Roman" w:hAnsi="Times New Roman" w:cs="Times New Roman"/>
                <w:color w:val="auto"/>
                <w:spacing w:val="0"/>
                <w:kern w:val="2"/>
                <w:position w:val="0"/>
                <w:sz w:val="24"/>
                <w:szCs w:val="24"/>
                <w:lang w:val="en-US" w:eastAsia="zh-CN" w:bidi="zh-CN"/>
              </w:rPr>
              <w:t>”</w:t>
            </w:r>
            <w:r>
              <w:rPr>
                <w:rFonts w:hint="default" w:ascii="Times New Roman" w:hAnsi="Times New Roman" w:eastAsia="宋体" w:cs="Times New Roman"/>
                <w:color w:val="auto"/>
                <w:spacing w:val="0"/>
                <w:kern w:val="2"/>
                <w:position w:val="0"/>
                <w:sz w:val="24"/>
                <w:szCs w:val="24"/>
                <w:lang w:val="en-US" w:eastAsia="zh-CN" w:bidi="zh-CN"/>
              </w:rPr>
              <w:t>生态环境保护规划总量控制指标为</w:t>
            </w:r>
            <w:r>
              <w:rPr>
                <w:rFonts w:hint="default" w:ascii="Times New Roman" w:hAnsi="Times New Roman" w:cs="Times New Roman"/>
                <w:color w:val="auto"/>
                <w:spacing w:val="0"/>
                <w:kern w:val="2"/>
                <w:position w:val="0"/>
                <w:sz w:val="24"/>
                <w:szCs w:val="24"/>
                <w:lang w:val="en-US" w:eastAsia="zh-CN" w:bidi="zh-CN"/>
              </w:rPr>
              <w:t>化学需氧量</w:t>
            </w:r>
            <w:r>
              <w:rPr>
                <w:rFonts w:hint="default" w:ascii="Times New Roman" w:hAnsi="Times New Roman" w:eastAsia="宋体" w:cs="Times New Roman"/>
                <w:color w:val="auto"/>
                <w:spacing w:val="0"/>
                <w:kern w:val="2"/>
                <w:position w:val="0"/>
                <w:sz w:val="24"/>
                <w:szCs w:val="24"/>
                <w:lang w:val="en-US" w:eastAsia="zh-CN" w:bidi="zh-CN"/>
              </w:rPr>
              <w:t>、氨氮、</w:t>
            </w:r>
            <w:r>
              <w:rPr>
                <w:rFonts w:hint="default" w:ascii="Times New Roman" w:hAnsi="Times New Roman" w:cs="Times New Roman"/>
                <w:color w:val="auto"/>
                <w:spacing w:val="0"/>
                <w:kern w:val="2"/>
                <w:position w:val="0"/>
                <w:sz w:val="24"/>
                <w:szCs w:val="24"/>
                <w:lang w:val="en-US" w:eastAsia="zh-CN" w:bidi="zh-CN"/>
              </w:rPr>
              <w:t>氮氧化物</w:t>
            </w:r>
            <w:r>
              <w:rPr>
                <w:rFonts w:hint="default" w:ascii="Times New Roman" w:hAnsi="Times New Roman" w:eastAsia="宋体" w:cs="Times New Roman"/>
                <w:color w:val="auto"/>
                <w:spacing w:val="0"/>
                <w:kern w:val="2"/>
                <w:position w:val="0"/>
                <w:sz w:val="24"/>
                <w:szCs w:val="24"/>
                <w:lang w:val="en-US" w:eastAsia="zh-CN" w:bidi="zh-CN"/>
              </w:rPr>
              <w:t>和VOCs。根据国家规定的总量控制污染物种类，综合考虑本项目的排污特点和所在区域的环境质量现状等因素</w:t>
            </w:r>
            <w:r>
              <w:rPr>
                <w:rFonts w:hint="default" w:ascii="Times New Roman" w:hAnsi="Times New Roman" w:cs="Times New Roman"/>
                <w:color w:val="auto"/>
                <w:spacing w:val="0"/>
                <w:kern w:val="2"/>
                <w:position w:val="0"/>
                <w:sz w:val="24"/>
                <w:szCs w:val="24"/>
                <w:lang w:val="en-US" w:eastAsia="zh-CN" w:bidi="zh-CN"/>
              </w:rPr>
              <w:t>，总量控制指标</w:t>
            </w:r>
            <w:r>
              <w:rPr>
                <w:rFonts w:hint="default" w:ascii="Times New Roman" w:hAnsi="Times New Roman" w:eastAsia="宋体" w:cs="Times New Roman"/>
                <w:color w:val="auto"/>
                <w:spacing w:val="0"/>
                <w:kern w:val="2"/>
                <w:position w:val="0"/>
                <w:sz w:val="24"/>
                <w:szCs w:val="24"/>
                <w:lang w:val="en-US" w:eastAsia="zh-CN" w:bidi="zh-CN"/>
              </w:rPr>
              <w:t>为</w:t>
            </w:r>
            <w:r>
              <w:rPr>
                <w:rFonts w:hint="default" w:ascii="Times New Roman" w:hAnsi="Times New Roman" w:cs="Times New Roman"/>
                <w:color w:val="auto"/>
                <w:spacing w:val="0"/>
                <w:kern w:val="2"/>
                <w:position w:val="0"/>
                <w:sz w:val="24"/>
                <w:szCs w:val="24"/>
                <w:lang w:val="en-US" w:eastAsia="zh-CN" w:bidi="zh-CN"/>
              </w:rPr>
              <w:t>颗粒物、氮氧化物和二氧化硫</w:t>
            </w:r>
            <w:r>
              <w:rPr>
                <w:rFonts w:hint="default" w:ascii="Times New Roman" w:hAnsi="Times New Roman" w:eastAsia="宋体" w:cs="Times New Roman"/>
                <w:color w:val="auto"/>
                <w:spacing w:val="0"/>
                <w:kern w:val="2"/>
                <w:position w:val="0"/>
                <w:sz w:val="24"/>
                <w:szCs w:val="24"/>
                <w:lang w:val="en-US" w:eastAsia="zh-CN" w:bidi="zh-CN"/>
              </w:rPr>
              <w:t>。</w:t>
            </w:r>
          </w:p>
          <w:p w14:paraId="3E19D096">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r>
              <w:rPr>
                <w:rFonts w:hint="default" w:ascii="Times New Roman" w:hAnsi="Times New Roman" w:cs="Times New Roman"/>
                <w:color w:val="auto"/>
                <w:spacing w:val="0"/>
                <w:kern w:val="2"/>
                <w:position w:val="0"/>
                <w:sz w:val="24"/>
                <w:szCs w:val="24"/>
                <w:lang w:val="en-US" w:eastAsia="zh-CN" w:bidi="zh-CN"/>
              </w:rPr>
              <w:t>本项目主要污染物总量控制指标为：颗粒物3.555t/a、氮氧化物77.876t/a、二氧化硫33.238t/a。</w:t>
            </w:r>
          </w:p>
          <w:p w14:paraId="468C2928">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r>
              <w:rPr>
                <w:rFonts w:hint="default" w:ascii="Times New Roman" w:hAnsi="Times New Roman" w:cs="Times New Roman"/>
                <w:color w:val="auto"/>
                <w:spacing w:val="0"/>
                <w:kern w:val="2"/>
                <w:position w:val="0"/>
                <w:sz w:val="24"/>
                <w:szCs w:val="24"/>
                <w:lang w:val="en-US" w:eastAsia="zh-CN" w:bidi="zh-CN"/>
              </w:rPr>
              <w:t>现有吉木萨尔县光源发电有限责任公司燃气锅炉节能改造及资源综合利用项目总量指标：颗粒物5.654t/a、氮氧化物113.072t/a、二氧化硫33.922t/a。该项目规划新建2台40t/h燃气锅炉及2台12MW凝汽式汽轮发电机组，目前未开工建设、未实施。本项目建成投产后将替代其规划产能，该项目不再建设实施。因此本项目以该拟建项目作为总量替代源，本项目不新增污染物总量。</w:t>
            </w:r>
          </w:p>
          <w:p w14:paraId="0F595283">
            <w:pPr>
              <w:pStyle w:val="79"/>
              <w:keepNext w:val="0"/>
              <w:keepLines w:val="0"/>
              <w:pageBreakBefore w:val="0"/>
              <w:kinsoku/>
              <w:wordWrap/>
              <w:overflowPunct/>
              <w:topLinePunct w:val="0"/>
              <w:autoSpaceDE/>
              <w:autoSpaceDN/>
              <w:bidi w:val="0"/>
              <w:spacing w:line="360" w:lineRule="auto"/>
              <w:ind w:left="0" w:leftChars="0" w:firstLine="0" w:firstLineChars="0"/>
              <w:textAlignment w:val="auto"/>
              <w:rPr>
                <w:rFonts w:hint="default" w:ascii="Times New Roman" w:hAnsi="Times New Roman" w:cs="Times New Roman"/>
                <w:color w:val="auto"/>
                <w:spacing w:val="0"/>
                <w:kern w:val="2"/>
                <w:position w:val="0"/>
                <w:sz w:val="24"/>
                <w:szCs w:val="24"/>
                <w:lang w:val="en-US" w:eastAsia="zh-CN" w:bidi="zh-CN"/>
              </w:rPr>
            </w:pPr>
          </w:p>
          <w:p w14:paraId="32105552">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4BCB9CCF">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21C98B98">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202D00C5">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15A40A86">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08791998">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46D04917">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784C9442">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6A2881D4">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2EF2311D">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7735CE69">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7F7C7073">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57AD1ECD">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5CE2BF65">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3748D6E6">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60A159F1">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3755CB66">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3455F8A2">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670E956C">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1451D195">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0A5E05A5">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381D86E8">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359D2222">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cs="Times New Roman"/>
                <w:color w:val="auto"/>
                <w:spacing w:val="0"/>
                <w:kern w:val="2"/>
                <w:position w:val="0"/>
                <w:sz w:val="24"/>
                <w:szCs w:val="24"/>
                <w:lang w:val="en-US" w:eastAsia="zh-CN" w:bidi="zh-CN"/>
              </w:rPr>
            </w:pPr>
          </w:p>
          <w:p w14:paraId="54319FAF">
            <w:pPr>
              <w:pStyle w:val="79"/>
              <w:keepNext w:val="0"/>
              <w:keepLines w:val="0"/>
              <w:pageBreakBefore w:val="0"/>
              <w:kinsoku/>
              <w:wordWrap/>
              <w:overflowPunct/>
              <w:topLinePunct w:val="0"/>
              <w:autoSpaceDE/>
              <w:autoSpaceDN/>
              <w:bidi w:val="0"/>
              <w:spacing w:line="360" w:lineRule="auto"/>
              <w:ind w:left="0" w:leftChars="0" w:firstLine="0" w:firstLineChars="0"/>
              <w:textAlignment w:val="auto"/>
              <w:rPr>
                <w:rFonts w:hint="default" w:ascii="Times New Roman" w:hAnsi="Times New Roman" w:cs="Times New Roman"/>
                <w:color w:val="auto"/>
                <w:spacing w:val="0"/>
                <w:kern w:val="2"/>
                <w:position w:val="0"/>
                <w:sz w:val="24"/>
                <w:szCs w:val="24"/>
                <w:lang w:val="en-US" w:eastAsia="zh-CN" w:bidi="zh-CN"/>
              </w:rPr>
            </w:pPr>
          </w:p>
          <w:p w14:paraId="5999DA4E">
            <w:pPr>
              <w:pStyle w:val="79"/>
              <w:keepNext w:val="0"/>
              <w:keepLines w:val="0"/>
              <w:pageBreakBefore w:val="0"/>
              <w:kinsoku/>
              <w:wordWrap/>
              <w:overflowPunct/>
              <w:topLinePunct w:val="0"/>
              <w:autoSpaceDE/>
              <w:autoSpaceDN/>
              <w:bidi w:val="0"/>
              <w:spacing w:line="360" w:lineRule="auto"/>
              <w:ind w:left="0" w:leftChars="0" w:firstLine="0" w:firstLineChars="0"/>
              <w:textAlignment w:val="auto"/>
              <w:rPr>
                <w:rFonts w:hint="default" w:ascii="Times New Roman" w:hAnsi="Times New Roman" w:cs="Times New Roman"/>
                <w:color w:val="auto"/>
                <w:spacing w:val="0"/>
                <w:kern w:val="2"/>
                <w:position w:val="0"/>
                <w:sz w:val="24"/>
                <w:szCs w:val="24"/>
                <w:lang w:val="en-US" w:eastAsia="zh-CN" w:bidi="zh-CN"/>
              </w:rPr>
            </w:pPr>
          </w:p>
        </w:tc>
      </w:tr>
      <w:bookmarkEnd w:id="5"/>
    </w:tbl>
    <w:p w14:paraId="377B1554">
      <w:pPr>
        <w:pStyle w:val="28"/>
        <w:jc w:val="center"/>
        <w:outlineLvl w:val="0"/>
        <w:rPr>
          <w:rFonts w:hint="default" w:ascii="Times New Roman" w:hAnsi="Times New Roman" w:eastAsia="黑体" w:cs="Times New Roman"/>
          <w:snapToGrid w:val="0"/>
          <w:color w:val="auto"/>
          <w:sz w:val="30"/>
          <w:szCs w:val="30"/>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425" w:num="1"/>
          <w:docGrid w:linePitch="312" w:charSpace="0"/>
        </w:sectPr>
      </w:pPr>
      <w:bookmarkStart w:id="40" w:name="_Toc30231"/>
    </w:p>
    <w:p w14:paraId="3EBB046B">
      <w:pPr>
        <w:pStyle w:val="28"/>
        <w:jc w:val="center"/>
        <w:outlineLvl w:val="0"/>
        <w:rPr>
          <w:rFonts w:hint="default" w:ascii="Times New Roman" w:hAnsi="Times New Roman" w:eastAsia="宋体" w:cs="Times New Roman"/>
          <w:b/>
          <w:bCs/>
          <w:snapToGrid w:val="0"/>
          <w:color w:val="auto"/>
          <w:sz w:val="30"/>
          <w:szCs w:val="30"/>
        </w:rPr>
      </w:pPr>
      <w:r>
        <w:rPr>
          <w:rFonts w:hint="default" w:ascii="Times New Roman" w:hAnsi="Times New Roman" w:eastAsia="黑体" w:cs="Times New Roman"/>
          <w:snapToGrid w:val="0"/>
          <w:color w:val="auto"/>
          <w:sz w:val="30"/>
          <w:szCs w:val="30"/>
        </w:rPr>
        <w:t>四、主要环境影响和保护措施</w:t>
      </w:r>
      <w:bookmarkEnd w:id="40"/>
    </w:p>
    <w:tbl>
      <w:tblPr>
        <w:tblStyle w:val="32"/>
        <w:tblW w:w="894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57" w:type="dxa"/>
          <w:left w:w="57" w:type="dxa"/>
          <w:bottom w:w="57" w:type="dxa"/>
          <w:right w:w="57" w:type="dxa"/>
        </w:tblCellMar>
      </w:tblPr>
      <w:tblGrid>
        <w:gridCol w:w="672"/>
        <w:gridCol w:w="8277"/>
      </w:tblGrid>
      <w:tr w14:paraId="5FC015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357" w:hRule="atLeast"/>
          <w:jc w:val="center"/>
        </w:trPr>
        <w:tc>
          <w:tcPr>
            <w:tcW w:w="672" w:type="dxa"/>
            <w:noWrap w:val="0"/>
            <w:tcMar>
              <w:left w:w="28" w:type="dxa"/>
              <w:right w:w="28" w:type="dxa"/>
            </w:tcMar>
            <w:vAlign w:val="center"/>
          </w:tcPr>
          <w:p w14:paraId="07B6B848">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5E3FE095">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682839FF">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50A8D579">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325E179F">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5B4A6A51">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4114407B">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3EF48CAE">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297F13AD">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2F0F3472">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3EC0A2E4">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705A4D14">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619DB39B">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403CC505">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56114412">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1FA8C22A">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20A5B4C7">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5A79E8C0">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57B8DB0F">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r>
              <w:rPr>
                <w:rFonts w:hint="default" w:ascii="Times New Roman" w:hAnsi="Times New Roman" w:eastAsia="宋体" w:cs="Times New Roman"/>
                <w:color w:val="auto"/>
                <w:spacing w:val="0"/>
                <w:kern w:val="2"/>
                <w:sz w:val="24"/>
                <w:szCs w:val="24"/>
              </w:rPr>
              <w:t>施工</w:t>
            </w:r>
          </w:p>
          <w:p w14:paraId="299E027A">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r>
              <w:rPr>
                <w:rFonts w:hint="default" w:ascii="Times New Roman" w:hAnsi="Times New Roman" w:eastAsia="宋体" w:cs="Times New Roman"/>
                <w:color w:val="auto"/>
                <w:spacing w:val="0"/>
                <w:kern w:val="2"/>
                <w:sz w:val="24"/>
                <w:szCs w:val="24"/>
              </w:rPr>
              <w:t>期环</w:t>
            </w:r>
          </w:p>
          <w:p w14:paraId="5D4F13A4">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r>
              <w:rPr>
                <w:rFonts w:hint="default" w:ascii="Times New Roman" w:hAnsi="Times New Roman" w:eastAsia="宋体" w:cs="Times New Roman"/>
                <w:color w:val="auto"/>
                <w:spacing w:val="0"/>
                <w:kern w:val="2"/>
                <w:sz w:val="24"/>
                <w:szCs w:val="24"/>
              </w:rPr>
              <w:t>境保</w:t>
            </w:r>
          </w:p>
          <w:p w14:paraId="3103ED42">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r>
              <w:rPr>
                <w:rFonts w:hint="default" w:ascii="Times New Roman" w:hAnsi="Times New Roman" w:eastAsia="宋体" w:cs="Times New Roman"/>
                <w:color w:val="auto"/>
                <w:spacing w:val="0"/>
                <w:kern w:val="2"/>
                <w:sz w:val="24"/>
                <w:szCs w:val="24"/>
              </w:rPr>
              <w:t>护措</w:t>
            </w:r>
          </w:p>
          <w:p w14:paraId="1631E6E4">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r>
              <w:rPr>
                <w:rFonts w:hint="default" w:ascii="Times New Roman" w:hAnsi="Times New Roman" w:eastAsia="宋体" w:cs="Times New Roman"/>
                <w:color w:val="auto"/>
                <w:spacing w:val="0"/>
                <w:kern w:val="2"/>
                <w:sz w:val="24"/>
                <w:szCs w:val="24"/>
              </w:rPr>
              <w:t>施</w:t>
            </w:r>
          </w:p>
          <w:p w14:paraId="612883B4">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151DD52B">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6C174642">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4AE4B765">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6A54745C">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4F282C36">
            <w:pPr>
              <w:pStyle w:val="28"/>
              <w:keepNext w:val="0"/>
              <w:keepLines w:val="0"/>
              <w:pageBreakBefore w:val="0"/>
              <w:kinsoku/>
              <w:wordWrap/>
              <w:overflowPunct/>
              <w:bidi w:val="0"/>
              <w:adjustRightInd/>
              <w:snapToGrid/>
              <w:spacing w:before="0" w:beforeAutospacing="0" w:after="0" w:afterAutospacing="0"/>
              <w:jc w:val="both"/>
              <w:rPr>
                <w:rFonts w:hint="default" w:ascii="Times New Roman" w:hAnsi="Times New Roman" w:eastAsia="宋体" w:cs="Times New Roman"/>
                <w:color w:val="auto"/>
                <w:spacing w:val="0"/>
                <w:kern w:val="2"/>
                <w:sz w:val="24"/>
                <w:szCs w:val="24"/>
              </w:rPr>
            </w:pPr>
          </w:p>
          <w:p w14:paraId="72202319">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75062128">
            <w:pPr>
              <w:pStyle w:val="28"/>
              <w:keepNext w:val="0"/>
              <w:keepLines w:val="0"/>
              <w:pageBreakBefore w:val="0"/>
              <w:kinsoku/>
              <w:wordWrap/>
              <w:overflowPunct/>
              <w:bidi w:val="0"/>
              <w:adjustRightInd/>
              <w:snapToGrid/>
              <w:spacing w:before="0" w:beforeAutospacing="0" w:after="0" w:afterAutospacing="0"/>
              <w:jc w:val="both"/>
              <w:rPr>
                <w:rFonts w:hint="default" w:ascii="Times New Roman" w:hAnsi="Times New Roman" w:eastAsia="宋体" w:cs="Times New Roman"/>
                <w:color w:val="auto"/>
                <w:spacing w:val="0"/>
                <w:kern w:val="2"/>
                <w:sz w:val="24"/>
                <w:szCs w:val="24"/>
              </w:rPr>
            </w:pPr>
          </w:p>
          <w:p w14:paraId="1CFF18ED">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color w:val="auto"/>
                <w:spacing w:val="0"/>
                <w:kern w:val="2"/>
                <w:sz w:val="24"/>
                <w:szCs w:val="24"/>
              </w:rPr>
            </w:pPr>
          </w:p>
          <w:p w14:paraId="6ECC5BAB">
            <w:pPr>
              <w:pStyle w:val="28"/>
              <w:keepNext w:val="0"/>
              <w:keepLines w:val="0"/>
              <w:pageBreakBefore w:val="0"/>
              <w:kinsoku/>
              <w:wordWrap/>
              <w:overflowPunct/>
              <w:bidi w:val="0"/>
              <w:adjustRightInd/>
              <w:snapToGrid/>
              <w:spacing w:before="0" w:beforeAutospacing="0" w:after="0" w:afterAutospacing="0"/>
              <w:jc w:val="center"/>
              <w:rPr>
                <w:rFonts w:hint="default" w:ascii="Times New Roman" w:hAnsi="Times New Roman" w:eastAsia="宋体" w:cs="Times New Roman"/>
                <w:bCs/>
                <w:color w:val="auto"/>
                <w:spacing w:val="0"/>
                <w:kern w:val="2"/>
                <w:sz w:val="24"/>
                <w:szCs w:val="24"/>
              </w:rPr>
            </w:pPr>
          </w:p>
        </w:tc>
        <w:tc>
          <w:tcPr>
            <w:tcW w:w="8277" w:type="dxa"/>
            <w:noWrap w:val="0"/>
            <w:vAlign w:val="top"/>
          </w:tcPr>
          <w:p w14:paraId="2A80E21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宋体" w:cs="Times New Roman"/>
                <w:b/>
                <w:bCs/>
                <w:color w:val="auto"/>
                <w:sz w:val="24"/>
                <w:szCs w:val="24"/>
                <w:lang w:val="en-US" w:eastAsia="zh-CN"/>
              </w:rPr>
            </w:pPr>
            <w:bookmarkStart w:id="41" w:name="_Toc160615514"/>
            <w:r>
              <w:rPr>
                <w:rFonts w:hint="default" w:ascii="Times New Roman" w:hAnsi="Times New Roman" w:eastAsia="宋体" w:cs="Times New Roman"/>
                <w:b/>
                <w:bCs/>
                <w:color w:val="auto"/>
                <w:sz w:val="24"/>
                <w:szCs w:val="24"/>
                <w:lang w:val="en-US" w:eastAsia="zh-CN"/>
              </w:rPr>
              <w:t>1施工期环境保护措施</w:t>
            </w:r>
          </w:p>
          <w:bookmarkEnd w:id="41"/>
          <w:p w14:paraId="1A723E0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1.1</w:t>
            </w:r>
            <w:r>
              <w:rPr>
                <w:rFonts w:hint="default" w:ascii="Times New Roman" w:hAnsi="Times New Roman" w:eastAsia="宋体" w:cs="Times New Roman"/>
                <w:b/>
                <w:color w:val="auto"/>
                <w:sz w:val="24"/>
                <w:szCs w:val="24"/>
                <w:lang w:val="en-US" w:eastAsia="zh-CN"/>
              </w:rPr>
              <w:t>施工期</w:t>
            </w:r>
            <w:r>
              <w:rPr>
                <w:rFonts w:hint="default" w:ascii="Times New Roman" w:hAnsi="Times New Roman" w:eastAsia="宋体" w:cs="Times New Roman"/>
                <w:b/>
                <w:color w:val="auto"/>
                <w:sz w:val="24"/>
                <w:szCs w:val="24"/>
              </w:rPr>
              <w:t>大气环境</w:t>
            </w:r>
            <w:r>
              <w:rPr>
                <w:rFonts w:hint="default" w:ascii="Times New Roman" w:hAnsi="Times New Roman" w:eastAsia="宋体" w:cs="Times New Roman"/>
                <w:b/>
                <w:color w:val="auto"/>
                <w:sz w:val="24"/>
                <w:szCs w:val="24"/>
                <w:lang w:eastAsia="zh-CN"/>
              </w:rPr>
              <w:t>保护措施</w:t>
            </w:r>
          </w:p>
          <w:p w14:paraId="05DCED0F">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参照《建筑工程绿色环保施工管理规范》（DB65/T4060-2017）</w:t>
            </w:r>
            <w:r>
              <w:rPr>
                <w:rFonts w:hint="default" w:ascii="Times New Roman" w:hAnsi="Times New Roman" w:cs="Times New Roman"/>
                <w:color w:val="auto"/>
                <w:kern w:val="0"/>
                <w:sz w:val="24"/>
                <w:szCs w:val="24"/>
                <w:lang w:val="en-US" w:eastAsia="zh-CN"/>
              </w:rPr>
              <w:t>、《建筑施工扬尘排放标准》（DB6501/T030-2022）</w:t>
            </w:r>
            <w:r>
              <w:rPr>
                <w:rFonts w:hint="default" w:ascii="Times New Roman" w:hAnsi="Times New Roman" w:eastAsia="宋体" w:cs="Times New Roman"/>
                <w:color w:val="auto"/>
                <w:kern w:val="0"/>
                <w:sz w:val="24"/>
                <w:szCs w:val="24"/>
                <w:lang w:val="en-US" w:eastAsia="zh-CN"/>
              </w:rPr>
              <w:t>以及《新疆维吾尔自治区2025年空气质量持续改善行动实施方案》的相关要求，为使施工过程中产生的粉尘（扬尘）对周围环境空气的影响降低到最低程度，采取以下防护措施：</w:t>
            </w:r>
          </w:p>
          <w:p w14:paraId="04326DE5">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（1）本项目施工现场严格落实“六个百分百”要求。具体包括：施工围挡100%标准；物料堆放100%覆盖；施工现场100%湿法作业；施工道路100%硬化；施工现场出入车辆100%冲洗；渣土运输车辆100%密闭运输</w:t>
            </w:r>
            <w:r>
              <w:rPr>
                <w:rFonts w:hint="default" w:ascii="Times New Roman" w:hAnsi="Times New Roman"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严格按照有关控制扬尘污染等规定，强化施工期环境管理，提高全员环保意识宣传和教育，制定合理施工计划，缩短工期，采取集中力量逐项施工方法，坚决杜绝粗放式施工现象发生；</w:t>
            </w:r>
            <w:r>
              <w:rPr>
                <w:rFonts w:hint="default" w:ascii="Times New Roman" w:hAnsi="Times New Roman" w:cs="Times New Roman"/>
                <w:color w:val="auto"/>
                <w:kern w:val="0"/>
                <w:sz w:val="24"/>
                <w:szCs w:val="24"/>
                <w:lang w:val="en-US" w:eastAsia="zh-CN"/>
              </w:rPr>
              <w:t>本项目</w:t>
            </w:r>
            <w:r>
              <w:rPr>
                <w:rFonts w:hint="default" w:ascii="Times New Roman" w:hAnsi="Times New Roman" w:cs="Times New Roman"/>
                <w:color w:val="auto"/>
                <w:lang w:val="en-US" w:eastAsia="zh-CN"/>
              </w:rPr>
              <w:t>占地面积为</w:t>
            </w:r>
            <w:r>
              <w:rPr>
                <w:rFonts w:hint="eastAsia" w:cs="Times New Roman"/>
                <w:color w:val="auto"/>
                <w:lang w:val="en-US" w:eastAsia="zh-CN"/>
              </w:rPr>
              <w:t>12700</w:t>
            </w:r>
            <w:r>
              <w:rPr>
                <w:rFonts w:hint="default" w:ascii="Times New Roman" w:hAnsi="Times New Roman" w:cs="Times New Roman"/>
                <w:color w:val="auto"/>
                <w:lang w:val="en-US" w:eastAsia="zh-CN"/>
              </w:rPr>
              <w:t>m</w:t>
            </w:r>
            <w:r>
              <w:rPr>
                <w:rFonts w:hint="default" w:ascii="Times New Roman" w:hAnsi="Times New Roman" w:cs="Times New Roman"/>
                <w:color w:val="auto"/>
                <w:vertAlign w:val="superscript"/>
                <w:lang w:val="en-US" w:eastAsia="zh-CN"/>
              </w:rPr>
              <w:t>2</w:t>
            </w:r>
            <w:r>
              <w:rPr>
                <w:rFonts w:hint="default" w:ascii="Times New Roman" w:hAnsi="Times New Roman" w:cs="Times New Roman"/>
                <w:color w:val="auto"/>
                <w:vertAlign w:val="baseline"/>
                <w:lang w:val="en-US" w:eastAsia="zh-CN"/>
              </w:rPr>
              <w:t>，</w:t>
            </w:r>
            <w:r>
              <w:rPr>
                <w:rFonts w:hint="default" w:ascii="Times New Roman" w:hAnsi="Times New Roman" w:cs="Times New Roman"/>
                <w:color w:val="auto"/>
              </w:rPr>
              <w:t>建筑工地安装视频监控并接入当地监管平台</w:t>
            </w:r>
            <w:r>
              <w:rPr>
                <w:rFonts w:hint="default" w:ascii="Times New Roman" w:hAnsi="Times New Roman" w:cs="Times New Roman"/>
                <w:color w:val="auto"/>
                <w:lang w:eastAsia="zh-CN"/>
              </w:rPr>
              <w:t>。</w:t>
            </w:r>
          </w:p>
          <w:p w14:paraId="0AEFC61A">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（2）对挖掘作业面进行适当喷水，使其保持一定湿度，以</w:t>
            </w:r>
            <w:r>
              <w:rPr>
                <w:rFonts w:hint="default" w:ascii="Times New Roman" w:hAnsi="Times New Roman" w:cs="Times New Roman"/>
                <w:color w:val="auto"/>
                <w:kern w:val="0"/>
                <w:sz w:val="24"/>
                <w:szCs w:val="24"/>
                <w:lang w:val="en-US" w:eastAsia="zh-CN"/>
              </w:rPr>
              <w:t>减少</w:t>
            </w:r>
            <w:r>
              <w:rPr>
                <w:rFonts w:hint="default" w:ascii="Times New Roman" w:hAnsi="Times New Roman" w:eastAsia="宋体" w:cs="Times New Roman"/>
                <w:color w:val="auto"/>
                <w:kern w:val="0"/>
                <w:sz w:val="24"/>
                <w:szCs w:val="24"/>
                <w:lang w:val="en-US" w:eastAsia="zh-CN"/>
              </w:rPr>
              <w:t>扬尘；及时清运挖出的土方及建筑垃圾，防止长期堆放、表面干燥引起的扬尘</w:t>
            </w:r>
            <w:r>
              <w:rPr>
                <w:rFonts w:hint="eastAsia" w:cs="Times New Roman"/>
                <w:color w:val="auto"/>
                <w:kern w:val="0"/>
                <w:sz w:val="24"/>
                <w:szCs w:val="24"/>
                <w:lang w:val="en-US" w:eastAsia="zh-CN"/>
              </w:rPr>
              <w:t>；</w:t>
            </w:r>
          </w:p>
          <w:p w14:paraId="266AC633">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（3）各种建筑材料统一堆存，水泥、石灰等设专门防雨棚堆放，并尽量减少搬运环节，搬动时要轻举轻放，防止包装袋破裂；</w:t>
            </w:r>
          </w:p>
          <w:p w14:paraId="47741A54">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（4）保持运输车辆车况良好，谨防运输车辆装载过满，并尽量采取遮盖、密闭措施，防止沿途抛洒，减少运输扬尘产生量；在运输车辆进出场地时必须进行冲洗；</w:t>
            </w:r>
          </w:p>
          <w:p w14:paraId="7B6EE012">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（5）运输建筑材料车辆不得超载，运输颗粒物料车辆装载高度不得超过车槽；运输土石方车辆必须采取覆盖等防尘措施，防止物料沿途抛撒导致二次扬尘；</w:t>
            </w:r>
          </w:p>
          <w:p w14:paraId="1C068A5E">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（6）及时清理堆放在场地和道路上的弃土、弃渣及抛撒料，要适时洒水灭尘，对不能及时清运的，必须采取覆盖等措施，防止二次扬尘；</w:t>
            </w:r>
          </w:p>
          <w:p w14:paraId="49A3C1AB">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（7）加强对施工车辆的保养，确保施工车辆尾气达到《非道路移动机械用柴油机排气污染物排放限值及测量方法（中国第三、四阶段）》（GB20891-2014）；</w:t>
            </w:r>
          </w:p>
          <w:p w14:paraId="06A68112">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综上，本项目在采取以上措施并严格执行的前提下，施工期产生的大气污染物会控制在较小范围内，施工期对大气环境产生的影响会随施工的结束而消失。</w:t>
            </w:r>
          </w:p>
          <w:p w14:paraId="2456AA50">
            <w:pPr>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default" w:ascii="Times New Roman" w:hAnsi="Times New Roman" w:eastAsia="宋体" w:cs="Times New Roman"/>
                <w:b/>
                <w:color w:val="auto"/>
                <w:sz w:val="24"/>
                <w:szCs w:val="24"/>
              </w:rPr>
            </w:pPr>
            <w:bookmarkStart w:id="42" w:name="_Toc160615518"/>
            <w:r>
              <w:rPr>
                <w:rFonts w:hint="default" w:ascii="Times New Roman" w:hAnsi="Times New Roman" w:eastAsia="宋体" w:cs="Times New Roman"/>
                <w:b/>
                <w:color w:val="auto"/>
                <w:sz w:val="24"/>
                <w:szCs w:val="24"/>
                <w:lang w:val="en-US" w:eastAsia="zh-CN"/>
              </w:rPr>
              <w:t>1.</w:t>
            </w:r>
            <w:r>
              <w:rPr>
                <w:rFonts w:hint="default" w:ascii="Times New Roman" w:hAnsi="Times New Roman" w:eastAsia="宋体" w:cs="Times New Roman"/>
                <w:b/>
                <w:color w:val="auto"/>
                <w:sz w:val="24"/>
                <w:szCs w:val="24"/>
              </w:rPr>
              <w:t>2</w:t>
            </w:r>
            <w:r>
              <w:rPr>
                <w:rFonts w:hint="default" w:ascii="Times New Roman" w:hAnsi="Times New Roman" w:eastAsia="宋体" w:cs="Times New Roman"/>
                <w:b/>
                <w:color w:val="auto"/>
                <w:sz w:val="24"/>
                <w:szCs w:val="24"/>
                <w:lang w:val="en-US" w:eastAsia="zh-CN"/>
              </w:rPr>
              <w:t>施工期</w:t>
            </w:r>
            <w:r>
              <w:rPr>
                <w:rFonts w:hint="default" w:ascii="Times New Roman" w:hAnsi="Times New Roman" w:eastAsia="宋体" w:cs="Times New Roman"/>
                <w:b/>
                <w:color w:val="auto"/>
                <w:sz w:val="24"/>
                <w:szCs w:val="24"/>
              </w:rPr>
              <w:t>水环境</w:t>
            </w:r>
            <w:r>
              <w:rPr>
                <w:rFonts w:hint="default" w:ascii="Times New Roman" w:hAnsi="Times New Roman" w:eastAsia="宋体" w:cs="Times New Roman"/>
                <w:b/>
                <w:color w:val="auto"/>
                <w:sz w:val="24"/>
                <w:szCs w:val="24"/>
                <w:lang w:eastAsia="zh-CN"/>
              </w:rPr>
              <w:t>保护措施</w:t>
            </w:r>
          </w:p>
          <w:p w14:paraId="60088B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r>
              <w:rPr>
                <w:rFonts w:hint="default" w:ascii="Times New Roman" w:hAnsi="Times New Roman" w:eastAsia="宋体" w:cs="Times New Roman"/>
                <w:color w:val="auto"/>
                <w:kern w:val="0"/>
                <w:sz w:val="24"/>
                <w:szCs w:val="24"/>
                <w:lang w:val="en-US" w:eastAsia="zh-CN"/>
              </w:rPr>
              <w:t>施</w:t>
            </w:r>
            <w:r>
              <w:rPr>
                <w:rFonts w:hint="default" w:ascii="Times New Roman" w:hAnsi="Times New Roman" w:eastAsia="宋体" w:cs="Times New Roman"/>
                <w:color w:val="auto"/>
                <w:kern w:val="0"/>
                <w:sz w:val="24"/>
                <w:szCs w:val="24"/>
              </w:rPr>
              <w:t>工期废水</w:t>
            </w:r>
            <w:r>
              <w:rPr>
                <w:rFonts w:hint="default" w:ascii="Times New Roman" w:hAnsi="Times New Roman" w:eastAsia="宋体" w:cs="Times New Roman"/>
                <w:color w:val="auto"/>
                <w:kern w:val="0"/>
                <w:sz w:val="24"/>
                <w:szCs w:val="24"/>
                <w:lang w:val="en-US" w:eastAsia="zh-CN"/>
              </w:rPr>
              <w:t>包括</w:t>
            </w:r>
            <w:r>
              <w:rPr>
                <w:rFonts w:hint="default" w:ascii="Times New Roman" w:hAnsi="Times New Roman" w:eastAsia="宋体" w:cs="Times New Roman"/>
                <w:color w:val="auto"/>
                <w:kern w:val="0"/>
                <w:sz w:val="24"/>
                <w:szCs w:val="24"/>
                <w:lang w:eastAsia="zh-CN"/>
              </w:rPr>
              <w:t>施工</w:t>
            </w:r>
            <w:r>
              <w:rPr>
                <w:rFonts w:hint="default" w:ascii="Times New Roman" w:hAnsi="Times New Roman" w:eastAsia="宋体" w:cs="Times New Roman"/>
                <w:color w:val="auto"/>
                <w:kern w:val="0"/>
                <w:sz w:val="24"/>
                <w:szCs w:val="24"/>
              </w:rPr>
              <w:t>生产废水</w:t>
            </w:r>
            <w:r>
              <w:rPr>
                <w:rFonts w:hint="default" w:ascii="Times New Roman" w:hAnsi="Times New Roman" w:eastAsia="宋体" w:cs="Times New Roman"/>
                <w:color w:val="auto"/>
                <w:kern w:val="0"/>
                <w:sz w:val="24"/>
                <w:szCs w:val="24"/>
                <w:lang w:val="en-US" w:eastAsia="zh-CN"/>
              </w:rPr>
              <w:t>和施工人员的生活污水</w:t>
            </w:r>
            <w:r>
              <w:rPr>
                <w:rFonts w:hint="default" w:ascii="Times New Roman" w:hAnsi="Times New Roman" w:eastAsia="宋体" w:cs="Times New Roman"/>
                <w:color w:val="auto"/>
                <w:kern w:val="0"/>
                <w:sz w:val="24"/>
                <w:szCs w:val="24"/>
                <w:lang w:eastAsia="zh-CN"/>
              </w:rPr>
              <w:t>。施工期生产废水中主要污染物为悬浮物，施工场地设置临时</w:t>
            </w:r>
            <w:r>
              <w:rPr>
                <w:rFonts w:hint="default" w:ascii="Times New Roman" w:hAnsi="Times New Roman" w:eastAsia="宋体" w:cs="Times New Roman"/>
                <w:color w:val="auto"/>
                <w:kern w:val="0"/>
                <w:sz w:val="24"/>
                <w:szCs w:val="24"/>
                <w:lang w:val="en-US" w:eastAsia="zh-CN"/>
              </w:rPr>
              <w:t>防渗</w:t>
            </w:r>
            <w:r>
              <w:rPr>
                <w:rFonts w:hint="default" w:ascii="Times New Roman" w:hAnsi="Times New Roman" w:eastAsia="宋体" w:cs="Times New Roman"/>
                <w:color w:val="auto"/>
                <w:kern w:val="0"/>
                <w:sz w:val="24"/>
                <w:szCs w:val="24"/>
                <w:lang w:eastAsia="zh-CN"/>
              </w:rPr>
              <w:t>沉淀池，生产废水经沉淀池沉淀后循环使用</w:t>
            </w:r>
            <w:r>
              <w:rPr>
                <w:rFonts w:hint="default"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lang w:val="en-US" w:eastAsia="zh-CN"/>
              </w:rPr>
              <w:t>施工人员约30人，生活区设置在上游项目食宿区，生活污水可依托现有污水处理方式进行处理。</w:t>
            </w:r>
          </w:p>
          <w:p w14:paraId="1BA14AB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lang w:val="en-US" w:eastAsia="zh-CN"/>
              </w:rPr>
              <w:t>1</w:t>
            </w:r>
            <w:r>
              <w:rPr>
                <w:rFonts w:hint="default" w:ascii="Times New Roman" w:hAnsi="Times New Roman" w:eastAsia="宋体" w:cs="Times New Roman"/>
                <w:b/>
                <w:color w:val="auto"/>
                <w:sz w:val="24"/>
                <w:szCs w:val="24"/>
              </w:rPr>
              <w:t>.3</w:t>
            </w:r>
            <w:r>
              <w:rPr>
                <w:rFonts w:hint="default" w:ascii="Times New Roman" w:hAnsi="Times New Roman" w:eastAsia="宋体" w:cs="Times New Roman"/>
                <w:b/>
                <w:color w:val="auto"/>
                <w:sz w:val="24"/>
                <w:szCs w:val="24"/>
                <w:lang w:eastAsia="zh-CN"/>
              </w:rPr>
              <w:t>施工期</w:t>
            </w:r>
            <w:r>
              <w:rPr>
                <w:rFonts w:hint="default" w:ascii="Times New Roman" w:hAnsi="Times New Roman" w:eastAsia="宋体" w:cs="Times New Roman"/>
                <w:b/>
                <w:color w:val="auto"/>
                <w:sz w:val="24"/>
                <w:szCs w:val="24"/>
              </w:rPr>
              <w:t>噪声环境</w:t>
            </w:r>
            <w:r>
              <w:rPr>
                <w:rFonts w:hint="default" w:ascii="Times New Roman" w:hAnsi="Times New Roman" w:eastAsia="宋体" w:cs="Times New Roman"/>
                <w:b/>
                <w:color w:val="auto"/>
                <w:sz w:val="24"/>
                <w:szCs w:val="24"/>
                <w:lang w:eastAsia="zh-CN"/>
              </w:rPr>
              <w:t>保护措施</w:t>
            </w:r>
          </w:p>
          <w:p w14:paraId="62F3AD40">
            <w:pPr>
              <w:pStyle w:val="115"/>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在施工期间需动用大量的车辆及施工机具，其噪声强度较大，对周围环境会产生噪声污染。主要施工机具有挖掘机、推土机、搅拌机、起重机等机械设备和各类运输车辆</w:t>
            </w:r>
            <w:r>
              <w:rPr>
                <w:rFonts w:hint="default"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lang w:val="en-US" w:eastAsia="zh-CN"/>
              </w:rPr>
              <w:t>本</w:t>
            </w:r>
            <w:r>
              <w:rPr>
                <w:rFonts w:hint="default" w:ascii="Times New Roman" w:hAnsi="Times New Roman" w:eastAsia="宋体" w:cs="Times New Roman"/>
                <w:color w:val="auto"/>
                <w:sz w:val="24"/>
                <w:szCs w:val="24"/>
              </w:rPr>
              <w:t>项目在建设期的施工噪声影响范围，采用距离衰减模式来预测，其传播衰减模式为：</w:t>
            </w:r>
          </w:p>
          <w:p w14:paraId="154F5DFF">
            <w:pPr>
              <w:keepNext w:val="0"/>
              <w:keepLines w:val="0"/>
              <w:pageBreakBefore w:val="0"/>
              <w:kinsoku/>
              <w:wordWrap/>
              <w:overflowPunct/>
              <w:bidi w:val="0"/>
              <w:spacing w:beforeAutospacing="0" w:afterAutospacing="0" w:line="360" w:lineRule="auto"/>
              <w:ind w:firstLine="0" w:firstLineChars="0"/>
              <w:jc w:val="center"/>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rPr>
              <w:t>Lp=Lp0—20lgr0/R</w:t>
            </w:r>
            <w:r>
              <w:rPr>
                <w:rFonts w:hint="default" w:ascii="Times New Roman" w:hAnsi="Times New Roman" w:cs="Times New Roman"/>
                <w:color w:val="auto"/>
                <w:sz w:val="24"/>
                <w:szCs w:val="24"/>
                <w:lang w:val="en-US" w:eastAsia="zh-CN"/>
              </w:rPr>
              <w:t>-</w:t>
            </w:r>
            <w:r>
              <w:rPr>
                <w:rFonts w:hint="default" w:ascii="Times New Roman" w:hAnsi="Times New Roman" w:cs="Times New Roman"/>
                <w:color w:val="auto"/>
                <w:spacing w:val="16"/>
                <w:position w:val="3"/>
              </w:rPr>
              <w:t>-</w:t>
            </w:r>
            <w:r>
              <w:rPr>
                <w:rFonts w:hint="default" w:ascii="Times New Roman" w:hAnsi="Times New Roman" w:eastAsia="Times New Roman" w:cs="Times New Roman"/>
                <w:color w:val="auto"/>
                <w:spacing w:val="16"/>
                <w:position w:val="3"/>
              </w:rPr>
              <w:t>ΔL</w:t>
            </w:r>
          </w:p>
          <w:p w14:paraId="65332B88">
            <w:pPr>
              <w:pStyle w:val="9"/>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position w:val="2"/>
                <w:sz w:val="24"/>
                <w:szCs w:val="24"/>
              </w:rPr>
            </w:pPr>
            <w:r>
              <w:rPr>
                <w:rFonts w:hint="default" w:ascii="Times New Roman" w:hAnsi="Times New Roman" w:cs="Times New Roman"/>
                <w:color w:val="auto"/>
                <w:position w:val="2"/>
                <w:sz w:val="24"/>
                <w:szCs w:val="24"/>
              </w:rPr>
              <w:t>式中：Lp——评价点噪声预测值，dB</w:t>
            </w:r>
            <w:r>
              <w:rPr>
                <w:rFonts w:hint="default" w:ascii="Times New Roman" w:hAnsi="Times New Roman" w:cs="Times New Roman"/>
                <w:color w:val="auto"/>
                <w:position w:val="2"/>
                <w:sz w:val="24"/>
                <w:szCs w:val="24"/>
                <w:lang w:eastAsia="zh-CN"/>
              </w:rPr>
              <w:t>（</w:t>
            </w:r>
            <w:r>
              <w:rPr>
                <w:rFonts w:hint="default" w:ascii="Times New Roman" w:hAnsi="Times New Roman" w:cs="Times New Roman"/>
                <w:color w:val="auto"/>
                <w:position w:val="2"/>
                <w:sz w:val="24"/>
                <w:szCs w:val="24"/>
              </w:rPr>
              <w:t>A</w:t>
            </w:r>
            <w:r>
              <w:rPr>
                <w:rFonts w:hint="default" w:ascii="Times New Roman" w:hAnsi="Times New Roman" w:cs="Times New Roman"/>
                <w:color w:val="auto"/>
                <w:position w:val="2"/>
                <w:sz w:val="24"/>
                <w:szCs w:val="24"/>
                <w:lang w:eastAsia="zh-CN"/>
              </w:rPr>
              <w:t>）</w:t>
            </w:r>
            <w:r>
              <w:rPr>
                <w:rFonts w:hint="default" w:ascii="Times New Roman" w:hAnsi="Times New Roman" w:cs="Times New Roman"/>
                <w:color w:val="auto"/>
                <w:position w:val="2"/>
                <w:sz w:val="24"/>
                <w:szCs w:val="24"/>
              </w:rPr>
              <w:t>；</w:t>
            </w:r>
          </w:p>
          <w:p w14:paraId="28BE166C">
            <w:pPr>
              <w:pStyle w:val="9"/>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position w:val="2"/>
                <w:sz w:val="24"/>
                <w:szCs w:val="24"/>
              </w:rPr>
            </w:pPr>
            <w:r>
              <w:rPr>
                <w:rFonts w:hint="default" w:ascii="Times New Roman" w:hAnsi="Times New Roman" w:cs="Times New Roman"/>
                <w:color w:val="auto"/>
                <w:position w:val="2"/>
                <w:sz w:val="24"/>
                <w:szCs w:val="24"/>
              </w:rPr>
              <w:t>Lp0——位置P0处的声级，dB</w:t>
            </w:r>
            <w:r>
              <w:rPr>
                <w:rFonts w:hint="default" w:ascii="Times New Roman" w:hAnsi="Times New Roman" w:cs="Times New Roman"/>
                <w:color w:val="auto"/>
                <w:position w:val="2"/>
                <w:sz w:val="24"/>
                <w:szCs w:val="24"/>
                <w:lang w:eastAsia="zh-CN"/>
              </w:rPr>
              <w:t>（</w:t>
            </w:r>
            <w:r>
              <w:rPr>
                <w:rFonts w:hint="default" w:ascii="Times New Roman" w:hAnsi="Times New Roman" w:cs="Times New Roman"/>
                <w:color w:val="auto"/>
                <w:position w:val="2"/>
                <w:sz w:val="24"/>
                <w:szCs w:val="24"/>
              </w:rPr>
              <w:t>A</w:t>
            </w:r>
            <w:r>
              <w:rPr>
                <w:rFonts w:hint="default" w:ascii="Times New Roman" w:hAnsi="Times New Roman" w:cs="Times New Roman"/>
                <w:color w:val="auto"/>
                <w:position w:val="2"/>
                <w:sz w:val="24"/>
                <w:szCs w:val="24"/>
                <w:lang w:eastAsia="zh-CN"/>
              </w:rPr>
              <w:t>）</w:t>
            </w:r>
            <w:r>
              <w:rPr>
                <w:rFonts w:hint="default" w:ascii="Times New Roman" w:hAnsi="Times New Roman" w:cs="Times New Roman"/>
                <w:color w:val="auto"/>
                <w:position w:val="2"/>
                <w:sz w:val="24"/>
                <w:szCs w:val="24"/>
              </w:rPr>
              <w:t>；</w:t>
            </w:r>
          </w:p>
          <w:p w14:paraId="284B36C0">
            <w:pPr>
              <w:pStyle w:val="9"/>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position w:val="2"/>
                <w:sz w:val="24"/>
                <w:szCs w:val="24"/>
              </w:rPr>
            </w:pPr>
            <w:r>
              <w:rPr>
                <w:rFonts w:hint="default" w:ascii="Times New Roman" w:hAnsi="Times New Roman" w:cs="Times New Roman"/>
                <w:color w:val="auto"/>
                <w:position w:val="2"/>
                <w:sz w:val="24"/>
                <w:szCs w:val="24"/>
              </w:rPr>
              <w:t>R——预测点距声源距离，m；</w:t>
            </w:r>
          </w:p>
          <w:p w14:paraId="70B33D58">
            <w:pPr>
              <w:pStyle w:val="9"/>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position w:val="2"/>
                <w:sz w:val="24"/>
                <w:szCs w:val="24"/>
              </w:rPr>
            </w:pPr>
            <w:r>
              <w:rPr>
                <w:rFonts w:hint="default" w:ascii="Times New Roman" w:hAnsi="Times New Roman" w:cs="Times New Roman"/>
                <w:color w:val="auto"/>
                <w:position w:val="2"/>
                <w:sz w:val="24"/>
                <w:szCs w:val="24"/>
              </w:rPr>
              <w:t>r0——为参考点距声源距离，m。</w:t>
            </w:r>
          </w:p>
          <w:p w14:paraId="6C26B411">
            <w:pPr>
              <w:pStyle w:val="9"/>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position w:val="2"/>
                <w:sz w:val="24"/>
                <w:szCs w:val="24"/>
              </w:rPr>
            </w:pPr>
            <w:r>
              <w:rPr>
                <w:rFonts w:hint="default" w:ascii="Times New Roman" w:hAnsi="Times New Roman" w:cs="Times New Roman"/>
                <w:color w:val="auto"/>
                <w:position w:val="2"/>
                <w:sz w:val="24"/>
                <w:szCs w:val="24"/>
              </w:rPr>
              <w:t>ΔL—各种因素引起的衰减量（包括声屏障、空气吸收等引起的衰减量），dB</w:t>
            </w:r>
            <w:r>
              <w:rPr>
                <w:rFonts w:hint="eastAsia" w:cs="Times New Roman"/>
                <w:color w:val="auto"/>
                <w:position w:val="2"/>
                <w:sz w:val="24"/>
                <w:szCs w:val="24"/>
                <w:lang w:eastAsia="zh-CN"/>
              </w:rPr>
              <w:t>（</w:t>
            </w:r>
            <w:r>
              <w:rPr>
                <w:rFonts w:hint="default" w:ascii="Times New Roman" w:hAnsi="Times New Roman" w:cs="Times New Roman"/>
                <w:color w:val="auto"/>
                <w:position w:val="2"/>
                <w:sz w:val="24"/>
                <w:szCs w:val="24"/>
              </w:rPr>
              <w:t>A</w:t>
            </w:r>
            <w:r>
              <w:rPr>
                <w:rFonts w:hint="eastAsia" w:cs="Times New Roman"/>
                <w:color w:val="auto"/>
                <w:position w:val="2"/>
                <w:sz w:val="24"/>
                <w:szCs w:val="24"/>
                <w:lang w:eastAsia="zh-CN"/>
              </w:rPr>
              <w:t>）</w:t>
            </w:r>
            <w:r>
              <w:rPr>
                <w:rFonts w:hint="default" w:ascii="Times New Roman" w:hAnsi="Times New Roman" w:cs="Times New Roman"/>
                <w:color w:val="auto"/>
                <w:position w:val="2"/>
                <w:sz w:val="24"/>
                <w:szCs w:val="24"/>
              </w:rPr>
              <w:t>。</w:t>
            </w:r>
          </w:p>
          <w:p w14:paraId="2FDAB00A">
            <w:pPr>
              <w:pStyle w:val="115"/>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0" w:firstLineChars="0"/>
              <w:jc w:val="center"/>
              <w:textAlignment w:val="auto"/>
              <w:rPr>
                <w:rFonts w:hint="default" w:ascii="Times New Roman" w:hAnsi="Times New Roman" w:cs="Times New Roman"/>
                <w:color w:val="auto"/>
                <w:position w:val="-13"/>
              </w:rPr>
            </w:pPr>
            <w:r>
              <w:rPr>
                <w:rFonts w:hint="default" w:ascii="Times New Roman" w:hAnsi="Times New Roman" w:cs="Times New Roman"/>
                <w:color w:val="auto"/>
                <w:position w:val="-13"/>
              </w:rPr>
              <w:drawing>
                <wp:inline distT="0" distB="0" distL="0" distR="0">
                  <wp:extent cx="1548130" cy="427355"/>
                  <wp:effectExtent l="0" t="0" r="13970" b="10795"/>
                  <wp:docPr id="6" name="IM 2"/>
                  <wp:cNvGraphicFramePr/>
                  <a:graphic xmlns:a="http://schemas.openxmlformats.org/drawingml/2006/main">
                    <a:graphicData uri="http://schemas.openxmlformats.org/drawingml/2006/picture">
                      <pic:pic xmlns:pic="http://schemas.openxmlformats.org/drawingml/2006/picture">
                        <pic:nvPicPr>
                          <pic:cNvPr id="6" name="IM 2"/>
                          <pic:cNvPicPr/>
                        </pic:nvPicPr>
                        <pic:blipFill>
                          <a:blip r:embed="rId21"/>
                          <a:stretch>
                            <a:fillRect/>
                          </a:stretch>
                        </pic:blipFill>
                        <pic:spPr>
                          <a:xfrm>
                            <a:off x="0" y="0"/>
                            <a:ext cx="1548704" cy="427769"/>
                          </a:xfrm>
                          <a:prstGeom prst="rect">
                            <a:avLst/>
                          </a:prstGeom>
                        </pic:spPr>
                      </pic:pic>
                    </a:graphicData>
                  </a:graphic>
                </wp:inline>
              </w:drawing>
            </w:r>
          </w:p>
          <w:p w14:paraId="58BB69AE">
            <w:pPr>
              <w:pStyle w:val="9"/>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position w:val="2"/>
                <w:sz w:val="24"/>
                <w:szCs w:val="24"/>
              </w:rPr>
            </w:pPr>
            <w:r>
              <w:rPr>
                <w:rFonts w:hint="default" w:ascii="Times New Roman" w:hAnsi="Times New Roman" w:cs="Times New Roman"/>
                <w:color w:val="auto"/>
                <w:position w:val="2"/>
                <w:sz w:val="24"/>
                <w:szCs w:val="24"/>
              </w:rPr>
              <w:t>式中</w:t>
            </w:r>
            <w:r>
              <w:rPr>
                <w:rFonts w:hint="default" w:ascii="Times New Roman" w:hAnsi="Times New Roman" w:cs="Times New Roman"/>
                <w:color w:val="auto"/>
                <w:position w:val="2"/>
                <w:sz w:val="24"/>
                <w:szCs w:val="24"/>
                <w:lang w:eastAsia="zh-CN"/>
              </w:rPr>
              <w:t>：</w:t>
            </w:r>
            <w:r>
              <w:rPr>
                <w:rFonts w:hint="default" w:ascii="Times New Roman" w:hAnsi="Times New Roman" w:cs="Times New Roman"/>
                <w:color w:val="auto"/>
                <w:position w:val="2"/>
                <w:sz w:val="24"/>
                <w:szCs w:val="24"/>
              </w:rPr>
              <w:t>n——为声源总数；</w:t>
            </w:r>
          </w:p>
          <w:p w14:paraId="557F9ACF">
            <w:pPr>
              <w:pStyle w:val="9"/>
              <w:keepNext w:val="0"/>
              <w:keepLines w:val="0"/>
              <w:pageBreakBefore w:val="0"/>
              <w:widowControl w:val="0"/>
              <w:kinsoku/>
              <w:wordWrap/>
              <w:overflowPunct/>
              <w:topLinePunct w:val="0"/>
              <w:autoSpaceDE w:val="0"/>
              <w:autoSpaceDN w:val="0"/>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position w:val="2"/>
                <w:sz w:val="24"/>
                <w:szCs w:val="24"/>
              </w:rPr>
            </w:pPr>
            <w:r>
              <w:rPr>
                <w:rFonts w:hint="default" w:ascii="Times New Roman" w:hAnsi="Times New Roman" w:eastAsia="宋体" w:cs="Times New Roman"/>
                <w:color w:val="auto"/>
                <w:sz w:val="24"/>
                <w:szCs w:val="24"/>
              </w:rPr>
              <w:t>L</w:t>
            </w:r>
            <w:r>
              <w:rPr>
                <w:rFonts w:hint="default" w:ascii="Times New Roman" w:hAnsi="Times New Roman" w:eastAsia="宋体" w:cs="Times New Roman"/>
                <w:color w:val="auto"/>
                <w:sz w:val="24"/>
                <w:szCs w:val="24"/>
                <w:vertAlign w:val="subscript"/>
              </w:rPr>
              <w:t>总Aeq</w:t>
            </w:r>
            <w:r>
              <w:rPr>
                <w:rFonts w:hint="default" w:ascii="Times New Roman" w:hAnsi="Times New Roman" w:cs="Times New Roman"/>
                <w:color w:val="auto"/>
                <w:position w:val="2"/>
                <w:sz w:val="24"/>
                <w:szCs w:val="24"/>
              </w:rPr>
              <w:t>——</w:t>
            </w:r>
            <w:r>
              <w:rPr>
                <w:rFonts w:hint="default" w:ascii="Times New Roman" w:hAnsi="Times New Roman" w:eastAsia="宋体" w:cs="Times New Roman"/>
                <w:color w:val="auto"/>
                <w:sz w:val="24"/>
                <w:szCs w:val="24"/>
              </w:rPr>
              <w:t>多声源叠加后的总等效连续A声级</w:t>
            </w:r>
            <w:r>
              <w:rPr>
                <w:rFonts w:hint="default" w:ascii="Times New Roman" w:hAnsi="Times New Roman" w:cs="Times New Roman"/>
                <w:color w:val="auto"/>
                <w:position w:val="2"/>
                <w:sz w:val="24"/>
                <w:szCs w:val="24"/>
              </w:rPr>
              <w:t>。</w:t>
            </w:r>
          </w:p>
          <w:p w14:paraId="66CCAC8F">
            <w:pPr>
              <w:pStyle w:val="115"/>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噪声源排放的噪声随距离的增加而衰减，对建筑施工场界噪声的评价量为等效声级，其影响范围见表</w:t>
            </w:r>
            <w:r>
              <w:rPr>
                <w:rFonts w:hint="default" w:ascii="Times New Roman" w:hAnsi="Times New Roman" w:eastAsia="宋体" w:cs="Times New Roman"/>
                <w:color w:val="auto"/>
                <w:sz w:val="24"/>
                <w:szCs w:val="24"/>
                <w:lang w:val="en-US" w:eastAsia="zh-CN"/>
              </w:rPr>
              <w:t>4-1</w:t>
            </w:r>
            <w:r>
              <w:rPr>
                <w:rFonts w:hint="default" w:ascii="Times New Roman" w:hAnsi="Times New Roman" w:eastAsia="宋体" w:cs="Times New Roman"/>
                <w:color w:val="auto"/>
                <w:sz w:val="24"/>
                <w:szCs w:val="24"/>
              </w:rPr>
              <w:t>。</w:t>
            </w:r>
          </w:p>
          <w:p w14:paraId="69FF5A21">
            <w:pPr>
              <w:pStyle w:val="42"/>
              <w:keepNext w:val="0"/>
              <w:keepLines w:val="0"/>
              <w:pageBreakBefore w:val="0"/>
              <w:tabs>
                <w:tab w:val="left" w:pos="4643"/>
                <w:tab w:val="clear" w:pos="6840"/>
              </w:tabs>
              <w:kinsoku/>
              <w:wordWrap/>
              <w:overflowPunct/>
              <w:bidi w:val="0"/>
              <w:adjustRightInd w:val="0"/>
              <w:spacing w:before="0" w:beforeLines="0" w:beforeAutospacing="0" w:after="0" w:afterLines="0" w:afterAutospacing="0" w:line="240" w:lineRule="auto"/>
              <w:ind w:firstLine="0" w:firstLineChars="0"/>
              <w:rPr>
                <w:rFonts w:hint="default" w:ascii="Times New Roman" w:hAnsi="Times New Roman" w:eastAsia="宋体" w:cs="Times New Roman"/>
                <w:color w:val="auto"/>
                <w:sz w:val="21"/>
                <w:szCs w:val="21"/>
              </w:rPr>
            </w:pPr>
          </w:p>
          <w:p w14:paraId="1C0C66FD">
            <w:pPr>
              <w:pStyle w:val="42"/>
              <w:keepNext w:val="0"/>
              <w:keepLines w:val="0"/>
              <w:pageBreakBefore w:val="0"/>
              <w:tabs>
                <w:tab w:val="left" w:pos="4643"/>
                <w:tab w:val="clear" w:pos="6840"/>
              </w:tabs>
              <w:kinsoku/>
              <w:wordWrap/>
              <w:overflowPunct/>
              <w:bidi w:val="0"/>
              <w:adjustRightInd w:val="0"/>
              <w:spacing w:before="0" w:beforeLines="0" w:beforeAutospacing="0" w:after="0" w:afterLines="0" w:afterAutospacing="0" w:line="240" w:lineRule="auto"/>
              <w:ind w:firstLine="0" w:firstLineChars="0"/>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表</w:t>
            </w:r>
            <w:r>
              <w:rPr>
                <w:rFonts w:hint="default" w:ascii="Times New Roman" w:hAnsi="Times New Roman" w:eastAsia="宋体" w:cs="Times New Roman"/>
                <w:color w:val="auto"/>
                <w:sz w:val="21"/>
                <w:szCs w:val="21"/>
                <w:lang w:val="en-US" w:eastAsia="zh-CN"/>
              </w:rPr>
              <w:t>4-1</w:t>
            </w:r>
            <w:r>
              <w:rPr>
                <w:rFonts w:hint="default" w:ascii="Times New Roman" w:hAnsi="Times New Roman" w:eastAsia="宋体" w:cs="Times New Roman"/>
                <w:color w:val="auto"/>
                <w:sz w:val="21"/>
                <w:szCs w:val="21"/>
              </w:rPr>
              <w:t>各种施工机械噪声影响范围单位：dB</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A</w:t>
            </w:r>
            <w:r>
              <w:rPr>
                <w:rFonts w:hint="default" w:ascii="Times New Roman" w:hAnsi="Times New Roman" w:eastAsia="宋体" w:cs="Times New Roman"/>
                <w:color w:val="auto"/>
                <w:sz w:val="21"/>
                <w:szCs w:val="21"/>
                <w:lang w:eastAsia="zh-CN"/>
              </w:rPr>
              <w:t>）</w:t>
            </w:r>
          </w:p>
          <w:tbl>
            <w:tblPr>
              <w:tblStyle w:val="3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400"/>
              <w:gridCol w:w="1552"/>
              <w:gridCol w:w="751"/>
              <w:gridCol w:w="751"/>
              <w:gridCol w:w="751"/>
              <w:gridCol w:w="751"/>
              <w:gridCol w:w="751"/>
              <w:gridCol w:w="751"/>
              <w:gridCol w:w="755"/>
              <w:gridCol w:w="920"/>
            </w:tblGrid>
            <w:tr w14:paraId="5C12EB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245" w:type="pct"/>
                  <w:vMerge w:val="restart"/>
                  <w:noWrap w:val="0"/>
                  <w:vAlign w:val="center"/>
                </w:tcPr>
                <w:p w14:paraId="0A89EFB8">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序号</w:t>
                  </w:r>
                </w:p>
              </w:tc>
              <w:tc>
                <w:tcPr>
                  <w:tcW w:w="954" w:type="pct"/>
                  <w:vMerge w:val="restart"/>
                  <w:noWrap w:val="0"/>
                  <w:vAlign w:val="center"/>
                </w:tcPr>
                <w:p w14:paraId="27832E23">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机械</w:t>
                  </w:r>
                </w:p>
              </w:tc>
              <w:tc>
                <w:tcPr>
                  <w:tcW w:w="3236" w:type="pct"/>
                  <w:gridSpan w:val="7"/>
                  <w:noWrap w:val="0"/>
                  <w:tcMar>
                    <w:top w:w="0" w:type="dxa"/>
                    <w:left w:w="57" w:type="dxa"/>
                    <w:bottom w:w="0" w:type="dxa"/>
                    <w:right w:w="57" w:type="dxa"/>
                  </w:tcMar>
                  <w:vAlign w:val="center"/>
                </w:tcPr>
                <w:p w14:paraId="4C88C75F">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不同距离处的噪声贡献值[dB</w:t>
                  </w:r>
                  <w:r>
                    <w:rPr>
                      <w:rFonts w:hint="default" w:ascii="Times New Roman" w:hAnsi="Times New Roman" w:cs="Times New Roman"/>
                      <w:b/>
                      <w:bCs/>
                      <w:color w:val="auto"/>
                      <w:sz w:val="21"/>
                      <w:szCs w:val="21"/>
                      <w:lang w:eastAsia="zh-CN"/>
                    </w:rPr>
                    <w:t>（</w:t>
                  </w:r>
                  <w:r>
                    <w:rPr>
                      <w:rFonts w:hint="default" w:ascii="Times New Roman" w:hAnsi="Times New Roman" w:cs="Times New Roman"/>
                      <w:b/>
                      <w:bCs/>
                      <w:color w:val="auto"/>
                      <w:sz w:val="21"/>
                      <w:szCs w:val="21"/>
                    </w:rPr>
                    <w:t>A</w:t>
                  </w:r>
                  <w:r>
                    <w:rPr>
                      <w:rFonts w:hint="default" w:ascii="Times New Roman" w:hAnsi="Times New Roman" w:cs="Times New Roman"/>
                      <w:b/>
                      <w:bCs/>
                      <w:color w:val="auto"/>
                      <w:sz w:val="21"/>
                      <w:szCs w:val="21"/>
                      <w:lang w:eastAsia="zh-CN"/>
                    </w:rPr>
                    <w:t>）</w:t>
                  </w:r>
                  <w:r>
                    <w:rPr>
                      <w:rFonts w:hint="default" w:ascii="Times New Roman" w:hAnsi="Times New Roman" w:cs="Times New Roman"/>
                      <w:b/>
                      <w:bCs/>
                      <w:color w:val="auto"/>
                      <w:sz w:val="21"/>
                      <w:szCs w:val="21"/>
                    </w:rPr>
                    <w:t>]</w:t>
                  </w:r>
                </w:p>
              </w:tc>
              <w:tc>
                <w:tcPr>
                  <w:tcW w:w="566" w:type="pct"/>
                  <w:vMerge w:val="restart"/>
                  <w:noWrap w:val="0"/>
                  <w:vAlign w:val="center"/>
                </w:tcPr>
                <w:p w14:paraId="3A6C8C99">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施工阶段</w:t>
                  </w:r>
                </w:p>
              </w:tc>
            </w:tr>
            <w:tr w14:paraId="34C062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245" w:type="pct"/>
                  <w:vMerge w:val="continue"/>
                  <w:noWrap w:val="0"/>
                  <w:vAlign w:val="center"/>
                </w:tcPr>
                <w:p w14:paraId="1F0910D5">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b/>
                      <w:bCs/>
                      <w:color w:val="auto"/>
                      <w:sz w:val="21"/>
                      <w:szCs w:val="21"/>
                    </w:rPr>
                  </w:pPr>
                </w:p>
              </w:tc>
              <w:tc>
                <w:tcPr>
                  <w:tcW w:w="954" w:type="pct"/>
                  <w:vMerge w:val="continue"/>
                  <w:noWrap w:val="0"/>
                  <w:vAlign w:val="center"/>
                </w:tcPr>
                <w:p w14:paraId="649C3A00">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b/>
                      <w:bCs/>
                      <w:color w:val="auto"/>
                      <w:sz w:val="21"/>
                      <w:szCs w:val="21"/>
                    </w:rPr>
                  </w:pPr>
                </w:p>
              </w:tc>
              <w:tc>
                <w:tcPr>
                  <w:tcW w:w="462" w:type="pct"/>
                  <w:noWrap w:val="0"/>
                  <w:tcMar>
                    <w:top w:w="0" w:type="dxa"/>
                    <w:left w:w="57" w:type="dxa"/>
                    <w:bottom w:w="0" w:type="dxa"/>
                    <w:right w:w="57" w:type="dxa"/>
                  </w:tcMar>
                  <w:vAlign w:val="center"/>
                </w:tcPr>
                <w:p w14:paraId="7D266288">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40m</w:t>
                  </w:r>
                </w:p>
              </w:tc>
              <w:tc>
                <w:tcPr>
                  <w:tcW w:w="462" w:type="pct"/>
                  <w:noWrap w:val="0"/>
                  <w:tcMar>
                    <w:top w:w="0" w:type="dxa"/>
                    <w:left w:w="57" w:type="dxa"/>
                    <w:bottom w:w="0" w:type="dxa"/>
                    <w:right w:w="57" w:type="dxa"/>
                  </w:tcMar>
                  <w:vAlign w:val="center"/>
                </w:tcPr>
                <w:p w14:paraId="4DFB01DF">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60m</w:t>
                  </w:r>
                </w:p>
              </w:tc>
              <w:tc>
                <w:tcPr>
                  <w:tcW w:w="462" w:type="pct"/>
                  <w:noWrap w:val="0"/>
                  <w:tcMar>
                    <w:top w:w="0" w:type="dxa"/>
                    <w:left w:w="57" w:type="dxa"/>
                    <w:bottom w:w="0" w:type="dxa"/>
                    <w:right w:w="57" w:type="dxa"/>
                  </w:tcMar>
                  <w:vAlign w:val="center"/>
                </w:tcPr>
                <w:p w14:paraId="153A472A">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100m</w:t>
                  </w:r>
                </w:p>
              </w:tc>
              <w:tc>
                <w:tcPr>
                  <w:tcW w:w="462" w:type="pct"/>
                  <w:noWrap w:val="0"/>
                  <w:tcMar>
                    <w:top w:w="0" w:type="dxa"/>
                    <w:left w:w="57" w:type="dxa"/>
                    <w:bottom w:w="0" w:type="dxa"/>
                    <w:right w:w="57" w:type="dxa"/>
                  </w:tcMar>
                  <w:vAlign w:val="center"/>
                </w:tcPr>
                <w:p w14:paraId="074B3872">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200m</w:t>
                  </w:r>
                </w:p>
              </w:tc>
              <w:tc>
                <w:tcPr>
                  <w:tcW w:w="463" w:type="pct"/>
                  <w:noWrap w:val="0"/>
                  <w:tcMar>
                    <w:top w:w="0" w:type="dxa"/>
                    <w:left w:w="57" w:type="dxa"/>
                    <w:bottom w:w="0" w:type="dxa"/>
                    <w:right w:w="57" w:type="dxa"/>
                  </w:tcMar>
                  <w:vAlign w:val="center"/>
                </w:tcPr>
                <w:p w14:paraId="7317174A">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300m</w:t>
                  </w:r>
                </w:p>
              </w:tc>
              <w:tc>
                <w:tcPr>
                  <w:tcW w:w="462" w:type="pct"/>
                  <w:noWrap w:val="0"/>
                  <w:tcMar>
                    <w:top w:w="0" w:type="dxa"/>
                    <w:left w:w="57" w:type="dxa"/>
                    <w:bottom w:w="0" w:type="dxa"/>
                    <w:right w:w="57" w:type="dxa"/>
                  </w:tcMar>
                  <w:vAlign w:val="center"/>
                </w:tcPr>
                <w:p w14:paraId="6AEA1EE2">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400m</w:t>
                  </w:r>
                </w:p>
              </w:tc>
              <w:tc>
                <w:tcPr>
                  <w:tcW w:w="462" w:type="pct"/>
                  <w:noWrap w:val="0"/>
                  <w:vAlign w:val="center"/>
                </w:tcPr>
                <w:p w14:paraId="281C8F4E">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500m</w:t>
                  </w:r>
                </w:p>
              </w:tc>
              <w:tc>
                <w:tcPr>
                  <w:tcW w:w="566" w:type="pct"/>
                  <w:vMerge w:val="continue"/>
                  <w:noWrap w:val="0"/>
                  <w:vAlign w:val="center"/>
                </w:tcPr>
                <w:p w14:paraId="5A2F3CE6">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b/>
                      <w:bCs/>
                      <w:color w:val="auto"/>
                      <w:sz w:val="21"/>
                      <w:szCs w:val="21"/>
                    </w:rPr>
                  </w:pPr>
                </w:p>
              </w:tc>
            </w:tr>
            <w:tr w14:paraId="7AF824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245" w:type="pct"/>
                  <w:noWrap w:val="0"/>
                  <w:vAlign w:val="center"/>
                </w:tcPr>
                <w:p w14:paraId="344EE2CD">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954" w:type="pct"/>
                  <w:noWrap w:val="0"/>
                  <w:vAlign w:val="center"/>
                </w:tcPr>
                <w:p w14:paraId="7044EB19">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装载机</w:t>
                  </w:r>
                </w:p>
              </w:tc>
              <w:tc>
                <w:tcPr>
                  <w:tcW w:w="462" w:type="pct"/>
                  <w:noWrap w:val="0"/>
                  <w:tcMar>
                    <w:top w:w="0" w:type="dxa"/>
                    <w:left w:w="57" w:type="dxa"/>
                    <w:bottom w:w="0" w:type="dxa"/>
                    <w:right w:w="57" w:type="dxa"/>
                  </w:tcMar>
                  <w:vAlign w:val="center"/>
                </w:tcPr>
                <w:p w14:paraId="1033458D">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75</w:t>
                  </w:r>
                </w:p>
              </w:tc>
              <w:tc>
                <w:tcPr>
                  <w:tcW w:w="462" w:type="pct"/>
                  <w:noWrap w:val="0"/>
                  <w:tcMar>
                    <w:top w:w="0" w:type="dxa"/>
                    <w:left w:w="57" w:type="dxa"/>
                    <w:bottom w:w="0" w:type="dxa"/>
                    <w:right w:w="57" w:type="dxa"/>
                  </w:tcMar>
                  <w:vAlign w:val="center"/>
                </w:tcPr>
                <w:p w14:paraId="6C1C53ED">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71</w:t>
                  </w:r>
                </w:p>
              </w:tc>
              <w:tc>
                <w:tcPr>
                  <w:tcW w:w="462" w:type="pct"/>
                  <w:noWrap w:val="0"/>
                  <w:tcMar>
                    <w:top w:w="0" w:type="dxa"/>
                    <w:left w:w="57" w:type="dxa"/>
                    <w:bottom w:w="0" w:type="dxa"/>
                    <w:right w:w="57" w:type="dxa"/>
                  </w:tcMar>
                  <w:vAlign w:val="center"/>
                </w:tcPr>
                <w:p w14:paraId="68429F5A">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67</w:t>
                  </w:r>
                </w:p>
              </w:tc>
              <w:tc>
                <w:tcPr>
                  <w:tcW w:w="462" w:type="pct"/>
                  <w:noWrap w:val="0"/>
                  <w:tcMar>
                    <w:top w:w="0" w:type="dxa"/>
                    <w:left w:w="57" w:type="dxa"/>
                    <w:bottom w:w="0" w:type="dxa"/>
                    <w:right w:w="57" w:type="dxa"/>
                  </w:tcMar>
                  <w:vAlign w:val="center"/>
                </w:tcPr>
                <w:p w14:paraId="78BA4376">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61</w:t>
                  </w:r>
                </w:p>
              </w:tc>
              <w:tc>
                <w:tcPr>
                  <w:tcW w:w="463" w:type="pct"/>
                  <w:noWrap w:val="0"/>
                  <w:tcMar>
                    <w:top w:w="0" w:type="dxa"/>
                    <w:left w:w="57" w:type="dxa"/>
                    <w:bottom w:w="0" w:type="dxa"/>
                    <w:right w:w="57" w:type="dxa"/>
                  </w:tcMar>
                  <w:vAlign w:val="center"/>
                </w:tcPr>
                <w:p w14:paraId="6E2A64E2">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57</w:t>
                  </w:r>
                </w:p>
              </w:tc>
              <w:tc>
                <w:tcPr>
                  <w:tcW w:w="462" w:type="pct"/>
                  <w:noWrap w:val="0"/>
                  <w:tcMar>
                    <w:top w:w="0" w:type="dxa"/>
                    <w:left w:w="57" w:type="dxa"/>
                    <w:bottom w:w="0" w:type="dxa"/>
                    <w:right w:w="57" w:type="dxa"/>
                  </w:tcMar>
                  <w:vAlign w:val="center"/>
                </w:tcPr>
                <w:p w14:paraId="07EB5526">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55</w:t>
                  </w:r>
                </w:p>
              </w:tc>
              <w:tc>
                <w:tcPr>
                  <w:tcW w:w="462" w:type="pct"/>
                  <w:noWrap w:val="0"/>
                  <w:vAlign w:val="center"/>
                </w:tcPr>
                <w:p w14:paraId="7A38D9B0">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53</w:t>
                  </w:r>
                </w:p>
              </w:tc>
              <w:tc>
                <w:tcPr>
                  <w:tcW w:w="566" w:type="pct"/>
                  <w:vMerge w:val="restart"/>
                  <w:noWrap w:val="0"/>
                  <w:vAlign w:val="center"/>
                </w:tcPr>
                <w:p w14:paraId="2DDFA235">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土石方</w:t>
                  </w:r>
                </w:p>
              </w:tc>
            </w:tr>
            <w:tr w14:paraId="220CD9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245" w:type="pct"/>
                  <w:noWrap w:val="0"/>
                  <w:vAlign w:val="center"/>
                </w:tcPr>
                <w:p w14:paraId="587CADED">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2</w:t>
                  </w:r>
                </w:p>
              </w:tc>
              <w:tc>
                <w:tcPr>
                  <w:tcW w:w="954" w:type="pct"/>
                  <w:noWrap w:val="0"/>
                  <w:vAlign w:val="center"/>
                </w:tcPr>
                <w:p w14:paraId="35CB690C">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挖掘机</w:t>
                  </w:r>
                </w:p>
              </w:tc>
              <w:tc>
                <w:tcPr>
                  <w:tcW w:w="462" w:type="pct"/>
                  <w:noWrap w:val="0"/>
                  <w:tcMar>
                    <w:top w:w="0" w:type="dxa"/>
                    <w:left w:w="57" w:type="dxa"/>
                    <w:bottom w:w="0" w:type="dxa"/>
                    <w:right w:w="57" w:type="dxa"/>
                  </w:tcMar>
                  <w:vAlign w:val="center"/>
                </w:tcPr>
                <w:p w14:paraId="71B9D0B8">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66</w:t>
                  </w:r>
                </w:p>
              </w:tc>
              <w:tc>
                <w:tcPr>
                  <w:tcW w:w="462" w:type="pct"/>
                  <w:noWrap w:val="0"/>
                  <w:tcMar>
                    <w:top w:w="0" w:type="dxa"/>
                    <w:left w:w="57" w:type="dxa"/>
                    <w:bottom w:w="0" w:type="dxa"/>
                    <w:right w:w="57" w:type="dxa"/>
                  </w:tcMar>
                  <w:vAlign w:val="center"/>
                </w:tcPr>
                <w:p w14:paraId="4F38F864">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62</w:t>
                  </w:r>
                </w:p>
              </w:tc>
              <w:tc>
                <w:tcPr>
                  <w:tcW w:w="462" w:type="pct"/>
                  <w:noWrap w:val="0"/>
                  <w:tcMar>
                    <w:top w:w="0" w:type="dxa"/>
                    <w:left w:w="57" w:type="dxa"/>
                    <w:bottom w:w="0" w:type="dxa"/>
                    <w:right w:w="57" w:type="dxa"/>
                  </w:tcMar>
                  <w:vAlign w:val="center"/>
                </w:tcPr>
                <w:p w14:paraId="72585DC7">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58</w:t>
                  </w:r>
                </w:p>
              </w:tc>
              <w:tc>
                <w:tcPr>
                  <w:tcW w:w="462" w:type="pct"/>
                  <w:noWrap w:val="0"/>
                  <w:tcMar>
                    <w:top w:w="0" w:type="dxa"/>
                    <w:left w:w="57" w:type="dxa"/>
                    <w:bottom w:w="0" w:type="dxa"/>
                    <w:right w:w="57" w:type="dxa"/>
                  </w:tcMar>
                  <w:vAlign w:val="center"/>
                </w:tcPr>
                <w:p w14:paraId="1C74D957">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52</w:t>
                  </w:r>
                </w:p>
              </w:tc>
              <w:tc>
                <w:tcPr>
                  <w:tcW w:w="463" w:type="pct"/>
                  <w:noWrap w:val="0"/>
                  <w:tcMar>
                    <w:top w:w="0" w:type="dxa"/>
                    <w:left w:w="57" w:type="dxa"/>
                    <w:bottom w:w="0" w:type="dxa"/>
                    <w:right w:w="57" w:type="dxa"/>
                  </w:tcMar>
                  <w:vAlign w:val="center"/>
                </w:tcPr>
                <w:p w14:paraId="760F7FEF">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48</w:t>
                  </w:r>
                </w:p>
              </w:tc>
              <w:tc>
                <w:tcPr>
                  <w:tcW w:w="462" w:type="pct"/>
                  <w:noWrap w:val="0"/>
                  <w:tcMar>
                    <w:top w:w="0" w:type="dxa"/>
                    <w:left w:w="57" w:type="dxa"/>
                    <w:bottom w:w="0" w:type="dxa"/>
                    <w:right w:w="57" w:type="dxa"/>
                  </w:tcMar>
                  <w:vAlign w:val="center"/>
                </w:tcPr>
                <w:p w14:paraId="7E5F3882">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46</w:t>
                  </w:r>
                </w:p>
              </w:tc>
              <w:tc>
                <w:tcPr>
                  <w:tcW w:w="462" w:type="pct"/>
                  <w:noWrap w:val="0"/>
                  <w:vAlign w:val="center"/>
                </w:tcPr>
                <w:p w14:paraId="24EAE756">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44</w:t>
                  </w:r>
                </w:p>
              </w:tc>
              <w:tc>
                <w:tcPr>
                  <w:tcW w:w="566" w:type="pct"/>
                  <w:vMerge w:val="continue"/>
                  <w:noWrap w:val="0"/>
                  <w:vAlign w:val="center"/>
                </w:tcPr>
                <w:p w14:paraId="718FB341">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p>
              </w:tc>
            </w:tr>
            <w:tr w14:paraId="36266E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245" w:type="pct"/>
                  <w:noWrap w:val="0"/>
                  <w:vAlign w:val="center"/>
                </w:tcPr>
                <w:p w14:paraId="5F225A5C">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3</w:t>
                  </w:r>
                </w:p>
              </w:tc>
              <w:tc>
                <w:tcPr>
                  <w:tcW w:w="954" w:type="pct"/>
                  <w:noWrap w:val="0"/>
                  <w:vAlign w:val="center"/>
                </w:tcPr>
                <w:p w14:paraId="1CA7EE6D">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推土机</w:t>
                  </w:r>
                </w:p>
              </w:tc>
              <w:tc>
                <w:tcPr>
                  <w:tcW w:w="462" w:type="pct"/>
                  <w:noWrap w:val="0"/>
                  <w:tcMar>
                    <w:top w:w="0" w:type="dxa"/>
                    <w:left w:w="57" w:type="dxa"/>
                    <w:bottom w:w="0" w:type="dxa"/>
                    <w:right w:w="57" w:type="dxa"/>
                  </w:tcMar>
                  <w:vAlign w:val="center"/>
                </w:tcPr>
                <w:p w14:paraId="518D25A1">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68</w:t>
                  </w:r>
                </w:p>
              </w:tc>
              <w:tc>
                <w:tcPr>
                  <w:tcW w:w="462" w:type="pct"/>
                  <w:noWrap w:val="0"/>
                  <w:tcMar>
                    <w:top w:w="0" w:type="dxa"/>
                    <w:left w:w="57" w:type="dxa"/>
                    <w:bottom w:w="0" w:type="dxa"/>
                    <w:right w:w="57" w:type="dxa"/>
                  </w:tcMar>
                  <w:vAlign w:val="center"/>
                </w:tcPr>
                <w:p w14:paraId="49BB52EF">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64</w:t>
                  </w:r>
                </w:p>
              </w:tc>
              <w:tc>
                <w:tcPr>
                  <w:tcW w:w="462" w:type="pct"/>
                  <w:noWrap w:val="0"/>
                  <w:tcMar>
                    <w:top w:w="0" w:type="dxa"/>
                    <w:left w:w="57" w:type="dxa"/>
                    <w:bottom w:w="0" w:type="dxa"/>
                    <w:right w:w="57" w:type="dxa"/>
                  </w:tcMar>
                  <w:vAlign w:val="center"/>
                </w:tcPr>
                <w:p w14:paraId="51CC861B">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60</w:t>
                  </w:r>
                </w:p>
              </w:tc>
              <w:tc>
                <w:tcPr>
                  <w:tcW w:w="462" w:type="pct"/>
                  <w:noWrap w:val="0"/>
                  <w:tcMar>
                    <w:top w:w="0" w:type="dxa"/>
                    <w:left w:w="57" w:type="dxa"/>
                    <w:bottom w:w="0" w:type="dxa"/>
                    <w:right w:w="57" w:type="dxa"/>
                  </w:tcMar>
                  <w:vAlign w:val="center"/>
                </w:tcPr>
                <w:p w14:paraId="73FE8C73">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54</w:t>
                  </w:r>
                </w:p>
              </w:tc>
              <w:tc>
                <w:tcPr>
                  <w:tcW w:w="463" w:type="pct"/>
                  <w:noWrap w:val="0"/>
                  <w:tcMar>
                    <w:top w:w="0" w:type="dxa"/>
                    <w:left w:w="57" w:type="dxa"/>
                    <w:bottom w:w="0" w:type="dxa"/>
                    <w:right w:w="57" w:type="dxa"/>
                  </w:tcMar>
                  <w:vAlign w:val="center"/>
                </w:tcPr>
                <w:p w14:paraId="1BC3B7B6">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50</w:t>
                  </w:r>
                </w:p>
              </w:tc>
              <w:tc>
                <w:tcPr>
                  <w:tcW w:w="462" w:type="pct"/>
                  <w:noWrap w:val="0"/>
                  <w:tcMar>
                    <w:top w:w="0" w:type="dxa"/>
                    <w:left w:w="57" w:type="dxa"/>
                    <w:bottom w:w="0" w:type="dxa"/>
                    <w:right w:w="57" w:type="dxa"/>
                  </w:tcMar>
                  <w:vAlign w:val="center"/>
                </w:tcPr>
                <w:p w14:paraId="1FE63706">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48</w:t>
                  </w:r>
                </w:p>
              </w:tc>
              <w:tc>
                <w:tcPr>
                  <w:tcW w:w="462" w:type="pct"/>
                  <w:noWrap w:val="0"/>
                  <w:vAlign w:val="center"/>
                </w:tcPr>
                <w:p w14:paraId="6C6456D4">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46</w:t>
                  </w:r>
                </w:p>
              </w:tc>
              <w:tc>
                <w:tcPr>
                  <w:tcW w:w="566" w:type="pct"/>
                  <w:vMerge w:val="continue"/>
                  <w:noWrap w:val="0"/>
                  <w:vAlign w:val="center"/>
                </w:tcPr>
                <w:p w14:paraId="3B79DD39">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p>
              </w:tc>
            </w:tr>
            <w:tr w14:paraId="558FAE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245" w:type="pct"/>
                  <w:noWrap w:val="0"/>
                  <w:vAlign w:val="center"/>
                </w:tcPr>
                <w:p w14:paraId="79CD1393">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w:t>
                  </w:r>
                </w:p>
              </w:tc>
              <w:tc>
                <w:tcPr>
                  <w:tcW w:w="954" w:type="pct"/>
                  <w:noWrap w:val="0"/>
                  <w:vAlign w:val="center"/>
                </w:tcPr>
                <w:p w14:paraId="3956F8F0">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钻孔式灌注桩机</w:t>
                  </w:r>
                </w:p>
              </w:tc>
              <w:tc>
                <w:tcPr>
                  <w:tcW w:w="462" w:type="pct"/>
                  <w:noWrap w:val="0"/>
                  <w:tcMar>
                    <w:top w:w="0" w:type="dxa"/>
                    <w:left w:w="57" w:type="dxa"/>
                    <w:bottom w:w="0" w:type="dxa"/>
                    <w:right w:w="57" w:type="dxa"/>
                  </w:tcMar>
                  <w:vAlign w:val="center"/>
                </w:tcPr>
                <w:p w14:paraId="1386B0F1">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78</w:t>
                  </w:r>
                </w:p>
              </w:tc>
              <w:tc>
                <w:tcPr>
                  <w:tcW w:w="462" w:type="pct"/>
                  <w:noWrap w:val="0"/>
                  <w:tcMar>
                    <w:top w:w="0" w:type="dxa"/>
                    <w:left w:w="57" w:type="dxa"/>
                    <w:bottom w:w="0" w:type="dxa"/>
                    <w:right w:w="57" w:type="dxa"/>
                  </w:tcMar>
                  <w:vAlign w:val="center"/>
                </w:tcPr>
                <w:p w14:paraId="46CB94EA">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74</w:t>
                  </w:r>
                </w:p>
              </w:tc>
              <w:tc>
                <w:tcPr>
                  <w:tcW w:w="462" w:type="pct"/>
                  <w:noWrap w:val="0"/>
                  <w:tcMar>
                    <w:top w:w="0" w:type="dxa"/>
                    <w:left w:w="57" w:type="dxa"/>
                    <w:bottom w:w="0" w:type="dxa"/>
                    <w:right w:w="57" w:type="dxa"/>
                  </w:tcMar>
                  <w:vAlign w:val="center"/>
                </w:tcPr>
                <w:p w14:paraId="0F01FFF4">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70</w:t>
                  </w:r>
                </w:p>
              </w:tc>
              <w:tc>
                <w:tcPr>
                  <w:tcW w:w="462" w:type="pct"/>
                  <w:noWrap w:val="0"/>
                  <w:tcMar>
                    <w:top w:w="0" w:type="dxa"/>
                    <w:left w:w="57" w:type="dxa"/>
                    <w:bottom w:w="0" w:type="dxa"/>
                    <w:right w:w="57" w:type="dxa"/>
                  </w:tcMar>
                  <w:vAlign w:val="center"/>
                </w:tcPr>
                <w:p w14:paraId="2EA52CBB">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64</w:t>
                  </w:r>
                </w:p>
              </w:tc>
              <w:tc>
                <w:tcPr>
                  <w:tcW w:w="463" w:type="pct"/>
                  <w:noWrap w:val="0"/>
                  <w:tcMar>
                    <w:top w:w="0" w:type="dxa"/>
                    <w:left w:w="57" w:type="dxa"/>
                    <w:bottom w:w="0" w:type="dxa"/>
                    <w:right w:w="57" w:type="dxa"/>
                  </w:tcMar>
                  <w:vAlign w:val="center"/>
                </w:tcPr>
                <w:p w14:paraId="138E0844">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60</w:t>
                  </w:r>
                </w:p>
              </w:tc>
              <w:tc>
                <w:tcPr>
                  <w:tcW w:w="462" w:type="pct"/>
                  <w:noWrap w:val="0"/>
                  <w:tcMar>
                    <w:top w:w="0" w:type="dxa"/>
                    <w:left w:w="57" w:type="dxa"/>
                    <w:bottom w:w="0" w:type="dxa"/>
                    <w:right w:w="57" w:type="dxa"/>
                  </w:tcMar>
                  <w:vAlign w:val="center"/>
                </w:tcPr>
                <w:p w14:paraId="4BED1103">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58</w:t>
                  </w:r>
                </w:p>
              </w:tc>
              <w:tc>
                <w:tcPr>
                  <w:tcW w:w="462" w:type="pct"/>
                  <w:noWrap w:val="0"/>
                  <w:vAlign w:val="center"/>
                </w:tcPr>
                <w:p w14:paraId="58561705">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55</w:t>
                  </w:r>
                </w:p>
              </w:tc>
              <w:tc>
                <w:tcPr>
                  <w:tcW w:w="566" w:type="pct"/>
                  <w:vMerge w:val="continue"/>
                  <w:noWrap w:val="0"/>
                  <w:vAlign w:val="center"/>
                </w:tcPr>
                <w:p w14:paraId="67F5612B">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p>
              </w:tc>
            </w:tr>
            <w:tr w14:paraId="7C598F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245" w:type="pct"/>
                  <w:noWrap w:val="0"/>
                  <w:vAlign w:val="center"/>
                </w:tcPr>
                <w:p w14:paraId="7515E800">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w:t>
                  </w:r>
                </w:p>
              </w:tc>
              <w:tc>
                <w:tcPr>
                  <w:tcW w:w="954" w:type="pct"/>
                  <w:noWrap w:val="0"/>
                  <w:vAlign w:val="center"/>
                </w:tcPr>
                <w:p w14:paraId="174EE069">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混凝土振捣器</w:t>
                  </w:r>
                </w:p>
              </w:tc>
              <w:tc>
                <w:tcPr>
                  <w:tcW w:w="462" w:type="pct"/>
                  <w:noWrap w:val="0"/>
                  <w:tcMar>
                    <w:top w:w="0" w:type="dxa"/>
                    <w:left w:w="57" w:type="dxa"/>
                    <w:bottom w:w="0" w:type="dxa"/>
                    <w:right w:w="57" w:type="dxa"/>
                  </w:tcMar>
                  <w:vAlign w:val="center"/>
                </w:tcPr>
                <w:p w14:paraId="683AF137">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66</w:t>
                  </w:r>
                </w:p>
              </w:tc>
              <w:tc>
                <w:tcPr>
                  <w:tcW w:w="462" w:type="pct"/>
                  <w:noWrap w:val="0"/>
                  <w:tcMar>
                    <w:top w:w="0" w:type="dxa"/>
                    <w:left w:w="57" w:type="dxa"/>
                    <w:bottom w:w="0" w:type="dxa"/>
                    <w:right w:w="57" w:type="dxa"/>
                  </w:tcMar>
                  <w:vAlign w:val="center"/>
                </w:tcPr>
                <w:p w14:paraId="05CC0C25">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62</w:t>
                  </w:r>
                </w:p>
              </w:tc>
              <w:tc>
                <w:tcPr>
                  <w:tcW w:w="462" w:type="pct"/>
                  <w:noWrap w:val="0"/>
                  <w:tcMar>
                    <w:top w:w="0" w:type="dxa"/>
                    <w:left w:w="57" w:type="dxa"/>
                    <w:bottom w:w="0" w:type="dxa"/>
                    <w:right w:w="57" w:type="dxa"/>
                  </w:tcMar>
                  <w:vAlign w:val="center"/>
                </w:tcPr>
                <w:p w14:paraId="5830F956">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58</w:t>
                  </w:r>
                </w:p>
              </w:tc>
              <w:tc>
                <w:tcPr>
                  <w:tcW w:w="462" w:type="pct"/>
                  <w:noWrap w:val="0"/>
                  <w:tcMar>
                    <w:top w:w="0" w:type="dxa"/>
                    <w:left w:w="57" w:type="dxa"/>
                    <w:bottom w:w="0" w:type="dxa"/>
                    <w:right w:w="57" w:type="dxa"/>
                  </w:tcMar>
                  <w:vAlign w:val="center"/>
                </w:tcPr>
                <w:p w14:paraId="5964084B">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52</w:t>
                  </w:r>
                </w:p>
              </w:tc>
              <w:tc>
                <w:tcPr>
                  <w:tcW w:w="463" w:type="pct"/>
                  <w:noWrap w:val="0"/>
                  <w:tcMar>
                    <w:top w:w="0" w:type="dxa"/>
                    <w:left w:w="57" w:type="dxa"/>
                    <w:bottom w:w="0" w:type="dxa"/>
                    <w:right w:w="57" w:type="dxa"/>
                  </w:tcMar>
                  <w:vAlign w:val="center"/>
                </w:tcPr>
                <w:p w14:paraId="7C8BAA9B">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48</w:t>
                  </w:r>
                </w:p>
              </w:tc>
              <w:tc>
                <w:tcPr>
                  <w:tcW w:w="462" w:type="pct"/>
                  <w:noWrap w:val="0"/>
                  <w:tcMar>
                    <w:top w:w="0" w:type="dxa"/>
                    <w:left w:w="57" w:type="dxa"/>
                    <w:bottom w:w="0" w:type="dxa"/>
                    <w:right w:w="57" w:type="dxa"/>
                  </w:tcMar>
                  <w:vAlign w:val="center"/>
                </w:tcPr>
                <w:p w14:paraId="4E018D24">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46</w:t>
                  </w:r>
                </w:p>
              </w:tc>
              <w:tc>
                <w:tcPr>
                  <w:tcW w:w="462" w:type="pct"/>
                  <w:noWrap w:val="0"/>
                  <w:vAlign w:val="center"/>
                </w:tcPr>
                <w:p w14:paraId="4C60F585">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44</w:t>
                  </w:r>
                </w:p>
              </w:tc>
              <w:tc>
                <w:tcPr>
                  <w:tcW w:w="566" w:type="pct"/>
                  <w:vMerge w:val="restart"/>
                  <w:noWrap w:val="0"/>
                  <w:vAlign w:val="center"/>
                </w:tcPr>
                <w:p w14:paraId="14024108">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建筑结构</w:t>
                  </w:r>
                </w:p>
              </w:tc>
            </w:tr>
            <w:tr w14:paraId="6378D0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245" w:type="pct"/>
                  <w:noWrap w:val="0"/>
                  <w:vAlign w:val="center"/>
                </w:tcPr>
                <w:p w14:paraId="6C0065C1">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w:t>
                  </w:r>
                </w:p>
              </w:tc>
              <w:tc>
                <w:tcPr>
                  <w:tcW w:w="954" w:type="pct"/>
                  <w:noWrap w:val="0"/>
                  <w:vAlign w:val="center"/>
                </w:tcPr>
                <w:p w14:paraId="3DC8EF65">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静压式打桩机</w:t>
                  </w:r>
                </w:p>
              </w:tc>
              <w:tc>
                <w:tcPr>
                  <w:tcW w:w="462" w:type="pct"/>
                  <w:noWrap w:val="0"/>
                  <w:tcMar>
                    <w:top w:w="0" w:type="dxa"/>
                    <w:left w:w="57" w:type="dxa"/>
                    <w:bottom w:w="0" w:type="dxa"/>
                    <w:right w:w="57" w:type="dxa"/>
                  </w:tcMar>
                  <w:vAlign w:val="center"/>
                </w:tcPr>
                <w:p w14:paraId="7F676E3E">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78</w:t>
                  </w:r>
                </w:p>
              </w:tc>
              <w:tc>
                <w:tcPr>
                  <w:tcW w:w="462" w:type="pct"/>
                  <w:noWrap w:val="0"/>
                  <w:tcMar>
                    <w:top w:w="0" w:type="dxa"/>
                    <w:left w:w="57" w:type="dxa"/>
                    <w:bottom w:w="0" w:type="dxa"/>
                    <w:right w:w="57" w:type="dxa"/>
                  </w:tcMar>
                  <w:vAlign w:val="center"/>
                </w:tcPr>
                <w:p w14:paraId="7C17E860">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74</w:t>
                  </w:r>
                </w:p>
              </w:tc>
              <w:tc>
                <w:tcPr>
                  <w:tcW w:w="462" w:type="pct"/>
                  <w:noWrap w:val="0"/>
                  <w:tcMar>
                    <w:top w:w="0" w:type="dxa"/>
                    <w:left w:w="57" w:type="dxa"/>
                    <w:bottom w:w="0" w:type="dxa"/>
                    <w:right w:w="57" w:type="dxa"/>
                  </w:tcMar>
                  <w:vAlign w:val="center"/>
                </w:tcPr>
                <w:p w14:paraId="23338F7F">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70</w:t>
                  </w:r>
                </w:p>
              </w:tc>
              <w:tc>
                <w:tcPr>
                  <w:tcW w:w="462" w:type="pct"/>
                  <w:noWrap w:val="0"/>
                  <w:tcMar>
                    <w:top w:w="0" w:type="dxa"/>
                    <w:left w:w="57" w:type="dxa"/>
                    <w:bottom w:w="0" w:type="dxa"/>
                    <w:right w:w="57" w:type="dxa"/>
                  </w:tcMar>
                  <w:vAlign w:val="center"/>
                </w:tcPr>
                <w:p w14:paraId="1E54F037">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64</w:t>
                  </w:r>
                </w:p>
              </w:tc>
              <w:tc>
                <w:tcPr>
                  <w:tcW w:w="463" w:type="pct"/>
                  <w:noWrap w:val="0"/>
                  <w:tcMar>
                    <w:top w:w="0" w:type="dxa"/>
                    <w:left w:w="57" w:type="dxa"/>
                    <w:bottom w:w="0" w:type="dxa"/>
                    <w:right w:w="57" w:type="dxa"/>
                  </w:tcMar>
                  <w:vAlign w:val="center"/>
                </w:tcPr>
                <w:p w14:paraId="24C46E5B">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60</w:t>
                  </w:r>
                </w:p>
              </w:tc>
              <w:tc>
                <w:tcPr>
                  <w:tcW w:w="462" w:type="pct"/>
                  <w:noWrap w:val="0"/>
                  <w:tcMar>
                    <w:top w:w="0" w:type="dxa"/>
                    <w:left w:w="57" w:type="dxa"/>
                    <w:bottom w:w="0" w:type="dxa"/>
                    <w:right w:w="57" w:type="dxa"/>
                  </w:tcMar>
                  <w:vAlign w:val="center"/>
                </w:tcPr>
                <w:p w14:paraId="65877B22">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58</w:t>
                  </w:r>
                </w:p>
              </w:tc>
              <w:tc>
                <w:tcPr>
                  <w:tcW w:w="462" w:type="pct"/>
                  <w:noWrap w:val="0"/>
                  <w:vAlign w:val="center"/>
                </w:tcPr>
                <w:p w14:paraId="62E6E884">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55</w:t>
                  </w:r>
                </w:p>
              </w:tc>
              <w:tc>
                <w:tcPr>
                  <w:tcW w:w="566" w:type="pct"/>
                  <w:vMerge w:val="continue"/>
                  <w:noWrap w:val="0"/>
                  <w:vAlign w:val="center"/>
                </w:tcPr>
                <w:p w14:paraId="1FCF71FF">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p>
              </w:tc>
            </w:tr>
            <w:tr w14:paraId="7A1575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0" w:hRule="atLeast"/>
                <w:jc w:val="center"/>
              </w:trPr>
              <w:tc>
                <w:tcPr>
                  <w:tcW w:w="245" w:type="pct"/>
                  <w:noWrap w:val="0"/>
                  <w:vAlign w:val="center"/>
                </w:tcPr>
                <w:p w14:paraId="02C3EA26">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7</w:t>
                  </w:r>
                </w:p>
              </w:tc>
              <w:tc>
                <w:tcPr>
                  <w:tcW w:w="954" w:type="pct"/>
                  <w:noWrap w:val="0"/>
                  <w:vAlign w:val="center"/>
                </w:tcPr>
                <w:p w14:paraId="22097FB7">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运输卡车</w:t>
                  </w:r>
                </w:p>
              </w:tc>
              <w:tc>
                <w:tcPr>
                  <w:tcW w:w="462" w:type="pct"/>
                  <w:noWrap w:val="0"/>
                  <w:tcMar>
                    <w:top w:w="0" w:type="dxa"/>
                    <w:left w:w="57" w:type="dxa"/>
                    <w:bottom w:w="0" w:type="dxa"/>
                    <w:right w:w="57" w:type="dxa"/>
                  </w:tcMar>
                  <w:vAlign w:val="center"/>
                </w:tcPr>
                <w:p w14:paraId="10EA11F5">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68</w:t>
                  </w:r>
                </w:p>
              </w:tc>
              <w:tc>
                <w:tcPr>
                  <w:tcW w:w="462" w:type="pct"/>
                  <w:noWrap w:val="0"/>
                  <w:tcMar>
                    <w:top w:w="0" w:type="dxa"/>
                    <w:left w:w="57" w:type="dxa"/>
                    <w:bottom w:w="0" w:type="dxa"/>
                    <w:right w:w="57" w:type="dxa"/>
                  </w:tcMar>
                  <w:vAlign w:val="center"/>
                </w:tcPr>
                <w:p w14:paraId="7DB28839">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64</w:t>
                  </w:r>
                </w:p>
              </w:tc>
              <w:tc>
                <w:tcPr>
                  <w:tcW w:w="462" w:type="pct"/>
                  <w:noWrap w:val="0"/>
                  <w:tcMar>
                    <w:top w:w="0" w:type="dxa"/>
                    <w:left w:w="57" w:type="dxa"/>
                    <w:bottom w:w="0" w:type="dxa"/>
                    <w:right w:w="57" w:type="dxa"/>
                  </w:tcMar>
                  <w:vAlign w:val="center"/>
                </w:tcPr>
                <w:p w14:paraId="5B56E753">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60</w:t>
                  </w:r>
                </w:p>
              </w:tc>
              <w:tc>
                <w:tcPr>
                  <w:tcW w:w="462" w:type="pct"/>
                  <w:noWrap w:val="0"/>
                  <w:tcMar>
                    <w:top w:w="0" w:type="dxa"/>
                    <w:left w:w="57" w:type="dxa"/>
                    <w:bottom w:w="0" w:type="dxa"/>
                    <w:right w:w="57" w:type="dxa"/>
                  </w:tcMar>
                  <w:vAlign w:val="center"/>
                </w:tcPr>
                <w:p w14:paraId="5B990914">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54</w:t>
                  </w:r>
                </w:p>
              </w:tc>
              <w:tc>
                <w:tcPr>
                  <w:tcW w:w="463" w:type="pct"/>
                  <w:noWrap w:val="0"/>
                  <w:tcMar>
                    <w:top w:w="0" w:type="dxa"/>
                    <w:left w:w="57" w:type="dxa"/>
                    <w:bottom w:w="0" w:type="dxa"/>
                    <w:right w:w="57" w:type="dxa"/>
                  </w:tcMar>
                  <w:vAlign w:val="center"/>
                </w:tcPr>
                <w:p w14:paraId="4F8C7BF8">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50</w:t>
                  </w:r>
                </w:p>
              </w:tc>
              <w:tc>
                <w:tcPr>
                  <w:tcW w:w="462" w:type="pct"/>
                  <w:noWrap w:val="0"/>
                  <w:tcMar>
                    <w:top w:w="0" w:type="dxa"/>
                    <w:left w:w="57" w:type="dxa"/>
                    <w:bottom w:w="0" w:type="dxa"/>
                    <w:right w:w="57" w:type="dxa"/>
                  </w:tcMar>
                  <w:vAlign w:val="center"/>
                </w:tcPr>
                <w:p w14:paraId="561E3867">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48</w:t>
                  </w:r>
                </w:p>
              </w:tc>
              <w:tc>
                <w:tcPr>
                  <w:tcW w:w="462" w:type="pct"/>
                  <w:noWrap w:val="0"/>
                  <w:vAlign w:val="center"/>
                </w:tcPr>
                <w:p w14:paraId="0722ACA8">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46</w:t>
                  </w:r>
                </w:p>
              </w:tc>
              <w:tc>
                <w:tcPr>
                  <w:tcW w:w="566" w:type="pct"/>
                  <w:noWrap w:val="0"/>
                  <w:vAlign w:val="center"/>
                </w:tcPr>
                <w:p w14:paraId="4E94DF82">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cs="Times New Roman"/>
                      <w:color w:val="auto"/>
                      <w:sz w:val="21"/>
                      <w:szCs w:val="21"/>
                    </w:rPr>
                  </w:pPr>
                  <w:r>
                    <w:rPr>
                      <w:rFonts w:hint="default" w:ascii="Times New Roman" w:hAnsi="Times New Roman" w:cs="Times New Roman"/>
                      <w:color w:val="auto"/>
                      <w:sz w:val="21"/>
                      <w:szCs w:val="21"/>
                    </w:rPr>
                    <w:t>物料运输</w:t>
                  </w:r>
                </w:p>
              </w:tc>
            </w:tr>
          </w:tbl>
          <w:p w14:paraId="38CE5EFA">
            <w:pPr>
              <w:pStyle w:val="115"/>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在多台机械设备同时作业时，各台设备产生的噪声会互相叠加。根据类比调查，叠加后的噪声增值约3～8dB（A</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，一般不会超过10dB（A</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w:t>
            </w:r>
          </w:p>
          <w:p w14:paraId="08A94717">
            <w:pPr>
              <w:pStyle w:val="42"/>
              <w:keepNext w:val="0"/>
              <w:keepLines w:val="0"/>
              <w:pageBreakBefore w:val="0"/>
              <w:tabs>
                <w:tab w:val="left" w:pos="4643"/>
                <w:tab w:val="clear" w:pos="6840"/>
              </w:tabs>
              <w:kinsoku/>
              <w:wordWrap/>
              <w:overflowPunct/>
              <w:bidi w:val="0"/>
              <w:adjustRightInd w:val="0"/>
              <w:spacing w:before="0" w:beforeLines="0" w:beforeAutospacing="0" w:after="0" w:afterLines="0" w:afterAutospacing="0" w:line="240" w:lineRule="auto"/>
              <w:ind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表</w:t>
            </w:r>
            <w:r>
              <w:rPr>
                <w:rFonts w:hint="default" w:ascii="Times New Roman" w:hAnsi="Times New Roman" w:eastAsia="宋体" w:cs="Times New Roman"/>
                <w:color w:val="auto"/>
                <w:sz w:val="21"/>
                <w:szCs w:val="21"/>
                <w:lang w:val="en-US" w:eastAsia="zh-CN"/>
              </w:rPr>
              <w:t>4-2</w:t>
            </w:r>
            <w:r>
              <w:rPr>
                <w:rFonts w:hint="default" w:ascii="Times New Roman" w:hAnsi="Times New Roman" w:eastAsia="宋体" w:cs="Times New Roman"/>
                <w:color w:val="auto"/>
                <w:sz w:val="21"/>
                <w:szCs w:val="21"/>
              </w:rPr>
              <w:t>建筑机械动力噪声影响距离情况</w:t>
            </w:r>
          </w:p>
          <w:tbl>
            <w:tblPr>
              <w:tblStyle w:val="32"/>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15"/>
              <w:gridCol w:w="2107"/>
              <w:gridCol w:w="852"/>
              <w:gridCol w:w="852"/>
              <w:gridCol w:w="852"/>
              <w:gridCol w:w="852"/>
              <w:gridCol w:w="852"/>
              <w:gridCol w:w="852"/>
            </w:tblGrid>
            <w:tr w14:paraId="736A74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62" w:type="pct"/>
                  <w:noWrap w:val="0"/>
                  <w:vAlign w:val="center"/>
                </w:tcPr>
                <w:p w14:paraId="6398C5BF">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阶段</w:t>
                  </w:r>
                </w:p>
              </w:tc>
              <w:tc>
                <w:tcPr>
                  <w:tcW w:w="1294" w:type="pct"/>
                  <w:noWrap w:val="0"/>
                  <w:vAlign w:val="center"/>
                </w:tcPr>
                <w:p w14:paraId="5E79C522">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噪声源</w:t>
                  </w:r>
                </w:p>
              </w:tc>
              <w:tc>
                <w:tcPr>
                  <w:tcW w:w="524" w:type="pct"/>
                  <w:noWrap w:val="0"/>
                  <w:vAlign w:val="center"/>
                </w:tcPr>
                <w:p w14:paraId="6DD0324D">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85dB</w:t>
                  </w:r>
                </w:p>
              </w:tc>
              <w:tc>
                <w:tcPr>
                  <w:tcW w:w="524" w:type="pct"/>
                  <w:noWrap w:val="0"/>
                  <w:vAlign w:val="center"/>
                </w:tcPr>
                <w:p w14:paraId="207ADEE2">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75dB</w:t>
                  </w:r>
                </w:p>
              </w:tc>
              <w:tc>
                <w:tcPr>
                  <w:tcW w:w="524" w:type="pct"/>
                  <w:noWrap w:val="0"/>
                  <w:vAlign w:val="center"/>
                </w:tcPr>
                <w:p w14:paraId="19AC19DA">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70dB</w:t>
                  </w:r>
                </w:p>
              </w:tc>
              <w:tc>
                <w:tcPr>
                  <w:tcW w:w="524" w:type="pct"/>
                  <w:noWrap w:val="0"/>
                  <w:vAlign w:val="center"/>
                </w:tcPr>
                <w:p w14:paraId="51169F28">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65dB</w:t>
                  </w:r>
                </w:p>
              </w:tc>
              <w:tc>
                <w:tcPr>
                  <w:tcW w:w="524" w:type="pct"/>
                  <w:noWrap w:val="0"/>
                  <w:vAlign w:val="center"/>
                </w:tcPr>
                <w:p w14:paraId="1E960768">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60dB</w:t>
                  </w:r>
                </w:p>
              </w:tc>
              <w:tc>
                <w:tcPr>
                  <w:tcW w:w="524" w:type="pct"/>
                  <w:noWrap w:val="0"/>
                  <w:vAlign w:val="center"/>
                </w:tcPr>
                <w:p w14:paraId="1DBDB1FB">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55dB</w:t>
                  </w:r>
                </w:p>
              </w:tc>
            </w:tr>
            <w:tr w14:paraId="44D774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62" w:type="pct"/>
                  <w:vMerge w:val="restart"/>
                  <w:noWrap w:val="0"/>
                  <w:vAlign w:val="center"/>
                </w:tcPr>
                <w:p w14:paraId="74DFCD5E">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土石方</w:t>
                  </w:r>
                </w:p>
              </w:tc>
              <w:tc>
                <w:tcPr>
                  <w:tcW w:w="1294" w:type="pct"/>
                  <w:noWrap w:val="0"/>
                  <w:vAlign w:val="center"/>
                </w:tcPr>
                <w:p w14:paraId="422A1FF6">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装载机</w:t>
                  </w:r>
                </w:p>
              </w:tc>
              <w:tc>
                <w:tcPr>
                  <w:tcW w:w="524" w:type="pct"/>
                  <w:noWrap w:val="0"/>
                  <w:vAlign w:val="center"/>
                </w:tcPr>
                <w:p w14:paraId="2E0FB6B7">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p>
              </w:tc>
              <w:tc>
                <w:tcPr>
                  <w:tcW w:w="524" w:type="pct"/>
                  <w:noWrap w:val="0"/>
                  <w:vAlign w:val="center"/>
                </w:tcPr>
                <w:p w14:paraId="141EA4D5">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c>
                <w:tcPr>
                  <w:tcW w:w="524" w:type="pct"/>
                  <w:noWrap w:val="0"/>
                  <w:vAlign w:val="center"/>
                </w:tcPr>
                <w:p w14:paraId="01A423EC">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w:t>
                  </w:r>
                </w:p>
              </w:tc>
              <w:tc>
                <w:tcPr>
                  <w:tcW w:w="524" w:type="pct"/>
                  <w:noWrap w:val="0"/>
                  <w:vAlign w:val="center"/>
                </w:tcPr>
                <w:p w14:paraId="4999325F">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130</w:t>
                  </w:r>
                </w:p>
              </w:tc>
              <w:tc>
                <w:tcPr>
                  <w:tcW w:w="524" w:type="pct"/>
                  <w:noWrap w:val="0"/>
                  <w:vAlign w:val="center"/>
                </w:tcPr>
                <w:p w14:paraId="46D95BAD">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215</w:t>
                  </w:r>
                </w:p>
              </w:tc>
              <w:tc>
                <w:tcPr>
                  <w:tcW w:w="524" w:type="pct"/>
                  <w:noWrap w:val="0"/>
                  <w:vAlign w:val="center"/>
                </w:tcPr>
                <w:p w14:paraId="121FE94E">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350</w:t>
                  </w:r>
                </w:p>
              </w:tc>
            </w:tr>
            <w:tr w14:paraId="17C96B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62" w:type="pct"/>
                  <w:vMerge w:val="continue"/>
                  <w:noWrap w:val="0"/>
                  <w:vAlign w:val="center"/>
                </w:tcPr>
                <w:p w14:paraId="5C2151F6">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p>
              </w:tc>
              <w:tc>
                <w:tcPr>
                  <w:tcW w:w="1294" w:type="pct"/>
                  <w:noWrap w:val="0"/>
                  <w:vAlign w:val="center"/>
                </w:tcPr>
                <w:p w14:paraId="2B08A25B">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挖掘机</w:t>
                  </w:r>
                </w:p>
              </w:tc>
              <w:tc>
                <w:tcPr>
                  <w:tcW w:w="524" w:type="pct"/>
                  <w:noWrap w:val="0"/>
                  <w:vAlign w:val="center"/>
                </w:tcPr>
                <w:p w14:paraId="4A0F87C6">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p>
              </w:tc>
              <w:tc>
                <w:tcPr>
                  <w:tcW w:w="524" w:type="pct"/>
                  <w:noWrap w:val="0"/>
                  <w:vAlign w:val="center"/>
                </w:tcPr>
                <w:p w14:paraId="4F22FF66">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22</w:t>
                  </w:r>
                </w:p>
              </w:tc>
              <w:tc>
                <w:tcPr>
                  <w:tcW w:w="524" w:type="pct"/>
                  <w:noWrap w:val="0"/>
                  <w:vAlign w:val="center"/>
                </w:tcPr>
                <w:p w14:paraId="6E421280">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40</w:t>
                  </w:r>
                </w:p>
              </w:tc>
              <w:tc>
                <w:tcPr>
                  <w:tcW w:w="524" w:type="pct"/>
                  <w:noWrap w:val="0"/>
                  <w:vAlign w:val="center"/>
                </w:tcPr>
                <w:p w14:paraId="069A8951">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75</w:t>
                  </w:r>
                </w:p>
              </w:tc>
              <w:tc>
                <w:tcPr>
                  <w:tcW w:w="524" w:type="pct"/>
                  <w:noWrap w:val="0"/>
                  <w:vAlign w:val="center"/>
                </w:tcPr>
                <w:p w14:paraId="7530282B">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120</w:t>
                  </w:r>
                </w:p>
              </w:tc>
              <w:tc>
                <w:tcPr>
                  <w:tcW w:w="524" w:type="pct"/>
                  <w:noWrap w:val="0"/>
                  <w:vAlign w:val="center"/>
                </w:tcPr>
                <w:p w14:paraId="484C55BC">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190</w:t>
                  </w:r>
                </w:p>
              </w:tc>
            </w:tr>
            <w:tr w14:paraId="1EEA56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62" w:type="pct"/>
                  <w:noWrap w:val="0"/>
                  <w:vAlign w:val="center"/>
                </w:tcPr>
                <w:p w14:paraId="1E929026">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打桩</w:t>
                  </w:r>
                </w:p>
              </w:tc>
              <w:tc>
                <w:tcPr>
                  <w:tcW w:w="1294" w:type="pct"/>
                  <w:noWrap w:val="0"/>
                  <w:vAlign w:val="center"/>
                </w:tcPr>
                <w:p w14:paraId="64C53884">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冲击式打桩机</w:t>
                  </w:r>
                </w:p>
              </w:tc>
              <w:tc>
                <w:tcPr>
                  <w:tcW w:w="524" w:type="pct"/>
                  <w:noWrap w:val="0"/>
                  <w:vAlign w:val="center"/>
                </w:tcPr>
                <w:p w14:paraId="5D951FC7">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165</w:t>
                  </w:r>
                </w:p>
              </w:tc>
              <w:tc>
                <w:tcPr>
                  <w:tcW w:w="524" w:type="pct"/>
                  <w:noWrap w:val="0"/>
                  <w:vAlign w:val="center"/>
                </w:tcPr>
                <w:p w14:paraId="718EE004">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440</w:t>
                  </w:r>
                </w:p>
              </w:tc>
              <w:tc>
                <w:tcPr>
                  <w:tcW w:w="524" w:type="pct"/>
                  <w:noWrap w:val="0"/>
                  <w:vAlign w:val="center"/>
                </w:tcPr>
                <w:p w14:paraId="50111907">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700</w:t>
                  </w:r>
                </w:p>
              </w:tc>
              <w:tc>
                <w:tcPr>
                  <w:tcW w:w="524" w:type="pct"/>
                  <w:noWrap w:val="0"/>
                  <w:vAlign w:val="center"/>
                </w:tcPr>
                <w:p w14:paraId="7231E960">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1000</w:t>
                  </w:r>
                </w:p>
              </w:tc>
              <w:tc>
                <w:tcPr>
                  <w:tcW w:w="524" w:type="pct"/>
                  <w:noWrap w:val="0"/>
                  <w:vAlign w:val="center"/>
                </w:tcPr>
                <w:p w14:paraId="38F6164C">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1450</w:t>
                  </w:r>
                </w:p>
              </w:tc>
              <w:tc>
                <w:tcPr>
                  <w:tcW w:w="524" w:type="pct"/>
                  <w:noWrap w:val="0"/>
                  <w:vAlign w:val="center"/>
                </w:tcPr>
                <w:p w14:paraId="32636E05">
                  <w:pPr>
                    <w:pStyle w:val="112"/>
                    <w:keepNext w:val="0"/>
                    <w:keepLines w:val="0"/>
                    <w:pageBreakBefore w:val="0"/>
                    <w:suppressLineNumbers w:val="0"/>
                    <w:kinsoku/>
                    <w:wordWrap/>
                    <w:overflowPunct/>
                    <w:bidi w:val="0"/>
                    <w:adjustRightInd w:val="0"/>
                    <w:spacing w:beforeAutospacing="0" w:afterAutospacing="0" w:line="240" w:lineRule="auto"/>
                    <w:ind w:left="0" w:right="0" w:firstLine="0" w:firstLineChars="0"/>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1950</w:t>
                  </w:r>
                </w:p>
              </w:tc>
            </w:tr>
          </w:tbl>
          <w:p w14:paraId="45616BB0">
            <w:pPr>
              <w:pStyle w:val="115"/>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color w:val="auto"/>
                <w:sz w:val="24"/>
                <w:szCs w:val="24"/>
                <w:lang w:val="en-US" w:eastAsia="zh-CN"/>
              </w:rPr>
            </w:pPr>
            <w:bookmarkStart w:id="43" w:name="6.1.4施工固废对环境的影响"/>
            <w:bookmarkEnd w:id="43"/>
            <w:bookmarkStart w:id="44" w:name="6.1.4施工固废对环境的影响"/>
            <w:bookmarkEnd w:id="44"/>
            <w:r>
              <w:rPr>
                <w:rFonts w:hint="default" w:ascii="Times New Roman" w:hAnsi="Times New Roman" w:eastAsia="宋体" w:cs="Times New Roman"/>
                <w:color w:val="auto"/>
                <w:sz w:val="24"/>
                <w:szCs w:val="24"/>
                <w:lang w:val="en-US" w:eastAsia="zh-CN"/>
              </w:rPr>
              <w:t>由表4-2可知</w:t>
            </w:r>
            <w:r>
              <w:rPr>
                <w:rFonts w:hint="default" w:ascii="Times New Roman" w:hAnsi="Times New Roman" w:eastAsia="宋体" w:cs="Times New Roman"/>
                <w:color w:val="auto"/>
                <w:sz w:val="24"/>
                <w:szCs w:val="24"/>
              </w:rPr>
              <w:t>，昼间距施工设备100m，夜间500m即可满足</w:t>
            </w:r>
            <w:r>
              <w:rPr>
                <w:rFonts w:hint="default" w:ascii="Times New Roman" w:hAnsi="Times New Roman" w:cs="Times New Roman"/>
                <w:color w:val="auto"/>
              </w:rPr>
              <w:t>《建筑施工噪声排放标准》</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GB12523-</w:t>
            </w:r>
            <w:r>
              <w:rPr>
                <w:rFonts w:hint="default" w:ascii="Times New Roman" w:hAnsi="Times New Roman" w:cs="Times New Roman"/>
                <w:color w:val="auto"/>
                <w:sz w:val="24"/>
                <w:szCs w:val="24"/>
                <w:lang w:val="en-US" w:eastAsia="zh-CN"/>
              </w:rPr>
              <w:t>2025</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场界噪声限值要求。施工噪声不会对周围声环境产生明显影响</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项目采取以下措施后可将施工期噪声降至最低。</w:t>
            </w:r>
          </w:p>
          <w:p w14:paraId="3D51015E">
            <w:pPr>
              <w:pStyle w:val="115"/>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设备选型上应优选低噪声设备，对动力机械设备进行定期的维修、养护。</w:t>
            </w:r>
          </w:p>
          <w:p w14:paraId="005723DF">
            <w:pPr>
              <w:pStyle w:val="115"/>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合理布局施工现场，避免在同一地点安排大量动力机械设备同时施工，以免局部声级过高；对一些施工位置相对固定的高</w:t>
            </w:r>
            <w:r>
              <w:rPr>
                <w:rFonts w:hint="default" w:ascii="Times New Roman" w:hAnsi="Times New Roman" w:eastAsia="宋体" w:cs="Times New Roman"/>
                <w:color w:val="auto"/>
                <w:sz w:val="24"/>
                <w:szCs w:val="24"/>
                <w:lang w:eastAsia="zh-CN"/>
              </w:rPr>
              <w:t>噪声</w:t>
            </w:r>
            <w:r>
              <w:rPr>
                <w:rFonts w:hint="default" w:ascii="Times New Roman" w:hAnsi="Times New Roman" w:eastAsia="宋体" w:cs="Times New Roman"/>
                <w:color w:val="auto"/>
                <w:sz w:val="24"/>
                <w:szCs w:val="24"/>
              </w:rPr>
              <w:t>施工设备，可以在棚内操作的尽量进入操作间，如木工机械、线材切割机等设备应远离厂内人群活动密集区域，必要时采取声屏障等措施。</w:t>
            </w:r>
          </w:p>
          <w:p w14:paraId="12BA8541">
            <w:pPr>
              <w:keepNext w:val="0"/>
              <w:keepLines w:val="0"/>
              <w:pageBreakBefore w:val="0"/>
              <w:widowControl w:val="0"/>
              <w:numPr>
                <w:ilvl w:val="0"/>
                <w:numId w:val="0"/>
              </w:numPr>
              <w:tabs>
                <w:tab w:val="left" w:pos="8100"/>
              </w:tabs>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加强管理</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对施工场地各机械进行合理布置，减少施工噪声对周围声环境的污染影响。对运输车辆造成的交通噪声影响</w:t>
            </w:r>
            <w:r>
              <w:rPr>
                <w:rFonts w:hint="default" w:ascii="Times New Roman" w:hAnsi="Times New Roman" w:eastAsia="宋体" w:cs="Times New Roman"/>
                <w:color w:val="auto"/>
                <w:sz w:val="24"/>
                <w:szCs w:val="24"/>
                <w:lang w:eastAsia="zh-CN"/>
              </w:rPr>
              <w:t>进行管理</w:t>
            </w:r>
            <w:r>
              <w:rPr>
                <w:rFonts w:hint="default" w:ascii="Times New Roman" w:hAnsi="Times New Roman" w:eastAsia="宋体" w:cs="Times New Roman"/>
                <w:color w:val="auto"/>
                <w:sz w:val="24"/>
                <w:szCs w:val="24"/>
              </w:rPr>
              <w:t>，运输车辆尽量采用较低声级的喇叭。</w:t>
            </w:r>
            <w:r>
              <w:rPr>
                <w:rFonts w:hint="default" w:ascii="Times New Roman" w:hAnsi="Times New Roman" w:eastAsia="宋体" w:cs="Times New Roman"/>
                <w:color w:val="auto"/>
                <w:sz w:val="24"/>
                <w:szCs w:val="24"/>
                <w:lang w:val="en-US" w:eastAsia="zh-CN"/>
              </w:rPr>
              <w:t>保证施工场界噪声满足</w:t>
            </w:r>
            <w:r>
              <w:rPr>
                <w:rFonts w:hint="default" w:ascii="Times New Roman" w:hAnsi="Times New Roman" w:eastAsia="宋体" w:cs="Times New Roman"/>
                <w:color w:val="auto"/>
                <w:sz w:val="24"/>
                <w:szCs w:val="24"/>
              </w:rPr>
              <w:t>《建筑施工噪声排放标准》</w:t>
            </w:r>
            <w:r>
              <w:rPr>
                <w:rFonts w:hint="default" w:ascii="Times New Roman" w:hAnsi="Times New Roman" w:eastAsia="宋体" w:cs="Times New Roman"/>
                <w:color w:val="auto"/>
                <w:sz w:val="24"/>
                <w:szCs w:val="24"/>
                <w:lang w:val="en-US" w:eastAsia="zh-CN"/>
              </w:rPr>
              <w:t>（GB12523-2025）标准。</w:t>
            </w:r>
          </w:p>
          <w:p w14:paraId="0B6A8601">
            <w:pPr>
              <w:keepNext w:val="0"/>
              <w:keepLines w:val="0"/>
              <w:pageBreakBefore w:val="0"/>
              <w:widowControl w:val="0"/>
              <w:numPr>
                <w:ilvl w:val="0"/>
                <w:numId w:val="0"/>
              </w:numPr>
              <w:tabs>
                <w:tab w:val="left" w:pos="8100"/>
              </w:tabs>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综上所述，由于施工期产生的噪声是</w:t>
            </w:r>
            <w:r>
              <w:rPr>
                <w:rFonts w:hint="default" w:ascii="Times New Roman" w:hAnsi="Times New Roman" w:eastAsia="宋体" w:cs="Times New Roman"/>
                <w:color w:val="auto"/>
                <w:sz w:val="24"/>
                <w:szCs w:val="24"/>
                <w:lang w:val="en-US" w:eastAsia="zh-CN"/>
              </w:rPr>
              <w:t>暂时</w:t>
            </w:r>
            <w:r>
              <w:rPr>
                <w:rFonts w:hint="default" w:ascii="Times New Roman" w:hAnsi="Times New Roman" w:eastAsia="宋体" w:cs="Times New Roman"/>
                <w:color w:val="auto"/>
                <w:sz w:val="24"/>
                <w:szCs w:val="24"/>
              </w:rPr>
              <w:t>的，随</w:t>
            </w:r>
            <w:r>
              <w:rPr>
                <w:rFonts w:hint="default" w:ascii="Times New Roman" w:hAnsi="Times New Roman" w:eastAsia="宋体" w:cs="Times New Roman"/>
                <w:color w:val="auto"/>
                <w:sz w:val="24"/>
                <w:szCs w:val="24"/>
                <w:lang w:eastAsia="zh-CN"/>
              </w:rPr>
              <w:t>着</w:t>
            </w:r>
            <w:r>
              <w:rPr>
                <w:rFonts w:hint="default" w:ascii="Times New Roman" w:hAnsi="Times New Roman" w:eastAsia="宋体" w:cs="Times New Roman"/>
                <w:color w:val="auto"/>
                <w:sz w:val="24"/>
                <w:szCs w:val="24"/>
              </w:rPr>
              <w:t>施工期</w:t>
            </w:r>
            <w:r>
              <w:rPr>
                <w:rFonts w:hint="default" w:ascii="Times New Roman" w:hAnsi="Times New Roman" w:eastAsia="宋体" w:cs="Times New Roman"/>
                <w:color w:val="auto"/>
                <w:sz w:val="24"/>
                <w:szCs w:val="24"/>
                <w:lang w:eastAsia="zh-CN"/>
              </w:rPr>
              <w:t>的</w:t>
            </w:r>
            <w:r>
              <w:rPr>
                <w:rFonts w:hint="default" w:ascii="Times New Roman" w:hAnsi="Times New Roman" w:eastAsia="宋体" w:cs="Times New Roman"/>
                <w:color w:val="auto"/>
                <w:sz w:val="24"/>
                <w:szCs w:val="24"/>
              </w:rPr>
              <w:t>结束随之消失，在采取相应的防治措施后，施工期噪声</w:t>
            </w:r>
            <w:r>
              <w:rPr>
                <w:rFonts w:hint="default" w:ascii="Times New Roman" w:hAnsi="Times New Roman" w:eastAsia="宋体" w:cs="Times New Roman"/>
                <w:color w:val="auto"/>
                <w:sz w:val="24"/>
                <w:szCs w:val="24"/>
                <w:lang w:eastAsia="zh-CN"/>
              </w:rPr>
              <w:t>对环境的影响较小。</w:t>
            </w:r>
          </w:p>
          <w:bookmarkEnd w:id="42"/>
          <w:p w14:paraId="4AC0B170">
            <w:pPr>
              <w:keepNext w:val="0"/>
              <w:keepLines w:val="0"/>
              <w:pageBreakBefore w:val="0"/>
              <w:widowControl/>
              <w:kinsoku/>
              <w:wordWrap/>
              <w:overflowPunct/>
              <w:topLinePunct w:val="0"/>
              <w:autoSpaceDE/>
              <w:autoSpaceDN/>
              <w:bidi w:val="0"/>
              <w:adjustRightInd/>
              <w:snapToGrid/>
              <w:spacing w:beforeAutospacing="0" w:afterAutospacing="0" w:line="360" w:lineRule="auto"/>
              <w:textAlignment w:val="auto"/>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lang w:val="en-US" w:eastAsia="zh-CN"/>
              </w:rPr>
              <w:t>1.4</w:t>
            </w:r>
            <w:r>
              <w:rPr>
                <w:rFonts w:hint="default" w:ascii="Times New Roman" w:hAnsi="Times New Roman" w:eastAsia="宋体" w:cs="Times New Roman"/>
                <w:b/>
                <w:color w:val="auto"/>
                <w:sz w:val="24"/>
                <w:szCs w:val="24"/>
              </w:rPr>
              <w:t>固体废物环境</w:t>
            </w:r>
            <w:r>
              <w:rPr>
                <w:rFonts w:hint="default" w:ascii="Times New Roman" w:hAnsi="Times New Roman" w:eastAsia="宋体" w:cs="Times New Roman"/>
                <w:b/>
                <w:color w:val="auto"/>
                <w:sz w:val="24"/>
                <w:szCs w:val="24"/>
                <w:lang w:eastAsia="zh-CN"/>
              </w:rPr>
              <w:t>保护措施</w:t>
            </w:r>
          </w:p>
          <w:p w14:paraId="4DCD167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color w:val="auto"/>
                <w:sz w:val="24"/>
                <w:szCs w:val="24"/>
              </w:rPr>
              <w:t>施工期</w:t>
            </w:r>
            <w:r>
              <w:rPr>
                <w:rFonts w:hint="default" w:ascii="Times New Roman" w:hAnsi="Times New Roman" w:eastAsia="宋体" w:cs="Times New Roman"/>
                <w:color w:val="auto"/>
                <w:sz w:val="24"/>
                <w:szCs w:val="24"/>
                <w:lang w:val="en-US" w:eastAsia="zh-CN"/>
              </w:rPr>
              <w:t>产生的固体废物为建筑垃圾和生活垃圾。</w:t>
            </w:r>
            <w:r>
              <w:rPr>
                <w:rFonts w:hint="default" w:ascii="Times New Roman" w:hAnsi="Times New Roman" w:eastAsia="宋体" w:cs="Times New Roman"/>
                <w:color w:val="auto"/>
                <w:sz w:val="24"/>
                <w:szCs w:val="24"/>
              </w:rPr>
              <w:t>在工程竣工以后，施工单位应拆除各种临时施工设施，并负责将工地的剩余建筑垃圾处理干净，</w:t>
            </w:r>
            <w:r>
              <w:rPr>
                <w:rFonts w:hint="default" w:ascii="Times New Roman" w:hAnsi="Times New Roman" w:eastAsia="宋体" w:cs="Times New Roman"/>
                <w:color w:val="auto"/>
                <w:sz w:val="24"/>
                <w:szCs w:val="24"/>
                <w:lang w:eastAsia="zh-CN"/>
              </w:rPr>
              <w:t>可回收利用的废旧钢材、木材回收利用，不可回收的建筑垃圾</w:t>
            </w:r>
            <w:r>
              <w:rPr>
                <w:rFonts w:hint="default" w:ascii="Times New Roman" w:hAnsi="Times New Roman" w:cs="Times New Roman"/>
                <w:color w:val="auto"/>
                <w:sz w:val="24"/>
                <w:szCs w:val="24"/>
                <w:lang w:val="en-US" w:eastAsia="zh-CN"/>
              </w:rPr>
              <w:t>由施工单位按要求清运至指定的建设垃圾堆放点</w:t>
            </w:r>
            <w:r>
              <w:rPr>
                <w:rFonts w:hint="default" w:ascii="Times New Roman" w:hAnsi="Times New Roman" w:eastAsia="宋体" w:cs="Times New Roman"/>
                <w:color w:val="auto"/>
                <w:sz w:val="24"/>
                <w:szCs w:val="24"/>
              </w:rPr>
              <w:t>，建设单位应负责督促施工单位做到</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工完、料尽、场地清”的固体废物处置清理工作</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lang w:eastAsia="zh-CN"/>
              </w:rPr>
              <w:t>施工场地设置临时</w:t>
            </w:r>
            <w:r>
              <w:rPr>
                <w:rFonts w:hint="default" w:ascii="Times New Roman" w:hAnsi="Times New Roman" w:eastAsia="宋体" w:cs="Times New Roman"/>
                <w:color w:val="auto"/>
                <w:kern w:val="0"/>
                <w:sz w:val="24"/>
                <w:szCs w:val="24"/>
                <w:lang w:val="en-US" w:eastAsia="zh-CN"/>
              </w:rPr>
              <w:t>防渗</w:t>
            </w:r>
            <w:r>
              <w:rPr>
                <w:rFonts w:hint="default" w:ascii="Times New Roman" w:hAnsi="Times New Roman" w:eastAsia="宋体" w:cs="Times New Roman"/>
                <w:color w:val="auto"/>
                <w:kern w:val="0"/>
                <w:sz w:val="24"/>
                <w:szCs w:val="24"/>
                <w:lang w:eastAsia="zh-CN"/>
              </w:rPr>
              <w:t>沉淀池，生产废水经沉淀池沉淀后循环使用，沉淀池沉渣</w:t>
            </w:r>
            <w:r>
              <w:rPr>
                <w:rFonts w:hint="default" w:ascii="Times New Roman" w:hAnsi="Times New Roman" w:eastAsia="宋体" w:cs="Times New Roman"/>
                <w:color w:val="auto"/>
                <w:sz w:val="24"/>
                <w:szCs w:val="24"/>
                <w:lang w:eastAsia="zh-CN"/>
              </w:rPr>
              <w:t>送至建筑垃圾处理中心处理</w:t>
            </w:r>
            <w:r>
              <w:rPr>
                <w:rFonts w:hint="default" w:ascii="Times New Roman" w:hAnsi="Times New Roman" w:eastAsia="宋体" w:cs="Times New Roman"/>
                <w:color w:val="auto"/>
                <w:kern w:val="0"/>
                <w:sz w:val="24"/>
                <w:szCs w:val="24"/>
                <w:lang w:val="en-US" w:eastAsia="zh-CN"/>
              </w:rPr>
              <w:t>；</w:t>
            </w:r>
            <w:r>
              <w:rPr>
                <w:rFonts w:hint="default" w:ascii="Times New Roman" w:hAnsi="Times New Roman" w:cs="Times New Roman"/>
                <w:color w:val="auto"/>
                <w:sz w:val="24"/>
                <w:szCs w:val="24"/>
                <w:lang w:val="en-US" w:eastAsia="zh-CN"/>
              </w:rPr>
              <w:t>施工人员为30人，</w:t>
            </w:r>
            <w:r>
              <w:rPr>
                <w:rFonts w:hint="eastAsia" w:cs="Times New Roman"/>
                <w:color w:val="auto"/>
                <w:sz w:val="24"/>
                <w:szCs w:val="24"/>
                <w:lang w:val="en-US" w:eastAsia="zh-CN"/>
              </w:rPr>
              <w:t>生活区设置垃圾箱，</w:t>
            </w:r>
            <w:r>
              <w:rPr>
                <w:rFonts w:hint="default" w:ascii="Times New Roman" w:hAnsi="Times New Roman" w:eastAsia="宋体" w:cs="Times New Roman"/>
                <w:color w:val="auto"/>
                <w:spacing w:val="0"/>
                <w:sz w:val="24"/>
                <w:szCs w:val="24"/>
                <w:lang w:val="en-US" w:eastAsia="zh-CN"/>
              </w:rPr>
              <w:t>及时收集清理至周边</w:t>
            </w:r>
            <w:r>
              <w:rPr>
                <w:rFonts w:hint="default" w:ascii="Times New Roman" w:hAnsi="Times New Roman" w:cs="Times New Roman"/>
                <w:color w:val="auto"/>
                <w:spacing w:val="0"/>
                <w:sz w:val="24"/>
                <w:szCs w:val="24"/>
                <w:lang w:val="en-US" w:eastAsia="zh-CN"/>
              </w:rPr>
              <w:t>村镇</w:t>
            </w:r>
            <w:r>
              <w:rPr>
                <w:rFonts w:hint="default" w:ascii="Times New Roman" w:hAnsi="Times New Roman" w:eastAsia="宋体" w:cs="Times New Roman"/>
                <w:color w:val="auto"/>
                <w:spacing w:val="0"/>
                <w:sz w:val="24"/>
                <w:szCs w:val="24"/>
                <w:lang w:val="en-US" w:eastAsia="zh-CN"/>
              </w:rPr>
              <w:t>垃圾转运站，由环卫部门集中清运处置</w:t>
            </w:r>
            <w:r>
              <w:rPr>
                <w:rFonts w:hint="default" w:ascii="Times New Roman" w:hAnsi="Times New Roman" w:eastAsia="宋体" w:cs="Times New Roman"/>
                <w:b w:val="0"/>
                <w:bCs w:val="0"/>
                <w:color w:val="auto"/>
                <w:sz w:val="24"/>
                <w:szCs w:val="24"/>
                <w:lang w:val="en-US" w:eastAsia="zh-CN"/>
              </w:rPr>
              <w:t>。</w:t>
            </w:r>
          </w:p>
          <w:p w14:paraId="29B7EA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综上，</w:t>
            </w:r>
            <w:r>
              <w:rPr>
                <w:rFonts w:hint="default" w:ascii="Times New Roman" w:hAnsi="Times New Roman" w:eastAsia="宋体" w:cs="Times New Roman"/>
                <w:color w:val="auto"/>
                <w:sz w:val="24"/>
                <w:szCs w:val="24"/>
                <w:lang w:val="en-US" w:eastAsia="zh-CN"/>
              </w:rPr>
              <w:t>本项目</w:t>
            </w:r>
            <w:r>
              <w:rPr>
                <w:rFonts w:hint="default" w:ascii="Times New Roman" w:hAnsi="Times New Roman" w:eastAsia="宋体" w:cs="Times New Roman"/>
                <w:color w:val="auto"/>
                <w:sz w:val="24"/>
                <w:szCs w:val="24"/>
              </w:rPr>
              <w:t>施工期加强管理，采取切实可行的措施，废弃物对环境的影响轻微。</w:t>
            </w:r>
          </w:p>
          <w:p w14:paraId="38E73845">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rPr>
                <w:rFonts w:hint="default" w:ascii="Times New Roman" w:hAnsi="Times New Roman" w:eastAsia="宋体" w:cs="Times New Roman"/>
                <w:b/>
                <w:color w:val="auto"/>
                <w:sz w:val="24"/>
                <w:szCs w:val="24"/>
              </w:rPr>
            </w:pPr>
            <w:r>
              <w:rPr>
                <w:rFonts w:hint="default" w:ascii="Times New Roman" w:hAnsi="Times New Roman" w:eastAsia="宋体" w:cs="Times New Roman"/>
                <w:b/>
                <w:color w:val="auto"/>
                <w:sz w:val="24"/>
                <w:szCs w:val="24"/>
                <w:lang w:val="en-US" w:eastAsia="zh-CN"/>
              </w:rPr>
              <w:t>1.</w:t>
            </w:r>
            <w:r>
              <w:rPr>
                <w:rFonts w:hint="default" w:ascii="Times New Roman" w:hAnsi="Times New Roman" w:eastAsia="宋体" w:cs="Times New Roman"/>
                <w:b/>
                <w:color w:val="auto"/>
                <w:sz w:val="24"/>
                <w:szCs w:val="24"/>
              </w:rPr>
              <w:t>5施工期生态环境保护措施</w:t>
            </w:r>
          </w:p>
          <w:p w14:paraId="1E69BF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施工期对项目区生态环境的影响主要是永久性占地，使土地使用功能发生改变，将对土壤环境造成影响，地基开挖，设施修筑及地面的平整紧压等对土壤的扰动和堆积覆盖改变和破坏了本区域原有地貌、植被和土壤结构，形成的松散堆积体和裸露地表，使土地原有的固土抗蚀能力减弱，水土流失量相应增加。本评价要求建设方采取以下生态环境影响减缓措施。</w:t>
            </w:r>
          </w:p>
          <w:p w14:paraId="306EC101">
            <w:pPr>
              <w:pStyle w:val="1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（1）植被保护措施</w:t>
            </w:r>
          </w:p>
          <w:p w14:paraId="6AE0DC17">
            <w:pPr>
              <w:pStyle w:val="1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严格开展工程施工组织规划，优先采用清洁高效的生产技术与低生态扰动的施工方式，进一步优化施工布局方案。确保施工活动均控制在项目厂区红线范围内，最大限度减少土地占用，避免对厂区外植被造成意外扰动。​</w:t>
            </w:r>
          </w:p>
          <w:p w14:paraId="29EC5FDA">
            <w:pPr>
              <w:pStyle w:val="1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加强施工人员环境保护宣传教育，重点提升对自然植被的保护意识，严禁任何单位或个人在项目施工场地外开展砍伐、破坏植被等行为。施工结束后，及时将施工期间收集的表土资源，用于项目区地绿化工程，为植被恢复与绿化植物生长提供良好土壤条件，加速生态功能修复与提升。​</w:t>
            </w:r>
          </w:p>
          <w:p w14:paraId="6B65DFBD">
            <w:pPr>
              <w:pStyle w:val="1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（2）动物保护措施</w:t>
            </w:r>
          </w:p>
          <w:p w14:paraId="53FBB383">
            <w:pPr>
              <w:pStyle w:val="1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kern w:val="2"/>
                <w:sz w:val="24"/>
                <w:szCs w:val="24"/>
                <w:lang w:val="en-US" w:eastAsia="zh-CN" w:bidi="ar-SA"/>
              </w:rPr>
              <w:t>①</w:t>
            </w:r>
            <w:r>
              <w:rPr>
                <w:rFonts w:hint="default" w:ascii="Times New Roman" w:hAnsi="Times New Roman" w:eastAsia="宋体" w:cs="Times New Roman"/>
                <w:color w:val="auto"/>
                <w:kern w:val="2"/>
                <w:sz w:val="24"/>
                <w:szCs w:val="24"/>
                <w:lang w:val="en-US" w:eastAsia="zh-CN" w:bidi="ar-SA"/>
              </w:rPr>
              <w:t>施工前对施工人员进行宣传和教育，严禁发生捕捉伤害野生动物的行为，</w:t>
            </w:r>
            <w:r>
              <w:rPr>
                <w:rFonts w:hint="default" w:ascii="Times New Roman" w:hAnsi="Times New Roman" w:cs="Times New Roman"/>
                <w:color w:val="auto"/>
                <w:kern w:val="2"/>
                <w:sz w:val="24"/>
                <w:szCs w:val="24"/>
                <w:lang w:val="en-US" w:eastAsia="zh-CN" w:bidi="ar-SA"/>
              </w:rPr>
              <w:t>增强</w:t>
            </w:r>
            <w:r>
              <w:rPr>
                <w:rFonts w:hint="default" w:ascii="Times New Roman" w:hAnsi="Times New Roman" w:eastAsia="宋体" w:cs="Times New Roman"/>
                <w:color w:val="auto"/>
                <w:kern w:val="2"/>
                <w:sz w:val="24"/>
                <w:szCs w:val="24"/>
                <w:lang w:val="en-US" w:eastAsia="zh-CN" w:bidi="ar-SA"/>
              </w:rPr>
              <w:t>保护野生动物的意识。</w:t>
            </w:r>
          </w:p>
          <w:p w14:paraId="40F47F11">
            <w:pPr>
              <w:pStyle w:val="1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kern w:val="2"/>
                <w:sz w:val="24"/>
                <w:szCs w:val="24"/>
                <w:lang w:val="en-US" w:eastAsia="zh-CN" w:bidi="ar-SA"/>
              </w:rPr>
              <w:t>②</w:t>
            </w:r>
            <w:r>
              <w:rPr>
                <w:rFonts w:hint="default" w:ascii="Times New Roman" w:hAnsi="Times New Roman" w:eastAsia="宋体" w:cs="Times New Roman"/>
                <w:color w:val="auto"/>
                <w:kern w:val="2"/>
                <w:sz w:val="24"/>
                <w:szCs w:val="24"/>
                <w:lang w:val="en-US" w:eastAsia="zh-CN" w:bidi="ar-SA"/>
              </w:rPr>
              <w:t>选用低噪声的施工设备及工艺</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在施工过程中若发现野生动物的活动，应进行避让和保护。</w:t>
            </w:r>
          </w:p>
          <w:p w14:paraId="5C99A6C6">
            <w:pPr>
              <w:pStyle w:val="1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left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（3）水土保持措施</w:t>
            </w:r>
          </w:p>
          <w:p w14:paraId="358CAEFB">
            <w:pPr>
              <w:pStyle w:val="1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做好本项目的施工组织规划工作，尽量采取清洁和高效的生产技术及减少生态环境破坏的施工方式，并且优化施工布局，明确工程可能扰动和破坏的范围，要做到少占地，现场施工机械和人员活动范围严格限制在作业带范围内，工程所需的填方由挖方解决，所需砂、砾石料由当地现有商业料场购买，不设专门土料场及砂、砾石料场，以避免各分散施工场地的弃土随意堆放；施工作业结束后，结合水土保持方案做好施工迹地的恢复。施工期间对临时堆土采取防尘网苫盖、编织袋装土拦挡措施，对施工扰动产生扬尘采取洒水降尘措施，施工结束后对本项目未硬化区域进行土地平整。</w:t>
            </w:r>
          </w:p>
          <w:p w14:paraId="2892DA22">
            <w:pPr>
              <w:pStyle w:val="10"/>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本项目表土剥离和再利用过程需严格按照《表土剥离及其再利用技术要求》（GB/T45107-2024）中涉及的技术要求进行。</w:t>
            </w:r>
          </w:p>
          <w:p w14:paraId="391012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综上，本项目施工期历时短、影响小，在采取各项污染保护措施后，对周围环境影响较小，待施工期结束后，施工阶段产生的影响因素也随之消失，不会对周围环境造成持续性不利影响，整体环境影响可控制在可接受的范围内。</w:t>
            </w:r>
          </w:p>
          <w:p w14:paraId="558B69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4"/>
                <w:lang w:val="en-US" w:eastAsia="zh-CN" w:bidi="ar-SA"/>
              </w:rPr>
            </w:pPr>
          </w:p>
          <w:p w14:paraId="5210B74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4"/>
                <w:lang w:val="en-US" w:eastAsia="zh-CN" w:bidi="ar-SA"/>
              </w:rPr>
            </w:pPr>
          </w:p>
          <w:p w14:paraId="54402D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4"/>
                <w:lang w:val="en-US" w:eastAsia="zh-CN" w:bidi="ar-SA"/>
              </w:rPr>
            </w:pPr>
          </w:p>
          <w:p w14:paraId="010D73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4"/>
                <w:lang w:val="en-US" w:eastAsia="zh-CN" w:bidi="ar-SA"/>
              </w:rPr>
            </w:pPr>
          </w:p>
          <w:p w14:paraId="10A2D9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4"/>
                <w:lang w:val="en-US" w:eastAsia="zh-CN" w:bidi="ar-SA"/>
              </w:rPr>
            </w:pPr>
          </w:p>
          <w:p w14:paraId="3A37AC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4"/>
                <w:lang w:val="en-US" w:eastAsia="zh-CN" w:bidi="ar-SA"/>
              </w:rPr>
            </w:pPr>
          </w:p>
          <w:p w14:paraId="79CC22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4"/>
                <w:lang w:val="en-US" w:eastAsia="zh-CN" w:bidi="ar-SA"/>
              </w:rPr>
            </w:pPr>
          </w:p>
          <w:p w14:paraId="509BB8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4"/>
                <w:lang w:val="en-US" w:eastAsia="zh-CN" w:bidi="ar-SA"/>
              </w:rPr>
            </w:pPr>
          </w:p>
          <w:p w14:paraId="66E076A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lang w:val="en-US" w:eastAsia="zh-CN" w:bidi="ar-SA"/>
              </w:rPr>
            </w:pPr>
          </w:p>
          <w:p w14:paraId="03DED05D">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lang w:val="en-US" w:eastAsia="zh-CN" w:bidi="ar-SA"/>
              </w:rPr>
            </w:pPr>
          </w:p>
          <w:p w14:paraId="05F7F143">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lang w:val="en-US" w:eastAsia="zh-CN" w:bidi="ar-SA"/>
              </w:rPr>
            </w:pPr>
          </w:p>
          <w:p w14:paraId="7ADA108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lang w:val="en-US" w:eastAsia="zh-CN" w:bidi="ar-SA"/>
              </w:rPr>
            </w:pPr>
          </w:p>
          <w:p w14:paraId="0875432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auto"/>
                <w:kern w:val="0"/>
                <w:sz w:val="24"/>
                <w:szCs w:val="24"/>
                <w:lang w:val="en-US" w:eastAsia="zh-CN" w:bidi="ar-SA"/>
              </w:rPr>
            </w:pPr>
          </w:p>
        </w:tc>
      </w:tr>
      <w:tr w14:paraId="57D331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3052" w:hRule="atLeast"/>
          <w:jc w:val="center"/>
        </w:trPr>
        <w:tc>
          <w:tcPr>
            <w:tcW w:w="672" w:type="dxa"/>
            <w:noWrap w:val="0"/>
            <w:tcMar>
              <w:left w:w="28" w:type="dxa"/>
              <w:right w:w="28" w:type="dxa"/>
            </w:tcMar>
            <w:vAlign w:val="center"/>
          </w:tcPr>
          <w:p w14:paraId="71B5407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789096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878452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C2621A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2F5ADA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6A9468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EEA9F1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D588E3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130987D">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7381C4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5B248B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30777D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DCD3F7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00A763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34C74E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03B2DCD">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258311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运营</w:t>
            </w:r>
          </w:p>
          <w:p w14:paraId="2509168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期环</w:t>
            </w:r>
          </w:p>
          <w:p w14:paraId="26B10D9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境影</w:t>
            </w:r>
          </w:p>
          <w:p w14:paraId="172CF2B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响和</w:t>
            </w:r>
          </w:p>
          <w:p w14:paraId="1DB1CF6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保护</w:t>
            </w:r>
          </w:p>
          <w:p w14:paraId="7E30779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措施</w:t>
            </w:r>
          </w:p>
          <w:p w14:paraId="1BA7AB3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CFA60B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9BBA61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650C46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B54B88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00AD4A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07F3DA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64190D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4E7AAE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B3ABC8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731A4B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ABE147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6EA783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6B13B4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1E19D3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962E03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774654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69907D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796C94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0C3156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EFB9D9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9D48FD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2A012D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1BE6AE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285088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4B47F8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2164A2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E1C79F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568CD4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9D2B3F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15CBB0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097CAF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22C312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C8A428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0E0D38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106168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0CD440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03BB2E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98A74E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BA86CC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F3439B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052640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2A4B3F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88CE04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BB46C0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lang w:val="en-US" w:eastAsia="zh-CN"/>
              </w:rPr>
              <w:t>运营</w:t>
            </w:r>
            <w:r>
              <w:rPr>
                <w:rFonts w:hint="default" w:ascii="Times New Roman" w:hAnsi="Times New Roman" w:eastAsia="宋体" w:cs="Times New Roman"/>
                <w:bCs/>
                <w:color w:val="auto"/>
                <w:spacing w:val="0"/>
                <w:sz w:val="24"/>
                <w:szCs w:val="24"/>
              </w:rPr>
              <w:t>期环</w:t>
            </w:r>
          </w:p>
          <w:p w14:paraId="4C16C45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境影</w:t>
            </w:r>
          </w:p>
          <w:p w14:paraId="46D1D57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响和</w:t>
            </w:r>
          </w:p>
          <w:p w14:paraId="73AE11D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保护</w:t>
            </w:r>
          </w:p>
          <w:p w14:paraId="157A0BB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措施</w:t>
            </w:r>
          </w:p>
          <w:p w14:paraId="3F7781D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855300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B6974E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98C76C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9E418B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18829E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6BEE16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DD9A2A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A21C5D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C78779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42FBE1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D65C72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85FB0F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5C4C6F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A69BFA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8EB183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9F0555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D93AF8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921332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6AA3B0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639A80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E99BC8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9ACB2D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1BE9BB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4AF515D">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87E972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3C863A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CECC11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B8C32F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1999A2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2AC585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C29302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4C6D18D">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7D3156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865B96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EE8F85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66F4DBD">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C7A950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9008B6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01301D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8CF5BA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35C4E5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12104A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883A4A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839DB5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5D3E0F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E6385A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A8A1DD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D721D6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16E712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运营</w:t>
            </w:r>
          </w:p>
          <w:p w14:paraId="7CA53AE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期环</w:t>
            </w:r>
          </w:p>
          <w:p w14:paraId="04A4E27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境影</w:t>
            </w:r>
          </w:p>
          <w:p w14:paraId="7899AFE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响和</w:t>
            </w:r>
          </w:p>
          <w:p w14:paraId="4FD484E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保护</w:t>
            </w:r>
          </w:p>
          <w:p w14:paraId="551AD62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措施</w:t>
            </w:r>
          </w:p>
          <w:p w14:paraId="27185C4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D7A3F0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5CDB61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9430E7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DC93A2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CBF179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572D31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4C4107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0AFA95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FD0DDA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65C97C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02A3B7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061404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1AD7FD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647B48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3B158F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C97FC4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66605E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932596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0C66C2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B0A414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941B16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40FD8D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94FB34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33AB28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A13A99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CD212CD">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运营</w:t>
            </w:r>
          </w:p>
          <w:p w14:paraId="4891E82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期环</w:t>
            </w:r>
          </w:p>
          <w:p w14:paraId="28BCE84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境影</w:t>
            </w:r>
          </w:p>
          <w:p w14:paraId="50B55A3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响和</w:t>
            </w:r>
          </w:p>
          <w:p w14:paraId="608CA46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保护</w:t>
            </w:r>
          </w:p>
          <w:p w14:paraId="33C6FEF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措施</w:t>
            </w:r>
          </w:p>
          <w:p w14:paraId="31A257B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883143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81816F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4318E3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58D89C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707063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6E132A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01A96BD">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5B7240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ADBF16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D06BFB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B312D1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1AAC8B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DF812C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7A47AC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36B9CC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A17917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F86ECB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744BB7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742EE9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9D7CEB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503C16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F18392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8AF328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9535C0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0BE4C6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FD5EA2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A97680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AD33C0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C3C785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7C48D4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F27701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5F7BC2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3CAA9F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0F2639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DB4118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运营</w:t>
            </w:r>
          </w:p>
          <w:p w14:paraId="7D9410D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期环</w:t>
            </w:r>
          </w:p>
          <w:p w14:paraId="6D7DB5B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境影</w:t>
            </w:r>
          </w:p>
          <w:p w14:paraId="58EB139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响和</w:t>
            </w:r>
          </w:p>
          <w:p w14:paraId="72CF13A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保护</w:t>
            </w:r>
          </w:p>
          <w:p w14:paraId="18F6715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措施</w:t>
            </w:r>
          </w:p>
          <w:p w14:paraId="3174893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2AAF45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5C1914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79B602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6B2E0B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37BA53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0B02EFD">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FE96F1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838342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18E145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71438A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9971F6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4DA7C0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ADDB3D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8E8F02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1579D5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362D6A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BAD02B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BDAEE0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3C8E7E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B6B46F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C205EB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3B932A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7A5C1E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6C656D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2A4936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E0219C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0907E1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C26543D">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4120B1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53E2A6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0608BF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2FB470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21BF32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70D84B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2B158E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013BE8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7099B5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4104A2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9ED974D">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129A14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运营</w:t>
            </w:r>
          </w:p>
          <w:p w14:paraId="47299D0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期环</w:t>
            </w:r>
          </w:p>
          <w:p w14:paraId="4219A13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境影</w:t>
            </w:r>
          </w:p>
          <w:p w14:paraId="5218784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响和</w:t>
            </w:r>
          </w:p>
          <w:p w14:paraId="7DF2063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保护</w:t>
            </w:r>
          </w:p>
          <w:p w14:paraId="3A8B631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措施</w:t>
            </w:r>
          </w:p>
          <w:p w14:paraId="3390508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5E9951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31D96B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FEEAC6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5E7BA4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71F8A7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64042A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DDA4AB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C45352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0DFBDB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598EF8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4E7A29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CF773B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F655F3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EC2F95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BC0678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9531BA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6CF8F7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F073E7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634FD9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7806F4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247610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4A24D3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6DA5A4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C3C1B9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E1BBB2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A6D205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779819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7F424B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C0F515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EDE4FF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F2C89E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BB1F54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B01AD0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4819BE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C43ED3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1A80D8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868AE4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EB36BB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BC0E46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F05B4D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5BFE0D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99A780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3A8932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BDC06C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C678BF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运营</w:t>
            </w:r>
          </w:p>
          <w:p w14:paraId="2527888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期环</w:t>
            </w:r>
          </w:p>
          <w:p w14:paraId="7431409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境影</w:t>
            </w:r>
          </w:p>
          <w:p w14:paraId="727341C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响和</w:t>
            </w:r>
          </w:p>
          <w:p w14:paraId="7129C5B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保护</w:t>
            </w:r>
          </w:p>
          <w:p w14:paraId="1C6FB03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措施</w:t>
            </w:r>
          </w:p>
          <w:p w14:paraId="1D2B361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83D30C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DFBBCA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08DD80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CDE5D8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6448ED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B832F1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89A827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497692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FC46DB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A96D2C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4D7E87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E0DF77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D8AC38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E0ED72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952169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D0B178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8AC17D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028754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CBEF3A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773023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C42014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4B515C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738634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2BCBD0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FC602C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BE6884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1EA945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E583D1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5E2FB5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751E26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751D33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EB7567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8F2350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DCE042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453506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1232A6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运营</w:t>
            </w:r>
          </w:p>
          <w:p w14:paraId="006B82F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期环</w:t>
            </w:r>
          </w:p>
          <w:p w14:paraId="0682185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境影</w:t>
            </w:r>
          </w:p>
          <w:p w14:paraId="6476B55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响和</w:t>
            </w:r>
          </w:p>
          <w:p w14:paraId="1741C5D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保护</w:t>
            </w:r>
          </w:p>
          <w:p w14:paraId="767C784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措施</w:t>
            </w:r>
          </w:p>
          <w:p w14:paraId="74705FC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F1C5C4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6B11B1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CEE32C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3C5EDD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9FCB14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661EB9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5EF002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A8BB01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6A16A4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4EB5FF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C68E41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079FD6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219F6F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13F594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213D3A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2A1014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368665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DCD4B7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ECD48A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94078C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2FA96A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9FF28D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28A6B7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286DB0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F53BFB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D0A875B">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022290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1AD9F0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3B284C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80DD95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78312C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E6747E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4319C7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C9FDE9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086FC7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FA917F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B97C03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运营</w:t>
            </w:r>
          </w:p>
          <w:p w14:paraId="46DC603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期环</w:t>
            </w:r>
          </w:p>
          <w:p w14:paraId="6AF0873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境影</w:t>
            </w:r>
          </w:p>
          <w:p w14:paraId="2B432B4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响和</w:t>
            </w:r>
          </w:p>
          <w:p w14:paraId="4C53A16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保护</w:t>
            </w:r>
          </w:p>
          <w:p w14:paraId="709E89A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措施</w:t>
            </w:r>
          </w:p>
          <w:p w14:paraId="71B0EAD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672F62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E4E14C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B0AC0B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9FB20AD">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3F27B9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9656FA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C2B118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432E4C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573D35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5CEA8F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A1E8D6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91642F3">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42149E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4B02BE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0E9DB1C">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73C1DB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7DB933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3D2DAF4">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1E24C3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48109D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DB13DD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B6D657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E23499F">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2CE5A99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9EE02B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28F869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ADBDA2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6DBF3CF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723806FD">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E316C7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A6F482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03D25AF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7D8FD69">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5D099794">
            <w:pPr>
              <w:keepNext w:val="0"/>
              <w:keepLines w:val="0"/>
              <w:pageBreakBefore w:val="0"/>
              <w:kinsoku/>
              <w:wordWrap/>
              <w:overflowPunct/>
              <w:bidi w:val="0"/>
              <w:adjustRightInd/>
              <w:snapToGrid/>
              <w:jc w:val="both"/>
              <w:rPr>
                <w:rFonts w:hint="default" w:ascii="Times New Roman" w:hAnsi="Times New Roman" w:eastAsia="宋体" w:cs="Times New Roman"/>
                <w:bCs/>
                <w:color w:val="auto"/>
                <w:spacing w:val="0"/>
                <w:sz w:val="24"/>
                <w:szCs w:val="24"/>
              </w:rPr>
            </w:pPr>
          </w:p>
          <w:p w14:paraId="167BE24A">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70BCE0E">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4F31E5E1">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1661AFF2">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p>
          <w:p w14:paraId="355D5D08">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运营</w:t>
            </w:r>
          </w:p>
          <w:p w14:paraId="4EC3D1BD">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期环</w:t>
            </w:r>
          </w:p>
          <w:p w14:paraId="54E33D86">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境影</w:t>
            </w:r>
          </w:p>
          <w:p w14:paraId="16ABC7D7">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响和</w:t>
            </w:r>
          </w:p>
          <w:p w14:paraId="157EFDD0">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rPr>
            </w:pPr>
            <w:r>
              <w:rPr>
                <w:rFonts w:hint="default" w:ascii="Times New Roman" w:hAnsi="Times New Roman" w:eastAsia="宋体" w:cs="Times New Roman"/>
                <w:bCs/>
                <w:color w:val="auto"/>
                <w:spacing w:val="0"/>
                <w:sz w:val="24"/>
                <w:szCs w:val="24"/>
              </w:rPr>
              <w:t>保护</w:t>
            </w:r>
          </w:p>
          <w:p w14:paraId="7E9FB1E5">
            <w:pPr>
              <w:keepNext w:val="0"/>
              <w:keepLines w:val="0"/>
              <w:pageBreakBefore w:val="0"/>
              <w:kinsoku/>
              <w:wordWrap/>
              <w:overflowPunct/>
              <w:bidi w:val="0"/>
              <w:adjustRightInd/>
              <w:snapToGrid/>
              <w:jc w:val="center"/>
              <w:rPr>
                <w:rFonts w:hint="default" w:ascii="Times New Roman" w:hAnsi="Times New Roman" w:eastAsia="宋体" w:cs="Times New Roman"/>
                <w:bCs/>
                <w:color w:val="auto"/>
                <w:spacing w:val="0"/>
                <w:sz w:val="24"/>
                <w:szCs w:val="24"/>
                <w:lang w:val="en-US" w:eastAsia="zh-CN"/>
              </w:rPr>
            </w:pPr>
            <w:r>
              <w:rPr>
                <w:rFonts w:hint="default" w:ascii="Times New Roman" w:hAnsi="Times New Roman" w:eastAsia="宋体" w:cs="Times New Roman"/>
                <w:bCs/>
                <w:color w:val="auto"/>
                <w:spacing w:val="0"/>
                <w:sz w:val="24"/>
                <w:szCs w:val="24"/>
              </w:rPr>
              <w:t>措施</w:t>
            </w:r>
          </w:p>
        </w:tc>
        <w:tc>
          <w:tcPr>
            <w:tcW w:w="8277" w:type="dxa"/>
            <w:noWrap w:val="0"/>
            <w:vAlign w:val="top"/>
          </w:tcPr>
          <w:p w14:paraId="26CBE9B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2营运</w:t>
            </w:r>
            <w:r>
              <w:rPr>
                <w:rFonts w:hint="default" w:ascii="Times New Roman" w:hAnsi="Times New Roman" w:eastAsia="宋体" w:cs="Times New Roman"/>
                <w:b/>
                <w:bCs/>
                <w:color w:val="auto"/>
                <w:sz w:val="24"/>
                <w:szCs w:val="24"/>
                <w:lang w:val="en-US" w:eastAsia="zh-CN"/>
              </w:rPr>
              <w:t>期环境保护措施</w:t>
            </w:r>
          </w:p>
          <w:p w14:paraId="370F4299">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pacing w:val="0"/>
                <w:sz w:val="24"/>
                <w:szCs w:val="24"/>
                <w:lang w:eastAsia="zh-CN"/>
              </w:rPr>
            </w:pPr>
            <w:r>
              <w:rPr>
                <w:rFonts w:hint="default" w:ascii="Times New Roman" w:hAnsi="Times New Roman" w:eastAsia="宋体" w:cs="Times New Roman"/>
                <w:b/>
                <w:color w:val="auto"/>
                <w:spacing w:val="0"/>
                <w:sz w:val="24"/>
                <w:szCs w:val="24"/>
                <w:lang w:val="en-US" w:eastAsia="zh-CN"/>
              </w:rPr>
              <w:t>2.</w:t>
            </w:r>
            <w:r>
              <w:rPr>
                <w:rFonts w:hint="default" w:ascii="Times New Roman" w:hAnsi="Times New Roman" w:cs="Times New Roman"/>
                <w:b/>
                <w:color w:val="auto"/>
                <w:spacing w:val="0"/>
                <w:sz w:val="24"/>
                <w:szCs w:val="24"/>
                <w:lang w:val="en-US" w:eastAsia="zh-CN"/>
              </w:rPr>
              <w:t>1</w:t>
            </w:r>
            <w:r>
              <w:rPr>
                <w:rFonts w:hint="default" w:ascii="Times New Roman" w:hAnsi="Times New Roman" w:eastAsia="宋体" w:cs="Times New Roman"/>
                <w:b/>
                <w:color w:val="auto"/>
                <w:spacing w:val="0"/>
                <w:sz w:val="24"/>
                <w:szCs w:val="24"/>
                <w:lang w:val="en-US" w:eastAsia="zh-CN"/>
              </w:rPr>
              <w:t>运营期废气环境</w:t>
            </w:r>
            <w:r>
              <w:rPr>
                <w:rFonts w:hint="default" w:ascii="Times New Roman" w:hAnsi="Times New Roman" w:eastAsia="宋体" w:cs="Times New Roman"/>
                <w:b/>
                <w:bCs/>
                <w:color w:val="auto"/>
                <w:spacing w:val="0"/>
                <w:sz w:val="24"/>
                <w:szCs w:val="24"/>
                <w:lang w:eastAsia="zh-CN"/>
              </w:rPr>
              <w:t>保护措施</w:t>
            </w:r>
          </w:p>
          <w:p w14:paraId="3BAA1DA1">
            <w:pPr>
              <w:pStyle w:val="6"/>
              <w:keepNext w:val="0"/>
              <w:keepLines w:val="0"/>
              <w:pageBreakBefore w:val="0"/>
              <w:widowControl w:val="0"/>
              <w:kinsoku/>
              <w:wordWrap/>
              <w:overflowPunct/>
              <w:topLinePunct w:val="0"/>
              <w:autoSpaceDE/>
              <w:autoSpaceDN/>
              <w:bidi w:val="0"/>
              <w:adjustRightInd/>
              <w:snapToGrid/>
              <w:spacing w:line="360" w:lineRule="auto"/>
              <w:ind w:left="0" w:leftChars="0" w:right="0" w:firstLine="0" w:firstLineChars="0"/>
              <w:textAlignment w:val="baseline"/>
              <w:rPr>
                <w:rFonts w:hint="default" w:ascii="Times New Roman" w:hAnsi="Times New Roman" w:eastAsia="宋体" w:cs="Times New Roman"/>
                <w:b/>
                <w:color w:val="auto"/>
                <w:spacing w:val="0"/>
                <w:sz w:val="24"/>
                <w:szCs w:val="24"/>
                <w:lang w:eastAsia="zh-CN"/>
              </w:rPr>
            </w:pPr>
            <w:r>
              <w:rPr>
                <w:rFonts w:hint="default" w:ascii="Times New Roman" w:hAnsi="Times New Roman" w:eastAsia="宋体" w:cs="Times New Roman"/>
                <w:b/>
                <w:color w:val="auto"/>
                <w:spacing w:val="0"/>
                <w:sz w:val="24"/>
                <w:szCs w:val="24"/>
                <w:lang w:val="en-US" w:eastAsia="zh-CN"/>
              </w:rPr>
              <w:t>2.1</w:t>
            </w:r>
            <w:r>
              <w:rPr>
                <w:rFonts w:hint="default" w:ascii="Times New Roman" w:hAnsi="Times New Roman" w:cs="Times New Roman"/>
                <w:b/>
                <w:color w:val="auto"/>
                <w:spacing w:val="0"/>
                <w:sz w:val="24"/>
                <w:szCs w:val="24"/>
                <w:lang w:val="en-US" w:eastAsia="zh-CN"/>
              </w:rPr>
              <w:t>.1</w:t>
            </w:r>
            <w:r>
              <w:rPr>
                <w:rFonts w:hint="default" w:ascii="Times New Roman" w:hAnsi="Times New Roman" w:eastAsia="宋体" w:cs="Times New Roman"/>
                <w:b/>
                <w:color w:val="auto"/>
                <w:spacing w:val="0"/>
                <w:sz w:val="24"/>
                <w:szCs w:val="24"/>
                <w:lang w:eastAsia="zh-CN"/>
              </w:rPr>
              <w:t>正常工况废气污</w:t>
            </w:r>
            <w:r>
              <w:rPr>
                <w:rFonts w:hint="default" w:ascii="Times New Roman" w:hAnsi="Times New Roman" w:eastAsia="宋体" w:cs="Times New Roman"/>
                <w:b/>
                <w:color w:val="auto"/>
                <w:spacing w:val="0"/>
                <w:sz w:val="24"/>
                <w:szCs w:val="24"/>
                <w:lang w:val="en-US" w:eastAsia="zh-CN"/>
              </w:rPr>
              <w:t>染源</w:t>
            </w:r>
            <w:r>
              <w:rPr>
                <w:rFonts w:hint="default" w:ascii="Times New Roman" w:hAnsi="Times New Roman" w:eastAsia="宋体" w:cs="Times New Roman"/>
                <w:b/>
                <w:color w:val="auto"/>
                <w:spacing w:val="0"/>
                <w:sz w:val="24"/>
                <w:szCs w:val="24"/>
                <w:lang w:eastAsia="zh-CN"/>
              </w:rPr>
              <w:t>源强核算</w:t>
            </w:r>
          </w:p>
          <w:p w14:paraId="5B0AAB6F">
            <w:pPr>
              <w:pStyle w:val="124"/>
              <w:pageBreakBefore w:val="0"/>
              <w:kinsoku/>
              <w:wordWrap/>
              <w:topLinePunct w:val="0"/>
              <w:bidi w:val="0"/>
              <w:adjustRightInd/>
              <w:snapToGrid/>
              <w:spacing w:beforeAutospacing="0" w:afterAutospacing="0" w:line="360" w:lineRule="auto"/>
              <w:ind w:firstLine="48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本项目废气主要包括</w:t>
            </w:r>
            <w:r>
              <w:rPr>
                <w:rFonts w:hint="default" w:ascii="Times New Roman" w:hAnsi="Times New Roman" w:cs="Times New Roman"/>
                <w:color w:val="auto"/>
                <w:sz w:val="24"/>
                <w:szCs w:val="24"/>
                <w:lang w:val="en-US" w:eastAsia="zh-CN"/>
              </w:rPr>
              <w:t>煤气</w:t>
            </w:r>
            <w:r>
              <w:rPr>
                <w:rFonts w:hint="default" w:ascii="Times New Roman" w:hAnsi="Times New Roman" w:eastAsia="宋体" w:cs="Times New Roman"/>
                <w:color w:val="auto"/>
                <w:sz w:val="24"/>
                <w:szCs w:val="24"/>
                <w:lang w:val="en-US" w:eastAsia="zh-CN"/>
              </w:rPr>
              <w:t>燃料燃烧烟气</w:t>
            </w:r>
            <w:r>
              <w:rPr>
                <w:rFonts w:hint="default" w:ascii="Times New Roman" w:hAnsi="Times New Roman" w:cs="Times New Roman"/>
                <w:color w:val="auto"/>
                <w:sz w:val="24"/>
                <w:szCs w:val="24"/>
                <w:lang w:val="en-US" w:eastAsia="zh-CN"/>
              </w:rPr>
              <w:t>、氨逃逸和</w:t>
            </w:r>
            <w:r>
              <w:rPr>
                <w:rFonts w:hint="default" w:ascii="Times New Roman" w:hAnsi="Times New Roman" w:eastAsia="宋体" w:cs="Times New Roman"/>
                <w:color w:val="auto"/>
                <w:sz w:val="24"/>
                <w:szCs w:val="24"/>
                <w:lang w:val="en-US" w:eastAsia="zh-CN"/>
              </w:rPr>
              <w:t>石灰石</w:t>
            </w:r>
            <w:r>
              <w:rPr>
                <w:rFonts w:hint="default" w:ascii="Times New Roman" w:hAnsi="Times New Roman" w:cs="Times New Roman"/>
                <w:color w:val="auto"/>
                <w:sz w:val="24"/>
                <w:szCs w:val="24"/>
                <w:lang w:val="en-US" w:eastAsia="zh-CN"/>
              </w:rPr>
              <w:t>粉投料</w:t>
            </w:r>
            <w:r>
              <w:rPr>
                <w:rFonts w:hint="default" w:ascii="Times New Roman" w:hAnsi="Times New Roman" w:eastAsia="宋体" w:cs="Times New Roman"/>
                <w:color w:val="auto"/>
                <w:sz w:val="24"/>
                <w:szCs w:val="24"/>
                <w:lang w:val="en-US" w:eastAsia="zh-CN"/>
              </w:rPr>
              <w:t>产生的粉尘。</w:t>
            </w:r>
          </w:p>
          <w:p w14:paraId="3ECE9236">
            <w:pPr>
              <w:pStyle w:val="124"/>
              <w:pageBreakBefore w:val="0"/>
              <w:kinsoku/>
              <w:wordWrap/>
              <w:topLinePunct w:val="0"/>
              <w:bidi w:val="0"/>
              <w:adjustRightInd/>
              <w:snapToGrid/>
              <w:spacing w:beforeAutospacing="0" w:afterAutospacing="0" w:line="360" w:lineRule="auto"/>
              <w:ind w:firstLine="48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w:t>
            </w:r>
            <w:r>
              <w:rPr>
                <w:rFonts w:hint="default" w:ascii="Times New Roman" w:hAnsi="Times New Roman" w:cs="Times New Roman"/>
                <w:color w:val="auto"/>
                <w:sz w:val="24"/>
                <w:szCs w:val="24"/>
                <w:lang w:val="en-US" w:eastAsia="zh-CN"/>
              </w:rPr>
              <w:t>煤气</w:t>
            </w:r>
            <w:r>
              <w:rPr>
                <w:rFonts w:hint="default" w:ascii="Times New Roman" w:hAnsi="Times New Roman" w:eastAsia="宋体" w:cs="Times New Roman"/>
                <w:color w:val="auto"/>
                <w:sz w:val="24"/>
                <w:szCs w:val="24"/>
                <w:lang w:val="en-US" w:eastAsia="zh-CN"/>
              </w:rPr>
              <w:t>燃料燃烧烟气</w:t>
            </w:r>
          </w:p>
          <w:p w14:paraId="5BF7FE5A">
            <w:pPr>
              <w:pStyle w:val="124"/>
              <w:pageBreakBefore w:val="0"/>
              <w:kinsoku/>
              <w:wordWrap/>
              <w:topLinePunct w:val="0"/>
              <w:bidi w:val="0"/>
              <w:adjustRightInd/>
              <w:snapToGrid/>
              <w:spacing w:beforeAutospacing="0" w:afterAutospacing="0" w:line="360" w:lineRule="auto"/>
              <w:ind w:firstLine="480"/>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①烟气量和颗粒物</w:t>
            </w:r>
          </w:p>
          <w:p w14:paraId="1512A6ED">
            <w:pPr>
              <w:pStyle w:val="124"/>
              <w:pageBreakBefore w:val="0"/>
              <w:kinsoku/>
              <w:wordWrap/>
              <w:topLinePunct w:val="0"/>
              <w:bidi w:val="0"/>
              <w:adjustRightInd/>
              <w:snapToGrid/>
              <w:spacing w:beforeAutospacing="0" w:afterAutospacing="0" w:line="360" w:lineRule="auto"/>
              <w:ind w:firstLine="480"/>
              <w:jc w:val="both"/>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根据设计文件</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本项目</w:t>
            </w:r>
            <w:r>
              <w:rPr>
                <w:rFonts w:hint="default" w:ascii="Times New Roman" w:hAnsi="Times New Roman" w:cs="Times New Roman"/>
                <w:color w:val="auto"/>
                <w:sz w:val="24"/>
                <w:szCs w:val="24"/>
                <w:vertAlign w:val="baseline"/>
                <w:lang w:val="en-US" w:eastAsia="zh-CN"/>
              </w:rPr>
              <w:t>煤气</w:t>
            </w:r>
            <w:r>
              <w:rPr>
                <w:rFonts w:hint="default" w:ascii="Times New Roman" w:hAnsi="Times New Roman" w:eastAsia="宋体" w:cs="Times New Roman"/>
                <w:color w:val="auto"/>
                <w:sz w:val="24"/>
                <w:szCs w:val="24"/>
                <w:lang w:val="en-US" w:eastAsia="zh-CN"/>
              </w:rPr>
              <w:t>燃气量</w:t>
            </w:r>
            <w:r>
              <w:rPr>
                <w:rFonts w:hint="default" w:ascii="Times New Roman" w:hAnsi="Times New Roman" w:cs="Times New Roman"/>
                <w:color w:val="auto"/>
              </w:rPr>
              <w:t>85540</w:t>
            </w:r>
            <w:r>
              <w:rPr>
                <w:rFonts w:hint="default" w:ascii="Times New Roman" w:hAnsi="Times New Roman" w:eastAsia="宋体" w:cs="Times New Roman"/>
                <w:color w:val="auto"/>
                <w:sz w:val="24"/>
                <w:szCs w:val="24"/>
                <w:lang w:val="en-US" w:eastAsia="zh-CN"/>
              </w:rPr>
              <w:t>Nm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/h，生产时长为8000h，</w:t>
            </w:r>
            <w:r>
              <w:rPr>
                <w:rFonts w:hint="default" w:ascii="Times New Roman" w:hAnsi="Times New Roman" w:cs="Times New Roman"/>
                <w:color w:val="auto"/>
                <w:sz w:val="24"/>
                <w:szCs w:val="24"/>
                <w:lang w:val="en-US" w:eastAsia="zh-CN"/>
              </w:rPr>
              <w:t>煤气</w:t>
            </w:r>
            <w:r>
              <w:rPr>
                <w:rFonts w:hint="default" w:ascii="Times New Roman" w:hAnsi="Times New Roman" w:eastAsia="宋体" w:cs="Times New Roman"/>
                <w:color w:val="auto"/>
                <w:sz w:val="24"/>
                <w:szCs w:val="24"/>
                <w:lang w:val="en-US" w:eastAsia="zh-CN"/>
              </w:rPr>
              <w:t>年用量为68432</w:t>
            </w:r>
            <w:r>
              <w:rPr>
                <w:rFonts w:hint="default" w:ascii="Times New Roman" w:hAnsi="Times New Roman" w:cs="Times New Roman"/>
                <w:color w:val="auto"/>
                <w:sz w:val="24"/>
                <w:szCs w:val="24"/>
                <w:lang w:val="en-US" w:eastAsia="zh-CN"/>
              </w:rPr>
              <w:t>万</w:t>
            </w:r>
            <w:r>
              <w:rPr>
                <w:rFonts w:hint="default" w:ascii="Times New Roman" w:hAnsi="Times New Roman" w:eastAsia="宋体" w:cs="Times New Roman"/>
                <w:color w:val="auto"/>
                <w:sz w:val="24"/>
                <w:szCs w:val="24"/>
                <w:lang w:val="en-US" w:eastAsia="zh-CN"/>
              </w:rPr>
              <w:t>Nm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w:t>
            </w:r>
            <w:r>
              <w:rPr>
                <w:rFonts w:hint="default" w:ascii="Times New Roman" w:hAnsi="Times New Roman" w:cs="Times New Roman"/>
                <w:color w:val="auto"/>
                <w:sz w:val="24"/>
                <w:szCs w:val="24"/>
                <w:lang w:val="en-US" w:eastAsia="zh-CN"/>
              </w:rPr>
              <w:t>a</w:t>
            </w:r>
            <w:r>
              <w:rPr>
                <w:rFonts w:hint="default" w:ascii="Times New Roman" w:hAnsi="Times New Roman" w:eastAsia="宋体" w:cs="Times New Roman"/>
                <w:color w:val="auto"/>
                <w:sz w:val="24"/>
                <w:szCs w:val="24"/>
                <w:lang w:val="en-US" w:eastAsia="zh-CN"/>
              </w:rPr>
              <w:t>。参考《排放源统计调查产排污核算方法和系数手册》（环境部公告2021年第24号）中4411火力发电、4412热电联产行业系数手册，焦炉煤气工业废气量为5.69标m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-原料，颗粒物产污系数为103.90mg/m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-原料，</w:t>
            </w:r>
            <w:r>
              <w:rPr>
                <w:rFonts w:hint="default" w:ascii="Times New Roman" w:hAnsi="Times New Roman" w:cs="Times New Roman"/>
                <w:color w:val="auto"/>
                <w:sz w:val="24"/>
                <w:szCs w:val="24"/>
                <w:lang w:val="en-US" w:eastAsia="zh-CN"/>
              </w:rPr>
              <w:t>经计算本项</w:t>
            </w:r>
            <w:r>
              <w:rPr>
                <w:rFonts w:hint="default" w:ascii="Times New Roman" w:hAnsi="Times New Roman" w:eastAsia="宋体" w:cs="Times New Roman"/>
                <w:color w:val="auto"/>
                <w:sz w:val="24"/>
                <w:szCs w:val="24"/>
                <w:lang w:val="en-US" w:eastAsia="zh-CN"/>
              </w:rPr>
              <w:t>目烟气排放量为</w:t>
            </w:r>
            <w:r>
              <w:rPr>
                <w:rFonts w:hint="default" w:ascii="Times New Roman" w:hAnsi="Times New Roman" w:cs="Times New Roman"/>
                <w:color w:val="auto"/>
                <w:sz w:val="24"/>
                <w:szCs w:val="24"/>
                <w:lang w:val="en-US" w:eastAsia="zh-CN"/>
              </w:rPr>
              <w:t>486723</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w:t>
            </w:r>
            <w:r>
              <w:rPr>
                <w:rFonts w:hint="default" w:ascii="Times New Roman" w:hAnsi="Times New Roman" w:cs="Times New Roman"/>
                <w:color w:val="auto"/>
                <w:sz w:val="24"/>
                <w:szCs w:val="24"/>
                <w:lang w:val="en-US" w:eastAsia="zh-CN"/>
              </w:rPr>
              <w:t>h</w:t>
            </w:r>
            <w:r>
              <w:rPr>
                <w:rFonts w:hint="default" w:ascii="Times New Roman" w:hAnsi="Times New Roman" w:eastAsia="宋体" w:cs="Times New Roman"/>
                <w:color w:val="auto"/>
                <w:sz w:val="24"/>
                <w:szCs w:val="24"/>
                <w:lang w:val="en-US" w:eastAsia="zh-CN"/>
              </w:rPr>
              <w:t>，颗粒物产生量为</w:t>
            </w:r>
            <w:r>
              <w:rPr>
                <w:rFonts w:hint="default" w:ascii="Times New Roman" w:hAnsi="Times New Roman" w:cs="Times New Roman"/>
                <w:color w:val="auto"/>
                <w:sz w:val="24"/>
                <w:szCs w:val="24"/>
                <w:lang w:val="en-US" w:eastAsia="zh-CN"/>
              </w:rPr>
              <w:t>71.101t/a</w:t>
            </w:r>
            <w:r>
              <w:rPr>
                <w:rFonts w:hint="default" w:ascii="Times New Roman" w:hAnsi="Times New Roman" w:eastAsia="宋体" w:cs="Times New Roman"/>
                <w:color w:val="auto"/>
                <w:sz w:val="24"/>
                <w:szCs w:val="24"/>
                <w:lang w:val="en-US" w:eastAsia="zh-CN"/>
              </w:rPr>
              <w:t>。</w:t>
            </w:r>
          </w:p>
          <w:p w14:paraId="4EFF019D">
            <w:pPr>
              <w:pStyle w:val="124"/>
              <w:pageBreakBefore w:val="0"/>
              <w:kinsoku/>
              <w:wordWrap/>
              <w:topLinePunct w:val="0"/>
              <w:bidi w:val="0"/>
              <w:adjustRightInd/>
              <w:snapToGrid/>
              <w:spacing w:beforeAutospacing="0" w:afterAutospacing="0" w:line="360" w:lineRule="auto"/>
              <w:ind w:firstLine="480"/>
              <w:jc w:val="both"/>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②二氧化硫</w:t>
            </w:r>
          </w:p>
          <w:p w14:paraId="16611DAA">
            <w:pPr>
              <w:pStyle w:val="124"/>
              <w:pageBreakBefore w:val="0"/>
              <w:kinsoku/>
              <w:wordWrap/>
              <w:topLinePunct w:val="0"/>
              <w:bidi w:val="0"/>
              <w:adjustRightInd/>
              <w:snapToGrid/>
              <w:spacing w:beforeAutospacing="0" w:afterAutospacing="0" w:line="360" w:lineRule="auto"/>
              <w:ind w:firstLine="480"/>
              <w:jc w:val="both"/>
              <w:rPr>
                <w:rFonts w:hint="default" w:ascii="Times New Roman" w:hAnsi="Times New Roman" w:cs="Times New Roman"/>
                <w:color w:val="auto"/>
                <w:sz w:val="24"/>
                <w:szCs w:val="24"/>
                <w:vertAlign w:val="baseline"/>
                <w:lang w:val="en-US" w:eastAsia="zh-CN"/>
              </w:rPr>
            </w:pPr>
            <w:r>
              <w:rPr>
                <w:rFonts w:hint="default" w:ascii="Times New Roman" w:hAnsi="Times New Roman" w:eastAsia="宋体" w:cs="Times New Roman"/>
                <w:color w:val="auto"/>
                <w:sz w:val="24"/>
                <w:szCs w:val="24"/>
                <w:lang w:val="en-US" w:eastAsia="zh-CN"/>
              </w:rPr>
              <w:t>根据</w:t>
            </w:r>
            <w:r>
              <w:rPr>
                <w:rFonts w:hint="default" w:ascii="Times New Roman" w:hAnsi="Times New Roman" w:cs="Times New Roman"/>
                <w:color w:val="auto"/>
                <w:sz w:val="24"/>
                <w:szCs w:val="24"/>
                <w:lang w:val="en-US" w:eastAsia="zh-CN"/>
              </w:rPr>
              <w:t>本项目拟使用的煤气成分分析结果</w:t>
            </w:r>
            <w:r>
              <w:rPr>
                <w:rFonts w:hint="default" w:ascii="Times New Roman" w:hAnsi="Times New Roman" w:eastAsia="宋体" w:cs="Times New Roman"/>
                <w:color w:val="auto"/>
                <w:sz w:val="24"/>
                <w:szCs w:val="24"/>
                <w:lang w:val="en-US" w:eastAsia="zh-CN"/>
              </w:rPr>
              <w:t>，煤气中</w:t>
            </w:r>
            <w:r>
              <w:rPr>
                <w:rFonts w:hint="default" w:ascii="Times New Roman" w:hAnsi="Times New Roman" w:cs="Times New Roman"/>
                <w:color w:val="auto"/>
                <w:sz w:val="24"/>
                <w:szCs w:val="24"/>
                <w:lang w:val="en-US" w:eastAsia="zh-CN"/>
              </w:rPr>
              <w:t>硫化氢</w:t>
            </w:r>
            <w:r>
              <w:rPr>
                <w:rFonts w:hint="default" w:ascii="Times New Roman" w:hAnsi="Times New Roman" w:eastAsia="宋体" w:cs="Times New Roman"/>
                <w:color w:val="auto"/>
                <w:sz w:val="24"/>
                <w:szCs w:val="24"/>
                <w:lang w:val="en-US" w:eastAsia="zh-CN"/>
              </w:rPr>
              <w:t>平均浓度为516.07mg/Nm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vertAlign w:val="baseline"/>
                <w:lang w:val="en-US" w:eastAsia="zh-CN"/>
              </w:rPr>
              <w:t>。</w:t>
            </w:r>
            <w:r>
              <w:rPr>
                <w:rFonts w:hint="default" w:ascii="Times New Roman" w:hAnsi="Times New Roman" w:cs="Times New Roman"/>
                <w:color w:val="auto"/>
                <w:sz w:val="24"/>
                <w:szCs w:val="24"/>
                <w:vertAlign w:val="baseline"/>
                <w:lang w:val="en-US" w:eastAsia="zh-CN"/>
              </w:rPr>
              <w:t>硫化氢完全燃烧生产二氧化硫的理论质量化学反应式如下：</w:t>
            </w:r>
          </w:p>
          <w:p w14:paraId="32E21976">
            <w:pPr>
              <w:pStyle w:val="124"/>
              <w:keepNext w:val="0"/>
              <w:keepLines w:val="0"/>
              <w:pageBreakBefore w:val="0"/>
              <w:widowControl/>
              <w:kinsoku/>
              <w:wordWrap/>
              <w:overflowPunct/>
              <w:topLinePunct w:val="0"/>
              <w:autoSpaceDE/>
              <w:autoSpaceDN/>
              <w:bidi w:val="0"/>
              <w:adjustRightInd/>
              <w:snapToGrid/>
              <w:spacing w:beforeAutospacing="0" w:afterAutospacing="0" w:line="360" w:lineRule="auto"/>
              <w:ind w:firstLine="0" w:firstLineChars="0"/>
              <w:jc w:val="center"/>
              <w:textAlignment w:val="auto"/>
              <w:rPr>
                <w:rFonts w:hint="default" w:ascii="Times New Roman" w:hAnsi="Times New Roman" w:cs="Times New Roman"/>
                <w:color w:val="auto"/>
                <w:sz w:val="24"/>
                <w:szCs w:val="24"/>
                <w:vertAlign w:val="baseline"/>
                <w:lang w:val="en-US" w:eastAsia="zh-CN"/>
              </w:rPr>
            </w:pPr>
            <w:r>
              <w:rPr>
                <w:rFonts w:hint="default" w:ascii="Times New Roman" w:hAnsi="Times New Roman" w:cs="Times New Roman"/>
                <w:color w:val="auto"/>
                <w:sz w:val="24"/>
                <w:szCs w:val="24"/>
                <w:vertAlign w:val="baseline"/>
                <w:lang w:val="en-US" w:eastAsia="zh-CN"/>
              </w:rPr>
              <w:t>2H</w:t>
            </w:r>
            <w:r>
              <w:rPr>
                <w:rFonts w:hint="default" w:ascii="Times New Roman" w:hAnsi="Times New Roman" w:cs="Times New Roman"/>
                <w:color w:val="auto"/>
                <w:sz w:val="24"/>
                <w:szCs w:val="24"/>
                <w:vertAlign w:val="subscript"/>
                <w:lang w:val="en-US" w:eastAsia="zh-CN"/>
              </w:rPr>
              <w:t>2</w:t>
            </w:r>
            <w:r>
              <w:rPr>
                <w:rFonts w:hint="default" w:ascii="Times New Roman" w:hAnsi="Times New Roman" w:cs="Times New Roman"/>
                <w:color w:val="auto"/>
                <w:sz w:val="24"/>
                <w:szCs w:val="24"/>
                <w:vertAlign w:val="baseline"/>
                <w:lang w:val="en-US" w:eastAsia="zh-CN"/>
              </w:rPr>
              <w:t>S+3O</w:t>
            </w:r>
            <w:r>
              <w:rPr>
                <w:rFonts w:hint="default" w:ascii="Times New Roman" w:hAnsi="Times New Roman" w:cs="Times New Roman"/>
                <w:color w:val="auto"/>
                <w:sz w:val="24"/>
                <w:szCs w:val="24"/>
                <w:vertAlign w:val="subscript"/>
                <w:lang w:val="en-US" w:eastAsia="zh-CN"/>
              </w:rPr>
              <w:t>2</w:t>
            </w:r>
            <w:r>
              <w:rPr>
                <w:rFonts w:hint="default" w:ascii="Times New Roman" w:hAnsi="Times New Roman" w:cs="Times New Roman"/>
                <w:color w:val="auto"/>
                <w:sz w:val="24"/>
                <w:szCs w:val="24"/>
                <w:vertAlign w:val="baseline"/>
                <w:lang w:val="en-US" w:eastAsia="zh-CN"/>
              </w:rPr>
              <w:t>=2SO</w:t>
            </w:r>
            <w:r>
              <w:rPr>
                <w:rFonts w:hint="default" w:ascii="Times New Roman" w:hAnsi="Times New Roman" w:cs="Times New Roman"/>
                <w:color w:val="auto"/>
                <w:sz w:val="24"/>
                <w:szCs w:val="24"/>
                <w:vertAlign w:val="subscript"/>
                <w:lang w:val="en-US" w:eastAsia="zh-CN"/>
              </w:rPr>
              <w:t>2</w:t>
            </w:r>
            <w:r>
              <w:rPr>
                <w:rFonts w:hint="default" w:ascii="Times New Roman" w:hAnsi="Times New Roman" w:cs="Times New Roman"/>
                <w:color w:val="auto"/>
                <w:sz w:val="24"/>
                <w:szCs w:val="24"/>
                <w:vertAlign w:val="baseline"/>
                <w:lang w:val="en-US" w:eastAsia="zh-CN"/>
              </w:rPr>
              <w:t>+2H</w:t>
            </w:r>
            <w:r>
              <w:rPr>
                <w:rFonts w:hint="default" w:ascii="Times New Roman" w:hAnsi="Times New Roman" w:cs="Times New Roman"/>
                <w:color w:val="auto"/>
                <w:sz w:val="24"/>
                <w:szCs w:val="24"/>
                <w:vertAlign w:val="subscript"/>
                <w:lang w:val="en-US" w:eastAsia="zh-CN"/>
              </w:rPr>
              <w:t>2</w:t>
            </w:r>
            <w:r>
              <w:rPr>
                <w:rFonts w:hint="default" w:ascii="Times New Roman" w:hAnsi="Times New Roman" w:cs="Times New Roman"/>
                <w:color w:val="auto"/>
                <w:sz w:val="24"/>
                <w:szCs w:val="24"/>
                <w:vertAlign w:val="baseline"/>
                <w:lang w:val="en-US" w:eastAsia="zh-CN"/>
              </w:rPr>
              <w:t>O</w:t>
            </w:r>
          </w:p>
          <w:p w14:paraId="70D6C999">
            <w:pPr>
              <w:pStyle w:val="124"/>
              <w:pageBreakBefore w:val="0"/>
              <w:kinsoku/>
              <w:wordWrap/>
              <w:topLinePunct w:val="0"/>
              <w:bidi w:val="0"/>
              <w:adjustRightInd/>
              <w:snapToGrid/>
              <w:spacing w:beforeAutospacing="0" w:afterAutospacing="0" w:line="360" w:lineRule="auto"/>
              <w:ind w:firstLine="480"/>
              <w:jc w:val="both"/>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经计算本项目二氧化</w:t>
            </w:r>
            <w:r>
              <w:rPr>
                <w:rFonts w:hint="default" w:ascii="Times New Roman" w:hAnsi="Times New Roman" w:cs="Times New Roman"/>
                <w:color w:val="auto"/>
                <w:sz w:val="24"/>
                <w:szCs w:val="24"/>
                <w:lang w:val="en-US" w:eastAsia="zh-CN"/>
              </w:rPr>
              <w:t>硫</w:t>
            </w:r>
            <w:r>
              <w:rPr>
                <w:rFonts w:hint="default" w:ascii="Times New Roman" w:hAnsi="Times New Roman" w:eastAsia="宋体" w:cs="Times New Roman"/>
                <w:color w:val="auto"/>
                <w:sz w:val="24"/>
                <w:szCs w:val="24"/>
                <w:lang w:val="en-US" w:eastAsia="zh-CN"/>
              </w:rPr>
              <w:t>产生量为664.76</w:t>
            </w:r>
            <w:r>
              <w:rPr>
                <w:rFonts w:hint="default" w:ascii="Times New Roman" w:hAnsi="Times New Roman" w:cs="Times New Roman"/>
                <w:color w:val="auto"/>
                <w:sz w:val="24"/>
                <w:szCs w:val="24"/>
                <w:lang w:val="en-US" w:eastAsia="zh-CN"/>
              </w:rPr>
              <w:t>9</w:t>
            </w:r>
            <w:r>
              <w:rPr>
                <w:rFonts w:hint="default" w:ascii="Times New Roman" w:hAnsi="Times New Roman" w:eastAsia="宋体" w:cs="Times New Roman"/>
                <w:color w:val="auto"/>
                <w:sz w:val="24"/>
                <w:szCs w:val="24"/>
                <w:lang w:val="en-US" w:eastAsia="zh-CN"/>
              </w:rPr>
              <w:t>t/a。</w:t>
            </w:r>
          </w:p>
          <w:p w14:paraId="71A60C9E">
            <w:pPr>
              <w:pStyle w:val="124"/>
              <w:pageBreakBefore w:val="0"/>
              <w:kinsoku/>
              <w:wordWrap/>
              <w:topLinePunct w:val="0"/>
              <w:bidi w:val="0"/>
              <w:adjustRightInd/>
              <w:snapToGrid/>
              <w:spacing w:beforeAutospacing="0" w:afterAutospacing="0" w:line="360" w:lineRule="auto"/>
              <w:ind w:firstLine="480"/>
              <w:jc w:val="both"/>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③氮氧化物</w:t>
            </w:r>
          </w:p>
          <w:p w14:paraId="57263063">
            <w:pPr>
              <w:pStyle w:val="124"/>
              <w:pageBreakBefore w:val="0"/>
              <w:kinsoku/>
              <w:wordWrap/>
              <w:topLinePunct w:val="0"/>
              <w:bidi w:val="0"/>
              <w:adjustRightInd/>
              <w:snapToGrid/>
              <w:spacing w:beforeAutospacing="0" w:afterAutospacing="0" w:line="360" w:lineRule="auto"/>
              <w:ind w:firstLine="480"/>
              <w:jc w:val="both"/>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drawing>
                <wp:anchor distT="0" distB="0" distL="0" distR="0" simplePos="0" relativeHeight="251662336" behindDoc="0" locked="0" layoutInCell="1" allowOverlap="1">
                  <wp:simplePos x="0" y="0"/>
                  <wp:positionH relativeFrom="column">
                    <wp:posOffset>1360170</wp:posOffset>
                  </wp:positionH>
                  <wp:positionV relativeFrom="paragraph">
                    <wp:posOffset>698500</wp:posOffset>
                  </wp:positionV>
                  <wp:extent cx="2057400" cy="343535"/>
                  <wp:effectExtent l="0" t="0" r="0" b="18415"/>
                  <wp:wrapTopAndBottom/>
                  <wp:docPr id="2" name="IM 28"/>
                  <wp:cNvGraphicFramePr/>
                  <a:graphic xmlns:a="http://schemas.openxmlformats.org/drawingml/2006/main">
                    <a:graphicData uri="http://schemas.openxmlformats.org/drawingml/2006/picture">
                      <pic:pic xmlns:pic="http://schemas.openxmlformats.org/drawingml/2006/picture">
                        <pic:nvPicPr>
                          <pic:cNvPr id="2" name="IM 28"/>
                          <pic:cNvPicPr/>
                        </pic:nvPicPr>
                        <pic:blipFill>
                          <a:blip r:embed="rId22"/>
                          <a:stretch>
                            <a:fillRect/>
                          </a:stretch>
                        </pic:blipFill>
                        <pic:spPr>
                          <a:xfrm>
                            <a:off x="0" y="0"/>
                            <a:ext cx="2057400" cy="344043"/>
                          </a:xfrm>
                          <a:prstGeom prst="rect">
                            <a:avLst/>
                          </a:prstGeom>
                        </pic:spPr>
                      </pic:pic>
                    </a:graphicData>
                  </a:graphic>
                </wp:anchor>
              </w:drawing>
            </w:r>
            <w:r>
              <w:rPr>
                <w:rFonts w:hint="default" w:ascii="Times New Roman" w:hAnsi="Times New Roman" w:cs="Times New Roman"/>
                <w:color w:val="auto"/>
                <w:sz w:val="24"/>
                <w:szCs w:val="24"/>
                <w:lang w:val="en-US" w:eastAsia="zh-CN"/>
              </w:rPr>
              <w:t>本项目</w:t>
            </w:r>
            <w:r>
              <w:rPr>
                <w:rFonts w:hint="default" w:ascii="Times New Roman" w:hAnsi="Times New Roman" w:eastAsia="宋体" w:cs="Times New Roman"/>
                <w:color w:val="auto"/>
                <w:sz w:val="24"/>
                <w:szCs w:val="24"/>
                <w:lang w:val="en-US" w:eastAsia="zh-CN"/>
              </w:rPr>
              <w:t>氮氧化物排放量按《污染源源强核算技术指南火电》（HJ888-2018）式（4）进行计算：</w:t>
            </w:r>
          </w:p>
          <w:p w14:paraId="6C8C63B8">
            <w:pPr>
              <w:pStyle w:val="109"/>
              <w:keepNext w:val="0"/>
              <w:keepLines w:val="0"/>
              <w:pageBreakBefore w:val="0"/>
              <w:widowControl w:val="0"/>
              <w:kinsoku/>
              <w:wordWrap/>
              <w:overflowPunct/>
              <w:topLinePunct w:val="0"/>
              <w:autoSpaceDE/>
              <w:autoSpaceDN/>
              <w:bidi w:val="0"/>
              <w:adjustRightInd/>
              <w:snapToGrid/>
              <w:spacing w:line="360" w:lineRule="auto"/>
              <w:ind w:left="594" w:firstLine="480" w:firstLineChars="200"/>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式中：MNO</w:t>
            </w:r>
            <w:r>
              <w:rPr>
                <w:rFonts w:hint="default" w:ascii="Times New Roman" w:hAnsi="Times New Roman" w:eastAsia="宋体" w:cs="Times New Roman"/>
                <w:color w:val="auto"/>
                <w:kern w:val="0"/>
                <w:sz w:val="24"/>
                <w:szCs w:val="24"/>
                <w:vertAlign w:val="subscript"/>
                <w:lang w:val="en-US" w:eastAsia="zh-CN" w:bidi="ar-SA"/>
              </w:rPr>
              <w:t>X</w:t>
            </w:r>
            <w:r>
              <w:rPr>
                <w:rFonts w:hint="default" w:ascii="Times New Roman" w:hAnsi="Times New Roman" w:eastAsia="宋体" w:cs="Times New Roman"/>
                <w:color w:val="auto"/>
                <w:kern w:val="0"/>
                <w:sz w:val="24"/>
                <w:szCs w:val="24"/>
                <w:lang w:val="en-US" w:eastAsia="zh-CN" w:bidi="ar-SA"/>
              </w:rPr>
              <w:t>——核算时段内NO</w:t>
            </w:r>
            <w:r>
              <w:rPr>
                <w:rFonts w:hint="default" w:ascii="Times New Roman" w:hAnsi="Times New Roman" w:eastAsia="宋体" w:cs="Times New Roman"/>
                <w:color w:val="auto"/>
                <w:kern w:val="0"/>
                <w:sz w:val="24"/>
                <w:szCs w:val="24"/>
                <w:vertAlign w:val="subscript"/>
                <w:lang w:val="en-US" w:eastAsia="zh-CN" w:bidi="ar-SA"/>
              </w:rPr>
              <w:t>X</w:t>
            </w:r>
            <w:r>
              <w:rPr>
                <w:rFonts w:hint="default" w:ascii="Times New Roman" w:hAnsi="Times New Roman" w:eastAsia="宋体" w:cs="Times New Roman"/>
                <w:color w:val="auto"/>
                <w:kern w:val="0"/>
                <w:sz w:val="24"/>
                <w:szCs w:val="24"/>
                <w:lang w:val="en-US" w:eastAsia="zh-CN" w:bidi="ar-SA"/>
              </w:rPr>
              <w:t>排放量，t/a；</w:t>
            </w:r>
          </w:p>
          <w:p w14:paraId="5654FDF1">
            <w:pPr>
              <w:pStyle w:val="10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ρNO</w:t>
            </w:r>
            <w:r>
              <w:rPr>
                <w:rFonts w:hint="default" w:ascii="Times New Roman" w:hAnsi="Times New Roman" w:eastAsia="宋体" w:cs="Times New Roman"/>
                <w:color w:val="auto"/>
                <w:kern w:val="0"/>
                <w:sz w:val="24"/>
                <w:szCs w:val="24"/>
                <w:vertAlign w:val="subscript"/>
                <w:lang w:val="en-US" w:eastAsia="zh-CN" w:bidi="ar-SA"/>
              </w:rPr>
              <w:t>X</w:t>
            </w:r>
            <w:r>
              <w:rPr>
                <w:rFonts w:hint="default" w:ascii="Times New Roman" w:hAnsi="Times New Roman" w:eastAsia="宋体" w:cs="Times New Roman"/>
                <w:color w:val="auto"/>
                <w:kern w:val="0"/>
                <w:sz w:val="24"/>
                <w:szCs w:val="24"/>
                <w:lang w:val="en-US" w:eastAsia="zh-CN" w:bidi="ar-SA"/>
              </w:rPr>
              <w:t>——锅炉炉膛出口NOx排放质量浓度，根据设计资料，锅炉出口NOx排放浓度低于</w:t>
            </w:r>
            <w:r>
              <w:rPr>
                <w:rFonts w:hint="default" w:ascii="Times New Roman" w:hAnsi="Times New Roman" w:cs="Times New Roman"/>
                <w:color w:val="auto"/>
                <w:kern w:val="0"/>
                <w:sz w:val="24"/>
                <w:szCs w:val="24"/>
                <w:lang w:val="en-US" w:eastAsia="zh-CN" w:bidi="ar-SA"/>
              </w:rPr>
              <w:t>100</w:t>
            </w:r>
            <w:r>
              <w:rPr>
                <w:rFonts w:hint="default" w:ascii="Times New Roman" w:hAnsi="Times New Roman" w:eastAsia="宋体" w:cs="Times New Roman"/>
                <w:color w:val="auto"/>
                <w:kern w:val="0"/>
                <w:sz w:val="24"/>
                <w:szCs w:val="24"/>
                <w:lang w:val="en-US" w:eastAsia="zh-CN" w:bidi="ar-SA"/>
              </w:rPr>
              <w:t>mg/m</w:t>
            </w:r>
            <w:r>
              <w:rPr>
                <w:rFonts w:hint="default" w:ascii="Times New Roman" w:hAnsi="Times New Roman" w:eastAsia="宋体" w:cs="Times New Roman"/>
                <w:color w:val="auto"/>
                <w:kern w:val="0"/>
                <w:sz w:val="24"/>
                <w:szCs w:val="24"/>
                <w:vertAlign w:val="superscript"/>
                <w:lang w:val="en-US" w:eastAsia="zh-CN" w:bidi="ar-SA"/>
              </w:rPr>
              <w:t>3</w:t>
            </w:r>
            <w:r>
              <w:rPr>
                <w:rFonts w:hint="default" w:ascii="Times New Roman" w:hAnsi="Times New Roman" w:eastAsia="宋体" w:cs="Times New Roman"/>
                <w:color w:val="auto"/>
                <w:kern w:val="0"/>
                <w:sz w:val="24"/>
                <w:szCs w:val="24"/>
                <w:lang w:val="en-US" w:eastAsia="zh-CN" w:bidi="ar-SA"/>
              </w:rPr>
              <w:t>；</w:t>
            </w:r>
          </w:p>
          <w:p w14:paraId="28DBC0CE">
            <w:pPr>
              <w:pStyle w:val="10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宋体" w:cs="Times New Roman"/>
                <w:color w:val="auto"/>
                <w:kern w:val="0"/>
                <w:sz w:val="24"/>
                <w:szCs w:val="24"/>
                <w:lang w:val="en-US" w:eastAsia="zh-CN" w:bidi="ar-SA"/>
              </w:rPr>
              <w:t>Vg——核算时段内标态干烟气排放量，</w:t>
            </w:r>
            <w:r>
              <w:rPr>
                <w:rFonts w:hint="default" w:ascii="Times New Roman" w:hAnsi="Times New Roman" w:cs="Times New Roman"/>
                <w:color w:val="auto"/>
                <w:kern w:val="0"/>
                <w:sz w:val="24"/>
                <w:szCs w:val="24"/>
                <w:lang w:val="en-US" w:eastAsia="zh-CN" w:bidi="ar-SA"/>
              </w:rPr>
              <w:t>486723</w:t>
            </w:r>
            <w:r>
              <w:rPr>
                <w:rFonts w:hint="default" w:ascii="Times New Roman" w:hAnsi="Times New Roman" w:eastAsia="宋体" w:cs="Times New Roman"/>
                <w:color w:val="auto"/>
                <w:kern w:val="0"/>
                <w:sz w:val="24"/>
                <w:szCs w:val="24"/>
                <w:lang w:val="en-US" w:eastAsia="zh-CN" w:bidi="ar-SA"/>
              </w:rPr>
              <w:t>m</w:t>
            </w:r>
            <w:r>
              <w:rPr>
                <w:rFonts w:hint="default" w:ascii="Times New Roman" w:hAnsi="Times New Roman" w:eastAsia="宋体" w:cs="Times New Roman"/>
                <w:color w:val="auto"/>
                <w:kern w:val="0"/>
                <w:sz w:val="24"/>
                <w:szCs w:val="24"/>
                <w:vertAlign w:val="superscript"/>
                <w:lang w:val="en-US" w:eastAsia="zh-CN" w:bidi="ar-SA"/>
              </w:rPr>
              <w:t>3</w:t>
            </w:r>
            <w:r>
              <w:rPr>
                <w:rFonts w:hint="default" w:ascii="Times New Roman" w:hAnsi="Times New Roman" w:cs="Times New Roman"/>
                <w:color w:val="auto"/>
                <w:kern w:val="0"/>
                <w:sz w:val="24"/>
                <w:szCs w:val="24"/>
                <w:vertAlign w:val="baseline"/>
                <w:lang w:val="en-US" w:eastAsia="zh-CN" w:bidi="ar-SA"/>
              </w:rPr>
              <w:t>/h</w:t>
            </w:r>
            <w:r>
              <w:rPr>
                <w:rFonts w:hint="default" w:ascii="Times New Roman" w:hAnsi="Times New Roman" w:eastAsia="宋体" w:cs="Times New Roman"/>
                <w:color w:val="auto"/>
                <w:kern w:val="0"/>
                <w:sz w:val="24"/>
                <w:szCs w:val="24"/>
                <w:lang w:val="en-US" w:eastAsia="zh-CN" w:bidi="ar-SA"/>
              </w:rPr>
              <w:t>；</w:t>
            </w:r>
            <w:r>
              <w:rPr>
                <w:rFonts w:hint="default" w:ascii="Times New Roman" w:hAnsi="Times New Roman" w:cs="Times New Roman"/>
                <w:color w:val="auto"/>
                <w:kern w:val="0"/>
                <w:sz w:val="24"/>
                <w:szCs w:val="24"/>
                <w:lang w:val="en-US" w:eastAsia="zh-CN" w:bidi="ar-SA"/>
              </w:rPr>
              <w:t>脱硝效率80</w:t>
            </w:r>
            <w:r>
              <w:rPr>
                <w:rFonts w:hint="default" w:ascii="Times New Roman" w:hAnsi="Times New Roman" w:eastAsia="宋体" w:cs="Times New Roman"/>
                <w:color w:val="auto"/>
                <w:kern w:val="0"/>
                <w:sz w:val="24"/>
                <w:szCs w:val="24"/>
                <w:lang w:val="en-US" w:eastAsia="zh-CN" w:bidi="ar-SA"/>
              </w:rPr>
              <w:t>%。</w:t>
            </w:r>
          </w:p>
          <w:p w14:paraId="45B40060">
            <w:pPr>
              <w:pStyle w:val="109"/>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cs="Times New Roman"/>
                <w:color w:val="auto"/>
                <w:kern w:val="0"/>
                <w:sz w:val="24"/>
                <w:szCs w:val="24"/>
                <w:lang w:val="en-US" w:eastAsia="zh-CN" w:bidi="ar-SA"/>
              </w:rPr>
              <w:t>经计算本项目烟气燃烧氮氧化物</w:t>
            </w:r>
            <w:r>
              <w:rPr>
                <w:rFonts w:hint="default" w:ascii="Times New Roman" w:hAnsi="Times New Roman" w:eastAsia="宋体" w:cs="Times New Roman"/>
                <w:color w:val="auto"/>
                <w:kern w:val="0"/>
                <w:sz w:val="24"/>
                <w:szCs w:val="24"/>
                <w:lang w:val="en-US" w:eastAsia="zh-CN" w:bidi="ar-SA"/>
              </w:rPr>
              <w:t>产生量为</w:t>
            </w:r>
            <w:r>
              <w:rPr>
                <w:rFonts w:hint="default" w:ascii="Times New Roman" w:hAnsi="Times New Roman" w:cs="Times New Roman"/>
                <w:color w:val="auto"/>
                <w:kern w:val="0"/>
                <w:sz w:val="24"/>
                <w:szCs w:val="24"/>
                <w:lang w:val="en-US" w:eastAsia="zh-CN" w:bidi="ar-SA"/>
              </w:rPr>
              <w:t>389.378</w:t>
            </w:r>
            <w:r>
              <w:rPr>
                <w:rFonts w:hint="default" w:ascii="Times New Roman" w:hAnsi="Times New Roman" w:eastAsia="宋体" w:cs="Times New Roman"/>
                <w:color w:val="auto"/>
                <w:kern w:val="0"/>
                <w:sz w:val="24"/>
                <w:szCs w:val="24"/>
                <w:lang w:val="en-US" w:eastAsia="zh-CN" w:bidi="ar-SA"/>
              </w:rPr>
              <w:t>t/a；</w:t>
            </w:r>
          </w:p>
          <w:p w14:paraId="273B951D">
            <w:pPr>
              <w:pStyle w:val="79"/>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default" w:ascii="Times New Roman" w:hAnsi="Times New Roman" w:eastAsia="宋体" w:cs="Times New Roman"/>
                <w:snapToGrid w:val="0"/>
                <w:color w:val="auto"/>
                <w:kern w:val="0"/>
                <w:sz w:val="24"/>
                <w:szCs w:val="24"/>
                <w:highlight w:val="none"/>
                <w:lang w:val="en-US" w:eastAsia="zh-CN"/>
              </w:rPr>
            </w:pPr>
            <w:r>
              <w:rPr>
                <w:rFonts w:hint="default" w:ascii="Times New Roman" w:hAnsi="Times New Roman" w:eastAsia="宋体" w:cs="Times New Roman"/>
                <w:snapToGrid w:val="0"/>
                <w:color w:val="auto"/>
                <w:kern w:val="0"/>
                <w:sz w:val="24"/>
                <w:szCs w:val="24"/>
                <w:highlight w:val="none"/>
                <w:lang w:val="en-US" w:eastAsia="zh-CN"/>
              </w:rPr>
              <w:t>本项目烟气先进行</w:t>
            </w:r>
            <w:r>
              <w:rPr>
                <w:rFonts w:hint="default" w:ascii="Times New Roman" w:hAnsi="Times New Roman" w:cs="Times New Roman"/>
                <w:snapToGrid w:val="0"/>
                <w:color w:val="auto"/>
                <w:kern w:val="0"/>
                <w:sz w:val="24"/>
                <w:szCs w:val="24"/>
                <w:highlight w:val="none"/>
                <w:lang w:val="en-US" w:eastAsia="zh-CN"/>
              </w:rPr>
              <w:t>低氮燃烧器+</w:t>
            </w:r>
            <w:r>
              <w:rPr>
                <w:rFonts w:hint="default" w:ascii="Times New Roman" w:hAnsi="Times New Roman" w:eastAsia="宋体" w:cs="Times New Roman"/>
                <w:snapToGrid w:val="0"/>
                <w:color w:val="auto"/>
                <w:kern w:val="0"/>
                <w:sz w:val="24"/>
                <w:szCs w:val="24"/>
                <w:highlight w:val="none"/>
                <w:lang w:val="en-US" w:eastAsia="zh-CN"/>
              </w:rPr>
              <w:t>SCR脱硝，</w:t>
            </w:r>
            <w:r>
              <w:rPr>
                <w:rFonts w:hint="default" w:ascii="Times New Roman" w:hAnsi="Times New Roman" w:eastAsia="宋体" w:cs="Times New Roman"/>
                <w:b w:val="0"/>
                <w:bCs/>
                <w:snapToGrid w:val="0"/>
                <w:color w:val="auto"/>
                <w:kern w:val="0"/>
                <w:sz w:val="24"/>
                <w:szCs w:val="24"/>
                <w:highlight w:val="none"/>
                <w:vertAlign w:val="baseline"/>
                <w:lang w:val="en-US" w:eastAsia="zh-CN"/>
              </w:rPr>
              <w:t>选择性催化还原</w:t>
            </w:r>
            <w:r>
              <w:rPr>
                <w:rFonts w:hint="default" w:ascii="Times New Roman" w:hAnsi="Times New Roman" w:cs="Times New Roman"/>
                <w:b w:val="0"/>
                <w:bCs/>
                <w:snapToGrid w:val="0"/>
                <w:color w:val="auto"/>
                <w:kern w:val="0"/>
                <w:sz w:val="24"/>
                <w:szCs w:val="24"/>
                <w:highlight w:val="none"/>
                <w:vertAlign w:val="baseline"/>
                <w:lang w:val="en-US" w:eastAsia="zh-CN"/>
              </w:rPr>
              <w:t>（</w:t>
            </w:r>
            <w:r>
              <w:rPr>
                <w:rFonts w:hint="default" w:ascii="Times New Roman" w:hAnsi="Times New Roman" w:eastAsia="宋体" w:cs="Times New Roman"/>
                <w:b w:val="0"/>
                <w:bCs/>
                <w:snapToGrid w:val="0"/>
                <w:color w:val="auto"/>
                <w:kern w:val="0"/>
                <w:sz w:val="24"/>
                <w:szCs w:val="24"/>
                <w:highlight w:val="none"/>
                <w:vertAlign w:val="baseline"/>
                <w:lang w:val="en-US" w:eastAsia="zh-CN"/>
              </w:rPr>
              <w:t>SCR</w:t>
            </w:r>
            <w:r>
              <w:rPr>
                <w:rFonts w:hint="default" w:ascii="Times New Roman" w:hAnsi="Times New Roman" w:cs="Times New Roman"/>
                <w:b w:val="0"/>
                <w:bCs/>
                <w:snapToGrid w:val="0"/>
                <w:color w:val="auto"/>
                <w:kern w:val="0"/>
                <w:sz w:val="24"/>
                <w:szCs w:val="24"/>
                <w:highlight w:val="none"/>
                <w:vertAlign w:val="baseline"/>
                <w:lang w:val="en-US" w:eastAsia="zh-CN"/>
              </w:rPr>
              <w:t>）</w:t>
            </w:r>
            <w:r>
              <w:rPr>
                <w:rFonts w:hint="default" w:ascii="Times New Roman" w:hAnsi="Times New Roman" w:eastAsia="宋体" w:cs="Times New Roman"/>
                <w:b w:val="0"/>
                <w:bCs/>
                <w:snapToGrid w:val="0"/>
                <w:color w:val="auto"/>
                <w:kern w:val="0"/>
                <w:sz w:val="24"/>
                <w:szCs w:val="24"/>
                <w:highlight w:val="none"/>
                <w:vertAlign w:val="baseline"/>
                <w:lang w:val="en-US" w:eastAsia="zh-CN"/>
              </w:rPr>
              <w:t>技术是指利用脱硝还原剂（尿素），在催化剂作用下选择性地将烟气中的氮氧化物还原成氮气和水</w:t>
            </w:r>
            <w:r>
              <w:rPr>
                <w:rFonts w:hint="default" w:ascii="Times New Roman" w:hAnsi="Times New Roman" w:eastAsia="宋体" w:cs="Times New Roman"/>
                <w:snapToGrid w:val="0"/>
                <w:color w:val="auto"/>
                <w:kern w:val="0"/>
                <w:sz w:val="24"/>
                <w:szCs w:val="24"/>
                <w:highlight w:val="none"/>
                <w:lang w:val="en-US" w:eastAsia="zh-CN"/>
              </w:rPr>
              <w:t>（去除效率</w:t>
            </w:r>
            <w:r>
              <w:rPr>
                <w:rFonts w:hint="default" w:ascii="Times New Roman" w:hAnsi="Times New Roman" w:cs="Times New Roman"/>
                <w:snapToGrid w:val="0"/>
                <w:color w:val="auto"/>
                <w:kern w:val="0"/>
                <w:sz w:val="24"/>
                <w:szCs w:val="24"/>
                <w:highlight w:val="none"/>
                <w:lang w:val="en-US" w:eastAsia="zh-CN"/>
              </w:rPr>
              <w:t>80</w:t>
            </w:r>
            <w:r>
              <w:rPr>
                <w:rFonts w:hint="default" w:ascii="Times New Roman" w:hAnsi="Times New Roman" w:eastAsia="宋体" w:cs="Times New Roman"/>
                <w:snapToGrid w:val="0"/>
                <w:color w:val="auto"/>
                <w:kern w:val="0"/>
                <w:sz w:val="24"/>
                <w:szCs w:val="24"/>
                <w:highlight w:val="none"/>
                <w:lang w:val="en-US" w:eastAsia="zh-CN"/>
              </w:rPr>
              <w:t>%）；随后采用的</w:t>
            </w:r>
            <w:r>
              <w:rPr>
                <w:rFonts w:hint="default" w:ascii="Times New Roman" w:hAnsi="Times New Roman" w:cs="Times New Roman"/>
                <w:snapToGrid w:val="0"/>
                <w:color w:val="auto"/>
                <w:kern w:val="0"/>
                <w:sz w:val="24"/>
                <w:szCs w:val="24"/>
                <w:highlight w:val="none"/>
                <w:lang w:val="en-US" w:eastAsia="zh-CN"/>
              </w:rPr>
              <w:t>石灰（石）-石膏湿法脱硫+高效除雾器协同除尘+湿式电除尘器</w:t>
            </w:r>
            <w:r>
              <w:rPr>
                <w:rFonts w:hint="default" w:ascii="Times New Roman" w:hAnsi="Times New Roman" w:eastAsia="宋体" w:cs="Times New Roman"/>
                <w:snapToGrid w:val="0"/>
                <w:color w:val="auto"/>
                <w:kern w:val="0"/>
                <w:sz w:val="24"/>
                <w:szCs w:val="24"/>
                <w:highlight w:val="none"/>
                <w:lang w:val="en-US" w:eastAsia="zh-CN"/>
              </w:rPr>
              <w:t>（去除效率</w:t>
            </w:r>
            <w:r>
              <w:rPr>
                <w:rFonts w:hint="default" w:ascii="Times New Roman" w:hAnsi="Times New Roman" w:cs="Times New Roman"/>
                <w:snapToGrid w:val="0"/>
                <w:color w:val="auto"/>
                <w:kern w:val="0"/>
                <w:sz w:val="24"/>
                <w:szCs w:val="24"/>
                <w:highlight w:val="none"/>
                <w:lang w:val="en-US" w:eastAsia="zh-CN"/>
              </w:rPr>
              <w:t>95</w:t>
            </w:r>
            <w:r>
              <w:rPr>
                <w:rFonts w:hint="default" w:ascii="Times New Roman" w:hAnsi="Times New Roman" w:eastAsia="宋体" w:cs="Times New Roman"/>
                <w:snapToGrid w:val="0"/>
                <w:color w:val="auto"/>
                <w:kern w:val="0"/>
                <w:sz w:val="24"/>
                <w:szCs w:val="24"/>
                <w:highlight w:val="none"/>
                <w:lang w:val="en-US" w:eastAsia="zh-CN"/>
              </w:rPr>
              <w:t>%）通过酸碱中和反应脱除烟气中二氧化硫，</w:t>
            </w:r>
            <w:r>
              <w:rPr>
                <w:rFonts w:hint="default" w:ascii="Times New Roman" w:hAnsi="Times New Roman" w:cs="Times New Roman"/>
                <w:snapToGrid w:val="0"/>
                <w:color w:val="auto"/>
                <w:kern w:val="0"/>
                <w:sz w:val="24"/>
                <w:szCs w:val="24"/>
                <w:highlight w:val="none"/>
                <w:lang w:val="en-US" w:eastAsia="zh-CN"/>
              </w:rPr>
              <w:t>脱硝后的</w:t>
            </w:r>
            <w:r>
              <w:rPr>
                <w:rFonts w:hint="default" w:ascii="Times New Roman" w:hAnsi="Times New Roman" w:eastAsia="宋体" w:cs="Times New Roman"/>
                <w:snapToGrid w:val="0"/>
                <w:color w:val="auto"/>
                <w:kern w:val="0"/>
                <w:sz w:val="24"/>
                <w:szCs w:val="24"/>
                <w:highlight w:val="none"/>
                <w:lang w:val="en-US" w:eastAsia="zh-CN"/>
              </w:rPr>
              <w:t>烟气经</w:t>
            </w:r>
            <w:r>
              <w:rPr>
                <w:rFonts w:hint="default" w:ascii="Times New Roman" w:hAnsi="Times New Roman" w:cs="Times New Roman"/>
                <w:snapToGrid w:val="0"/>
                <w:color w:val="auto"/>
                <w:kern w:val="0"/>
                <w:sz w:val="24"/>
                <w:szCs w:val="24"/>
                <w:highlight w:val="none"/>
                <w:lang w:val="en-US" w:eastAsia="zh-CN"/>
              </w:rPr>
              <w:t>湿法脱硫协同处理颗粒物</w:t>
            </w:r>
            <w:r>
              <w:rPr>
                <w:rFonts w:hint="default" w:ascii="Times New Roman" w:hAnsi="Times New Roman" w:eastAsia="宋体" w:cs="Times New Roman"/>
                <w:snapToGrid w:val="0"/>
                <w:color w:val="auto"/>
                <w:kern w:val="0"/>
                <w:sz w:val="24"/>
                <w:szCs w:val="24"/>
                <w:highlight w:val="none"/>
                <w:lang w:val="en-US" w:eastAsia="zh-CN"/>
              </w:rPr>
              <w:t>（</w:t>
            </w:r>
            <w:r>
              <w:rPr>
                <w:rFonts w:hint="default" w:ascii="Times New Roman" w:hAnsi="Times New Roman" w:cs="Times New Roman"/>
                <w:snapToGrid w:val="0"/>
                <w:color w:val="auto"/>
                <w:kern w:val="0"/>
                <w:sz w:val="24"/>
                <w:szCs w:val="24"/>
                <w:highlight w:val="none"/>
                <w:lang w:val="en-US" w:eastAsia="zh-CN"/>
              </w:rPr>
              <w:t>去除效率95%</w:t>
            </w:r>
            <w:r>
              <w:rPr>
                <w:rFonts w:hint="default" w:ascii="Times New Roman" w:hAnsi="Times New Roman" w:eastAsia="宋体" w:cs="Times New Roman"/>
                <w:snapToGrid w:val="0"/>
                <w:color w:val="auto"/>
                <w:kern w:val="0"/>
                <w:sz w:val="24"/>
                <w:szCs w:val="24"/>
                <w:highlight w:val="none"/>
                <w:lang w:val="en-US" w:eastAsia="zh-CN"/>
              </w:rPr>
              <w:t>）脱硫后的烟气通过</w:t>
            </w:r>
            <w:r>
              <w:rPr>
                <w:rFonts w:hint="default" w:ascii="Times New Roman" w:hAnsi="Times New Roman" w:cs="Times New Roman"/>
                <w:snapToGrid w:val="0"/>
                <w:color w:val="auto"/>
                <w:kern w:val="0"/>
                <w:sz w:val="24"/>
                <w:szCs w:val="24"/>
                <w:highlight w:val="none"/>
                <w:lang w:val="en-US" w:eastAsia="zh-CN"/>
              </w:rPr>
              <w:t>60</w:t>
            </w:r>
            <w:r>
              <w:rPr>
                <w:rFonts w:hint="default" w:ascii="Times New Roman" w:hAnsi="Times New Roman" w:eastAsia="宋体" w:cs="Times New Roman"/>
                <w:snapToGrid w:val="0"/>
                <w:color w:val="auto"/>
                <w:kern w:val="0"/>
                <w:sz w:val="24"/>
                <w:szCs w:val="24"/>
                <w:highlight w:val="none"/>
                <w:lang w:val="en-US" w:eastAsia="zh-CN"/>
              </w:rPr>
              <w:t>m高排气筒（DA001）排放至大气环境中。</w:t>
            </w:r>
          </w:p>
          <w:p w14:paraId="7F0F37B9">
            <w:pPr>
              <w:pStyle w:val="124"/>
              <w:pageBreakBefore w:val="0"/>
              <w:kinsoku/>
              <w:wordWrap/>
              <w:topLinePunct w:val="0"/>
              <w:bidi w:val="0"/>
              <w:adjustRightInd/>
              <w:snapToGrid/>
              <w:spacing w:beforeAutospacing="0" w:afterAutospacing="0" w:line="360" w:lineRule="auto"/>
              <w:ind w:firstLine="480"/>
              <w:jc w:val="both"/>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（2）逃逸氨</w:t>
            </w:r>
          </w:p>
          <w:p w14:paraId="13D59893">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本项目在脱硝</w:t>
            </w:r>
            <w:r>
              <w:rPr>
                <w:rFonts w:hint="default" w:ascii="Times New Roman" w:hAnsi="Times New Roman" w:eastAsia="宋体" w:cs="Times New Roman"/>
                <w:color w:val="auto"/>
                <w:sz w:val="24"/>
                <w:szCs w:val="24"/>
                <w:lang w:val="en-US" w:eastAsia="zh-CN"/>
              </w:rPr>
              <w:t>过程中，喷入反应器的</w:t>
            </w:r>
            <w:r>
              <w:rPr>
                <w:rFonts w:hint="default" w:ascii="Times New Roman" w:hAnsi="Times New Roman" w:cs="Times New Roman"/>
                <w:color w:val="auto"/>
                <w:sz w:val="24"/>
                <w:szCs w:val="24"/>
                <w:lang w:val="en-US" w:eastAsia="zh-CN"/>
              </w:rPr>
              <w:t>氨气</w:t>
            </w:r>
            <w:r>
              <w:rPr>
                <w:rFonts w:hint="default" w:ascii="Times New Roman" w:hAnsi="Times New Roman" w:eastAsia="宋体" w:cs="Times New Roman"/>
                <w:color w:val="auto"/>
                <w:sz w:val="24"/>
                <w:szCs w:val="24"/>
                <w:lang w:val="en-US" w:eastAsia="zh-CN"/>
              </w:rPr>
              <w:t>大部分与烟气中</w:t>
            </w:r>
            <w:r>
              <w:rPr>
                <w:rFonts w:hint="default" w:ascii="Times New Roman" w:hAnsi="Times New Roman" w:cs="Times New Roman"/>
                <w:color w:val="auto"/>
                <w:sz w:val="24"/>
                <w:szCs w:val="24"/>
                <w:lang w:val="en-US" w:eastAsia="zh-CN"/>
              </w:rPr>
              <w:t>氮氧化物</w:t>
            </w:r>
            <w:r>
              <w:rPr>
                <w:rFonts w:hint="default" w:ascii="Times New Roman" w:hAnsi="Times New Roman" w:eastAsia="宋体" w:cs="Times New Roman"/>
                <w:color w:val="auto"/>
                <w:sz w:val="24"/>
                <w:szCs w:val="24"/>
                <w:lang w:val="en-US" w:eastAsia="zh-CN"/>
              </w:rPr>
              <w:t>进行还原反应，还有少量不发生还原反应逃逸出去，这些不在合适的反应温度区域的</w:t>
            </w:r>
            <w:r>
              <w:rPr>
                <w:rFonts w:hint="default" w:ascii="Times New Roman" w:hAnsi="Times New Roman" w:cs="Times New Roman"/>
                <w:color w:val="auto"/>
                <w:sz w:val="24"/>
                <w:szCs w:val="24"/>
                <w:lang w:val="en-US" w:eastAsia="zh-CN"/>
              </w:rPr>
              <w:t>氨气</w:t>
            </w:r>
            <w:r>
              <w:rPr>
                <w:rFonts w:hint="default" w:ascii="Times New Roman" w:hAnsi="Times New Roman" w:eastAsia="宋体" w:cs="Times New Roman"/>
                <w:color w:val="auto"/>
                <w:sz w:val="24"/>
                <w:szCs w:val="24"/>
                <w:lang w:val="en-US" w:eastAsia="zh-CN"/>
              </w:rPr>
              <w:t>称为氨逃逸。根据建设单位提供的设计资料，</w:t>
            </w:r>
            <w:r>
              <w:rPr>
                <w:rFonts w:hint="default" w:ascii="Times New Roman" w:hAnsi="Times New Roman" w:cs="Times New Roman"/>
                <w:color w:val="auto"/>
                <w:sz w:val="24"/>
                <w:szCs w:val="24"/>
                <w:lang w:val="en-US" w:eastAsia="zh-CN"/>
              </w:rPr>
              <w:t>脱硝过程需</w:t>
            </w:r>
            <w:r>
              <w:rPr>
                <w:rFonts w:hint="default" w:ascii="Times New Roman" w:hAnsi="Times New Roman" w:cs="Times New Roman"/>
                <w:b w:val="0"/>
                <w:bCs/>
                <w:snapToGrid w:val="0"/>
                <w:color w:val="auto"/>
                <w:kern w:val="0"/>
                <w:sz w:val="24"/>
                <w:szCs w:val="24"/>
                <w:highlight w:val="none"/>
                <w:vertAlign w:val="baseline"/>
                <w:lang w:val="en-US" w:eastAsia="zh-CN" w:bidi="ar-SA"/>
              </w:rPr>
              <w:t>符合</w:t>
            </w:r>
            <w:r>
              <w:rPr>
                <w:rFonts w:hint="default" w:ascii="Times New Roman" w:hAnsi="Times New Roman" w:eastAsia="宋体" w:cs="Times New Roman"/>
                <w:b w:val="0"/>
                <w:bCs/>
                <w:snapToGrid w:val="0"/>
                <w:color w:val="auto"/>
                <w:kern w:val="0"/>
                <w:sz w:val="24"/>
                <w:szCs w:val="24"/>
                <w:highlight w:val="none"/>
                <w:vertAlign w:val="baseline"/>
                <w:lang w:val="en-US" w:eastAsia="zh-CN" w:bidi="ar-SA"/>
              </w:rPr>
              <w:t>《火电厂烟气脱硝工程技术规范选择性催化还原法》（HJ562-2010）</w:t>
            </w:r>
            <w:r>
              <w:rPr>
                <w:rFonts w:hint="default" w:ascii="Times New Roman" w:hAnsi="Times New Roman" w:cs="Times New Roman"/>
                <w:b w:val="0"/>
                <w:bCs/>
                <w:snapToGrid w:val="0"/>
                <w:color w:val="auto"/>
                <w:kern w:val="0"/>
                <w:sz w:val="24"/>
                <w:szCs w:val="24"/>
                <w:highlight w:val="none"/>
                <w:vertAlign w:val="baseline"/>
                <w:lang w:val="en-US" w:eastAsia="zh-CN" w:bidi="ar-SA"/>
              </w:rPr>
              <w:t>中6.3.3尿素还原剂的</w:t>
            </w:r>
            <w:r>
              <w:rPr>
                <w:rFonts w:hint="default" w:ascii="Times New Roman" w:hAnsi="Times New Roman" w:eastAsia="宋体" w:cs="Times New Roman"/>
                <w:b w:val="0"/>
                <w:bCs/>
                <w:snapToGrid w:val="0"/>
                <w:color w:val="auto"/>
                <w:kern w:val="0"/>
                <w:sz w:val="24"/>
                <w:szCs w:val="24"/>
                <w:highlight w:val="none"/>
                <w:vertAlign w:val="baseline"/>
                <w:lang w:val="en-US" w:eastAsia="zh-CN" w:bidi="ar-SA"/>
              </w:rPr>
              <w:t>要求。</w:t>
            </w:r>
            <w:r>
              <w:rPr>
                <w:rFonts w:hint="default" w:ascii="Times New Roman" w:hAnsi="Times New Roman" w:eastAsia="宋体" w:cs="Times New Roman"/>
                <w:color w:val="auto"/>
                <w:sz w:val="24"/>
                <w:szCs w:val="24"/>
                <w:lang w:val="en-US" w:eastAsia="zh-CN"/>
              </w:rPr>
              <w:t>SCR脱硝氨逃逸浓度≤2.5mg/m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，烟气量</w:t>
            </w:r>
            <w:r>
              <w:rPr>
                <w:rFonts w:hint="default" w:ascii="Times New Roman" w:hAnsi="Times New Roman" w:cs="Times New Roman"/>
                <w:color w:val="auto"/>
                <w:sz w:val="24"/>
                <w:szCs w:val="24"/>
                <w:lang w:val="en-US" w:eastAsia="zh-CN"/>
              </w:rPr>
              <w:t>486723</w:t>
            </w:r>
            <w:r>
              <w:rPr>
                <w:rFonts w:hint="default" w:ascii="Times New Roman" w:hAnsi="Times New Roman" w:eastAsia="宋体" w:cs="Times New Roman"/>
                <w:color w:val="auto"/>
                <w:sz w:val="24"/>
                <w:szCs w:val="24"/>
                <w:lang w:val="en-US" w:eastAsia="zh-CN"/>
              </w:rPr>
              <w:t>m</w:t>
            </w:r>
            <w:r>
              <w:rPr>
                <w:rFonts w:hint="default"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lang w:val="en-US" w:eastAsia="zh-CN"/>
              </w:rPr>
              <w:t>/h，因此逃逸量为</w:t>
            </w:r>
            <w:r>
              <w:rPr>
                <w:rFonts w:hint="default" w:ascii="Times New Roman" w:hAnsi="Times New Roman" w:cs="Times New Roman"/>
                <w:color w:val="auto"/>
                <w:sz w:val="24"/>
                <w:szCs w:val="24"/>
                <w:lang w:val="en-US" w:eastAsia="zh-CN"/>
              </w:rPr>
              <w:t>1.22</w:t>
            </w:r>
            <w:r>
              <w:rPr>
                <w:rFonts w:hint="default" w:ascii="Times New Roman" w:hAnsi="Times New Roman" w:eastAsia="宋体" w:cs="Times New Roman"/>
                <w:color w:val="auto"/>
                <w:sz w:val="24"/>
                <w:szCs w:val="24"/>
                <w:lang w:val="en-US" w:eastAsia="zh-CN"/>
              </w:rPr>
              <w:t>kg/h，</w:t>
            </w:r>
            <w:r>
              <w:rPr>
                <w:rFonts w:hint="default" w:ascii="Times New Roman" w:hAnsi="Times New Roman" w:cs="Times New Roman"/>
                <w:color w:val="auto"/>
                <w:sz w:val="24"/>
                <w:szCs w:val="24"/>
                <w:lang w:val="en-US" w:eastAsia="zh-CN"/>
              </w:rPr>
              <w:t>9.734</w:t>
            </w:r>
            <w:r>
              <w:rPr>
                <w:rFonts w:hint="default" w:ascii="Times New Roman" w:hAnsi="Times New Roman" w:eastAsia="宋体" w:cs="Times New Roman"/>
                <w:color w:val="auto"/>
                <w:sz w:val="24"/>
                <w:szCs w:val="24"/>
                <w:lang w:val="en-US" w:eastAsia="zh-CN"/>
              </w:rPr>
              <w:t>t/a。</w:t>
            </w:r>
          </w:p>
          <w:p w14:paraId="32E0F4D6">
            <w:pPr>
              <w:pStyle w:val="79"/>
              <w:keepNext w:val="0"/>
              <w:keepLines w:val="0"/>
              <w:pageBreakBefore w:val="0"/>
              <w:kinsoku/>
              <w:wordWrap/>
              <w:overflowPunct/>
              <w:topLinePunct w:val="0"/>
              <w:autoSpaceDE/>
              <w:autoSpaceDN/>
              <w:bidi w:val="0"/>
              <w:spacing w:line="360" w:lineRule="auto"/>
              <w:ind w:left="0" w:leftChars="0" w:firstLine="480" w:firstLineChars="200"/>
              <w:textAlignment w:val="auto"/>
              <w:rPr>
                <w:rFonts w:hint="default" w:ascii="Times New Roman" w:hAnsi="Times New Roman" w:eastAsia="宋体" w:cs="Times New Roman"/>
                <w:b w:val="0"/>
                <w:bCs/>
                <w:snapToGrid w:val="0"/>
                <w:color w:val="auto"/>
                <w:kern w:val="0"/>
                <w:sz w:val="24"/>
                <w:szCs w:val="24"/>
                <w:highlight w:val="none"/>
                <w:vertAlign w:val="baseline"/>
                <w:lang w:val="en-US" w:eastAsia="zh-CN"/>
              </w:rPr>
            </w:pPr>
            <w:r>
              <w:rPr>
                <w:rFonts w:hint="default" w:ascii="Times New Roman" w:hAnsi="Times New Roman" w:cs="Times New Roman"/>
                <w:snapToGrid w:val="0"/>
                <w:color w:val="auto"/>
                <w:kern w:val="0"/>
                <w:sz w:val="24"/>
                <w:szCs w:val="24"/>
                <w:highlight w:val="none"/>
                <w:lang w:val="en-US" w:eastAsia="zh-CN"/>
              </w:rPr>
              <w:t>本项目采取上述措施后，烟气中颗粒物排放量为3.555t/a，排放速率为0.44kg/h，排放浓度为0.91mg/m</w:t>
            </w:r>
            <w:r>
              <w:rPr>
                <w:rFonts w:hint="default" w:ascii="Times New Roman" w:hAnsi="Times New Roman" w:cs="Times New Roman"/>
                <w:snapToGrid w:val="0"/>
                <w:color w:val="auto"/>
                <w:kern w:val="0"/>
                <w:sz w:val="24"/>
                <w:szCs w:val="24"/>
                <w:highlight w:val="none"/>
                <w:vertAlign w:val="superscript"/>
                <w:lang w:val="en-US" w:eastAsia="zh-CN"/>
              </w:rPr>
              <w:t>3</w:t>
            </w:r>
            <w:r>
              <w:rPr>
                <w:rFonts w:hint="default" w:ascii="Times New Roman" w:hAnsi="Times New Roman" w:cs="Times New Roman"/>
                <w:snapToGrid w:val="0"/>
                <w:color w:val="auto"/>
                <w:kern w:val="0"/>
                <w:sz w:val="24"/>
                <w:szCs w:val="24"/>
                <w:highlight w:val="none"/>
                <w:vertAlign w:val="baseline"/>
                <w:lang w:val="en-US" w:eastAsia="zh-CN"/>
              </w:rPr>
              <w:t>；氮氧化物</w:t>
            </w:r>
            <w:r>
              <w:rPr>
                <w:rFonts w:hint="default" w:ascii="Times New Roman" w:hAnsi="Times New Roman" w:cs="Times New Roman"/>
                <w:snapToGrid w:val="0"/>
                <w:color w:val="auto"/>
                <w:kern w:val="0"/>
                <w:sz w:val="24"/>
                <w:szCs w:val="24"/>
                <w:highlight w:val="none"/>
                <w:lang w:val="en-US" w:eastAsia="zh-CN"/>
              </w:rPr>
              <w:t>排放量为77.876t/a，排放速率为9.73kg/h，排放浓度为20.00mg/m</w:t>
            </w:r>
            <w:r>
              <w:rPr>
                <w:rFonts w:hint="default" w:ascii="Times New Roman" w:hAnsi="Times New Roman" w:cs="Times New Roman"/>
                <w:snapToGrid w:val="0"/>
                <w:color w:val="auto"/>
                <w:kern w:val="0"/>
                <w:sz w:val="24"/>
                <w:szCs w:val="24"/>
                <w:highlight w:val="none"/>
                <w:vertAlign w:val="superscript"/>
                <w:lang w:val="en-US" w:eastAsia="zh-CN"/>
              </w:rPr>
              <w:t>3</w:t>
            </w:r>
            <w:r>
              <w:rPr>
                <w:rFonts w:hint="default" w:ascii="Times New Roman" w:hAnsi="Times New Roman" w:cs="Times New Roman"/>
                <w:snapToGrid w:val="0"/>
                <w:color w:val="auto"/>
                <w:kern w:val="0"/>
                <w:sz w:val="24"/>
                <w:szCs w:val="24"/>
                <w:highlight w:val="none"/>
                <w:vertAlign w:val="baseline"/>
                <w:lang w:val="en-US" w:eastAsia="zh-CN"/>
              </w:rPr>
              <w:t>；二氧化硫</w:t>
            </w:r>
            <w:r>
              <w:rPr>
                <w:rFonts w:hint="default" w:ascii="Times New Roman" w:hAnsi="Times New Roman" w:cs="Times New Roman"/>
                <w:snapToGrid w:val="0"/>
                <w:color w:val="auto"/>
                <w:kern w:val="0"/>
                <w:sz w:val="24"/>
                <w:szCs w:val="24"/>
                <w:highlight w:val="none"/>
                <w:lang w:val="en-US" w:eastAsia="zh-CN"/>
              </w:rPr>
              <w:t>排放量为33.238t/a，排放速率为4.15kg/h，排放浓度为8.54mg/m</w:t>
            </w:r>
            <w:r>
              <w:rPr>
                <w:rFonts w:hint="default" w:ascii="Times New Roman" w:hAnsi="Times New Roman" w:cs="Times New Roman"/>
                <w:snapToGrid w:val="0"/>
                <w:color w:val="auto"/>
                <w:kern w:val="0"/>
                <w:sz w:val="24"/>
                <w:szCs w:val="24"/>
                <w:highlight w:val="none"/>
                <w:vertAlign w:val="superscript"/>
                <w:lang w:val="en-US" w:eastAsia="zh-CN"/>
              </w:rPr>
              <w:t>3</w:t>
            </w:r>
            <w:r>
              <w:rPr>
                <w:rFonts w:hint="default" w:ascii="Times New Roman" w:hAnsi="Times New Roman" w:cs="Times New Roman"/>
                <w:snapToGrid w:val="0"/>
                <w:color w:val="auto"/>
                <w:kern w:val="0"/>
                <w:sz w:val="24"/>
                <w:szCs w:val="24"/>
                <w:highlight w:val="none"/>
                <w:vertAlign w:val="baseline"/>
                <w:lang w:val="en-US" w:eastAsia="zh-CN"/>
              </w:rPr>
              <w:t>。</w:t>
            </w:r>
            <w:r>
              <w:rPr>
                <w:rFonts w:hint="default" w:ascii="Times New Roman" w:hAnsi="Times New Roman" w:eastAsia="宋体" w:cs="Times New Roman"/>
                <w:snapToGrid w:val="0"/>
                <w:color w:val="auto"/>
                <w:kern w:val="0"/>
                <w:sz w:val="24"/>
                <w:szCs w:val="24"/>
                <w:highlight w:val="none"/>
                <w:lang w:val="en-US" w:eastAsia="zh-CN" w:bidi="ar-SA"/>
              </w:rPr>
              <w:t>能够满足《火电厂大气污染物排放标准》（GB13223-2011）</w:t>
            </w:r>
            <w:r>
              <w:rPr>
                <w:rFonts w:hint="default" w:ascii="Times New Roman" w:hAnsi="Times New Roman" w:cs="Times New Roman"/>
                <w:snapToGrid w:val="0"/>
                <w:color w:val="auto"/>
                <w:kern w:val="0"/>
                <w:sz w:val="24"/>
                <w:szCs w:val="24"/>
                <w:highlight w:val="none"/>
                <w:lang w:val="en-US" w:eastAsia="zh-CN" w:bidi="ar-SA"/>
              </w:rPr>
              <w:t>表2大气污染物特别排放限值</w:t>
            </w:r>
            <w:r>
              <w:rPr>
                <w:rFonts w:hint="default" w:ascii="Times New Roman" w:hAnsi="Times New Roman" w:eastAsia="宋体" w:cs="Times New Roman"/>
                <w:snapToGrid w:val="0"/>
                <w:color w:val="auto"/>
                <w:kern w:val="0"/>
                <w:sz w:val="24"/>
                <w:szCs w:val="24"/>
                <w:highlight w:val="none"/>
                <w:lang w:val="en-US" w:eastAsia="zh-CN" w:bidi="ar-SA"/>
              </w:rPr>
              <w:t>要求</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颗粒物</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mg/m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vertAlign w:val="baseline"/>
                <w:lang w:val="en-US" w:eastAsia="zh-CN"/>
              </w:rPr>
              <w:t>；二氧化硫：</w:t>
            </w:r>
            <w:r>
              <w:rPr>
                <w:rFonts w:hint="default" w:ascii="Times New Roman" w:hAnsi="Times New Roman" w:cs="Times New Roman"/>
                <w:color w:val="auto"/>
                <w:sz w:val="24"/>
                <w:szCs w:val="24"/>
                <w:highlight w:val="none"/>
                <w:vertAlign w:val="baseline"/>
                <w:lang w:val="en-US" w:eastAsia="zh-CN"/>
              </w:rPr>
              <w:t>35</w:t>
            </w:r>
            <w:r>
              <w:rPr>
                <w:rFonts w:hint="default" w:ascii="Times New Roman" w:hAnsi="Times New Roman" w:eastAsia="宋体" w:cs="Times New Roman"/>
                <w:color w:val="auto"/>
                <w:sz w:val="24"/>
                <w:szCs w:val="24"/>
                <w:highlight w:val="none"/>
                <w:lang w:val="en-US" w:eastAsia="zh-CN"/>
              </w:rPr>
              <w:t>mg/m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vertAlign w:val="baseline"/>
                <w:lang w:val="en-US" w:eastAsia="zh-CN"/>
              </w:rPr>
              <w:t>；</w:t>
            </w:r>
            <w:r>
              <w:rPr>
                <w:rFonts w:hint="default" w:ascii="Times New Roman" w:hAnsi="Times New Roman" w:eastAsia="宋体" w:cs="Times New Roman"/>
                <w:color w:val="auto"/>
                <w:kern w:val="0"/>
                <w:sz w:val="24"/>
                <w:szCs w:val="24"/>
                <w:highlight w:val="none"/>
                <w:lang w:val="en-US" w:eastAsia="zh-CN" w:bidi="ar"/>
              </w:rPr>
              <w:t>林格</w:t>
            </w:r>
            <w:r>
              <w:rPr>
                <w:rFonts w:hint="default" w:ascii="Times New Roman" w:hAnsi="Times New Roman" w:eastAsia="宋体" w:cs="Times New Roman"/>
                <w:b w:val="0"/>
                <w:bCs/>
                <w:snapToGrid w:val="0"/>
                <w:color w:val="auto"/>
                <w:kern w:val="0"/>
                <w:sz w:val="24"/>
                <w:szCs w:val="24"/>
                <w:highlight w:val="none"/>
                <w:vertAlign w:val="baseline"/>
                <w:lang w:val="en-US" w:eastAsia="zh-CN"/>
              </w:rPr>
              <w:t>曼黑度≤1）</w:t>
            </w:r>
            <w:r>
              <w:rPr>
                <w:rFonts w:hint="default" w:ascii="Times New Roman" w:hAnsi="Times New Roman" w:cs="Times New Roman"/>
                <w:b w:val="0"/>
                <w:bCs/>
                <w:snapToGrid w:val="0"/>
                <w:color w:val="auto"/>
                <w:kern w:val="0"/>
                <w:sz w:val="24"/>
                <w:szCs w:val="24"/>
                <w:highlight w:val="none"/>
                <w:vertAlign w:val="baseline"/>
                <w:lang w:val="en-US" w:eastAsia="zh-CN"/>
              </w:rPr>
              <w:t>和</w:t>
            </w:r>
            <w:r>
              <w:rPr>
                <w:rFonts w:hint="default" w:ascii="Times New Roman" w:hAnsi="Times New Roman" w:cs="Times New Roman"/>
                <w:snapToGrid w:val="0"/>
                <w:color w:val="auto"/>
                <w:kern w:val="0"/>
                <w:sz w:val="24"/>
                <w:szCs w:val="24"/>
                <w:highlight w:val="none"/>
                <w:lang w:val="en-US" w:eastAsia="zh-CN" w:bidi="ar-SA"/>
              </w:rPr>
              <w:t>《关于印发〈全面实施燃煤电厂超低排放和节能改造工作方案〉的通知》（环发〔2015〕164号）（</w:t>
            </w:r>
            <w:r>
              <w:rPr>
                <w:rFonts w:hint="default" w:ascii="Times New Roman" w:hAnsi="Times New Roman" w:eastAsia="宋体" w:cs="Times New Roman"/>
                <w:color w:val="auto"/>
                <w:sz w:val="24"/>
                <w:szCs w:val="24"/>
                <w:highlight w:val="none"/>
                <w:lang w:val="en-US" w:eastAsia="zh-CN"/>
              </w:rPr>
              <w:t>氮氧化物：50mg/m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w:t>
            </w:r>
          </w:p>
          <w:p w14:paraId="240BFFFE">
            <w:pPr>
              <w:pStyle w:val="124"/>
              <w:pageBreakBefore w:val="0"/>
              <w:kinsoku/>
              <w:wordWrap/>
              <w:topLinePunct w:val="0"/>
              <w:bidi w:val="0"/>
              <w:adjustRightInd/>
              <w:snapToGrid/>
              <w:spacing w:beforeAutospacing="0" w:afterAutospacing="0" w:line="360" w:lineRule="auto"/>
              <w:ind w:firstLine="48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（3）石灰石粉</w:t>
            </w:r>
            <w:r>
              <w:rPr>
                <w:rFonts w:hint="default" w:ascii="Times New Roman" w:hAnsi="Times New Roman" w:cs="Times New Roman"/>
                <w:color w:val="auto"/>
                <w:sz w:val="24"/>
                <w:szCs w:val="24"/>
                <w:lang w:val="en-US" w:eastAsia="zh-CN"/>
              </w:rPr>
              <w:t>投料</w:t>
            </w:r>
            <w:r>
              <w:rPr>
                <w:rFonts w:hint="default" w:ascii="Times New Roman" w:hAnsi="Times New Roman" w:eastAsia="宋体" w:cs="Times New Roman"/>
                <w:color w:val="auto"/>
                <w:sz w:val="24"/>
                <w:szCs w:val="24"/>
                <w:lang w:val="en-US" w:eastAsia="zh-CN"/>
              </w:rPr>
              <w:t>粉尘</w:t>
            </w:r>
          </w:p>
          <w:p w14:paraId="7DAF013B">
            <w:pPr>
              <w:pStyle w:val="124"/>
              <w:pageBreakBefore w:val="0"/>
              <w:kinsoku/>
              <w:wordWrap/>
              <w:topLinePunct w:val="0"/>
              <w:bidi w:val="0"/>
              <w:adjustRightInd/>
              <w:snapToGrid/>
              <w:spacing w:beforeAutospacing="0" w:afterAutospacing="0" w:line="360" w:lineRule="auto"/>
              <w:ind w:firstLine="480"/>
              <w:jc w:val="both"/>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 w:val="0"/>
                <w:bCs/>
                <w:snapToGrid w:val="0"/>
                <w:color w:val="auto"/>
                <w:kern w:val="0"/>
                <w:sz w:val="24"/>
                <w:szCs w:val="24"/>
                <w:highlight w:val="none"/>
                <w:vertAlign w:val="baseline"/>
                <w:lang w:val="en-US" w:eastAsia="zh-CN" w:bidi="ar-SA"/>
              </w:rPr>
              <w:t>本项目石灰石粉装卸作业扬尘防治采用密闭罐车配置卸载设备，</w:t>
            </w:r>
            <w:r>
              <w:rPr>
                <w:rFonts w:hint="default" w:ascii="Times New Roman" w:hAnsi="Times New Roman" w:cs="Times New Roman"/>
                <w:b w:val="0"/>
                <w:bCs/>
                <w:snapToGrid w:val="0"/>
                <w:color w:val="auto"/>
                <w:kern w:val="0"/>
                <w:sz w:val="24"/>
                <w:szCs w:val="24"/>
                <w:highlight w:val="none"/>
                <w:vertAlign w:val="baseline"/>
                <w:lang w:val="en-US" w:eastAsia="zh-CN" w:bidi="ar-SA"/>
              </w:rPr>
              <w:t>卸料过程进行洒水抑尘，</w:t>
            </w:r>
            <w:r>
              <w:rPr>
                <w:rFonts w:hint="default" w:ascii="Times New Roman" w:hAnsi="Times New Roman" w:eastAsia="宋体" w:cs="Times New Roman"/>
                <w:color w:val="auto"/>
                <w:sz w:val="24"/>
                <w:szCs w:val="24"/>
              </w:rPr>
              <w:t>粉尘逸散量可忽略，粉尘产生主要源于投料环节</w:t>
            </w:r>
            <w:r>
              <w:rPr>
                <w:rFonts w:hint="default" w:ascii="Times New Roman" w:hAnsi="Times New Roman" w:cs="Times New Roman"/>
                <w:b w:val="0"/>
                <w:bCs/>
                <w:snapToGrid w:val="0"/>
                <w:color w:val="auto"/>
                <w:kern w:val="0"/>
                <w:sz w:val="24"/>
                <w:szCs w:val="24"/>
                <w:highlight w:val="none"/>
                <w:vertAlign w:val="baseline"/>
                <w:lang w:val="en-US" w:eastAsia="zh-CN" w:bidi="ar-SA"/>
              </w:rPr>
              <w:t>，</w:t>
            </w:r>
            <w:r>
              <w:rPr>
                <w:rFonts w:hint="default" w:ascii="Times New Roman" w:hAnsi="Times New Roman" w:eastAsia="宋体" w:cs="Times New Roman"/>
                <w:color w:val="auto"/>
                <w:sz w:val="24"/>
                <w:szCs w:val="24"/>
                <w:lang w:val="en-US" w:eastAsia="zh-CN"/>
              </w:rPr>
              <w:t>根据《逸散性工业粉尘控制技术》（J.A奥里蒙.1989.12）“石灰生产的逸散尘排放因子”投料粉尘排放因子0.02kg/t原料，</w:t>
            </w:r>
            <w:r>
              <w:rPr>
                <w:rFonts w:hint="default" w:ascii="Times New Roman" w:hAnsi="Times New Roman" w:eastAsia="宋体" w:cs="Times New Roman"/>
                <w:color w:val="auto"/>
                <w:spacing w:val="0"/>
                <w:sz w:val="24"/>
                <w:szCs w:val="24"/>
                <w:lang w:val="en-US" w:eastAsia="zh-CN"/>
              </w:rPr>
              <w:t>根据SO</w:t>
            </w:r>
            <w:r>
              <w:rPr>
                <w:rFonts w:hint="default" w:ascii="Times New Roman" w:hAnsi="Times New Roman" w:eastAsia="宋体" w:cs="Times New Roman"/>
                <w:color w:val="auto"/>
                <w:spacing w:val="0"/>
                <w:sz w:val="24"/>
                <w:szCs w:val="24"/>
                <w:vertAlign w:val="subscript"/>
                <w:lang w:val="en-US" w:eastAsia="zh-CN"/>
              </w:rPr>
              <w:t>2</w:t>
            </w:r>
            <w:r>
              <w:rPr>
                <w:rFonts w:hint="default" w:ascii="Times New Roman" w:hAnsi="Times New Roman" w:eastAsia="宋体" w:cs="Times New Roman"/>
                <w:color w:val="auto"/>
                <w:spacing w:val="0"/>
                <w:sz w:val="24"/>
                <w:szCs w:val="24"/>
                <w:lang w:val="en-US" w:eastAsia="zh-CN"/>
              </w:rPr>
              <w:t>脱除量及化学反应式，本项目SO</w:t>
            </w:r>
            <w:r>
              <w:rPr>
                <w:rFonts w:hint="default" w:ascii="Times New Roman" w:hAnsi="Times New Roman" w:eastAsia="宋体" w:cs="Times New Roman"/>
                <w:color w:val="auto"/>
                <w:spacing w:val="0"/>
                <w:sz w:val="24"/>
                <w:szCs w:val="24"/>
                <w:vertAlign w:val="subscript"/>
                <w:lang w:val="en-US" w:eastAsia="zh-CN"/>
              </w:rPr>
              <w:t>2</w:t>
            </w:r>
            <w:r>
              <w:rPr>
                <w:rFonts w:hint="default" w:ascii="Times New Roman" w:hAnsi="Times New Roman" w:eastAsia="宋体" w:cs="Times New Roman"/>
                <w:color w:val="auto"/>
                <w:spacing w:val="0"/>
                <w:sz w:val="24"/>
                <w:szCs w:val="24"/>
                <w:lang w:val="en-US" w:eastAsia="zh-CN"/>
              </w:rPr>
              <w:t>脱除量为</w:t>
            </w:r>
            <w:r>
              <w:rPr>
                <w:rFonts w:hint="default" w:ascii="Times New Roman" w:hAnsi="Times New Roman" w:cs="Times New Roman"/>
                <w:color w:val="auto"/>
                <w:spacing w:val="0"/>
                <w:sz w:val="24"/>
                <w:szCs w:val="24"/>
                <w:lang w:val="en-US" w:eastAsia="zh-CN"/>
              </w:rPr>
              <w:t>631.531</w:t>
            </w:r>
            <w:r>
              <w:rPr>
                <w:rFonts w:hint="default" w:ascii="Times New Roman" w:hAnsi="Times New Roman" w:eastAsia="宋体" w:cs="Times New Roman"/>
                <w:color w:val="auto"/>
                <w:spacing w:val="0"/>
                <w:sz w:val="24"/>
                <w:szCs w:val="24"/>
                <w:lang w:val="en-US" w:eastAsia="zh-CN"/>
              </w:rPr>
              <w:t>t/a，则石灰石的理论年用量</w:t>
            </w:r>
            <w:r>
              <w:rPr>
                <w:rFonts w:hint="default" w:ascii="Times New Roman" w:hAnsi="Times New Roman" w:cs="Times New Roman"/>
                <w:color w:val="auto"/>
                <w:spacing w:val="0"/>
                <w:sz w:val="24"/>
                <w:szCs w:val="24"/>
                <w:lang w:val="en-US" w:eastAsia="zh-CN"/>
              </w:rPr>
              <w:t>约</w:t>
            </w:r>
            <w:r>
              <w:rPr>
                <w:rFonts w:hint="default" w:ascii="Times New Roman" w:hAnsi="Times New Roman" w:eastAsia="宋体" w:cs="Times New Roman"/>
                <w:color w:val="auto"/>
                <w:spacing w:val="0"/>
                <w:sz w:val="24"/>
                <w:szCs w:val="24"/>
                <w:lang w:val="en-US" w:eastAsia="zh-CN"/>
              </w:rPr>
              <w:t>为</w:t>
            </w:r>
            <w:r>
              <w:rPr>
                <w:rFonts w:hint="default" w:ascii="Times New Roman" w:hAnsi="Times New Roman" w:cs="Times New Roman"/>
                <w:color w:val="auto"/>
                <w:spacing w:val="0"/>
                <w:sz w:val="24"/>
                <w:szCs w:val="24"/>
                <w:lang w:val="en-US" w:eastAsia="zh-CN"/>
              </w:rPr>
              <w:t>1130</w:t>
            </w:r>
            <w:r>
              <w:rPr>
                <w:rFonts w:hint="default" w:ascii="Times New Roman" w:hAnsi="Times New Roman" w:eastAsia="宋体" w:cs="Times New Roman"/>
                <w:color w:val="auto"/>
                <w:spacing w:val="0"/>
                <w:sz w:val="24"/>
                <w:szCs w:val="24"/>
                <w:lang w:val="en-US" w:eastAsia="zh-CN"/>
              </w:rPr>
              <w:t>t/a（石灰石粉纯度须达到</w:t>
            </w:r>
            <w:r>
              <w:rPr>
                <w:rFonts w:hint="default" w:ascii="Times New Roman" w:hAnsi="Times New Roman" w:cs="Times New Roman"/>
                <w:color w:val="auto"/>
                <w:spacing w:val="0"/>
                <w:sz w:val="24"/>
                <w:szCs w:val="24"/>
                <w:lang w:val="en-US" w:eastAsia="zh-CN"/>
              </w:rPr>
              <w:t>90</w:t>
            </w:r>
            <w:r>
              <w:rPr>
                <w:rFonts w:hint="default" w:ascii="Times New Roman" w:hAnsi="Times New Roman" w:eastAsia="宋体" w:cs="Times New Roman"/>
                <w:color w:val="auto"/>
                <w:spacing w:val="0"/>
                <w:sz w:val="24"/>
                <w:szCs w:val="24"/>
                <w:lang w:val="en-US" w:eastAsia="zh-CN"/>
              </w:rPr>
              <w:t>%</w:t>
            </w:r>
            <w:r>
              <w:rPr>
                <w:rFonts w:hint="default" w:ascii="Times New Roman" w:hAnsi="Times New Roman" w:cs="Times New Roman"/>
                <w:color w:val="auto"/>
                <w:spacing w:val="0"/>
                <w:sz w:val="24"/>
                <w:szCs w:val="24"/>
                <w:lang w:val="en-US" w:eastAsia="zh-CN"/>
              </w:rPr>
              <w:t>左右</w:t>
            </w:r>
            <w:r>
              <w:rPr>
                <w:rFonts w:hint="default" w:ascii="Times New Roman" w:hAnsi="Times New Roman" w:eastAsia="宋体" w:cs="Times New Roman"/>
                <w:color w:val="auto"/>
                <w:spacing w:val="0"/>
                <w:sz w:val="24"/>
                <w:szCs w:val="24"/>
                <w:lang w:val="en-US" w:eastAsia="zh-CN"/>
              </w:rPr>
              <w:t>）</w:t>
            </w:r>
            <w:r>
              <w:rPr>
                <w:rFonts w:hint="default" w:ascii="Times New Roman" w:hAnsi="Times New Roman" w:cs="Times New Roman"/>
                <w:color w:val="auto"/>
                <w:sz w:val="24"/>
                <w:szCs w:val="24"/>
                <w:lang w:val="en-US" w:eastAsia="zh-CN"/>
              </w:rPr>
              <w:t>。经计算本项目</w:t>
            </w:r>
            <w:r>
              <w:rPr>
                <w:rFonts w:hint="default" w:ascii="Times New Roman" w:hAnsi="Times New Roman" w:eastAsia="宋体" w:cs="Times New Roman"/>
                <w:color w:val="auto"/>
                <w:sz w:val="24"/>
                <w:szCs w:val="24"/>
                <w:lang w:val="en-US" w:eastAsia="zh-CN"/>
              </w:rPr>
              <w:t>投料粉尘产生量为</w:t>
            </w:r>
            <w:r>
              <w:rPr>
                <w:rFonts w:hint="default" w:ascii="Times New Roman" w:hAnsi="Times New Roman" w:cs="Times New Roman"/>
                <w:color w:val="auto"/>
                <w:sz w:val="24"/>
                <w:szCs w:val="24"/>
                <w:lang w:val="en-US" w:eastAsia="zh-CN"/>
              </w:rPr>
              <w:t>0.023t</w:t>
            </w:r>
            <w:r>
              <w:rPr>
                <w:rFonts w:hint="default" w:ascii="Times New Roman" w:hAnsi="Times New Roman" w:eastAsia="宋体" w:cs="Times New Roman"/>
                <w:color w:val="auto"/>
                <w:sz w:val="24"/>
                <w:szCs w:val="24"/>
                <w:lang w:val="en-US" w:eastAsia="zh-CN"/>
              </w:rPr>
              <w:t>/a。本项目石灰石粉仓自带一套</w:t>
            </w:r>
            <w:r>
              <w:rPr>
                <w:rFonts w:hint="default" w:ascii="Times New Roman" w:hAnsi="Times New Roman" w:cs="Times New Roman"/>
                <w:color w:val="auto"/>
                <w:sz w:val="24"/>
                <w:szCs w:val="24"/>
                <w:lang w:val="en-US" w:eastAsia="zh-CN"/>
              </w:rPr>
              <w:t>脉冲式袋式</w:t>
            </w:r>
            <w:r>
              <w:rPr>
                <w:rFonts w:hint="default" w:ascii="Times New Roman" w:hAnsi="Times New Roman" w:eastAsia="宋体" w:cs="Times New Roman"/>
                <w:color w:val="auto"/>
                <w:sz w:val="24"/>
                <w:szCs w:val="24"/>
                <w:lang w:val="en-US" w:eastAsia="zh-CN"/>
              </w:rPr>
              <w:t>除尘</w:t>
            </w:r>
            <w:r>
              <w:rPr>
                <w:rFonts w:hint="default" w:ascii="Times New Roman" w:hAnsi="Times New Roman" w:cs="Times New Roman"/>
                <w:color w:val="auto"/>
                <w:sz w:val="24"/>
                <w:szCs w:val="24"/>
                <w:lang w:val="en-US" w:eastAsia="zh-CN"/>
              </w:rPr>
              <w:t>器处理后（</w:t>
            </w:r>
            <w:r>
              <w:rPr>
                <w:rFonts w:hint="default" w:ascii="Times New Roman" w:hAnsi="Times New Roman" w:eastAsia="宋体" w:cs="Times New Roman"/>
                <w:color w:val="auto"/>
                <w:sz w:val="24"/>
                <w:szCs w:val="24"/>
                <w:lang w:val="en-US" w:eastAsia="zh-CN"/>
              </w:rPr>
              <w:t>除尘效率99%</w:t>
            </w:r>
            <w:r>
              <w:rPr>
                <w:rFonts w:hint="default" w:ascii="Times New Roman" w:hAnsi="Times New Roman" w:cs="Times New Roman"/>
                <w:color w:val="auto"/>
                <w:sz w:val="24"/>
                <w:szCs w:val="24"/>
                <w:lang w:val="en-US" w:eastAsia="zh-CN"/>
              </w:rPr>
              <w:t>）经仓顶排气口以无组织的形式排放至大气环境中，无组织排放量为0.20kg/a，</w:t>
            </w:r>
            <w:r>
              <w:rPr>
                <w:rFonts w:hint="default" w:ascii="Times New Roman" w:hAnsi="Times New Roman" w:eastAsia="宋体" w:cs="Times New Roman"/>
                <w:color w:val="auto"/>
                <w:sz w:val="24"/>
                <w:szCs w:val="24"/>
                <w:lang w:val="en-US" w:eastAsia="zh-CN"/>
              </w:rPr>
              <w:t>排放速率</w:t>
            </w:r>
            <w:r>
              <w:rPr>
                <w:rFonts w:hint="default" w:ascii="Times New Roman" w:hAnsi="Times New Roman" w:cs="Times New Roman"/>
                <w:color w:val="auto"/>
                <w:sz w:val="24"/>
                <w:szCs w:val="24"/>
                <w:lang w:val="en-US" w:eastAsia="zh-CN"/>
              </w:rPr>
              <w:t>0.00003</w:t>
            </w:r>
            <w:r>
              <w:rPr>
                <w:rFonts w:hint="default" w:ascii="Times New Roman" w:hAnsi="Times New Roman" w:eastAsia="宋体" w:cs="Times New Roman"/>
                <w:color w:val="auto"/>
                <w:sz w:val="24"/>
                <w:szCs w:val="24"/>
                <w:lang w:val="en-US" w:eastAsia="zh-CN"/>
              </w:rPr>
              <w:t>kg/h。</w:t>
            </w:r>
          </w:p>
          <w:p w14:paraId="13E06C6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本项目</w:t>
            </w:r>
            <w:r>
              <w:rPr>
                <w:rFonts w:hint="default" w:ascii="Times New Roman" w:hAnsi="Times New Roman" w:eastAsia="宋体" w:cs="Times New Roman"/>
                <w:color w:val="auto"/>
                <w:sz w:val="24"/>
                <w:szCs w:val="24"/>
                <w:lang w:val="en-US" w:eastAsia="zh-CN"/>
              </w:rPr>
              <w:t>废气污染物产排污情况及治理措施详见表4-</w:t>
            </w:r>
            <w:r>
              <w:rPr>
                <w:rFonts w:hint="default" w:ascii="Times New Roman" w:hAnsi="Times New Roman" w:cs="Times New Roman"/>
                <w:color w:val="auto"/>
                <w:sz w:val="24"/>
                <w:szCs w:val="24"/>
                <w:lang w:val="en-US" w:eastAsia="zh-CN"/>
              </w:rPr>
              <w:t>3</w:t>
            </w:r>
            <w:r>
              <w:rPr>
                <w:rFonts w:hint="default" w:ascii="Times New Roman" w:hAnsi="Times New Roman" w:eastAsia="宋体" w:cs="Times New Roman"/>
                <w:color w:val="auto"/>
                <w:sz w:val="24"/>
                <w:szCs w:val="24"/>
                <w:lang w:val="en-US" w:eastAsia="zh-CN"/>
              </w:rPr>
              <w:t>至表4-</w:t>
            </w:r>
            <w:r>
              <w:rPr>
                <w:rFonts w:hint="default" w:ascii="Times New Roman" w:hAnsi="Times New Roman" w:cs="Times New Roman"/>
                <w:color w:val="auto"/>
                <w:sz w:val="24"/>
                <w:szCs w:val="24"/>
                <w:lang w:val="en-US" w:eastAsia="zh-CN"/>
              </w:rPr>
              <w:t>5</w:t>
            </w:r>
            <w:r>
              <w:rPr>
                <w:rFonts w:hint="default" w:ascii="Times New Roman" w:hAnsi="Times New Roman" w:eastAsia="宋体" w:cs="Times New Roman"/>
                <w:color w:val="auto"/>
                <w:sz w:val="24"/>
                <w:szCs w:val="24"/>
              </w:rPr>
              <w:t>。</w:t>
            </w:r>
          </w:p>
          <w:p w14:paraId="269909C8">
            <w:pPr>
              <w:pStyle w:val="4"/>
              <w:keepNext w:val="0"/>
              <w:keepLines/>
              <w:pageBreakBefore w:val="0"/>
              <w:widowControl w:val="0"/>
              <w:numPr>
                <w:ilvl w:val="2"/>
                <w:numId w:val="0"/>
              </w:numPr>
              <w:tabs>
                <w:tab w:val="clear" w:pos="720"/>
              </w:tabs>
              <w:kinsoku/>
              <w:wordWrap/>
              <w:overflowPunct/>
              <w:topLinePunct w:val="0"/>
              <w:autoSpaceDE/>
              <w:autoSpaceDN/>
              <w:bidi w:val="0"/>
              <w:adjustRightInd w:val="0"/>
              <w:snapToGrid w:val="0"/>
              <w:spacing w:line="240" w:lineRule="auto"/>
              <w:ind w:leftChars="0"/>
              <w:jc w:val="center"/>
              <w:textAlignment w:val="bottom"/>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表4-</w:t>
            </w:r>
            <w:r>
              <w:rPr>
                <w:rFonts w:hint="default" w:ascii="Times New Roman" w:hAnsi="Times New Roman" w:cs="Times New Roman"/>
                <w:b/>
                <w:bCs/>
                <w:color w:val="auto"/>
                <w:kern w:val="2"/>
                <w:sz w:val="21"/>
                <w:szCs w:val="21"/>
                <w:highlight w:val="none"/>
                <w:lang w:val="en-US" w:eastAsia="zh-CN" w:bidi="ar-SA"/>
              </w:rPr>
              <w:t>3</w:t>
            </w:r>
            <w:r>
              <w:rPr>
                <w:rFonts w:hint="default" w:ascii="Times New Roman" w:hAnsi="Times New Roman" w:eastAsia="宋体" w:cs="Times New Roman"/>
                <w:b/>
                <w:bCs/>
                <w:color w:val="auto"/>
                <w:kern w:val="2"/>
                <w:sz w:val="21"/>
                <w:szCs w:val="21"/>
                <w:highlight w:val="none"/>
                <w:lang w:val="en-US" w:eastAsia="zh-CN" w:bidi="ar-SA"/>
              </w:rPr>
              <w:t>有组织废气污染物治理及排放情况</w:t>
            </w:r>
          </w:p>
          <w:tbl>
            <w:tblPr>
              <w:tblStyle w:val="32"/>
              <w:tblW w:w="4998"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501"/>
              <w:gridCol w:w="631"/>
              <w:gridCol w:w="655"/>
              <w:gridCol w:w="567"/>
              <w:gridCol w:w="477"/>
              <w:gridCol w:w="565"/>
              <w:gridCol w:w="564"/>
              <w:gridCol w:w="639"/>
              <w:gridCol w:w="956"/>
              <w:gridCol w:w="582"/>
              <w:gridCol w:w="686"/>
              <w:gridCol w:w="541"/>
              <w:gridCol w:w="766"/>
            </w:tblGrid>
            <w:tr w14:paraId="524FC2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3" w:hRule="atLeast"/>
              </w:trPr>
              <w:tc>
                <w:tcPr>
                  <w:tcW w:w="308" w:type="pct"/>
                  <w:vMerge w:val="restart"/>
                  <w:tcBorders>
                    <w:tl2br w:val="nil"/>
                    <w:tr2bl w:val="nil"/>
                  </w:tcBorders>
                  <w:shd w:val="clear" w:color="auto" w:fill="auto"/>
                  <w:noWrap/>
                  <w:vAlign w:val="center"/>
                </w:tcPr>
                <w:p w14:paraId="358EFCD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产污环节</w:t>
                  </w:r>
                </w:p>
              </w:tc>
              <w:tc>
                <w:tcPr>
                  <w:tcW w:w="388" w:type="pct"/>
                  <w:vMerge w:val="restart"/>
                  <w:tcBorders>
                    <w:tl2br w:val="nil"/>
                    <w:tr2bl w:val="nil"/>
                  </w:tcBorders>
                  <w:shd w:val="clear" w:color="auto" w:fill="auto"/>
                  <w:noWrap/>
                  <w:vAlign w:val="center"/>
                </w:tcPr>
                <w:p w14:paraId="2813F27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污染物</w:t>
                  </w:r>
                </w:p>
              </w:tc>
              <w:tc>
                <w:tcPr>
                  <w:tcW w:w="402" w:type="pct"/>
                  <w:vMerge w:val="restart"/>
                  <w:tcBorders>
                    <w:tl2br w:val="nil"/>
                    <w:tr2bl w:val="nil"/>
                  </w:tcBorders>
                  <w:shd w:val="clear" w:color="auto" w:fill="auto"/>
                  <w:noWrap/>
                  <w:vAlign w:val="center"/>
                </w:tcPr>
                <w:p w14:paraId="4B68D36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计算方式</w:t>
                  </w:r>
                </w:p>
              </w:tc>
              <w:tc>
                <w:tcPr>
                  <w:tcW w:w="348" w:type="pct"/>
                  <w:vMerge w:val="restart"/>
                  <w:tcBorders>
                    <w:tl2br w:val="nil"/>
                    <w:tr2bl w:val="nil"/>
                  </w:tcBorders>
                  <w:shd w:val="clear" w:color="auto" w:fill="auto"/>
                  <w:noWrap/>
                  <w:vAlign w:val="center"/>
                </w:tcPr>
                <w:p w14:paraId="1715828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生产时长</w:t>
                  </w:r>
                </w:p>
              </w:tc>
              <w:tc>
                <w:tcPr>
                  <w:tcW w:w="293" w:type="pct"/>
                  <w:vMerge w:val="restart"/>
                  <w:tcBorders>
                    <w:tl2br w:val="nil"/>
                    <w:tr2bl w:val="nil"/>
                  </w:tcBorders>
                  <w:shd w:val="clear" w:color="auto" w:fill="auto"/>
                  <w:noWrap/>
                  <w:vAlign w:val="center"/>
                </w:tcPr>
                <w:p w14:paraId="57426F3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废气量</w:t>
                  </w:r>
                </w:p>
              </w:tc>
              <w:tc>
                <w:tcPr>
                  <w:tcW w:w="694" w:type="pct"/>
                  <w:gridSpan w:val="2"/>
                  <w:tcBorders>
                    <w:tl2br w:val="nil"/>
                    <w:tr2bl w:val="nil"/>
                  </w:tcBorders>
                  <w:shd w:val="clear" w:color="auto" w:fill="auto"/>
                  <w:noWrap/>
                  <w:vAlign w:val="center"/>
                </w:tcPr>
                <w:p w14:paraId="197EA26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lang w:val="en-US"/>
                    </w:rPr>
                  </w:pPr>
                  <w:r>
                    <w:rPr>
                      <w:rFonts w:hint="default" w:ascii="Times New Roman" w:hAnsi="Times New Roman" w:eastAsia="宋体" w:cs="Times New Roman"/>
                      <w:b/>
                      <w:bCs/>
                      <w:i w:val="0"/>
                      <w:iCs w:val="0"/>
                      <w:color w:val="auto"/>
                      <w:kern w:val="0"/>
                      <w:sz w:val="21"/>
                      <w:szCs w:val="21"/>
                      <w:u w:val="none"/>
                      <w:lang w:val="en-US" w:eastAsia="zh-CN" w:bidi="ar"/>
                    </w:rPr>
                    <w:t>产生情况</w:t>
                  </w:r>
                </w:p>
              </w:tc>
              <w:tc>
                <w:tcPr>
                  <w:tcW w:w="1338" w:type="pct"/>
                  <w:gridSpan w:val="3"/>
                  <w:tcBorders>
                    <w:tl2br w:val="nil"/>
                    <w:tr2bl w:val="nil"/>
                  </w:tcBorders>
                  <w:shd w:val="clear" w:color="auto" w:fill="auto"/>
                  <w:noWrap/>
                  <w:vAlign w:val="center"/>
                </w:tcPr>
                <w:p w14:paraId="52BC615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治理情况</w:t>
                  </w:r>
                </w:p>
              </w:tc>
              <w:tc>
                <w:tcPr>
                  <w:tcW w:w="1225" w:type="pct"/>
                  <w:gridSpan w:val="3"/>
                  <w:tcBorders>
                    <w:tl2br w:val="nil"/>
                    <w:tr2bl w:val="nil"/>
                  </w:tcBorders>
                  <w:shd w:val="clear" w:color="auto" w:fill="auto"/>
                  <w:noWrap/>
                  <w:vAlign w:val="center"/>
                </w:tcPr>
                <w:p w14:paraId="404E888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有组织排放</w:t>
                  </w:r>
                </w:p>
              </w:tc>
            </w:tr>
            <w:tr w14:paraId="661AE44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rPr>
              <w:tc>
                <w:tcPr>
                  <w:tcW w:w="308" w:type="pct"/>
                  <w:vMerge w:val="continue"/>
                  <w:tcBorders>
                    <w:tl2br w:val="nil"/>
                    <w:tr2bl w:val="nil"/>
                  </w:tcBorders>
                  <w:shd w:val="clear" w:color="auto" w:fill="auto"/>
                  <w:noWrap/>
                  <w:vAlign w:val="center"/>
                </w:tcPr>
                <w:p w14:paraId="0804D24B">
                  <w:pPr>
                    <w:jc w:val="center"/>
                    <w:rPr>
                      <w:rFonts w:hint="default" w:ascii="Times New Roman" w:hAnsi="Times New Roman" w:eastAsia="宋体" w:cs="Times New Roman"/>
                      <w:b/>
                      <w:bCs/>
                      <w:i w:val="0"/>
                      <w:iCs w:val="0"/>
                      <w:color w:val="auto"/>
                      <w:sz w:val="21"/>
                      <w:szCs w:val="21"/>
                      <w:u w:val="none"/>
                    </w:rPr>
                  </w:pPr>
                </w:p>
              </w:tc>
              <w:tc>
                <w:tcPr>
                  <w:tcW w:w="388" w:type="pct"/>
                  <w:vMerge w:val="continue"/>
                  <w:tcBorders>
                    <w:tl2br w:val="nil"/>
                    <w:tr2bl w:val="nil"/>
                  </w:tcBorders>
                  <w:shd w:val="clear" w:color="auto" w:fill="auto"/>
                  <w:noWrap/>
                  <w:vAlign w:val="center"/>
                </w:tcPr>
                <w:p w14:paraId="754A69BB">
                  <w:pPr>
                    <w:jc w:val="center"/>
                    <w:rPr>
                      <w:rFonts w:hint="default" w:ascii="Times New Roman" w:hAnsi="Times New Roman" w:eastAsia="宋体" w:cs="Times New Roman"/>
                      <w:b/>
                      <w:bCs/>
                      <w:i w:val="0"/>
                      <w:iCs w:val="0"/>
                      <w:color w:val="auto"/>
                      <w:sz w:val="21"/>
                      <w:szCs w:val="21"/>
                      <w:u w:val="none"/>
                    </w:rPr>
                  </w:pPr>
                </w:p>
              </w:tc>
              <w:tc>
                <w:tcPr>
                  <w:tcW w:w="402" w:type="pct"/>
                  <w:vMerge w:val="continue"/>
                  <w:tcBorders>
                    <w:tl2br w:val="nil"/>
                    <w:tr2bl w:val="nil"/>
                  </w:tcBorders>
                  <w:shd w:val="clear" w:color="auto" w:fill="auto"/>
                  <w:noWrap/>
                  <w:vAlign w:val="center"/>
                </w:tcPr>
                <w:p w14:paraId="7DAD8602">
                  <w:pPr>
                    <w:jc w:val="center"/>
                    <w:rPr>
                      <w:rFonts w:hint="default" w:ascii="Times New Roman" w:hAnsi="Times New Roman" w:eastAsia="宋体" w:cs="Times New Roman"/>
                      <w:b/>
                      <w:bCs/>
                      <w:i w:val="0"/>
                      <w:iCs w:val="0"/>
                      <w:color w:val="auto"/>
                      <w:sz w:val="21"/>
                      <w:szCs w:val="21"/>
                      <w:u w:val="none"/>
                    </w:rPr>
                  </w:pPr>
                </w:p>
              </w:tc>
              <w:tc>
                <w:tcPr>
                  <w:tcW w:w="348" w:type="pct"/>
                  <w:vMerge w:val="continue"/>
                  <w:tcBorders>
                    <w:tl2br w:val="nil"/>
                    <w:tr2bl w:val="nil"/>
                  </w:tcBorders>
                  <w:shd w:val="clear" w:color="auto" w:fill="auto"/>
                  <w:noWrap/>
                  <w:vAlign w:val="center"/>
                </w:tcPr>
                <w:p w14:paraId="3FC4AE1D">
                  <w:pPr>
                    <w:jc w:val="center"/>
                    <w:rPr>
                      <w:rFonts w:hint="default" w:ascii="Times New Roman" w:hAnsi="Times New Roman" w:eastAsia="宋体" w:cs="Times New Roman"/>
                      <w:b/>
                      <w:bCs/>
                      <w:i w:val="0"/>
                      <w:iCs w:val="0"/>
                      <w:color w:val="auto"/>
                      <w:sz w:val="21"/>
                      <w:szCs w:val="21"/>
                      <w:u w:val="none"/>
                    </w:rPr>
                  </w:pPr>
                </w:p>
              </w:tc>
              <w:tc>
                <w:tcPr>
                  <w:tcW w:w="293" w:type="pct"/>
                  <w:vMerge w:val="continue"/>
                  <w:tcBorders>
                    <w:tl2br w:val="nil"/>
                    <w:tr2bl w:val="nil"/>
                  </w:tcBorders>
                  <w:shd w:val="clear" w:color="auto" w:fill="auto"/>
                  <w:noWrap/>
                  <w:vAlign w:val="center"/>
                </w:tcPr>
                <w:p w14:paraId="485823CD">
                  <w:pPr>
                    <w:jc w:val="center"/>
                    <w:rPr>
                      <w:rFonts w:hint="default" w:ascii="Times New Roman" w:hAnsi="Times New Roman" w:eastAsia="宋体" w:cs="Times New Roman"/>
                      <w:b/>
                      <w:bCs/>
                      <w:i w:val="0"/>
                      <w:iCs w:val="0"/>
                      <w:color w:val="auto"/>
                      <w:sz w:val="21"/>
                      <w:szCs w:val="21"/>
                      <w:u w:val="none"/>
                    </w:rPr>
                  </w:pPr>
                </w:p>
              </w:tc>
              <w:tc>
                <w:tcPr>
                  <w:tcW w:w="347" w:type="pct"/>
                  <w:tcBorders>
                    <w:tl2br w:val="nil"/>
                    <w:tr2bl w:val="nil"/>
                  </w:tcBorders>
                  <w:shd w:val="clear" w:color="auto" w:fill="auto"/>
                  <w:noWrap/>
                  <w:vAlign w:val="center"/>
                </w:tcPr>
                <w:p w14:paraId="49F6507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产生量</w:t>
                  </w:r>
                </w:p>
              </w:tc>
              <w:tc>
                <w:tcPr>
                  <w:tcW w:w="346" w:type="pct"/>
                  <w:tcBorders>
                    <w:tl2br w:val="nil"/>
                    <w:tr2bl w:val="nil"/>
                  </w:tcBorders>
                  <w:shd w:val="clear" w:color="auto" w:fill="auto"/>
                  <w:noWrap/>
                  <w:vAlign w:val="center"/>
                </w:tcPr>
                <w:p w14:paraId="129E071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速率</w:t>
                  </w:r>
                </w:p>
              </w:tc>
              <w:tc>
                <w:tcPr>
                  <w:tcW w:w="392" w:type="pct"/>
                  <w:tcBorders>
                    <w:tl2br w:val="nil"/>
                    <w:tr2bl w:val="nil"/>
                  </w:tcBorders>
                  <w:shd w:val="clear" w:color="auto" w:fill="auto"/>
                  <w:noWrap/>
                  <w:vAlign w:val="center"/>
                </w:tcPr>
                <w:p w14:paraId="1C43B5C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收集效率</w:t>
                  </w:r>
                </w:p>
              </w:tc>
              <w:tc>
                <w:tcPr>
                  <w:tcW w:w="587" w:type="pct"/>
                  <w:vMerge w:val="restart"/>
                  <w:tcBorders>
                    <w:tl2br w:val="nil"/>
                    <w:tr2bl w:val="nil"/>
                  </w:tcBorders>
                  <w:shd w:val="clear" w:color="auto" w:fill="auto"/>
                  <w:noWrap/>
                  <w:vAlign w:val="center"/>
                </w:tcPr>
                <w:p w14:paraId="2E0E233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治理设施</w:t>
                  </w:r>
                </w:p>
              </w:tc>
              <w:tc>
                <w:tcPr>
                  <w:tcW w:w="357" w:type="pct"/>
                  <w:tcBorders>
                    <w:tl2br w:val="nil"/>
                    <w:tr2bl w:val="nil"/>
                  </w:tcBorders>
                  <w:shd w:val="clear" w:color="auto" w:fill="auto"/>
                  <w:noWrap/>
                  <w:vAlign w:val="center"/>
                </w:tcPr>
                <w:p w14:paraId="431BBA1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处理效率</w:t>
                  </w:r>
                </w:p>
              </w:tc>
              <w:tc>
                <w:tcPr>
                  <w:tcW w:w="421" w:type="pct"/>
                  <w:tcBorders>
                    <w:tl2br w:val="nil"/>
                    <w:tr2bl w:val="nil"/>
                  </w:tcBorders>
                  <w:shd w:val="clear" w:color="auto" w:fill="auto"/>
                  <w:noWrap/>
                  <w:vAlign w:val="center"/>
                </w:tcPr>
                <w:p w14:paraId="136F076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排放量</w:t>
                  </w:r>
                </w:p>
              </w:tc>
              <w:tc>
                <w:tcPr>
                  <w:tcW w:w="332" w:type="pct"/>
                  <w:tcBorders>
                    <w:tl2br w:val="nil"/>
                    <w:tr2bl w:val="nil"/>
                  </w:tcBorders>
                  <w:shd w:val="clear" w:color="auto" w:fill="auto"/>
                  <w:noWrap/>
                  <w:vAlign w:val="center"/>
                </w:tcPr>
                <w:p w14:paraId="0BC995C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速率</w:t>
                  </w:r>
                </w:p>
              </w:tc>
              <w:tc>
                <w:tcPr>
                  <w:tcW w:w="471" w:type="pct"/>
                  <w:tcBorders>
                    <w:tl2br w:val="nil"/>
                    <w:tr2bl w:val="nil"/>
                  </w:tcBorders>
                  <w:shd w:val="clear" w:color="auto" w:fill="auto"/>
                  <w:noWrap/>
                  <w:vAlign w:val="center"/>
                </w:tcPr>
                <w:p w14:paraId="5378B35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浓度</w:t>
                  </w:r>
                </w:p>
              </w:tc>
            </w:tr>
            <w:tr w14:paraId="39FA934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3" w:hRule="atLeast"/>
              </w:trPr>
              <w:tc>
                <w:tcPr>
                  <w:tcW w:w="308" w:type="pct"/>
                  <w:vMerge w:val="continue"/>
                  <w:tcBorders>
                    <w:tl2br w:val="nil"/>
                    <w:tr2bl w:val="nil"/>
                  </w:tcBorders>
                  <w:shd w:val="clear" w:color="auto" w:fill="auto"/>
                  <w:noWrap/>
                  <w:vAlign w:val="center"/>
                </w:tcPr>
                <w:p w14:paraId="173D2329">
                  <w:pPr>
                    <w:jc w:val="center"/>
                    <w:rPr>
                      <w:rFonts w:hint="default" w:ascii="Times New Roman" w:hAnsi="Times New Roman" w:eastAsia="宋体" w:cs="Times New Roman"/>
                      <w:b/>
                      <w:bCs/>
                      <w:i w:val="0"/>
                      <w:iCs w:val="0"/>
                      <w:color w:val="auto"/>
                      <w:sz w:val="21"/>
                      <w:szCs w:val="21"/>
                      <w:u w:val="none"/>
                    </w:rPr>
                  </w:pPr>
                </w:p>
              </w:tc>
              <w:tc>
                <w:tcPr>
                  <w:tcW w:w="388" w:type="pct"/>
                  <w:vMerge w:val="continue"/>
                  <w:tcBorders>
                    <w:tl2br w:val="nil"/>
                    <w:tr2bl w:val="nil"/>
                  </w:tcBorders>
                  <w:shd w:val="clear" w:color="auto" w:fill="auto"/>
                  <w:noWrap/>
                  <w:vAlign w:val="center"/>
                </w:tcPr>
                <w:p w14:paraId="557A1814">
                  <w:pPr>
                    <w:jc w:val="center"/>
                    <w:rPr>
                      <w:rFonts w:hint="default" w:ascii="Times New Roman" w:hAnsi="Times New Roman" w:eastAsia="宋体" w:cs="Times New Roman"/>
                      <w:b/>
                      <w:bCs/>
                      <w:i w:val="0"/>
                      <w:iCs w:val="0"/>
                      <w:color w:val="auto"/>
                      <w:sz w:val="21"/>
                      <w:szCs w:val="21"/>
                      <w:u w:val="none"/>
                    </w:rPr>
                  </w:pPr>
                </w:p>
              </w:tc>
              <w:tc>
                <w:tcPr>
                  <w:tcW w:w="402" w:type="pct"/>
                  <w:vMerge w:val="continue"/>
                  <w:tcBorders>
                    <w:tl2br w:val="nil"/>
                    <w:tr2bl w:val="nil"/>
                  </w:tcBorders>
                  <w:shd w:val="clear" w:color="auto" w:fill="auto"/>
                  <w:noWrap/>
                  <w:vAlign w:val="center"/>
                </w:tcPr>
                <w:p w14:paraId="10AB4C87">
                  <w:pPr>
                    <w:jc w:val="center"/>
                    <w:rPr>
                      <w:rFonts w:hint="default" w:ascii="Times New Roman" w:hAnsi="Times New Roman" w:eastAsia="宋体" w:cs="Times New Roman"/>
                      <w:b/>
                      <w:bCs/>
                      <w:i w:val="0"/>
                      <w:iCs w:val="0"/>
                      <w:color w:val="auto"/>
                      <w:sz w:val="21"/>
                      <w:szCs w:val="21"/>
                      <w:u w:val="none"/>
                    </w:rPr>
                  </w:pPr>
                </w:p>
              </w:tc>
              <w:tc>
                <w:tcPr>
                  <w:tcW w:w="348" w:type="pct"/>
                  <w:tcBorders>
                    <w:tl2br w:val="nil"/>
                    <w:tr2bl w:val="nil"/>
                  </w:tcBorders>
                  <w:shd w:val="clear" w:color="auto" w:fill="auto"/>
                  <w:noWrap/>
                  <w:vAlign w:val="center"/>
                </w:tcPr>
                <w:p w14:paraId="79F1F42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h</w:t>
                  </w:r>
                </w:p>
              </w:tc>
              <w:tc>
                <w:tcPr>
                  <w:tcW w:w="293" w:type="pct"/>
                  <w:tcBorders>
                    <w:tl2br w:val="nil"/>
                    <w:tr2bl w:val="nil"/>
                  </w:tcBorders>
                  <w:shd w:val="clear" w:color="auto" w:fill="auto"/>
                  <w:noWrap/>
                  <w:vAlign w:val="center"/>
                </w:tcPr>
                <w:p w14:paraId="386FF2D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vertAlign w:val="baseline"/>
                      <w:lang w:val="en-US"/>
                    </w:rPr>
                  </w:pPr>
                  <w:r>
                    <w:rPr>
                      <w:rFonts w:hint="default" w:ascii="Times New Roman" w:hAnsi="Times New Roman" w:eastAsia="宋体" w:cs="Times New Roman"/>
                      <w:b/>
                      <w:bCs/>
                      <w:i w:val="0"/>
                      <w:iCs w:val="0"/>
                      <w:color w:val="auto"/>
                      <w:kern w:val="0"/>
                      <w:sz w:val="21"/>
                      <w:szCs w:val="21"/>
                      <w:u w:val="none"/>
                      <w:lang w:val="en-US" w:eastAsia="zh-CN" w:bidi="ar"/>
                    </w:rPr>
                    <w:t>m</w:t>
                  </w:r>
                  <w:r>
                    <w:rPr>
                      <w:rStyle w:val="62"/>
                      <w:rFonts w:hint="default" w:ascii="Times New Roman" w:hAnsi="Times New Roman" w:eastAsia="宋体" w:cs="Times New Roman"/>
                      <w:color w:val="auto"/>
                      <w:sz w:val="21"/>
                      <w:szCs w:val="21"/>
                      <w:vertAlign w:val="superscript"/>
                      <w:lang w:val="en-US" w:eastAsia="zh-CN" w:bidi="ar"/>
                    </w:rPr>
                    <w:t>3</w:t>
                  </w:r>
                  <w:r>
                    <w:rPr>
                      <w:rStyle w:val="62"/>
                      <w:rFonts w:hint="default" w:ascii="Times New Roman" w:hAnsi="Times New Roman" w:eastAsia="宋体" w:cs="Times New Roman"/>
                      <w:color w:val="auto"/>
                      <w:sz w:val="21"/>
                      <w:szCs w:val="21"/>
                      <w:vertAlign w:val="baseline"/>
                      <w:lang w:val="en-US" w:eastAsia="zh-CN" w:bidi="ar"/>
                    </w:rPr>
                    <w:t>/h</w:t>
                  </w:r>
                </w:p>
              </w:tc>
              <w:tc>
                <w:tcPr>
                  <w:tcW w:w="347" w:type="pct"/>
                  <w:tcBorders>
                    <w:tl2br w:val="nil"/>
                    <w:tr2bl w:val="nil"/>
                  </w:tcBorders>
                  <w:shd w:val="clear" w:color="auto" w:fill="auto"/>
                  <w:noWrap/>
                  <w:vAlign w:val="center"/>
                </w:tcPr>
                <w:p w14:paraId="4CF25D6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t/a</w:t>
                  </w:r>
                </w:p>
              </w:tc>
              <w:tc>
                <w:tcPr>
                  <w:tcW w:w="346" w:type="pct"/>
                  <w:tcBorders>
                    <w:tl2br w:val="nil"/>
                    <w:tr2bl w:val="nil"/>
                  </w:tcBorders>
                  <w:shd w:val="clear" w:color="auto" w:fill="auto"/>
                  <w:noWrap/>
                  <w:vAlign w:val="center"/>
                </w:tcPr>
                <w:p w14:paraId="090A595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kg/h</w:t>
                  </w:r>
                </w:p>
              </w:tc>
              <w:tc>
                <w:tcPr>
                  <w:tcW w:w="392" w:type="pct"/>
                  <w:tcBorders>
                    <w:tl2br w:val="nil"/>
                    <w:tr2bl w:val="nil"/>
                  </w:tcBorders>
                  <w:shd w:val="clear" w:color="auto" w:fill="auto"/>
                  <w:noWrap/>
                  <w:vAlign w:val="center"/>
                </w:tcPr>
                <w:p w14:paraId="6141A66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w:t>
                  </w:r>
                </w:p>
              </w:tc>
              <w:tc>
                <w:tcPr>
                  <w:tcW w:w="587" w:type="pct"/>
                  <w:vMerge w:val="continue"/>
                  <w:tcBorders>
                    <w:tl2br w:val="nil"/>
                    <w:tr2bl w:val="nil"/>
                  </w:tcBorders>
                  <w:shd w:val="clear" w:color="auto" w:fill="auto"/>
                  <w:noWrap/>
                  <w:vAlign w:val="center"/>
                </w:tcPr>
                <w:p w14:paraId="16761777">
                  <w:pPr>
                    <w:jc w:val="center"/>
                    <w:rPr>
                      <w:rFonts w:hint="default" w:ascii="Times New Roman" w:hAnsi="Times New Roman" w:eastAsia="宋体" w:cs="Times New Roman"/>
                      <w:b/>
                      <w:bCs/>
                      <w:i w:val="0"/>
                      <w:iCs w:val="0"/>
                      <w:color w:val="auto"/>
                      <w:sz w:val="21"/>
                      <w:szCs w:val="21"/>
                      <w:u w:val="none"/>
                    </w:rPr>
                  </w:pPr>
                </w:p>
              </w:tc>
              <w:tc>
                <w:tcPr>
                  <w:tcW w:w="357" w:type="pct"/>
                  <w:tcBorders>
                    <w:tl2br w:val="nil"/>
                    <w:tr2bl w:val="nil"/>
                  </w:tcBorders>
                  <w:shd w:val="clear" w:color="auto" w:fill="auto"/>
                  <w:noWrap/>
                  <w:vAlign w:val="center"/>
                </w:tcPr>
                <w:p w14:paraId="1DC10B2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w:t>
                  </w:r>
                </w:p>
              </w:tc>
              <w:tc>
                <w:tcPr>
                  <w:tcW w:w="421" w:type="pct"/>
                  <w:tcBorders>
                    <w:tl2br w:val="nil"/>
                    <w:tr2bl w:val="nil"/>
                  </w:tcBorders>
                  <w:shd w:val="clear" w:color="auto" w:fill="auto"/>
                  <w:noWrap/>
                  <w:vAlign w:val="center"/>
                </w:tcPr>
                <w:p w14:paraId="523CBAE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t/a</w:t>
                  </w:r>
                </w:p>
              </w:tc>
              <w:tc>
                <w:tcPr>
                  <w:tcW w:w="332" w:type="pct"/>
                  <w:tcBorders>
                    <w:tl2br w:val="nil"/>
                    <w:tr2bl w:val="nil"/>
                  </w:tcBorders>
                  <w:shd w:val="clear" w:color="auto" w:fill="auto"/>
                  <w:noWrap/>
                  <w:vAlign w:val="center"/>
                </w:tcPr>
                <w:p w14:paraId="318C9E4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kg/h</w:t>
                  </w:r>
                </w:p>
              </w:tc>
              <w:tc>
                <w:tcPr>
                  <w:tcW w:w="471" w:type="pct"/>
                  <w:tcBorders>
                    <w:tl2br w:val="nil"/>
                    <w:tr2bl w:val="nil"/>
                  </w:tcBorders>
                  <w:shd w:val="clear" w:color="auto" w:fill="auto"/>
                  <w:noWrap/>
                  <w:vAlign w:val="center"/>
                </w:tcPr>
                <w:p w14:paraId="1E3D06C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mg/m</w:t>
                  </w:r>
                  <w:r>
                    <w:rPr>
                      <w:rStyle w:val="62"/>
                      <w:rFonts w:hint="default" w:ascii="Times New Roman" w:hAnsi="Times New Roman" w:eastAsia="宋体" w:cs="Times New Roman"/>
                      <w:color w:val="auto"/>
                      <w:sz w:val="21"/>
                      <w:szCs w:val="21"/>
                      <w:vertAlign w:val="superscript"/>
                      <w:lang w:val="en-US" w:eastAsia="zh-CN" w:bidi="ar"/>
                    </w:rPr>
                    <w:t>3</w:t>
                  </w:r>
                </w:p>
              </w:tc>
            </w:tr>
            <w:tr w14:paraId="4E8CF8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3" w:hRule="atLeast"/>
              </w:trPr>
              <w:tc>
                <w:tcPr>
                  <w:tcW w:w="308" w:type="pct"/>
                  <w:vMerge w:val="restart"/>
                  <w:tcBorders>
                    <w:tl2br w:val="nil"/>
                    <w:tr2bl w:val="nil"/>
                  </w:tcBorders>
                  <w:shd w:val="clear" w:color="auto" w:fill="auto"/>
                  <w:vAlign w:val="center"/>
                </w:tcPr>
                <w:p w14:paraId="314AA6F2">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煤气燃烧</w:t>
                  </w:r>
                </w:p>
              </w:tc>
              <w:tc>
                <w:tcPr>
                  <w:tcW w:w="388" w:type="pct"/>
                  <w:tcBorders>
                    <w:tl2br w:val="nil"/>
                    <w:tr2bl w:val="nil"/>
                  </w:tcBorders>
                  <w:shd w:val="clear" w:color="auto" w:fill="auto"/>
                  <w:noWrap/>
                  <w:vAlign w:val="center"/>
                </w:tcPr>
                <w:p w14:paraId="0531E5A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颗粒物</w:t>
                  </w:r>
                </w:p>
              </w:tc>
              <w:tc>
                <w:tcPr>
                  <w:tcW w:w="402" w:type="pct"/>
                  <w:tcBorders>
                    <w:tl2br w:val="nil"/>
                    <w:tr2bl w:val="nil"/>
                  </w:tcBorders>
                  <w:shd w:val="clear" w:color="auto" w:fill="auto"/>
                  <w:noWrap/>
                  <w:vAlign w:val="center"/>
                </w:tcPr>
                <w:p w14:paraId="60E73E76">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产污系数法</w:t>
                  </w:r>
                </w:p>
              </w:tc>
              <w:tc>
                <w:tcPr>
                  <w:tcW w:w="348" w:type="pct"/>
                  <w:tcBorders>
                    <w:tl2br w:val="nil"/>
                    <w:tr2bl w:val="nil"/>
                  </w:tcBorders>
                  <w:shd w:val="clear" w:color="auto" w:fill="auto"/>
                  <w:noWrap/>
                  <w:vAlign w:val="center"/>
                </w:tcPr>
                <w:p w14:paraId="0F6195F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8000</w:t>
                  </w:r>
                </w:p>
              </w:tc>
              <w:tc>
                <w:tcPr>
                  <w:tcW w:w="293" w:type="pct"/>
                  <w:tcBorders>
                    <w:tl2br w:val="nil"/>
                    <w:tr2bl w:val="nil"/>
                  </w:tcBorders>
                  <w:shd w:val="clear" w:color="auto" w:fill="auto"/>
                  <w:noWrap/>
                  <w:vAlign w:val="center"/>
                </w:tcPr>
                <w:p w14:paraId="13B2377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486723</w:t>
                  </w:r>
                </w:p>
              </w:tc>
              <w:tc>
                <w:tcPr>
                  <w:tcW w:w="347" w:type="pct"/>
                  <w:tcBorders>
                    <w:tl2br w:val="nil"/>
                    <w:tr2bl w:val="nil"/>
                  </w:tcBorders>
                  <w:shd w:val="clear" w:color="auto" w:fill="auto"/>
                  <w:noWrap/>
                  <w:vAlign w:val="center"/>
                </w:tcPr>
                <w:p w14:paraId="130DE7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71.101</w:t>
                  </w:r>
                </w:p>
              </w:tc>
              <w:tc>
                <w:tcPr>
                  <w:tcW w:w="346" w:type="pct"/>
                  <w:tcBorders>
                    <w:tl2br w:val="nil"/>
                    <w:tr2bl w:val="nil"/>
                  </w:tcBorders>
                  <w:shd w:val="clear" w:color="auto" w:fill="auto"/>
                  <w:noWrap/>
                  <w:vAlign w:val="center"/>
                </w:tcPr>
                <w:p w14:paraId="23F585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8.89</w:t>
                  </w:r>
                </w:p>
              </w:tc>
              <w:tc>
                <w:tcPr>
                  <w:tcW w:w="392" w:type="pct"/>
                  <w:tcBorders>
                    <w:tl2br w:val="nil"/>
                    <w:tr2bl w:val="nil"/>
                  </w:tcBorders>
                  <w:shd w:val="clear" w:color="auto" w:fill="auto"/>
                  <w:noWrap/>
                  <w:vAlign w:val="center"/>
                </w:tcPr>
                <w:p w14:paraId="43ED096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587" w:type="pct"/>
                  <w:tcBorders>
                    <w:tl2br w:val="nil"/>
                    <w:tr2bl w:val="nil"/>
                  </w:tcBorders>
                  <w:shd w:val="clear" w:color="auto" w:fill="auto"/>
                  <w:noWrap/>
                  <w:vAlign w:val="center"/>
                </w:tcPr>
                <w:p w14:paraId="1A16566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石灰（石）-石膏湿法脱硫+高效除雾器协同除尘+湿式电除尘器</w:t>
                  </w:r>
                </w:p>
              </w:tc>
              <w:tc>
                <w:tcPr>
                  <w:tcW w:w="357" w:type="pct"/>
                  <w:tcBorders>
                    <w:tl2br w:val="nil"/>
                    <w:tr2bl w:val="nil"/>
                  </w:tcBorders>
                  <w:shd w:val="clear" w:color="auto" w:fill="auto"/>
                  <w:noWrap/>
                  <w:vAlign w:val="center"/>
                </w:tcPr>
                <w:p w14:paraId="2A96427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95%</w:t>
                  </w:r>
                </w:p>
              </w:tc>
              <w:tc>
                <w:tcPr>
                  <w:tcW w:w="686" w:type="dxa"/>
                  <w:tcBorders>
                    <w:tl2br w:val="nil"/>
                    <w:tr2bl w:val="nil"/>
                  </w:tcBorders>
                  <w:shd w:val="clear" w:color="auto" w:fill="auto"/>
                  <w:noWrap/>
                  <w:vAlign w:val="center"/>
                </w:tcPr>
                <w:p w14:paraId="73229F07">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3.555</w:t>
                  </w:r>
                </w:p>
              </w:tc>
              <w:tc>
                <w:tcPr>
                  <w:tcW w:w="541" w:type="dxa"/>
                  <w:tcBorders>
                    <w:tl2br w:val="nil"/>
                    <w:tr2bl w:val="nil"/>
                  </w:tcBorders>
                  <w:shd w:val="clear" w:color="auto" w:fill="auto"/>
                  <w:noWrap/>
                  <w:vAlign w:val="center"/>
                </w:tcPr>
                <w:p w14:paraId="26904AC5">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0.44</w:t>
                  </w:r>
                </w:p>
              </w:tc>
              <w:tc>
                <w:tcPr>
                  <w:tcW w:w="766" w:type="dxa"/>
                  <w:tcBorders>
                    <w:tl2br w:val="nil"/>
                    <w:tr2bl w:val="nil"/>
                  </w:tcBorders>
                  <w:shd w:val="clear" w:color="auto" w:fill="auto"/>
                  <w:noWrap/>
                  <w:vAlign w:val="center"/>
                </w:tcPr>
                <w:p w14:paraId="711F1668">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0.91</w:t>
                  </w:r>
                </w:p>
              </w:tc>
            </w:tr>
            <w:tr w14:paraId="2987585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3" w:hRule="atLeast"/>
              </w:trPr>
              <w:tc>
                <w:tcPr>
                  <w:tcW w:w="308" w:type="pct"/>
                  <w:vMerge w:val="continue"/>
                  <w:tcBorders>
                    <w:tl2br w:val="nil"/>
                    <w:tr2bl w:val="nil"/>
                  </w:tcBorders>
                  <w:shd w:val="clear" w:color="auto" w:fill="auto"/>
                  <w:vAlign w:val="center"/>
                </w:tcPr>
                <w:p w14:paraId="5D79849F">
                  <w:pPr>
                    <w:jc w:val="center"/>
                    <w:rPr>
                      <w:rFonts w:hint="default" w:ascii="Times New Roman" w:hAnsi="Times New Roman" w:eastAsia="宋体" w:cs="Times New Roman"/>
                      <w:i w:val="0"/>
                      <w:iCs w:val="0"/>
                      <w:color w:val="auto"/>
                      <w:sz w:val="21"/>
                      <w:szCs w:val="21"/>
                      <w:u w:val="none"/>
                    </w:rPr>
                  </w:pPr>
                </w:p>
              </w:tc>
              <w:tc>
                <w:tcPr>
                  <w:tcW w:w="388" w:type="pct"/>
                  <w:tcBorders>
                    <w:tl2br w:val="nil"/>
                    <w:tr2bl w:val="nil"/>
                  </w:tcBorders>
                  <w:shd w:val="clear" w:color="auto" w:fill="auto"/>
                  <w:noWrap/>
                  <w:vAlign w:val="center"/>
                </w:tcPr>
                <w:p w14:paraId="135662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氮氧化物</w:t>
                  </w:r>
                </w:p>
              </w:tc>
              <w:tc>
                <w:tcPr>
                  <w:tcW w:w="402" w:type="pct"/>
                  <w:tcBorders>
                    <w:tl2br w:val="nil"/>
                    <w:tr2bl w:val="nil"/>
                  </w:tcBorders>
                  <w:shd w:val="clear" w:color="auto" w:fill="auto"/>
                  <w:noWrap/>
                  <w:vAlign w:val="center"/>
                </w:tcPr>
                <w:p w14:paraId="1FBCA2E8">
                  <w:pPr>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产污系数法</w:t>
                  </w:r>
                </w:p>
              </w:tc>
              <w:tc>
                <w:tcPr>
                  <w:tcW w:w="348" w:type="pct"/>
                  <w:tcBorders>
                    <w:tl2br w:val="nil"/>
                    <w:tr2bl w:val="nil"/>
                  </w:tcBorders>
                  <w:shd w:val="clear" w:color="auto" w:fill="auto"/>
                  <w:noWrap/>
                  <w:vAlign w:val="center"/>
                </w:tcPr>
                <w:p w14:paraId="41F856C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8000</w:t>
                  </w:r>
                </w:p>
              </w:tc>
              <w:tc>
                <w:tcPr>
                  <w:tcW w:w="293" w:type="pct"/>
                  <w:tcBorders>
                    <w:tl2br w:val="nil"/>
                    <w:tr2bl w:val="nil"/>
                  </w:tcBorders>
                  <w:shd w:val="clear" w:color="auto" w:fill="auto"/>
                  <w:noWrap/>
                  <w:vAlign w:val="center"/>
                </w:tcPr>
                <w:p w14:paraId="7EAADB2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486723</w:t>
                  </w:r>
                </w:p>
              </w:tc>
              <w:tc>
                <w:tcPr>
                  <w:tcW w:w="347" w:type="pct"/>
                  <w:tcBorders>
                    <w:tl2br w:val="nil"/>
                    <w:tr2bl w:val="nil"/>
                  </w:tcBorders>
                  <w:shd w:val="clear" w:color="auto" w:fill="auto"/>
                  <w:noWrap/>
                  <w:vAlign w:val="center"/>
                </w:tcPr>
                <w:p w14:paraId="42CA43F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0"/>
                      <w:szCs w:val="20"/>
                      <w:u w:val="none"/>
                      <w:lang w:val="en-US" w:eastAsia="zh-CN" w:bidi="ar"/>
                    </w:rPr>
                    <w:t>389.378</w:t>
                  </w:r>
                </w:p>
              </w:tc>
              <w:tc>
                <w:tcPr>
                  <w:tcW w:w="346" w:type="pct"/>
                  <w:tcBorders>
                    <w:tl2br w:val="nil"/>
                    <w:tr2bl w:val="nil"/>
                  </w:tcBorders>
                  <w:shd w:val="clear" w:color="auto" w:fill="auto"/>
                  <w:noWrap/>
                  <w:vAlign w:val="center"/>
                </w:tcPr>
                <w:p w14:paraId="3276050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0"/>
                      <w:szCs w:val="20"/>
                      <w:u w:val="none"/>
                      <w:lang w:val="en-US" w:eastAsia="zh-CN" w:bidi="ar"/>
                    </w:rPr>
                    <w:t>48.67</w:t>
                  </w:r>
                </w:p>
              </w:tc>
              <w:tc>
                <w:tcPr>
                  <w:tcW w:w="392" w:type="pct"/>
                  <w:tcBorders>
                    <w:tl2br w:val="nil"/>
                    <w:tr2bl w:val="nil"/>
                  </w:tcBorders>
                  <w:shd w:val="clear" w:color="auto" w:fill="auto"/>
                  <w:noWrap/>
                  <w:vAlign w:val="center"/>
                </w:tcPr>
                <w:p w14:paraId="2F96CB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587" w:type="pct"/>
                  <w:tcBorders>
                    <w:tl2br w:val="nil"/>
                    <w:tr2bl w:val="nil"/>
                  </w:tcBorders>
                  <w:shd w:val="clear" w:color="auto" w:fill="auto"/>
                  <w:noWrap/>
                  <w:vAlign w:val="center"/>
                </w:tcPr>
                <w:p w14:paraId="29328BC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低氮燃烧器+选择性催化还原法（SCR）</w:t>
                  </w:r>
                </w:p>
              </w:tc>
              <w:tc>
                <w:tcPr>
                  <w:tcW w:w="357" w:type="pct"/>
                  <w:tcBorders>
                    <w:tl2br w:val="nil"/>
                    <w:tr2bl w:val="nil"/>
                  </w:tcBorders>
                  <w:shd w:val="clear" w:color="auto" w:fill="auto"/>
                  <w:noWrap/>
                  <w:vAlign w:val="center"/>
                </w:tcPr>
                <w:p w14:paraId="363DC72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80</w:t>
                  </w:r>
                  <w:r>
                    <w:rPr>
                      <w:rFonts w:hint="default" w:ascii="Times New Roman" w:hAnsi="Times New Roman" w:eastAsia="宋体" w:cs="Times New Roman"/>
                      <w:i w:val="0"/>
                      <w:iCs w:val="0"/>
                      <w:color w:val="auto"/>
                      <w:kern w:val="0"/>
                      <w:sz w:val="21"/>
                      <w:szCs w:val="21"/>
                      <w:u w:val="none"/>
                      <w:lang w:val="en-US" w:eastAsia="zh-CN" w:bidi="ar"/>
                    </w:rPr>
                    <w:t>%</w:t>
                  </w:r>
                </w:p>
              </w:tc>
              <w:tc>
                <w:tcPr>
                  <w:tcW w:w="421" w:type="pct"/>
                  <w:tcBorders>
                    <w:tl2br w:val="nil"/>
                    <w:tr2bl w:val="nil"/>
                  </w:tcBorders>
                  <w:shd w:val="clear" w:color="auto" w:fill="auto"/>
                  <w:noWrap/>
                  <w:vAlign w:val="center"/>
                </w:tcPr>
                <w:p w14:paraId="5729A96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cs="Times New Roman"/>
                      <w:i w:val="0"/>
                      <w:iCs w:val="0"/>
                      <w:color w:val="auto"/>
                      <w:kern w:val="0"/>
                      <w:sz w:val="21"/>
                      <w:szCs w:val="21"/>
                      <w:u w:val="none"/>
                      <w:lang w:val="en-US" w:eastAsia="zh-CN" w:bidi="ar"/>
                    </w:rPr>
                    <w:t>77.876</w:t>
                  </w:r>
                </w:p>
              </w:tc>
              <w:tc>
                <w:tcPr>
                  <w:tcW w:w="332" w:type="pct"/>
                  <w:tcBorders>
                    <w:tl2br w:val="nil"/>
                    <w:tr2bl w:val="nil"/>
                  </w:tcBorders>
                  <w:shd w:val="clear" w:color="auto" w:fill="auto"/>
                  <w:noWrap/>
                  <w:vAlign w:val="center"/>
                </w:tcPr>
                <w:p w14:paraId="3B221C8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cs="Times New Roman"/>
                      <w:i w:val="0"/>
                      <w:iCs w:val="0"/>
                      <w:color w:val="auto"/>
                      <w:kern w:val="0"/>
                      <w:sz w:val="21"/>
                      <w:szCs w:val="21"/>
                      <w:u w:val="none"/>
                      <w:lang w:val="en-US" w:eastAsia="zh-CN" w:bidi="ar"/>
                    </w:rPr>
                    <w:t>9.73</w:t>
                  </w:r>
                </w:p>
              </w:tc>
              <w:tc>
                <w:tcPr>
                  <w:tcW w:w="471" w:type="pct"/>
                  <w:tcBorders>
                    <w:tl2br w:val="nil"/>
                    <w:tr2bl w:val="nil"/>
                  </w:tcBorders>
                  <w:shd w:val="clear" w:color="auto" w:fill="auto"/>
                  <w:noWrap/>
                  <w:vAlign w:val="center"/>
                </w:tcPr>
                <w:p w14:paraId="4F9893D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cs="Times New Roman"/>
                      <w:i w:val="0"/>
                      <w:iCs w:val="0"/>
                      <w:color w:val="auto"/>
                      <w:kern w:val="0"/>
                      <w:sz w:val="20"/>
                      <w:szCs w:val="20"/>
                      <w:u w:val="none"/>
                      <w:lang w:val="en-US" w:eastAsia="zh-CN" w:bidi="ar"/>
                    </w:rPr>
                    <w:t>20</w:t>
                  </w:r>
                  <w:r>
                    <w:rPr>
                      <w:rFonts w:hint="default" w:ascii="Times New Roman" w:hAnsi="Times New Roman" w:eastAsia="宋体" w:cs="Times New Roman"/>
                      <w:i w:val="0"/>
                      <w:iCs w:val="0"/>
                      <w:color w:val="auto"/>
                      <w:kern w:val="0"/>
                      <w:sz w:val="20"/>
                      <w:szCs w:val="20"/>
                      <w:u w:val="none"/>
                      <w:lang w:val="en-US" w:eastAsia="zh-CN" w:bidi="ar"/>
                    </w:rPr>
                    <w:t>.00</w:t>
                  </w:r>
                </w:p>
              </w:tc>
            </w:tr>
            <w:tr w14:paraId="251583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3" w:hRule="atLeast"/>
              </w:trPr>
              <w:tc>
                <w:tcPr>
                  <w:tcW w:w="308" w:type="pct"/>
                  <w:vMerge w:val="continue"/>
                  <w:tcBorders>
                    <w:tl2br w:val="nil"/>
                    <w:tr2bl w:val="nil"/>
                  </w:tcBorders>
                  <w:shd w:val="clear" w:color="auto" w:fill="auto"/>
                  <w:vAlign w:val="center"/>
                </w:tcPr>
                <w:p w14:paraId="77C4D11F">
                  <w:pPr>
                    <w:jc w:val="center"/>
                    <w:rPr>
                      <w:rFonts w:hint="default" w:ascii="Times New Roman" w:hAnsi="Times New Roman" w:eastAsia="宋体" w:cs="Times New Roman"/>
                      <w:i w:val="0"/>
                      <w:iCs w:val="0"/>
                      <w:color w:val="auto"/>
                      <w:sz w:val="21"/>
                      <w:szCs w:val="21"/>
                      <w:u w:val="none"/>
                    </w:rPr>
                  </w:pPr>
                </w:p>
              </w:tc>
              <w:tc>
                <w:tcPr>
                  <w:tcW w:w="388" w:type="pct"/>
                  <w:tcBorders>
                    <w:tl2br w:val="nil"/>
                    <w:tr2bl w:val="nil"/>
                  </w:tcBorders>
                  <w:shd w:val="clear" w:color="auto" w:fill="auto"/>
                  <w:noWrap/>
                  <w:vAlign w:val="center"/>
                </w:tcPr>
                <w:p w14:paraId="64DE4A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二氧化硫</w:t>
                  </w:r>
                </w:p>
              </w:tc>
              <w:tc>
                <w:tcPr>
                  <w:tcW w:w="402" w:type="pct"/>
                  <w:tcBorders>
                    <w:tl2br w:val="nil"/>
                    <w:tr2bl w:val="nil"/>
                  </w:tcBorders>
                  <w:shd w:val="clear" w:color="auto" w:fill="auto"/>
                  <w:noWrap/>
                  <w:vAlign w:val="center"/>
                </w:tcPr>
                <w:p w14:paraId="51175F43">
                  <w:pPr>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产污系数法</w:t>
                  </w:r>
                </w:p>
              </w:tc>
              <w:tc>
                <w:tcPr>
                  <w:tcW w:w="348" w:type="pct"/>
                  <w:tcBorders>
                    <w:tl2br w:val="nil"/>
                    <w:tr2bl w:val="nil"/>
                  </w:tcBorders>
                  <w:shd w:val="clear" w:color="auto" w:fill="auto"/>
                  <w:noWrap/>
                  <w:vAlign w:val="center"/>
                </w:tcPr>
                <w:p w14:paraId="35B992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8000</w:t>
                  </w:r>
                </w:p>
              </w:tc>
              <w:tc>
                <w:tcPr>
                  <w:tcW w:w="293" w:type="pct"/>
                  <w:tcBorders>
                    <w:tl2br w:val="nil"/>
                    <w:tr2bl w:val="nil"/>
                  </w:tcBorders>
                  <w:shd w:val="clear" w:color="auto" w:fill="auto"/>
                  <w:noWrap/>
                  <w:vAlign w:val="center"/>
                </w:tcPr>
                <w:p w14:paraId="32D4BA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486723</w:t>
                  </w:r>
                </w:p>
              </w:tc>
              <w:tc>
                <w:tcPr>
                  <w:tcW w:w="347" w:type="pct"/>
                  <w:tcBorders>
                    <w:tl2br w:val="nil"/>
                    <w:tr2bl w:val="nil"/>
                  </w:tcBorders>
                  <w:shd w:val="clear" w:color="auto" w:fill="auto"/>
                  <w:noWrap/>
                  <w:vAlign w:val="center"/>
                </w:tcPr>
                <w:p w14:paraId="149631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664.769</w:t>
                  </w:r>
                </w:p>
              </w:tc>
              <w:tc>
                <w:tcPr>
                  <w:tcW w:w="346" w:type="pct"/>
                  <w:tcBorders>
                    <w:tl2br w:val="nil"/>
                    <w:tr2bl w:val="nil"/>
                  </w:tcBorders>
                  <w:shd w:val="clear" w:color="auto" w:fill="auto"/>
                  <w:noWrap/>
                  <w:vAlign w:val="center"/>
                </w:tcPr>
                <w:p w14:paraId="0F09C01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83.10</w:t>
                  </w:r>
                </w:p>
              </w:tc>
              <w:tc>
                <w:tcPr>
                  <w:tcW w:w="392" w:type="pct"/>
                  <w:tcBorders>
                    <w:tl2br w:val="nil"/>
                    <w:tr2bl w:val="nil"/>
                  </w:tcBorders>
                  <w:shd w:val="clear" w:color="auto" w:fill="auto"/>
                  <w:noWrap/>
                  <w:vAlign w:val="center"/>
                </w:tcPr>
                <w:p w14:paraId="52998F0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587" w:type="pct"/>
                  <w:tcBorders>
                    <w:tl2br w:val="nil"/>
                    <w:tr2bl w:val="nil"/>
                  </w:tcBorders>
                  <w:shd w:val="clear" w:color="auto" w:fill="auto"/>
                  <w:noWrap/>
                  <w:vAlign w:val="center"/>
                </w:tcPr>
                <w:p w14:paraId="5112778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石灰（石）-石膏湿法</w:t>
                  </w:r>
                </w:p>
              </w:tc>
              <w:tc>
                <w:tcPr>
                  <w:tcW w:w="357" w:type="pct"/>
                  <w:tcBorders>
                    <w:tl2br w:val="nil"/>
                    <w:tr2bl w:val="nil"/>
                  </w:tcBorders>
                  <w:shd w:val="clear" w:color="auto" w:fill="auto"/>
                  <w:noWrap/>
                  <w:vAlign w:val="center"/>
                </w:tcPr>
                <w:p w14:paraId="514D3E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95</w:t>
                  </w:r>
                  <w:r>
                    <w:rPr>
                      <w:rFonts w:hint="default" w:ascii="Times New Roman" w:hAnsi="Times New Roman" w:eastAsia="宋体" w:cs="Times New Roman"/>
                      <w:i w:val="0"/>
                      <w:iCs w:val="0"/>
                      <w:color w:val="auto"/>
                      <w:kern w:val="0"/>
                      <w:sz w:val="21"/>
                      <w:szCs w:val="21"/>
                      <w:u w:val="none"/>
                      <w:lang w:val="en-US" w:eastAsia="zh-CN" w:bidi="ar"/>
                    </w:rPr>
                    <w:t>%</w:t>
                  </w:r>
                </w:p>
              </w:tc>
              <w:tc>
                <w:tcPr>
                  <w:tcW w:w="421" w:type="pct"/>
                  <w:tcBorders>
                    <w:tl2br w:val="nil"/>
                    <w:tr2bl w:val="nil"/>
                  </w:tcBorders>
                  <w:shd w:val="clear" w:color="auto" w:fill="auto"/>
                  <w:noWrap/>
                  <w:vAlign w:val="center"/>
                </w:tcPr>
                <w:p w14:paraId="4227DDD5">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33.238</w:t>
                  </w:r>
                </w:p>
              </w:tc>
              <w:tc>
                <w:tcPr>
                  <w:tcW w:w="332" w:type="pct"/>
                  <w:tcBorders>
                    <w:tl2br w:val="nil"/>
                    <w:tr2bl w:val="nil"/>
                  </w:tcBorders>
                  <w:shd w:val="clear" w:color="auto" w:fill="auto"/>
                  <w:noWrap/>
                  <w:vAlign w:val="center"/>
                </w:tcPr>
                <w:p w14:paraId="1F4331C3">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4.15</w:t>
                  </w:r>
                </w:p>
              </w:tc>
              <w:tc>
                <w:tcPr>
                  <w:tcW w:w="471" w:type="pct"/>
                  <w:tcBorders>
                    <w:tl2br w:val="nil"/>
                    <w:tr2bl w:val="nil"/>
                  </w:tcBorders>
                  <w:shd w:val="clear" w:color="auto" w:fill="auto"/>
                  <w:noWrap/>
                  <w:vAlign w:val="center"/>
                </w:tcPr>
                <w:p w14:paraId="3EAD6ABE">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8.54</w:t>
                  </w:r>
                </w:p>
              </w:tc>
            </w:tr>
            <w:tr w14:paraId="541D40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3" w:hRule="atLeast"/>
              </w:trPr>
              <w:tc>
                <w:tcPr>
                  <w:tcW w:w="308" w:type="pct"/>
                  <w:tcBorders>
                    <w:tl2br w:val="nil"/>
                    <w:tr2bl w:val="nil"/>
                  </w:tcBorders>
                  <w:shd w:val="clear" w:color="auto" w:fill="auto"/>
                  <w:noWrap/>
                  <w:vAlign w:val="center"/>
                </w:tcPr>
                <w:p w14:paraId="502C71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氨逃逸</w:t>
                  </w:r>
                </w:p>
              </w:tc>
              <w:tc>
                <w:tcPr>
                  <w:tcW w:w="388" w:type="pct"/>
                  <w:tcBorders>
                    <w:tl2br w:val="nil"/>
                    <w:tr2bl w:val="nil"/>
                  </w:tcBorders>
                  <w:shd w:val="clear" w:color="auto" w:fill="auto"/>
                  <w:noWrap/>
                  <w:vAlign w:val="center"/>
                </w:tcPr>
                <w:p w14:paraId="04BE97E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氨气</w:t>
                  </w:r>
                </w:p>
              </w:tc>
              <w:tc>
                <w:tcPr>
                  <w:tcW w:w="402" w:type="pct"/>
                  <w:tcBorders>
                    <w:tl2br w:val="nil"/>
                    <w:tr2bl w:val="nil"/>
                  </w:tcBorders>
                  <w:shd w:val="clear" w:color="auto" w:fill="auto"/>
                  <w:noWrap/>
                  <w:vAlign w:val="center"/>
                </w:tcPr>
                <w:p w14:paraId="43276B2D">
                  <w:pPr>
                    <w:jc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产污系数法</w:t>
                  </w:r>
                </w:p>
              </w:tc>
              <w:tc>
                <w:tcPr>
                  <w:tcW w:w="348" w:type="pct"/>
                  <w:tcBorders>
                    <w:tl2br w:val="nil"/>
                    <w:tr2bl w:val="nil"/>
                  </w:tcBorders>
                  <w:shd w:val="clear" w:color="auto" w:fill="auto"/>
                  <w:noWrap/>
                  <w:vAlign w:val="center"/>
                </w:tcPr>
                <w:p w14:paraId="4E3790D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8000</w:t>
                  </w:r>
                </w:p>
              </w:tc>
              <w:tc>
                <w:tcPr>
                  <w:tcW w:w="293" w:type="pct"/>
                  <w:tcBorders>
                    <w:tl2br w:val="nil"/>
                    <w:tr2bl w:val="nil"/>
                  </w:tcBorders>
                  <w:shd w:val="clear" w:color="auto" w:fill="auto"/>
                  <w:noWrap/>
                  <w:vAlign w:val="center"/>
                </w:tcPr>
                <w:p w14:paraId="091968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486723</w:t>
                  </w:r>
                </w:p>
              </w:tc>
              <w:tc>
                <w:tcPr>
                  <w:tcW w:w="347" w:type="pct"/>
                  <w:tcBorders>
                    <w:tl2br w:val="nil"/>
                    <w:tr2bl w:val="nil"/>
                  </w:tcBorders>
                  <w:shd w:val="clear" w:color="auto" w:fill="auto"/>
                  <w:noWrap/>
                  <w:vAlign w:val="center"/>
                </w:tcPr>
                <w:p w14:paraId="242B3BB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9.734</w:t>
                  </w:r>
                </w:p>
              </w:tc>
              <w:tc>
                <w:tcPr>
                  <w:tcW w:w="346" w:type="pct"/>
                  <w:tcBorders>
                    <w:tl2br w:val="nil"/>
                    <w:tr2bl w:val="nil"/>
                  </w:tcBorders>
                  <w:shd w:val="clear" w:color="auto" w:fill="auto"/>
                  <w:noWrap/>
                  <w:vAlign w:val="center"/>
                </w:tcPr>
                <w:p w14:paraId="780C68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1.22</w:t>
                  </w:r>
                </w:p>
              </w:tc>
              <w:tc>
                <w:tcPr>
                  <w:tcW w:w="392" w:type="pct"/>
                  <w:tcBorders>
                    <w:tl2br w:val="nil"/>
                    <w:tr2bl w:val="nil"/>
                  </w:tcBorders>
                  <w:shd w:val="clear" w:color="auto" w:fill="auto"/>
                  <w:noWrap/>
                  <w:vAlign w:val="center"/>
                </w:tcPr>
                <w:p w14:paraId="1B545D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sz w:val="21"/>
                      <w:szCs w:val="21"/>
                      <w:u w:val="none"/>
                      <w:lang w:val="en-US" w:eastAsia="zh-CN"/>
                    </w:rPr>
                    <w:t>/</w:t>
                  </w:r>
                </w:p>
              </w:tc>
              <w:tc>
                <w:tcPr>
                  <w:tcW w:w="587" w:type="pct"/>
                  <w:tcBorders>
                    <w:tl2br w:val="nil"/>
                    <w:tr2bl w:val="nil"/>
                  </w:tcBorders>
                  <w:shd w:val="clear" w:color="auto" w:fill="auto"/>
                  <w:noWrap/>
                  <w:vAlign w:val="center"/>
                </w:tcPr>
                <w:p w14:paraId="28D3B5F5">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c>
                <w:tcPr>
                  <w:tcW w:w="357" w:type="pct"/>
                  <w:tcBorders>
                    <w:tl2br w:val="nil"/>
                    <w:tr2bl w:val="nil"/>
                  </w:tcBorders>
                  <w:shd w:val="clear" w:color="auto" w:fill="auto"/>
                  <w:noWrap/>
                  <w:vAlign w:val="center"/>
                </w:tcPr>
                <w:p w14:paraId="5CC695D9">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w:t>
                  </w:r>
                </w:p>
              </w:tc>
              <w:tc>
                <w:tcPr>
                  <w:tcW w:w="421" w:type="pct"/>
                  <w:tcBorders>
                    <w:tl2br w:val="nil"/>
                    <w:tr2bl w:val="nil"/>
                  </w:tcBorders>
                  <w:shd w:val="clear" w:color="auto" w:fill="auto"/>
                  <w:noWrap/>
                  <w:vAlign w:val="center"/>
                </w:tcPr>
                <w:p w14:paraId="43E0B0A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9.734</w:t>
                  </w:r>
                </w:p>
              </w:tc>
              <w:tc>
                <w:tcPr>
                  <w:tcW w:w="332" w:type="pct"/>
                  <w:tcBorders>
                    <w:tl2br w:val="nil"/>
                    <w:tr2bl w:val="nil"/>
                  </w:tcBorders>
                  <w:shd w:val="clear" w:color="auto" w:fill="auto"/>
                  <w:noWrap/>
                  <w:vAlign w:val="center"/>
                </w:tcPr>
                <w:p w14:paraId="4E5784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1.22</w:t>
                  </w:r>
                </w:p>
              </w:tc>
              <w:tc>
                <w:tcPr>
                  <w:tcW w:w="471" w:type="pct"/>
                  <w:tcBorders>
                    <w:tl2br w:val="nil"/>
                    <w:tr2bl w:val="nil"/>
                  </w:tcBorders>
                  <w:shd w:val="clear" w:color="auto" w:fill="auto"/>
                  <w:noWrap/>
                  <w:vAlign w:val="center"/>
                </w:tcPr>
                <w:p w14:paraId="3DE9A366">
                  <w:pPr>
                    <w:jc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2.5</w:t>
                  </w:r>
                </w:p>
              </w:tc>
            </w:tr>
          </w:tbl>
          <w:p w14:paraId="0A13543C">
            <w:pPr>
              <w:pStyle w:val="4"/>
              <w:keepNext w:val="0"/>
              <w:keepLines/>
              <w:pageBreakBefore w:val="0"/>
              <w:widowControl w:val="0"/>
              <w:numPr>
                <w:ilvl w:val="2"/>
                <w:numId w:val="0"/>
              </w:numPr>
              <w:tabs>
                <w:tab w:val="clear" w:pos="720"/>
              </w:tabs>
              <w:kinsoku/>
              <w:wordWrap/>
              <w:overflowPunct/>
              <w:topLinePunct w:val="0"/>
              <w:autoSpaceDE/>
              <w:autoSpaceDN/>
              <w:bidi w:val="0"/>
              <w:adjustRightInd w:val="0"/>
              <w:snapToGrid w:val="0"/>
              <w:spacing w:line="240" w:lineRule="auto"/>
              <w:ind w:leftChars="0"/>
              <w:jc w:val="center"/>
              <w:textAlignment w:val="bottom"/>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表4</w:t>
            </w:r>
            <w:r>
              <w:rPr>
                <w:rFonts w:hint="default" w:ascii="Times New Roman" w:hAnsi="Times New Roman" w:cs="Times New Roman"/>
                <w:b/>
                <w:bCs/>
                <w:color w:val="auto"/>
                <w:kern w:val="2"/>
                <w:sz w:val="21"/>
                <w:szCs w:val="21"/>
                <w:highlight w:val="none"/>
                <w:lang w:val="en-US" w:eastAsia="zh-CN" w:bidi="ar-SA"/>
              </w:rPr>
              <w:t>-4</w:t>
            </w:r>
            <w:r>
              <w:rPr>
                <w:rFonts w:hint="default" w:ascii="Times New Roman" w:hAnsi="Times New Roman" w:eastAsia="宋体" w:cs="Times New Roman"/>
                <w:b/>
                <w:bCs/>
                <w:color w:val="auto"/>
                <w:kern w:val="2"/>
                <w:sz w:val="21"/>
                <w:szCs w:val="21"/>
                <w:highlight w:val="none"/>
                <w:lang w:val="en-US" w:eastAsia="zh-CN" w:bidi="ar-SA"/>
              </w:rPr>
              <w:t>无组织废气污染物治理及排放情况</w:t>
            </w:r>
          </w:p>
          <w:tbl>
            <w:tblPr>
              <w:tblStyle w:val="32"/>
              <w:tblW w:w="4990" w:type="pct"/>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1189"/>
              <w:gridCol w:w="1128"/>
              <w:gridCol w:w="914"/>
              <w:gridCol w:w="680"/>
              <w:gridCol w:w="1497"/>
              <w:gridCol w:w="711"/>
              <w:gridCol w:w="692"/>
              <w:gridCol w:w="546"/>
              <w:gridCol w:w="761"/>
            </w:tblGrid>
            <w:tr w14:paraId="5C3054A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13" w:hRule="atLeast"/>
              </w:trPr>
              <w:tc>
                <w:tcPr>
                  <w:tcW w:w="732" w:type="pct"/>
                  <w:vMerge w:val="restart"/>
                  <w:tcBorders>
                    <w:tl2br w:val="nil"/>
                    <w:tr2bl w:val="nil"/>
                  </w:tcBorders>
                  <w:noWrap/>
                  <w:vAlign w:val="center"/>
                </w:tcPr>
                <w:p w14:paraId="1989895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产污环节</w:t>
                  </w:r>
                </w:p>
              </w:tc>
              <w:tc>
                <w:tcPr>
                  <w:tcW w:w="694" w:type="pct"/>
                  <w:vMerge w:val="restart"/>
                  <w:tcBorders>
                    <w:tl2br w:val="nil"/>
                    <w:tr2bl w:val="nil"/>
                  </w:tcBorders>
                  <w:noWrap/>
                  <w:vAlign w:val="center"/>
                </w:tcPr>
                <w:p w14:paraId="2C24E2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污染物</w:t>
                  </w:r>
                </w:p>
              </w:tc>
              <w:tc>
                <w:tcPr>
                  <w:tcW w:w="562" w:type="pct"/>
                  <w:tcBorders>
                    <w:tl2br w:val="nil"/>
                    <w:tr2bl w:val="nil"/>
                  </w:tcBorders>
                  <w:noWrap/>
                  <w:vAlign w:val="center"/>
                </w:tcPr>
                <w:p w14:paraId="238995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产生量</w:t>
                  </w:r>
                </w:p>
              </w:tc>
              <w:tc>
                <w:tcPr>
                  <w:tcW w:w="418" w:type="pct"/>
                  <w:tcBorders>
                    <w:tl2br w:val="nil"/>
                    <w:tr2bl w:val="nil"/>
                  </w:tcBorders>
                  <w:noWrap/>
                  <w:vAlign w:val="center"/>
                </w:tcPr>
                <w:p w14:paraId="156354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产生速率</w:t>
                  </w:r>
                </w:p>
              </w:tc>
              <w:tc>
                <w:tcPr>
                  <w:tcW w:w="922" w:type="pct"/>
                  <w:vMerge w:val="restart"/>
                  <w:tcBorders>
                    <w:tl2br w:val="nil"/>
                    <w:tr2bl w:val="nil"/>
                  </w:tcBorders>
                  <w:noWrap/>
                  <w:vAlign w:val="center"/>
                </w:tcPr>
                <w:p w14:paraId="45417E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处理措施</w:t>
                  </w:r>
                </w:p>
              </w:tc>
              <w:tc>
                <w:tcPr>
                  <w:tcW w:w="437" w:type="pct"/>
                  <w:vMerge w:val="restart"/>
                  <w:tcBorders>
                    <w:tl2br w:val="nil"/>
                    <w:tr2bl w:val="nil"/>
                  </w:tcBorders>
                  <w:noWrap/>
                  <w:vAlign w:val="center"/>
                </w:tcPr>
                <w:p w14:paraId="122577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处理效率</w:t>
                  </w:r>
                </w:p>
              </w:tc>
              <w:tc>
                <w:tcPr>
                  <w:tcW w:w="426" w:type="pct"/>
                  <w:tcBorders>
                    <w:tl2br w:val="nil"/>
                    <w:tr2bl w:val="nil"/>
                  </w:tcBorders>
                  <w:noWrap/>
                  <w:vAlign w:val="center"/>
                </w:tcPr>
                <w:p w14:paraId="68705D2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排放量</w:t>
                  </w:r>
                </w:p>
              </w:tc>
              <w:tc>
                <w:tcPr>
                  <w:tcW w:w="336" w:type="pct"/>
                  <w:tcBorders>
                    <w:tl2br w:val="nil"/>
                    <w:tr2bl w:val="nil"/>
                  </w:tcBorders>
                  <w:noWrap/>
                  <w:vAlign w:val="center"/>
                </w:tcPr>
                <w:p w14:paraId="0124CA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速率</w:t>
                  </w:r>
                </w:p>
              </w:tc>
              <w:tc>
                <w:tcPr>
                  <w:tcW w:w="468" w:type="pct"/>
                  <w:tcBorders>
                    <w:tl2br w:val="nil"/>
                    <w:tr2bl w:val="nil"/>
                  </w:tcBorders>
                  <w:noWrap/>
                  <w:vAlign w:val="center"/>
                </w:tcPr>
                <w:p w14:paraId="11E9EA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生产时长</w:t>
                  </w:r>
                </w:p>
              </w:tc>
            </w:tr>
            <w:tr w14:paraId="0BC43D0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13" w:hRule="atLeast"/>
              </w:trPr>
              <w:tc>
                <w:tcPr>
                  <w:tcW w:w="732" w:type="pct"/>
                  <w:vMerge w:val="continue"/>
                  <w:tcBorders>
                    <w:tl2br w:val="nil"/>
                    <w:tr2bl w:val="nil"/>
                  </w:tcBorders>
                  <w:noWrap/>
                  <w:vAlign w:val="center"/>
                </w:tcPr>
                <w:p w14:paraId="4961CA0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auto"/>
                      <w:sz w:val="21"/>
                      <w:szCs w:val="21"/>
                      <w:u w:val="none"/>
                    </w:rPr>
                  </w:pPr>
                </w:p>
              </w:tc>
              <w:tc>
                <w:tcPr>
                  <w:tcW w:w="694" w:type="pct"/>
                  <w:vMerge w:val="continue"/>
                  <w:tcBorders>
                    <w:tl2br w:val="nil"/>
                    <w:tr2bl w:val="nil"/>
                  </w:tcBorders>
                  <w:noWrap/>
                  <w:vAlign w:val="center"/>
                </w:tcPr>
                <w:p w14:paraId="7CDF998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auto"/>
                      <w:sz w:val="21"/>
                      <w:szCs w:val="21"/>
                      <w:u w:val="none"/>
                    </w:rPr>
                  </w:pPr>
                </w:p>
              </w:tc>
              <w:tc>
                <w:tcPr>
                  <w:tcW w:w="562" w:type="pct"/>
                  <w:tcBorders>
                    <w:tl2br w:val="nil"/>
                    <w:tr2bl w:val="nil"/>
                  </w:tcBorders>
                  <w:noWrap/>
                  <w:vAlign w:val="center"/>
                </w:tcPr>
                <w:p w14:paraId="7EFC57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t/a</w:t>
                  </w:r>
                </w:p>
              </w:tc>
              <w:tc>
                <w:tcPr>
                  <w:tcW w:w="418" w:type="pct"/>
                  <w:tcBorders>
                    <w:tl2br w:val="nil"/>
                    <w:tr2bl w:val="nil"/>
                  </w:tcBorders>
                  <w:noWrap/>
                  <w:vAlign w:val="center"/>
                </w:tcPr>
                <w:p w14:paraId="0652E7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kg/h</w:t>
                  </w:r>
                </w:p>
              </w:tc>
              <w:tc>
                <w:tcPr>
                  <w:tcW w:w="922" w:type="pct"/>
                  <w:vMerge w:val="continue"/>
                  <w:tcBorders>
                    <w:tl2br w:val="nil"/>
                    <w:tr2bl w:val="nil"/>
                  </w:tcBorders>
                  <w:noWrap/>
                  <w:vAlign w:val="center"/>
                </w:tcPr>
                <w:p w14:paraId="3BE1702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auto"/>
                      <w:sz w:val="21"/>
                      <w:szCs w:val="21"/>
                      <w:u w:val="none"/>
                    </w:rPr>
                  </w:pPr>
                </w:p>
              </w:tc>
              <w:tc>
                <w:tcPr>
                  <w:tcW w:w="437" w:type="pct"/>
                  <w:vMerge w:val="continue"/>
                  <w:tcBorders>
                    <w:tl2br w:val="nil"/>
                    <w:tr2bl w:val="nil"/>
                  </w:tcBorders>
                  <w:noWrap/>
                  <w:vAlign w:val="center"/>
                </w:tcPr>
                <w:p w14:paraId="6D8055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auto"/>
                      <w:sz w:val="21"/>
                      <w:szCs w:val="21"/>
                      <w:u w:val="none"/>
                    </w:rPr>
                  </w:pPr>
                </w:p>
              </w:tc>
              <w:tc>
                <w:tcPr>
                  <w:tcW w:w="426" w:type="pct"/>
                  <w:tcBorders>
                    <w:tl2br w:val="nil"/>
                    <w:tr2bl w:val="nil"/>
                  </w:tcBorders>
                  <w:noWrap/>
                  <w:vAlign w:val="center"/>
                </w:tcPr>
                <w:p w14:paraId="3A81AC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cs="Times New Roman"/>
                      <w:b/>
                      <w:bCs/>
                      <w:i w:val="0"/>
                      <w:iCs w:val="0"/>
                      <w:color w:val="auto"/>
                      <w:kern w:val="0"/>
                      <w:sz w:val="21"/>
                      <w:szCs w:val="21"/>
                      <w:u w:val="none"/>
                      <w:lang w:val="en-US" w:eastAsia="zh-CN" w:bidi="ar"/>
                    </w:rPr>
                    <w:t>kg</w:t>
                  </w:r>
                  <w:r>
                    <w:rPr>
                      <w:rFonts w:hint="default" w:ascii="Times New Roman" w:hAnsi="Times New Roman" w:eastAsia="宋体" w:cs="Times New Roman"/>
                      <w:b/>
                      <w:bCs/>
                      <w:i w:val="0"/>
                      <w:iCs w:val="0"/>
                      <w:color w:val="auto"/>
                      <w:kern w:val="0"/>
                      <w:sz w:val="21"/>
                      <w:szCs w:val="21"/>
                      <w:u w:val="none"/>
                      <w:lang w:val="en-US" w:eastAsia="zh-CN" w:bidi="ar"/>
                    </w:rPr>
                    <w:t>/a</w:t>
                  </w:r>
                </w:p>
              </w:tc>
              <w:tc>
                <w:tcPr>
                  <w:tcW w:w="336" w:type="pct"/>
                  <w:tcBorders>
                    <w:tl2br w:val="nil"/>
                    <w:tr2bl w:val="nil"/>
                  </w:tcBorders>
                  <w:noWrap/>
                  <w:vAlign w:val="center"/>
                </w:tcPr>
                <w:p w14:paraId="3430E2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kg/h</w:t>
                  </w:r>
                </w:p>
              </w:tc>
              <w:tc>
                <w:tcPr>
                  <w:tcW w:w="468" w:type="pct"/>
                  <w:tcBorders>
                    <w:tl2br w:val="nil"/>
                    <w:tr2bl w:val="nil"/>
                  </w:tcBorders>
                  <w:noWrap/>
                  <w:vAlign w:val="center"/>
                </w:tcPr>
                <w:p w14:paraId="40DE99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h</w:t>
                  </w:r>
                </w:p>
              </w:tc>
            </w:tr>
            <w:tr w14:paraId="7293B0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732" w:type="pct"/>
                  <w:tcBorders>
                    <w:tl2br w:val="nil"/>
                    <w:tr2bl w:val="nil"/>
                  </w:tcBorders>
                  <w:noWrap w:val="0"/>
                  <w:vAlign w:val="center"/>
                </w:tcPr>
                <w:p w14:paraId="3E60FCC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石灰石筒仓存储</w:t>
                  </w:r>
                </w:p>
              </w:tc>
              <w:tc>
                <w:tcPr>
                  <w:tcW w:w="694" w:type="pct"/>
                  <w:tcBorders>
                    <w:tl2br w:val="nil"/>
                    <w:tr2bl w:val="nil"/>
                  </w:tcBorders>
                  <w:noWrap/>
                  <w:vAlign w:val="center"/>
                </w:tcPr>
                <w:p w14:paraId="53BBB8FA">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颗粒物</w:t>
                  </w:r>
                </w:p>
              </w:tc>
              <w:tc>
                <w:tcPr>
                  <w:tcW w:w="562" w:type="pct"/>
                  <w:tcBorders>
                    <w:tl2br w:val="nil"/>
                    <w:tr2bl w:val="nil"/>
                  </w:tcBorders>
                  <w:noWrap/>
                  <w:vAlign w:val="center"/>
                </w:tcPr>
                <w:p w14:paraId="1BC1326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0.020</w:t>
                  </w:r>
                </w:p>
              </w:tc>
              <w:tc>
                <w:tcPr>
                  <w:tcW w:w="418" w:type="pct"/>
                  <w:tcBorders>
                    <w:tl2br w:val="nil"/>
                    <w:tr2bl w:val="nil"/>
                  </w:tcBorders>
                  <w:noWrap/>
                  <w:vAlign w:val="center"/>
                </w:tcPr>
                <w:p w14:paraId="20D78DE4">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0.003</w:t>
                  </w:r>
                </w:p>
              </w:tc>
              <w:tc>
                <w:tcPr>
                  <w:tcW w:w="922" w:type="pct"/>
                  <w:tcBorders>
                    <w:tl2br w:val="nil"/>
                    <w:tr2bl w:val="nil"/>
                  </w:tcBorders>
                  <w:noWrap w:val="0"/>
                  <w:vAlign w:val="center"/>
                </w:tcPr>
                <w:p w14:paraId="27A05CC2">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筒仓自带脉冲式袋式除尘器进行除尘</w:t>
                  </w:r>
                </w:p>
              </w:tc>
              <w:tc>
                <w:tcPr>
                  <w:tcW w:w="437" w:type="pct"/>
                  <w:tcBorders>
                    <w:tl2br w:val="nil"/>
                    <w:tr2bl w:val="nil"/>
                  </w:tcBorders>
                  <w:noWrap/>
                  <w:vAlign w:val="center"/>
                </w:tcPr>
                <w:p w14:paraId="756D7BB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99%</w:t>
                  </w:r>
                </w:p>
              </w:tc>
              <w:tc>
                <w:tcPr>
                  <w:tcW w:w="426" w:type="pct"/>
                  <w:tcBorders>
                    <w:tl2br w:val="nil"/>
                    <w:tr2bl w:val="nil"/>
                  </w:tcBorders>
                  <w:noWrap/>
                  <w:vAlign w:val="center"/>
                </w:tcPr>
                <w:p w14:paraId="1B50AD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0.20</w:t>
                  </w:r>
                </w:p>
              </w:tc>
              <w:tc>
                <w:tcPr>
                  <w:tcW w:w="336" w:type="pct"/>
                  <w:tcBorders>
                    <w:tl2br w:val="nil"/>
                    <w:tr2bl w:val="nil"/>
                  </w:tcBorders>
                  <w:noWrap/>
                  <w:vAlign w:val="center"/>
                </w:tcPr>
                <w:p w14:paraId="1534EAA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0.0000</w:t>
                  </w:r>
                  <w:r>
                    <w:rPr>
                      <w:rFonts w:hint="default" w:ascii="Times New Roman" w:hAnsi="Times New Roman" w:cs="Times New Roman"/>
                      <w:i w:val="0"/>
                      <w:iCs w:val="0"/>
                      <w:color w:val="auto"/>
                      <w:kern w:val="0"/>
                      <w:sz w:val="21"/>
                      <w:szCs w:val="21"/>
                      <w:u w:val="none"/>
                      <w:lang w:val="en-US" w:eastAsia="zh-CN" w:bidi="ar"/>
                    </w:rPr>
                    <w:t>3</w:t>
                  </w:r>
                </w:p>
              </w:tc>
              <w:tc>
                <w:tcPr>
                  <w:tcW w:w="468" w:type="pct"/>
                  <w:tcBorders>
                    <w:tl2br w:val="nil"/>
                    <w:tr2bl w:val="nil"/>
                  </w:tcBorders>
                  <w:noWrap/>
                  <w:vAlign w:val="center"/>
                </w:tcPr>
                <w:p w14:paraId="06CEAB6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8000</w:t>
                  </w:r>
                </w:p>
              </w:tc>
            </w:tr>
          </w:tbl>
          <w:p w14:paraId="4FC32953">
            <w:pPr>
              <w:pStyle w:val="4"/>
              <w:keepNext w:val="0"/>
              <w:keepLines/>
              <w:pageBreakBefore w:val="0"/>
              <w:widowControl w:val="0"/>
              <w:numPr>
                <w:ilvl w:val="2"/>
                <w:numId w:val="0"/>
              </w:numPr>
              <w:tabs>
                <w:tab w:val="clear" w:pos="720"/>
              </w:tabs>
              <w:kinsoku/>
              <w:wordWrap/>
              <w:overflowPunct/>
              <w:topLinePunct w:val="0"/>
              <w:autoSpaceDE/>
              <w:autoSpaceDN/>
              <w:bidi w:val="0"/>
              <w:adjustRightInd w:val="0"/>
              <w:snapToGrid w:val="0"/>
              <w:spacing w:line="240" w:lineRule="auto"/>
              <w:ind w:leftChars="0"/>
              <w:jc w:val="center"/>
              <w:textAlignment w:val="bottom"/>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表4-</w:t>
            </w:r>
            <w:r>
              <w:rPr>
                <w:rFonts w:hint="default" w:ascii="Times New Roman" w:hAnsi="Times New Roman" w:cs="Times New Roman"/>
                <w:b/>
                <w:bCs/>
                <w:color w:val="auto"/>
                <w:kern w:val="2"/>
                <w:sz w:val="21"/>
                <w:szCs w:val="21"/>
                <w:highlight w:val="none"/>
                <w:lang w:val="en-US" w:eastAsia="zh-CN" w:bidi="ar-SA"/>
              </w:rPr>
              <w:t>5本项目</w:t>
            </w:r>
            <w:r>
              <w:rPr>
                <w:rFonts w:hint="default" w:ascii="Times New Roman" w:hAnsi="Times New Roman" w:eastAsia="宋体" w:cs="Times New Roman"/>
                <w:b/>
                <w:bCs/>
                <w:color w:val="auto"/>
                <w:kern w:val="2"/>
                <w:sz w:val="21"/>
                <w:szCs w:val="21"/>
                <w:highlight w:val="none"/>
                <w:lang w:val="en-US" w:eastAsia="zh-CN" w:bidi="ar-SA"/>
              </w:rPr>
              <w:t>有组织废气排气筒基础信息</w:t>
            </w:r>
          </w:p>
          <w:tbl>
            <w:tblPr>
              <w:tblStyle w:val="32"/>
              <w:tblW w:w="4992" w:type="pct"/>
              <w:tblInd w:w="-1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681"/>
              <w:gridCol w:w="1729"/>
              <w:gridCol w:w="913"/>
              <w:gridCol w:w="733"/>
              <w:gridCol w:w="1060"/>
              <w:gridCol w:w="761"/>
              <w:gridCol w:w="723"/>
              <w:gridCol w:w="829"/>
              <w:gridCol w:w="692"/>
            </w:tblGrid>
            <w:tr w14:paraId="0692F9F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419" w:type="pct"/>
                  <w:vMerge w:val="restart"/>
                  <w:tcBorders>
                    <w:tl2br w:val="nil"/>
                    <w:tr2bl w:val="nil"/>
                  </w:tcBorders>
                  <w:noWrap/>
                  <w:vAlign w:val="center"/>
                </w:tcPr>
                <w:p w14:paraId="4A57341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lang w:val="en-US"/>
                    </w:rPr>
                  </w:pPr>
                  <w:r>
                    <w:rPr>
                      <w:rFonts w:hint="default" w:ascii="Times New Roman" w:hAnsi="Times New Roman" w:eastAsia="宋体" w:cs="Times New Roman"/>
                      <w:b/>
                      <w:bCs/>
                      <w:i w:val="0"/>
                      <w:iCs w:val="0"/>
                      <w:color w:val="auto"/>
                      <w:kern w:val="0"/>
                      <w:sz w:val="21"/>
                      <w:szCs w:val="21"/>
                      <w:u w:val="none"/>
                      <w:lang w:val="en-US" w:eastAsia="zh-CN" w:bidi="ar"/>
                    </w:rPr>
                    <w:t>产污工序</w:t>
                  </w:r>
                </w:p>
              </w:tc>
              <w:tc>
                <w:tcPr>
                  <w:tcW w:w="1064" w:type="pct"/>
                  <w:vMerge w:val="restart"/>
                  <w:tcBorders>
                    <w:tl2br w:val="nil"/>
                    <w:tr2bl w:val="nil"/>
                  </w:tcBorders>
                  <w:noWrap/>
                  <w:vAlign w:val="center"/>
                </w:tcPr>
                <w:p w14:paraId="2C114C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污染物</w:t>
                  </w:r>
                </w:p>
              </w:tc>
              <w:tc>
                <w:tcPr>
                  <w:tcW w:w="562" w:type="pct"/>
                  <w:vMerge w:val="restart"/>
                  <w:tcBorders>
                    <w:tl2br w:val="nil"/>
                    <w:tr2bl w:val="nil"/>
                  </w:tcBorders>
                  <w:noWrap/>
                  <w:vAlign w:val="center"/>
                </w:tcPr>
                <w:p w14:paraId="694E8A0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排气筒名称</w:t>
                  </w:r>
                </w:p>
              </w:tc>
              <w:tc>
                <w:tcPr>
                  <w:tcW w:w="451" w:type="pct"/>
                  <w:vMerge w:val="restart"/>
                  <w:tcBorders>
                    <w:tl2br w:val="nil"/>
                    <w:tr2bl w:val="nil"/>
                  </w:tcBorders>
                  <w:noWrap/>
                  <w:vAlign w:val="center"/>
                </w:tcPr>
                <w:p w14:paraId="4430962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编号</w:t>
                  </w:r>
                </w:p>
              </w:tc>
              <w:tc>
                <w:tcPr>
                  <w:tcW w:w="652" w:type="pct"/>
                  <w:vMerge w:val="restart"/>
                  <w:tcBorders>
                    <w:tl2br w:val="nil"/>
                    <w:tr2bl w:val="nil"/>
                  </w:tcBorders>
                  <w:noWrap/>
                  <w:vAlign w:val="center"/>
                </w:tcPr>
                <w:p w14:paraId="6547F39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坐标</w:t>
                  </w:r>
                </w:p>
              </w:tc>
              <w:tc>
                <w:tcPr>
                  <w:tcW w:w="1424" w:type="pct"/>
                  <w:gridSpan w:val="3"/>
                  <w:tcBorders>
                    <w:tl2br w:val="nil"/>
                    <w:tr2bl w:val="nil"/>
                  </w:tcBorders>
                  <w:noWrap/>
                  <w:vAlign w:val="center"/>
                </w:tcPr>
                <w:p w14:paraId="6DB649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Style w:val="110"/>
                      <w:rFonts w:hint="default" w:ascii="Times New Roman" w:hAnsi="Times New Roman" w:eastAsia="宋体" w:cs="Times New Roman"/>
                      <w:color w:val="auto"/>
                      <w:sz w:val="21"/>
                      <w:szCs w:val="21"/>
                      <w:lang w:val="en-US" w:eastAsia="zh-CN" w:bidi="ar"/>
                    </w:rPr>
                    <w:t>排放参数</w:t>
                  </w:r>
                </w:p>
              </w:tc>
              <w:tc>
                <w:tcPr>
                  <w:tcW w:w="426" w:type="pct"/>
                  <w:vMerge w:val="restart"/>
                  <w:tcBorders>
                    <w:tl2br w:val="nil"/>
                    <w:tr2bl w:val="nil"/>
                  </w:tcBorders>
                  <w:noWrap/>
                  <w:vAlign w:val="center"/>
                </w:tcPr>
                <w:p w14:paraId="055353BD">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110"/>
                      <w:rFonts w:hint="default" w:ascii="Times New Roman" w:hAnsi="Times New Roman" w:eastAsia="宋体" w:cs="Times New Roman"/>
                      <w:color w:val="auto"/>
                      <w:sz w:val="21"/>
                      <w:szCs w:val="21"/>
                      <w:lang w:val="en-US" w:eastAsia="zh-CN" w:bidi="ar"/>
                    </w:rPr>
                  </w:pPr>
                  <w:r>
                    <w:rPr>
                      <w:rStyle w:val="110"/>
                      <w:rFonts w:hint="default" w:ascii="Times New Roman" w:hAnsi="Times New Roman" w:eastAsia="宋体" w:cs="Times New Roman"/>
                      <w:color w:val="auto"/>
                      <w:sz w:val="21"/>
                      <w:szCs w:val="21"/>
                      <w:lang w:val="en-US" w:eastAsia="zh-CN" w:bidi="ar"/>
                    </w:rPr>
                    <w:t>排放口类型</w:t>
                  </w:r>
                </w:p>
              </w:tc>
            </w:tr>
            <w:tr w14:paraId="4F0CB2C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419" w:type="pct"/>
                  <w:vMerge w:val="continue"/>
                  <w:tcBorders>
                    <w:tl2br w:val="nil"/>
                    <w:tr2bl w:val="nil"/>
                  </w:tcBorders>
                  <w:noWrap/>
                  <w:vAlign w:val="center"/>
                </w:tcPr>
                <w:p w14:paraId="0D3957A2">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bCs/>
                      <w:i w:val="0"/>
                      <w:iCs w:val="0"/>
                      <w:color w:val="auto"/>
                      <w:sz w:val="21"/>
                      <w:szCs w:val="21"/>
                      <w:u w:val="none"/>
                    </w:rPr>
                  </w:pPr>
                </w:p>
              </w:tc>
              <w:tc>
                <w:tcPr>
                  <w:tcW w:w="1064" w:type="pct"/>
                  <w:vMerge w:val="continue"/>
                  <w:tcBorders>
                    <w:tl2br w:val="nil"/>
                    <w:tr2bl w:val="nil"/>
                  </w:tcBorders>
                  <w:noWrap/>
                  <w:vAlign w:val="center"/>
                </w:tcPr>
                <w:p w14:paraId="43DCBC59">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bCs/>
                      <w:i w:val="0"/>
                      <w:iCs w:val="0"/>
                      <w:color w:val="auto"/>
                      <w:sz w:val="21"/>
                      <w:szCs w:val="21"/>
                      <w:u w:val="none"/>
                    </w:rPr>
                  </w:pPr>
                </w:p>
              </w:tc>
              <w:tc>
                <w:tcPr>
                  <w:tcW w:w="562" w:type="pct"/>
                  <w:vMerge w:val="continue"/>
                  <w:tcBorders>
                    <w:tl2br w:val="nil"/>
                    <w:tr2bl w:val="nil"/>
                  </w:tcBorders>
                  <w:noWrap/>
                  <w:vAlign w:val="center"/>
                </w:tcPr>
                <w:p w14:paraId="578E11A5">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bCs/>
                      <w:i w:val="0"/>
                      <w:iCs w:val="0"/>
                      <w:color w:val="auto"/>
                      <w:sz w:val="21"/>
                      <w:szCs w:val="21"/>
                      <w:u w:val="none"/>
                    </w:rPr>
                  </w:pPr>
                </w:p>
              </w:tc>
              <w:tc>
                <w:tcPr>
                  <w:tcW w:w="451" w:type="pct"/>
                  <w:vMerge w:val="continue"/>
                  <w:tcBorders>
                    <w:tl2br w:val="nil"/>
                    <w:tr2bl w:val="nil"/>
                  </w:tcBorders>
                  <w:noWrap/>
                  <w:vAlign w:val="center"/>
                </w:tcPr>
                <w:p w14:paraId="0DB1E6A1">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bCs/>
                      <w:i w:val="0"/>
                      <w:iCs w:val="0"/>
                      <w:color w:val="auto"/>
                      <w:sz w:val="21"/>
                      <w:szCs w:val="21"/>
                      <w:u w:val="none"/>
                    </w:rPr>
                  </w:pPr>
                </w:p>
              </w:tc>
              <w:tc>
                <w:tcPr>
                  <w:tcW w:w="652" w:type="pct"/>
                  <w:vMerge w:val="continue"/>
                  <w:tcBorders>
                    <w:tl2br w:val="nil"/>
                    <w:tr2bl w:val="nil"/>
                  </w:tcBorders>
                  <w:noWrap/>
                  <w:vAlign w:val="center"/>
                </w:tcPr>
                <w:p w14:paraId="5BCE57B3">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bCs/>
                      <w:i w:val="0"/>
                      <w:iCs w:val="0"/>
                      <w:color w:val="auto"/>
                      <w:sz w:val="21"/>
                      <w:szCs w:val="21"/>
                      <w:u w:val="none"/>
                    </w:rPr>
                  </w:pPr>
                </w:p>
              </w:tc>
              <w:tc>
                <w:tcPr>
                  <w:tcW w:w="468" w:type="pct"/>
                  <w:tcBorders>
                    <w:tl2br w:val="nil"/>
                    <w:tr2bl w:val="nil"/>
                  </w:tcBorders>
                  <w:noWrap/>
                  <w:vAlign w:val="center"/>
                </w:tcPr>
                <w:p w14:paraId="62AB40C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Style w:val="110"/>
                      <w:rFonts w:hint="default" w:ascii="Times New Roman" w:hAnsi="Times New Roman" w:eastAsia="宋体" w:cs="Times New Roman"/>
                      <w:color w:val="auto"/>
                      <w:sz w:val="21"/>
                      <w:szCs w:val="21"/>
                      <w:lang w:val="en-US" w:eastAsia="zh-CN" w:bidi="ar"/>
                    </w:rPr>
                    <w:t>高度</w:t>
                  </w:r>
                </w:p>
              </w:tc>
              <w:tc>
                <w:tcPr>
                  <w:tcW w:w="445" w:type="pct"/>
                  <w:tcBorders>
                    <w:tl2br w:val="nil"/>
                    <w:tr2bl w:val="nil"/>
                  </w:tcBorders>
                  <w:noWrap/>
                  <w:vAlign w:val="center"/>
                </w:tcPr>
                <w:p w14:paraId="002133C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Style w:val="110"/>
                      <w:rFonts w:hint="default" w:ascii="Times New Roman" w:hAnsi="Times New Roman" w:eastAsia="宋体" w:cs="Times New Roman"/>
                      <w:color w:val="auto"/>
                      <w:sz w:val="21"/>
                      <w:szCs w:val="21"/>
                      <w:lang w:val="en-US" w:eastAsia="zh-CN" w:bidi="ar"/>
                    </w:rPr>
                    <w:t>内径</w:t>
                  </w:r>
                </w:p>
              </w:tc>
              <w:tc>
                <w:tcPr>
                  <w:tcW w:w="510" w:type="pct"/>
                  <w:tcBorders>
                    <w:tl2br w:val="nil"/>
                    <w:tr2bl w:val="nil"/>
                  </w:tcBorders>
                  <w:noWrap/>
                  <w:vAlign w:val="center"/>
                </w:tcPr>
                <w:p w14:paraId="1D17F06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Style w:val="110"/>
                      <w:rFonts w:hint="default" w:ascii="Times New Roman" w:hAnsi="Times New Roman" w:eastAsia="宋体" w:cs="Times New Roman"/>
                      <w:color w:val="auto"/>
                      <w:sz w:val="21"/>
                      <w:szCs w:val="21"/>
                      <w:lang w:val="en-US" w:eastAsia="zh-CN" w:bidi="ar"/>
                    </w:rPr>
                    <w:t>温度</w:t>
                  </w:r>
                </w:p>
              </w:tc>
              <w:tc>
                <w:tcPr>
                  <w:tcW w:w="426" w:type="pct"/>
                  <w:vMerge w:val="continue"/>
                  <w:tcBorders>
                    <w:tl2br w:val="nil"/>
                    <w:tr2bl w:val="nil"/>
                  </w:tcBorders>
                  <w:noWrap/>
                  <w:vAlign w:val="center"/>
                </w:tcPr>
                <w:p w14:paraId="6D6B4A39">
                  <w:pPr>
                    <w:keepNext w:val="0"/>
                    <w:keepLines w:val="0"/>
                    <w:pageBreakBefore w:val="0"/>
                    <w:widowControl/>
                    <w:suppressLineNumbers w:val="0"/>
                    <w:kinsoku/>
                    <w:wordWrap/>
                    <w:overflowPunct/>
                    <w:topLinePunct w:val="0"/>
                    <w:autoSpaceDE/>
                    <w:autoSpaceDN/>
                    <w:bidi w:val="0"/>
                    <w:adjustRightInd/>
                    <w:snapToGrid/>
                    <w:jc w:val="center"/>
                    <w:textAlignment w:val="center"/>
                    <w:rPr>
                      <w:rStyle w:val="110"/>
                      <w:rFonts w:hint="default" w:ascii="Times New Roman" w:hAnsi="Times New Roman" w:eastAsia="宋体" w:cs="Times New Roman"/>
                      <w:color w:val="auto"/>
                      <w:sz w:val="21"/>
                      <w:szCs w:val="21"/>
                      <w:lang w:val="en-US" w:eastAsia="zh-CN" w:bidi="ar"/>
                    </w:rPr>
                  </w:pPr>
                </w:p>
              </w:tc>
            </w:tr>
            <w:tr w14:paraId="2C12691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19" w:type="pct"/>
                  <w:vMerge w:val="continue"/>
                  <w:tcBorders>
                    <w:tl2br w:val="nil"/>
                    <w:tr2bl w:val="nil"/>
                  </w:tcBorders>
                  <w:noWrap/>
                  <w:vAlign w:val="center"/>
                </w:tcPr>
                <w:p w14:paraId="550CFABA">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bCs/>
                      <w:i w:val="0"/>
                      <w:iCs w:val="0"/>
                      <w:color w:val="auto"/>
                      <w:sz w:val="21"/>
                      <w:szCs w:val="21"/>
                      <w:u w:val="none"/>
                    </w:rPr>
                  </w:pPr>
                </w:p>
              </w:tc>
              <w:tc>
                <w:tcPr>
                  <w:tcW w:w="1064" w:type="pct"/>
                  <w:vMerge w:val="continue"/>
                  <w:tcBorders>
                    <w:tl2br w:val="nil"/>
                    <w:tr2bl w:val="nil"/>
                  </w:tcBorders>
                  <w:noWrap/>
                  <w:vAlign w:val="center"/>
                </w:tcPr>
                <w:p w14:paraId="6760BD6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bCs/>
                      <w:i w:val="0"/>
                      <w:iCs w:val="0"/>
                      <w:color w:val="auto"/>
                      <w:sz w:val="21"/>
                      <w:szCs w:val="21"/>
                      <w:u w:val="none"/>
                    </w:rPr>
                  </w:pPr>
                </w:p>
              </w:tc>
              <w:tc>
                <w:tcPr>
                  <w:tcW w:w="562" w:type="pct"/>
                  <w:vMerge w:val="continue"/>
                  <w:tcBorders>
                    <w:tl2br w:val="nil"/>
                    <w:tr2bl w:val="nil"/>
                  </w:tcBorders>
                  <w:noWrap/>
                  <w:vAlign w:val="center"/>
                </w:tcPr>
                <w:p w14:paraId="5AA619F2">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bCs/>
                      <w:i w:val="0"/>
                      <w:iCs w:val="0"/>
                      <w:color w:val="auto"/>
                      <w:sz w:val="21"/>
                      <w:szCs w:val="21"/>
                      <w:u w:val="none"/>
                    </w:rPr>
                  </w:pPr>
                </w:p>
              </w:tc>
              <w:tc>
                <w:tcPr>
                  <w:tcW w:w="451" w:type="pct"/>
                  <w:vMerge w:val="continue"/>
                  <w:tcBorders>
                    <w:tl2br w:val="nil"/>
                    <w:tr2bl w:val="nil"/>
                  </w:tcBorders>
                  <w:noWrap/>
                  <w:vAlign w:val="center"/>
                </w:tcPr>
                <w:p w14:paraId="2D295228">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bCs/>
                      <w:i w:val="0"/>
                      <w:iCs w:val="0"/>
                      <w:color w:val="auto"/>
                      <w:sz w:val="21"/>
                      <w:szCs w:val="21"/>
                      <w:u w:val="none"/>
                    </w:rPr>
                  </w:pPr>
                </w:p>
              </w:tc>
              <w:tc>
                <w:tcPr>
                  <w:tcW w:w="652" w:type="pct"/>
                  <w:vMerge w:val="continue"/>
                  <w:tcBorders>
                    <w:tl2br w:val="nil"/>
                    <w:tr2bl w:val="nil"/>
                  </w:tcBorders>
                  <w:noWrap/>
                  <w:vAlign w:val="center"/>
                </w:tcPr>
                <w:p w14:paraId="6795DBA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b/>
                      <w:bCs/>
                      <w:i w:val="0"/>
                      <w:iCs w:val="0"/>
                      <w:color w:val="auto"/>
                      <w:sz w:val="21"/>
                      <w:szCs w:val="21"/>
                      <w:u w:val="none"/>
                    </w:rPr>
                  </w:pPr>
                </w:p>
              </w:tc>
              <w:tc>
                <w:tcPr>
                  <w:tcW w:w="468" w:type="pct"/>
                  <w:tcBorders>
                    <w:tl2br w:val="nil"/>
                    <w:tr2bl w:val="nil"/>
                  </w:tcBorders>
                  <w:noWrap/>
                  <w:vAlign w:val="center"/>
                </w:tcPr>
                <w:p w14:paraId="76FE495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m</w:t>
                  </w:r>
                </w:p>
              </w:tc>
              <w:tc>
                <w:tcPr>
                  <w:tcW w:w="445" w:type="pct"/>
                  <w:tcBorders>
                    <w:tl2br w:val="nil"/>
                    <w:tr2bl w:val="nil"/>
                  </w:tcBorders>
                  <w:noWrap/>
                  <w:vAlign w:val="center"/>
                </w:tcPr>
                <w:p w14:paraId="3530344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m</w:t>
                  </w:r>
                </w:p>
              </w:tc>
              <w:tc>
                <w:tcPr>
                  <w:tcW w:w="510" w:type="pct"/>
                  <w:tcBorders>
                    <w:tl2br w:val="nil"/>
                    <w:tr2bl w:val="nil"/>
                  </w:tcBorders>
                  <w:noWrap/>
                  <w:vAlign w:val="center"/>
                </w:tcPr>
                <w:p w14:paraId="5E39053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w:t>
                  </w:r>
                </w:p>
              </w:tc>
              <w:tc>
                <w:tcPr>
                  <w:tcW w:w="426" w:type="pct"/>
                  <w:vMerge w:val="continue"/>
                  <w:tcBorders>
                    <w:tl2br w:val="nil"/>
                    <w:tr2bl w:val="nil"/>
                  </w:tcBorders>
                  <w:noWrap/>
                  <w:vAlign w:val="center"/>
                </w:tcPr>
                <w:p w14:paraId="17B9A76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p>
              </w:tc>
            </w:tr>
            <w:tr w14:paraId="43F2A3C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19" w:type="pct"/>
                  <w:tcBorders>
                    <w:tl2br w:val="nil"/>
                    <w:tr2bl w:val="nil"/>
                  </w:tcBorders>
                  <w:noWrap w:val="0"/>
                  <w:vAlign w:val="center"/>
                </w:tcPr>
                <w:p w14:paraId="6FC505C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cs="Times New Roman"/>
                      <w:i w:val="0"/>
                      <w:iCs w:val="0"/>
                      <w:color w:val="auto"/>
                      <w:sz w:val="21"/>
                      <w:szCs w:val="21"/>
                      <w:u w:val="none"/>
                      <w:lang w:val="en-US" w:eastAsia="zh-CN"/>
                    </w:rPr>
                    <w:t>煤气燃烧</w:t>
                  </w:r>
                </w:p>
              </w:tc>
              <w:tc>
                <w:tcPr>
                  <w:tcW w:w="1064" w:type="pct"/>
                  <w:tcBorders>
                    <w:tl2br w:val="nil"/>
                    <w:tr2bl w:val="nil"/>
                  </w:tcBorders>
                  <w:noWrap/>
                  <w:vAlign w:val="center"/>
                </w:tcPr>
                <w:p w14:paraId="61CE55F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cs="Times New Roman"/>
                      <w:i w:val="0"/>
                      <w:iCs w:val="0"/>
                      <w:color w:val="auto"/>
                      <w:sz w:val="21"/>
                      <w:szCs w:val="21"/>
                      <w:u w:val="none"/>
                      <w:lang w:val="en-US" w:eastAsia="zh-CN"/>
                    </w:rPr>
                    <w:t>颗粒物、氮氧化物、二氧化硫、林格曼黑度</w:t>
                  </w:r>
                </w:p>
              </w:tc>
              <w:tc>
                <w:tcPr>
                  <w:tcW w:w="562" w:type="pct"/>
                  <w:vMerge w:val="restart"/>
                  <w:tcBorders>
                    <w:tl2br w:val="nil"/>
                    <w:tr2bl w:val="nil"/>
                  </w:tcBorders>
                  <w:noWrap w:val="0"/>
                  <w:vAlign w:val="center"/>
                </w:tcPr>
                <w:p w14:paraId="06E86A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cs="Times New Roman"/>
                      <w:i w:val="0"/>
                      <w:iCs w:val="0"/>
                      <w:color w:val="auto"/>
                      <w:sz w:val="21"/>
                      <w:szCs w:val="21"/>
                      <w:u w:val="none"/>
                      <w:lang w:val="en-US" w:eastAsia="zh-CN"/>
                    </w:rPr>
                    <w:t>锅炉排气筒</w:t>
                  </w:r>
                </w:p>
              </w:tc>
              <w:tc>
                <w:tcPr>
                  <w:tcW w:w="451" w:type="pct"/>
                  <w:vMerge w:val="restart"/>
                  <w:tcBorders>
                    <w:tl2br w:val="nil"/>
                    <w:tr2bl w:val="nil"/>
                  </w:tcBorders>
                  <w:noWrap/>
                  <w:vAlign w:val="center"/>
                </w:tcPr>
                <w:p w14:paraId="5EB5E9C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DA00</w:t>
                  </w:r>
                  <w:r>
                    <w:rPr>
                      <w:rFonts w:hint="default" w:ascii="Times New Roman" w:hAnsi="Times New Roman" w:cs="Times New Roman"/>
                      <w:i w:val="0"/>
                      <w:iCs w:val="0"/>
                      <w:color w:val="auto"/>
                      <w:kern w:val="0"/>
                      <w:sz w:val="21"/>
                      <w:szCs w:val="21"/>
                      <w:highlight w:val="none"/>
                      <w:u w:val="none"/>
                      <w:lang w:val="en-US" w:eastAsia="zh-CN" w:bidi="ar"/>
                    </w:rPr>
                    <w:t>1</w:t>
                  </w:r>
                </w:p>
              </w:tc>
              <w:tc>
                <w:tcPr>
                  <w:tcW w:w="652" w:type="pct"/>
                  <w:vMerge w:val="restart"/>
                  <w:tcBorders>
                    <w:tl2br w:val="nil"/>
                    <w:tr2bl w:val="nil"/>
                  </w:tcBorders>
                  <w:noWrap/>
                  <w:vAlign w:val="center"/>
                </w:tcPr>
                <w:p w14:paraId="0CB1D29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88.969797312</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i w:val="0"/>
                      <w:iCs w:val="0"/>
                      <w:color w:val="auto"/>
                      <w:kern w:val="0"/>
                      <w:sz w:val="21"/>
                      <w:szCs w:val="21"/>
                      <w:highlight w:val="none"/>
                      <w:u w:val="none"/>
                      <w:lang w:val="en-US" w:eastAsia="zh-CN" w:bidi="ar"/>
                    </w:rPr>
                    <w:t>E,</w:t>
                  </w:r>
                  <w:r>
                    <w:rPr>
                      <w:rFonts w:hint="default" w:ascii="Times New Roman" w:hAnsi="Times New Roman" w:eastAsia="宋体" w:cs="Times New Roman"/>
                      <w:i w:val="0"/>
                      <w:iCs w:val="0"/>
                      <w:color w:val="auto"/>
                      <w:kern w:val="0"/>
                      <w:sz w:val="21"/>
                      <w:szCs w:val="21"/>
                      <w:highlight w:val="none"/>
                      <w:u w:val="none"/>
                      <w:lang w:val="en-US" w:eastAsia="zh-CN" w:bidi="ar"/>
                    </w:rPr>
                    <w:t>43.934335659</w:t>
                  </w:r>
                  <w:r>
                    <w:rPr>
                      <w:rFonts w:hint="default" w:ascii="Times New Roman" w:hAnsi="Times New Roman" w:cs="Times New Roman"/>
                      <w:color w:val="auto"/>
                      <w:sz w:val="21"/>
                      <w:szCs w:val="21"/>
                      <w:highlight w:val="none"/>
                      <w:lang w:val="en-US" w:eastAsia="zh-CN"/>
                    </w:rPr>
                    <w:t>°</w:t>
                  </w:r>
                  <w:r>
                    <w:rPr>
                      <w:rFonts w:hint="default" w:ascii="Times New Roman" w:hAnsi="Times New Roman" w:cs="Times New Roman"/>
                      <w:i w:val="0"/>
                      <w:iCs w:val="0"/>
                      <w:color w:val="auto"/>
                      <w:kern w:val="0"/>
                      <w:sz w:val="21"/>
                      <w:szCs w:val="21"/>
                      <w:highlight w:val="none"/>
                      <w:u w:val="none"/>
                      <w:lang w:val="en-US" w:eastAsia="zh-CN" w:bidi="ar"/>
                    </w:rPr>
                    <w:t>N</w:t>
                  </w:r>
                </w:p>
              </w:tc>
              <w:tc>
                <w:tcPr>
                  <w:tcW w:w="468" w:type="pct"/>
                  <w:vMerge w:val="restart"/>
                  <w:tcBorders>
                    <w:tl2br w:val="nil"/>
                    <w:tr2bl w:val="nil"/>
                  </w:tcBorders>
                  <w:noWrap/>
                  <w:vAlign w:val="center"/>
                </w:tcPr>
                <w:p w14:paraId="5C1F0DD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60</w:t>
                  </w:r>
                </w:p>
              </w:tc>
              <w:tc>
                <w:tcPr>
                  <w:tcW w:w="445" w:type="pct"/>
                  <w:vMerge w:val="restart"/>
                  <w:tcBorders>
                    <w:tl2br w:val="nil"/>
                    <w:tr2bl w:val="nil"/>
                  </w:tcBorders>
                  <w:noWrap/>
                  <w:vAlign w:val="center"/>
                </w:tcPr>
                <w:p w14:paraId="56B7B6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cs="Times New Roman"/>
                      <w:i w:val="0"/>
                      <w:iCs w:val="0"/>
                      <w:color w:val="auto"/>
                      <w:kern w:val="0"/>
                      <w:sz w:val="21"/>
                      <w:szCs w:val="21"/>
                      <w:u w:val="none"/>
                      <w:lang w:val="en-US" w:eastAsia="zh-CN" w:bidi="ar"/>
                    </w:rPr>
                    <w:t>3.5</w:t>
                  </w:r>
                </w:p>
              </w:tc>
              <w:tc>
                <w:tcPr>
                  <w:tcW w:w="510" w:type="pct"/>
                  <w:vMerge w:val="restart"/>
                  <w:tcBorders>
                    <w:tl2br w:val="nil"/>
                    <w:tr2bl w:val="nil"/>
                  </w:tcBorders>
                  <w:noWrap/>
                  <w:vAlign w:val="center"/>
                </w:tcPr>
                <w:p w14:paraId="13E393E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cs="Times New Roman"/>
                      <w:i w:val="0"/>
                      <w:iCs w:val="0"/>
                      <w:color w:val="auto"/>
                      <w:kern w:val="0"/>
                      <w:sz w:val="21"/>
                      <w:szCs w:val="21"/>
                      <w:u w:val="none"/>
                      <w:lang w:val="en-US" w:eastAsia="zh-CN" w:bidi="ar"/>
                    </w:rPr>
                    <w:t>50</w:t>
                  </w:r>
                </w:p>
              </w:tc>
              <w:tc>
                <w:tcPr>
                  <w:tcW w:w="426" w:type="pct"/>
                  <w:vMerge w:val="restart"/>
                  <w:tcBorders>
                    <w:tl2br w:val="nil"/>
                    <w:tr2bl w:val="nil"/>
                  </w:tcBorders>
                  <w:noWrap/>
                  <w:vAlign w:val="center"/>
                </w:tcPr>
                <w:p w14:paraId="1283777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重点排放口</w:t>
                  </w:r>
                </w:p>
              </w:tc>
            </w:tr>
            <w:tr w14:paraId="41D11E7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19" w:type="pct"/>
                  <w:tcBorders>
                    <w:tl2br w:val="nil"/>
                    <w:tr2bl w:val="nil"/>
                  </w:tcBorders>
                  <w:noWrap w:val="0"/>
                  <w:vAlign w:val="center"/>
                </w:tcPr>
                <w:p w14:paraId="088B2F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i w:val="0"/>
                      <w:iCs w:val="0"/>
                      <w:color w:val="auto"/>
                      <w:sz w:val="21"/>
                      <w:szCs w:val="21"/>
                      <w:u w:val="none"/>
                      <w:lang w:val="en-US" w:eastAsia="zh-CN"/>
                    </w:rPr>
                  </w:pPr>
                  <w:r>
                    <w:rPr>
                      <w:rFonts w:hint="default" w:ascii="Times New Roman" w:hAnsi="Times New Roman" w:cs="Times New Roman"/>
                      <w:i w:val="0"/>
                      <w:iCs w:val="0"/>
                      <w:color w:val="auto"/>
                      <w:sz w:val="21"/>
                      <w:szCs w:val="21"/>
                      <w:u w:val="none"/>
                      <w:lang w:val="en-US" w:eastAsia="zh-CN"/>
                    </w:rPr>
                    <w:t>脱硝环节</w:t>
                  </w:r>
                </w:p>
              </w:tc>
              <w:tc>
                <w:tcPr>
                  <w:tcW w:w="1064" w:type="pct"/>
                  <w:tcBorders>
                    <w:tl2br w:val="nil"/>
                    <w:tr2bl w:val="nil"/>
                  </w:tcBorders>
                  <w:noWrap/>
                  <w:vAlign w:val="center"/>
                </w:tcPr>
                <w:p w14:paraId="7A0E84C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i w:val="0"/>
                      <w:iCs w:val="0"/>
                      <w:color w:val="auto"/>
                      <w:sz w:val="21"/>
                      <w:szCs w:val="21"/>
                      <w:u w:val="none"/>
                      <w:lang w:val="en-US" w:eastAsia="zh-CN"/>
                    </w:rPr>
                  </w:pPr>
                  <w:r>
                    <w:rPr>
                      <w:rFonts w:hint="default" w:ascii="Times New Roman" w:hAnsi="Times New Roman" w:cs="Times New Roman"/>
                      <w:i w:val="0"/>
                      <w:iCs w:val="0"/>
                      <w:color w:val="auto"/>
                      <w:sz w:val="21"/>
                      <w:szCs w:val="21"/>
                      <w:u w:val="none"/>
                      <w:lang w:val="en-US" w:eastAsia="zh-CN"/>
                    </w:rPr>
                    <w:t>氨</w:t>
                  </w:r>
                </w:p>
              </w:tc>
              <w:tc>
                <w:tcPr>
                  <w:tcW w:w="562" w:type="pct"/>
                  <w:vMerge w:val="continue"/>
                  <w:tcBorders>
                    <w:tl2br w:val="nil"/>
                    <w:tr2bl w:val="nil"/>
                  </w:tcBorders>
                  <w:noWrap w:val="0"/>
                  <w:vAlign w:val="center"/>
                </w:tcPr>
                <w:p w14:paraId="30AE49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i w:val="0"/>
                      <w:iCs w:val="0"/>
                      <w:color w:val="auto"/>
                      <w:sz w:val="21"/>
                      <w:szCs w:val="21"/>
                      <w:u w:val="none"/>
                      <w:lang w:val="en-US" w:eastAsia="zh-CN"/>
                    </w:rPr>
                  </w:pPr>
                </w:p>
              </w:tc>
              <w:tc>
                <w:tcPr>
                  <w:tcW w:w="451" w:type="pct"/>
                  <w:vMerge w:val="continue"/>
                  <w:tcBorders>
                    <w:tl2br w:val="nil"/>
                    <w:tr2bl w:val="nil"/>
                  </w:tcBorders>
                  <w:noWrap/>
                  <w:vAlign w:val="center"/>
                </w:tcPr>
                <w:p w14:paraId="4E4D7F4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652" w:type="pct"/>
                  <w:vMerge w:val="continue"/>
                  <w:tcBorders>
                    <w:tl2br w:val="nil"/>
                    <w:tr2bl w:val="nil"/>
                  </w:tcBorders>
                  <w:noWrap/>
                  <w:vAlign w:val="center"/>
                </w:tcPr>
                <w:p w14:paraId="42EAC21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468" w:type="pct"/>
                  <w:vMerge w:val="continue"/>
                  <w:tcBorders>
                    <w:tl2br w:val="nil"/>
                    <w:tr2bl w:val="nil"/>
                  </w:tcBorders>
                  <w:noWrap/>
                  <w:vAlign w:val="center"/>
                </w:tcPr>
                <w:p w14:paraId="7A69B09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p>
              </w:tc>
              <w:tc>
                <w:tcPr>
                  <w:tcW w:w="445" w:type="pct"/>
                  <w:vMerge w:val="continue"/>
                  <w:tcBorders>
                    <w:tl2br w:val="nil"/>
                    <w:tr2bl w:val="nil"/>
                  </w:tcBorders>
                  <w:noWrap/>
                  <w:vAlign w:val="center"/>
                </w:tcPr>
                <w:p w14:paraId="0DE4D21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i w:val="0"/>
                      <w:iCs w:val="0"/>
                      <w:color w:val="auto"/>
                      <w:kern w:val="0"/>
                      <w:sz w:val="21"/>
                      <w:szCs w:val="21"/>
                      <w:u w:val="none"/>
                      <w:lang w:val="en-US" w:eastAsia="zh-CN" w:bidi="ar"/>
                    </w:rPr>
                  </w:pPr>
                </w:p>
              </w:tc>
              <w:tc>
                <w:tcPr>
                  <w:tcW w:w="510" w:type="pct"/>
                  <w:vMerge w:val="continue"/>
                  <w:tcBorders>
                    <w:tl2br w:val="nil"/>
                    <w:tr2bl w:val="nil"/>
                  </w:tcBorders>
                  <w:noWrap/>
                  <w:vAlign w:val="center"/>
                </w:tcPr>
                <w:p w14:paraId="0492DE3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i w:val="0"/>
                      <w:iCs w:val="0"/>
                      <w:color w:val="auto"/>
                      <w:kern w:val="0"/>
                      <w:sz w:val="21"/>
                      <w:szCs w:val="21"/>
                      <w:u w:val="none"/>
                      <w:lang w:val="en-US" w:eastAsia="zh-CN" w:bidi="ar"/>
                    </w:rPr>
                  </w:pPr>
                </w:p>
              </w:tc>
              <w:tc>
                <w:tcPr>
                  <w:tcW w:w="426" w:type="pct"/>
                  <w:vMerge w:val="continue"/>
                  <w:tcBorders>
                    <w:tl2br w:val="nil"/>
                    <w:tr2bl w:val="nil"/>
                  </w:tcBorders>
                  <w:noWrap/>
                  <w:vAlign w:val="center"/>
                </w:tcPr>
                <w:p w14:paraId="58B93A6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i w:val="0"/>
                      <w:iCs w:val="0"/>
                      <w:color w:val="auto"/>
                      <w:kern w:val="0"/>
                      <w:sz w:val="21"/>
                      <w:szCs w:val="21"/>
                      <w:u w:val="none"/>
                      <w:lang w:val="en-US" w:eastAsia="zh-CN" w:bidi="ar"/>
                    </w:rPr>
                  </w:pPr>
                </w:p>
              </w:tc>
            </w:tr>
          </w:tbl>
          <w:p w14:paraId="22EC082E">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2.</w:t>
            </w:r>
            <w:r>
              <w:rPr>
                <w:rFonts w:hint="default" w:ascii="Times New Roman" w:hAnsi="Times New Roman" w:cs="Times New Roman"/>
                <w:b/>
                <w:bCs/>
                <w:color w:val="auto"/>
                <w:sz w:val="24"/>
                <w:szCs w:val="24"/>
                <w:lang w:val="en-US" w:eastAsia="zh-CN"/>
              </w:rPr>
              <w:t>1.2</w:t>
            </w:r>
            <w:r>
              <w:rPr>
                <w:rFonts w:hint="default" w:ascii="Times New Roman" w:hAnsi="Times New Roman" w:eastAsia="宋体" w:cs="Times New Roman"/>
                <w:b/>
                <w:bCs/>
                <w:color w:val="auto"/>
                <w:sz w:val="24"/>
                <w:szCs w:val="24"/>
                <w:lang w:val="en-US" w:eastAsia="zh-CN"/>
              </w:rPr>
              <w:t>废气环境保护措施可行性分析</w:t>
            </w:r>
          </w:p>
          <w:p w14:paraId="7B89E0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kern w:val="0"/>
                <w:sz w:val="24"/>
                <w:szCs w:val="24"/>
                <w:vertAlign w:val="baseline"/>
                <w:lang w:val="en-US" w:eastAsia="zh-CN"/>
              </w:rPr>
            </w:pPr>
            <w:r>
              <w:rPr>
                <w:rFonts w:hint="default" w:ascii="Times New Roman" w:hAnsi="Times New Roman" w:eastAsia="宋体" w:cs="Times New Roman"/>
                <w:b w:val="0"/>
                <w:bCs/>
                <w:snapToGrid w:val="0"/>
                <w:color w:val="auto"/>
                <w:kern w:val="0"/>
                <w:sz w:val="24"/>
                <w:szCs w:val="24"/>
                <w:vertAlign w:val="baseline"/>
                <w:lang w:val="en-US" w:eastAsia="zh-CN"/>
              </w:rPr>
              <w:t>（1）有组织废气</w:t>
            </w:r>
          </w:p>
          <w:p w14:paraId="125A9BF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snapToGrid w:val="0"/>
                <w:color w:val="auto"/>
                <w:kern w:val="0"/>
                <w:sz w:val="24"/>
                <w:szCs w:val="24"/>
                <w:vertAlign w:val="baseline"/>
                <w:lang w:val="en-US" w:eastAsia="zh-CN" w:bidi="ar-SA"/>
              </w:rPr>
            </w:pPr>
            <w:r>
              <w:rPr>
                <w:rFonts w:hint="default" w:ascii="Times New Roman" w:hAnsi="Times New Roman" w:cs="Times New Roman"/>
                <w:b w:val="0"/>
                <w:bCs/>
                <w:snapToGrid w:val="0"/>
                <w:color w:val="auto"/>
                <w:kern w:val="0"/>
                <w:sz w:val="24"/>
                <w:szCs w:val="24"/>
                <w:vertAlign w:val="baseline"/>
                <w:lang w:val="en-US" w:eastAsia="zh-CN" w:bidi="ar-SA"/>
              </w:rPr>
              <w:t>①低氮燃烧器</w:t>
            </w:r>
            <w:r>
              <w:rPr>
                <w:rFonts w:hint="default" w:ascii="Times New Roman" w:hAnsi="Times New Roman" w:cs="Times New Roman"/>
                <w:b w:val="0"/>
                <w:bCs/>
                <w:snapToGrid w:val="0"/>
                <w:color w:val="auto"/>
                <w:kern w:val="0"/>
                <w:sz w:val="24"/>
                <w:szCs w:val="24"/>
                <w:highlight w:val="none"/>
                <w:vertAlign w:val="baseline"/>
                <w:lang w:val="en-US" w:eastAsia="zh-CN"/>
              </w:rPr>
              <w:t>（</w:t>
            </w:r>
            <w:r>
              <w:rPr>
                <w:rFonts w:hint="default" w:ascii="Times New Roman" w:hAnsi="Times New Roman" w:eastAsia="宋体" w:cs="Times New Roman"/>
                <w:b w:val="0"/>
                <w:bCs/>
                <w:snapToGrid w:val="0"/>
                <w:color w:val="auto"/>
                <w:kern w:val="0"/>
                <w:sz w:val="24"/>
                <w:szCs w:val="24"/>
                <w:highlight w:val="none"/>
                <w:vertAlign w:val="baseline"/>
                <w:lang w:val="en-US" w:eastAsia="zh-CN"/>
              </w:rPr>
              <w:t>LNB</w:t>
            </w:r>
            <w:r>
              <w:rPr>
                <w:rFonts w:hint="default" w:ascii="Times New Roman" w:hAnsi="Times New Roman" w:cs="Times New Roman"/>
                <w:b w:val="0"/>
                <w:bCs/>
                <w:snapToGrid w:val="0"/>
                <w:color w:val="auto"/>
                <w:kern w:val="0"/>
                <w:sz w:val="24"/>
                <w:szCs w:val="24"/>
                <w:highlight w:val="none"/>
                <w:vertAlign w:val="baseline"/>
                <w:lang w:val="en-US" w:eastAsia="zh-CN"/>
              </w:rPr>
              <w:t>）</w:t>
            </w:r>
            <w:r>
              <w:rPr>
                <w:rFonts w:hint="default" w:ascii="Times New Roman" w:hAnsi="Times New Roman" w:cs="Times New Roman"/>
                <w:b w:val="0"/>
                <w:bCs/>
                <w:snapToGrid w:val="0"/>
                <w:color w:val="auto"/>
                <w:kern w:val="0"/>
                <w:sz w:val="24"/>
                <w:szCs w:val="24"/>
                <w:vertAlign w:val="baseline"/>
                <w:lang w:val="en-US" w:eastAsia="zh-CN" w:bidi="ar-SA"/>
              </w:rPr>
              <w:t>+SCR脱硝</w:t>
            </w:r>
          </w:p>
          <w:p w14:paraId="490D53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kern w:val="0"/>
                <w:sz w:val="24"/>
                <w:szCs w:val="24"/>
                <w:highlight w:val="none"/>
                <w:vertAlign w:val="baseline"/>
                <w:lang w:val="en-US" w:eastAsia="zh-CN"/>
              </w:rPr>
            </w:pPr>
            <w:r>
              <w:rPr>
                <w:rFonts w:hint="default" w:ascii="Times New Roman" w:hAnsi="Times New Roman" w:eastAsia="宋体" w:cs="Times New Roman"/>
                <w:b w:val="0"/>
                <w:bCs/>
                <w:snapToGrid w:val="0"/>
                <w:color w:val="auto"/>
                <w:kern w:val="0"/>
                <w:sz w:val="24"/>
                <w:szCs w:val="24"/>
                <w:highlight w:val="none"/>
                <w:vertAlign w:val="baseline"/>
                <w:lang w:val="en-US" w:eastAsia="zh-CN"/>
              </w:rPr>
              <w:t>低氮燃烧器</w:t>
            </w:r>
            <w:r>
              <w:rPr>
                <w:rFonts w:hint="default" w:ascii="Times New Roman" w:hAnsi="Times New Roman" w:cs="Times New Roman"/>
                <w:b w:val="0"/>
                <w:bCs/>
                <w:snapToGrid w:val="0"/>
                <w:color w:val="auto"/>
                <w:kern w:val="0"/>
                <w:sz w:val="24"/>
                <w:szCs w:val="24"/>
                <w:highlight w:val="none"/>
                <w:vertAlign w:val="baseline"/>
                <w:lang w:val="en-US" w:eastAsia="zh-CN"/>
              </w:rPr>
              <w:t>（</w:t>
            </w:r>
            <w:r>
              <w:rPr>
                <w:rFonts w:hint="default" w:ascii="Times New Roman" w:hAnsi="Times New Roman" w:eastAsia="宋体" w:cs="Times New Roman"/>
                <w:b w:val="0"/>
                <w:bCs/>
                <w:snapToGrid w:val="0"/>
                <w:color w:val="auto"/>
                <w:kern w:val="0"/>
                <w:sz w:val="24"/>
                <w:szCs w:val="24"/>
                <w:highlight w:val="none"/>
                <w:vertAlign w:val="baseline"/>
                <w:lang w:val="en-US" w:eastAsia="zh-CN"/>
              </w:rPr>
              <w:t>LNB</w:t>
            </w:r>
            <w:r>
              <w:rPr>
                <w:rFonts w:hint="default" w:ascii="Times New Roman" w:hAnsi="Times New Roman" w:cs="Times New Roman"/>
                <w:b w:val="0"/>
                <w:bCs/>
                <w:snapToGrid w:val="0"/>
                <w:color w:val="auto"/>
                <w:kern w:val="0"/>
                <w:sz w:val="24"/>
                <w:szCs w:val="24"/>
                <w:highlight w:val="none"/>
                <w:vertAlign w:val="baseline"/>
                <w:lang w:val="en-US" w:eastAsia="zh-CN"/>
              </w:rPr>
              <w:t>）</w:t>
            </w:r>
            <w:r>
              <w:rPr>
                <w:rFonts w:hint="default" w:ascii="Times New Roman" w:hAnsi="Times New Roman" w:eastAsia="宋体" w:cs="Times New Roman"/>
                <w:b w:val="0"/>
                <w:bCs/>
                <w:snapToGrid w:val="0"/>
                <w:color w:val="auto"/>
                <w:kern w:val="0"/>
                <w:sz w:val="24"/>
                <w:szCs w:val="24"/>
                <w:highlight w:val="none"/>
                <w:vertAlign w:val="baseline"/>
                <w:lang w:val="en-US" w:eastAsia="zh-CN"/>
              </w:rPr>
              <w:t>与选择性催化还原（SCR）脱硝的组合工艺，是氮氧化物治理的主流技术路线。低氮燃烧技术是通过合理配置炉内流场、温度场及物料分布以改变氮氧化物的生成环境，从而降低炉膛出口氮氧化物排放，主要包括低</w:t>
            </w:r>
            <w:r>
              <w:rPr>
                <w:rFonts w:hint="default" w:ascii="Times New Roman" w:hAnsi="Times New Roman" w:cs="Times New Roman"/>
                <w:b w:val="0"/>
                <w:bCs/>
                <w:snapToGrid w:val="0"/>
                <w:color w:val="auto"/>
                <w:kern w:val="0"/>
                <w:sz w:val="24"/>
                <w:szCs w:val="24"/>
                <w:highlight w:val="none"/>
                <w:vertAlign w:val="baseline"/>
                <w:lang w:val="en-US" w:eastAsia="zh-CN"/>
              </w:rPr>
              <w:t>氮</w:t>
            </w:r>
            <w:r>
              <w:rPr>
                <w:rFonts w:hint="default" w:ascii="Times New Roman" w:hAnsi="Times New Roman" w:eastAsia="宋体" w:cs="Times New Roman"/>
                <w:b w:val="0"/>
                <w:bCs/>
                <w:snapToGrid w:val="0"/>
                <w:color w:val="auto"/>
                <w:kern w:val="0"/>
                <w:sz w:val="24"/>
                <w:szCs w:val="24"/>
                <w:highlight w:val="none"/>
                <w:vertAlign w:val="baseline"/>
                <w:lang w:val="en-US" w:eastAsia="zh-CN"/>
              </w:rPr>
              <w:t>燃烧器</w:t>
            </w:r>
            <w:r>
              <w:rPr>
                <w:rFonts w:hint="default" w:ascii="Times New Roman" w:hAnsi="Times New Roman" w:cs="Times New Roman"/>
                <w:b w:val="0"/>
                <w:bCs/>
                <w:snapToGrid w:val="0"/>
                <w:color w:val="auto"/>
                <w:kern w:val="0"/>
                <w:sz w:val="24"/>
                <w:szCs w:val="24"/>
                <w:highlight w:val="none"/>
                <w:vertAlign w:val="baseline"/>
                <w:lang w:val="en-US" w:eastAsia="zh-CN"/>
              </w:rPr>
              <w:t>（</w:t>
            </w:r>
            <w:r>
              <w:rPr>
                <w:rFonts w:hint="default" w:ascii="Times New Roman" w:hAnsi="Times New Roman" w:eastAsia="宋体" w:cs="Times New Roman"/>
                <w:b w:val="0"/>
                <w:bCs/>
                <w:snapToGrid w:val="0"/>
                <w:color w:val="auto"/>
                <w:kern w:val="0"/>
                <w:sz w:val="24"/>
                <w:szCs w:val="24"/>
                <w:highlight w:val="none"/>
                <w:vertAlign w:val="baseline"/>
                <w:lang w:val="en-US" w:eastAsia="zh-CN"/>
              </w:rPr>
              <w:t>LNB</w:t>
            </w:r>
            <w:r>
              <w:rPr>
                <w:rFonts w:hint="default" w:ascii="Times New Roman" w:hAnsi="Times New Roman" w:cs="Times New Roman"/>
                <w:b w:val="0"/>
                <w:bCs/>
                <w:snapToGrid w:val="0"/>
                <w:color w:val="auto"/>
                <w:kern w:val="0"/>
                <w:sz w:val="24"/>
                <w:szCs w:val="24"/>
                <w:highlight w:val="none"/>
                <w:vertAlign w:val="baseline"/>
                <w:lang w:val="en-US" w:eastAsia="zh-CN"/>
              </w:rPr>
              <w:t>）</w:t>
            </w:r>
            <w:r>
              <w:rPr>
                <w:rFonts w:hint="default" w:ascii="Times New Roman" w:hAnsi="Times New Roman" w:eastAsia="宋体" w:cs="Times New Roman"/>
                <w:b w:val="0"/>
                <w:bCs/>
                <w:snapToGrid w:val="0"/>
                <w:color w:val="auto"/>
                <w:kern w:val="0"/>
                <w:sz w:val="24"/>
                <w:szCs w:val="24"/>
                <w:highlight w:val="none"/>
                <w:vertAlign w:val="baseline"/>
                <w:lang w:val="en-US" w:eastAsia="zh-CN"/>
              </w:rPr>
              <w:t>、空气分级燃烧、燃料分级燃烧等技术。低氨燃烧器技术是通过特殊设计的燃烧器结构，控制燃烧器喉部燃料和空气的动量及流动方向，使燃烧器出口实现分级送风并与燃料合理配比，减少氮氧化物生成。空气分级燃烧技术是通过控制空气与煤粉的混合过程</w:t>
            </w:r>
            <w:r>
              <w:rPr>
                <w:rFonts w:hint="default" w:ascii="Times New Roman" w:hAnsi="Times New Roman" w:cs="Times New Roman"/>
                <w:b w:val="0"/>
                <w:bCs/>
                <w:snapToGrid w:val="0"/>
                <w:color w:val="auto"/>
                <w:kern w:val="0"/>
                <w:sz w:val="24"/>
                <w:szCs w:val="24"/>
                <w:highlight w:val="none"/>
                <w:vertAlign w:val="baseline"/>
                <w:lang w:val="en-US" w:eastAsia="zh-CN"/>
              </w:rPr>
              <w:t>，</w:t>
            </w:r>
            <w:r>
              <w:rPr>
                <w:rFonts w:hint="default" w:ascii="Times New Roman" w:hAnsi="Times New Roman" w:eastAsia="宋体" w:cs="Times New Roman"/>
                <w:b w:val="0"/>
                <w:bCs/>
                <w:snapToGrid w:val="0"/>
                <w:color w:val="auto"/>
                <w:kern w:val="0"/>
                <w:sz w:val="24"/>
                <w:szCs w:val="24"/>
                <w:highlight w:val="none"/>
                <w:vertAlign w:val="baseline"/>
                <w:lang w:val="en-US" w:eastAsia="zh-CN"/>
              </w:rPr>
              <w:t>将燃烧所需空气逐级送入燃烧火焰中，使燃料在炉内分级分段燃烧，减少NOx生成。燃料分级燃烧技术是在主燃烧器形成初始燃烧区的上方喷入二次燃料，从而形成富燃料燃烧的再燃区，当氮氧化物进入该区域时与还原性组分反应生成氮气，减少氮氧化物生成。</w:t>
            </w:r>
          </w:p>
          <w:p w14:paraId="3D50AD9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kern w:val="0"/>
                <w:sz w:val="24"/>
                <w:szCs w:val="24"/>
                <w:highlight w:val="none"/>
                <w:vertAlign w:val="baseline"/>
                <w:lang w:val="en-US" w:eastAsia="zh-CN"/>
              </w:rPr>
            </w:pPr>
            <w:r>
              <w:rPr>
                <w:rFonts w:hint="default" w:ascii="Times New Roman" w:hAnsi="Times New Roman" w:eastAsia="宋体" w:cs="Times New Roman"/>
                <w:b w:val="0"/>
                <w:bCs/>
                <w:snapToGrid w:val="0"/>
                <w:color w:val="auto"/>
                <w:kern w:val="0"/>
                <w:sz w:val="24"/>
                <w:szCs w:val="24"/>
                <w:highlight w:val="none"/>
                <w:vertAlign w:val="baseline"/>
                <w:lang w:val="en-US" w:eastAsia="zh-CN"/>
              </w:rPr>
              <w:t>选择性催化还原</w:t>
            </w:r>
            <w:r>
              <w:rPr>
                <w:rFonts w:hint="default" w:ascii="Times New Roman" w:hAnsi="Times New Roman" w:cs="Times New Roman"/>
                <w:b w:val="0"/>
                <w:bCs/>
                <w:snapToGrid w:val="0"/>
                <w:color w:val="auto"/>
                <w:kern w:val="0"/>
                <w:sz w:val="24"/>
                <w:szCs w:val="24"/>
                <w:highlight w:val="none"/>
                <w:vertAlign w:val="baseline"/>
                <w:lang w:val="en-US" w:eastAsia="zh-CN"/>
              </w:rPr>
              <w:t>（</w:t>
            </w:r>
            <w:r>
              <w:rPr>
                <w:rFonts w:hint="default" w:ascii="Times New Roman" w:hAnsi="Times New Roman" w:eastAsia="宋体" w:cs="Times New Roman"/>
                <w:b w:val="0"/>
                <w:bCs/>
                <w:snapToGrid w:val="0"/>
                <w:color w:val="auto"/>
                <w:kern w:val="0"/>
                <w:sz w:val="24"/>
                <w:szCs w:val="24"/>
                <w:highlight w:val="none"/>
                <w:vertAlign w:val="baseline"/>
                <w:lang w:val="en-US" w:eastAsia="zh-CN"/>
              </w:rPr>
              <w:t>SCR</w:t>
            </w:r>
            <w:r>
              <w:rPr>
                <w:rFonts w:hint="default" w:ascii="Times New Roman" w:hAnsi="Times New Roman" w:cs="Times New Roman"/>
                <w:b w:val="0"/>
                <w:bCs/>
                <w:snapToGrid w:val="0"/>
                <w:color w:val="auto"/>
                <w:kern w:val="0"/>
                <w:sz w:val="24"/>
                <w:szCs w:val="24"/>
                <w:highlight w:val="none"/>
                <w:vertAlign w:val="baseline"/>
                <w:lang w:val="en-US" w:eastAsia="zh-CN"/>
              </w:rPr>
              <w:t>）</w:t>
            </w:r>
            <w:r>
              <w:rPr>
                <w:rFonts w:hint="default" w:ascii="Times New Roman" w:hAnsi="Times New Roman" w:eastAsia="宋体" w:cs="Times New Roman"/>
                <w:b w:val="0"/>
                <w:bCs/>
                <w:snapToGrid w:val="0"/>
                <w:color w:val="auto"/>
                <w:kern w:val="0"/>
                <w:sz w:val="24"/>
                <w:szCs w:val="24"/>
                <w:highlight w:val="none"/>
                <w:vertAlign w:val="baseline"/>
                <w:lang w:val="en-US" w:eastAsia="zh-CN"/>
              </w:rPr>
              <w:t>技术</w:t>
            </w:r>
            <w:r>
              <w:rPr>
                <w:rFonts w:hint="default" w:ascii="Times New Roman" w:hAnsi="Times New Roman" w:cs="Times New Roman"/>
                <w:b w:val="0"/>
                <w:bCs/>
                <w:snapToGrid w:val="0"/>
                <w:color w:val="auto"/>
                <w:kern w:val="0"/>
                <w:sz w:val="24"/>
                <w:szCs w:val="24"/>
                <w:highlight w:val="none"/>
                <w:vertAlign w:val="baseline"/>
                <w:lang w:val="en-US" w:eastAsia="zh-CN"/>
              </w:rPr>
              <w:t>是</w:t>
            </w:r>
            <w:r>
              <w:rPr>
                <w:rFonts w:hint="default" w:ascii="Times New Roman" w:hAnsi="Times New Roman" w:eastAsia="宋体" w:cs="Times New Roman"/>
                <w:b w:val="0"/>
                <w:bCs/>
                <w:snapToGrid w:val="0"/>
                <w:color w:val="auto"/>
                <w:kern w:val="0"/>
                <w:sz w:val="24"/>
                <w:szCs w:val="24"/>
                <w:highlight w:val="none"/>
                <w:vertAlign w:val="baseline"/>
                <w:lang w:val="en-US" w:eastAsia="zh-CN"/>
              </w:rPr>
              <w:t>利用脱硝还原剂（尿素），在催化剂作用下选择性地将烟气中的氮氧化物还原成氮气和水，从而达到脱除氮氧化物的目的。SCR脱硝系统一般由还原剂储存系统、还原剂混合系统、还原剂喷射系统、反应器系统及监测控制系统等组成。先通过低氮燃烧减少氮氧化物生成量，再通过SCR装置深度脱除烟气中残留的氮氧化物，</w:t>
            </w:r>
            <w:r>
              <w:rPr>
                <w:rFonts w:hint="default" w:ascii="Times New Roman" w:hAnsi="Times New Roman" w:eastAsia="Segoe UI" w:cs="Times New Roman"/>
                <w:i w:val="0"/>
                <w:iCs w:val="0"/>
                <w:caps w:val="0"/>
                <w:color w:val="auto"/>
                <w:spacing w:val="0"/>
                <w:sz w:val="24"/>
                <w:szCs w:val="24"/>
                <w:shd w:val="clear" w:fill="FFFFFF"/>
                <w:lang w:val="en-US" w:eastAsia="zh-CN"/>
              </w:rPr>
              <w:t>核心反应如下。</w:t>
            </w:r>
          </w:p>
          <w:p w14:paraId="5497316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eastAsia="宋体" w:cs="Times New Roman"/>
                <w:b w:val="0"/>
                <w:bCs/>
                <w:snapToGrid w:val="0"/>
                <w:color w:val="auto"/>
                <w:kern w:val="0"/>
                <w:sz w:val="24"/>
                <w:szCs w:val="24"/>
                <w:highlight w:val="none"/>
                <w:vertAlign w:val="baseline"/>
                <w:lang w:val="en-US" w:eastAsia="zh-CN"/>
              </w:rPr>
            </w:pPr>
            <w:r>
              <w:rPr>
                <w:rFonts w:hint="default" w:ascii="Times New Roman" w:hAnsi="Times New Roman" w:eastAsia="宋体" w:cs="Times New Roman"/>
                <w:b w:val="0"/>
                <w:bCs/>
                <w:snapToGrid w:val="0"/>
                <w:color w:val="auto"/>
                <w:kern w:val="0"/>
                <w:sz w:val="24"/>
                <w:szCs w:val="24"/>
                <w:highlight w:val="none"/>
                <w:vertAlign w:val="baseline"/>
                <w:lang w:val="en-US" w:eastAsia="zh-CN"/>
              </w:rPr>
              <w:t>4NH</w:t>
            </w:r>
            <w:r>
              <w:rPr>
                <w:rFonts w:hint="default" w:ascii="Times New Roman" w:hAnsi="Times New Roman" w:eastAsia="宋体" w:cs="Times New Roman"/>
                <w:b w:val="0"/>
                <w:bCs/>
                <w:snapToGrid w:val="0"/>
                <w:color w:val="auto"/>
                <w:kern w:val="0"/>
                <w:sz w:val="24"/>
                <w:szCs w:val="24"/>
                <w:highlight w:val="none"/>
                <w:vertAlign w:val="subscript"/>
                <w:lang w:val="en-US" w:eastAsia="zh-CN"/>
              </w:rPr>
              <w:t>3</w:t>
            </w:r>
            <w:r>
              <w:rPr>
                <w:rFonts w:hint="default" w:ascii="Times New Roman" w:hAnsi="Times New Roman" w:eastAsia="宋体" w:cs="Times New Roman"/>
                <w:b w:val="0"/>
                <w:bCs/>
                <w:snapToGrid w:val="0"/>
                <w:color w:val="auto"/>
                <w:kern w:val="0"/>
                <w:sz w:val="24"/>
                <w:szCs w:val="24"/>
                <w:highlight w:val="none"/>
                <w:vertAlign w:val="baseline"/>
                <w:lang w:val="en-US" w:eastAsia="zh-CN"/>
              </w:rPr>
              <w:t>+4NO+O</w:t>
            </w:r>
            <w:r>
              <w:rPr>
                <w:rFonts w:hint="default" w:ascii="Times New Roman" w:hAnsi="Times New Roman" w:eastAsia="宋体" w:cs="Times New Roman"/>
                <w:b w:val="0"/>
                <w:bCs/>
                <w:snapToGrid w:val="0"/>
                <w:color w:val="auto"/>
                <w:kern w:val="0"/>
                <w:sz w:val="24"/>
                <w:szCs w:val="24"/>
                <w:highlight w:val="none"/>
                <w:vertAlign w:val="subscript"/>
                <w:lang w:val="en-US" w:eastAsia="zh-CN"/>
              </w:rPr>
              <w:t>2</w:t>
            </w:r>
            <w:r>
              <w:rPr>
                <w:rFonts w:hint="default" w:ascii="Times New Roman" w:hAnsi="Times New Roman" w:eastAsia="宋体" w:cs="Times New Roman"/>
                <w:b w:val="0"/>
                <w:bCs/>
                <w:snapToGrid w:val="0"/>
                <w:color w:val="auto"/>
                <w:kern w:val="0"/>
                <w:sz w:val="24"/>
                <w:szCs w:val="24"/>
                <w:highlight w:val="none"/>
                <w:vertAlign w:val="baseline"/>
                <w:lang w:val="en-US" w:eastAsia="zh-CN"/>
              </w:rPr>
              <w:t>→4N</w:t>
            </w:r>
            <w:r>
              <w:rPr>
                <w:rFonts w:hint="default" w:ascii="Times New Roman" w:hAnsi="Times New Roman" w:eastAsia="宋体" w:cs="Times New Roman"/>
                <w:b w:val="0"/>
                <w:bCs/>
                <w:snapToGrid w:val="0"/>
                <w:color w:val="auto"/>
                <w:kern w:val="0"/>
                <w:sz w:val="24"/>
                <w:szCs w:val="24"/>
                <w:highlight w:val="none"/>
                <w:vertAlign w:val="subscript"/>
                <w:lang w:val="en-US" w:eastAsia="zh-CN"/>
              </w:rPr>
              <w:t>2</w:t>
            </w:r>
            <w:r>
              <w:rPr>
                <w:rFonts w:hint="default" w:ascii="Times New Roman" w:hAnsi="Times New Roman" w:eastAsia="宋体" w:cs="Times New Roman"/>
                <w:b w:val="0"/>
                <w:bCs/>
                <w:snapToGrid w:val="0"/>
                <w:color w:val="auto"/>
                <w:kern w:val="0"/>
                <w:sz w:val="24"/>
                <w:szCs w:val="24"/>
                <w:highlight w:val="none"/>
                <w:vertAlign w:val="baseline"/>
                <w:lang w:val="en-US" w:eastAsia="zh-CN"/>
              </w:rPr>
              <w:t>+6H</w:t>
            </w:r>
            <w:r>
              <w:rPr>
                <w:rFonts w:hint="default" w:ascii="Times New Roman" w:hAnsi="Times New Roman" w:eastAsia="宋体" w:cs="Times New Roman"/>
                <w:b w:val="0"/>
                <w:bCs/>
                <w:snapToGrid w:val="0"/>
                <w:color w:val="auto"/>
                <w:kern w:val="0"/>
                <w:sz w:val="24"/>
                <w:szCs w:val="24"/>
                <w:highlight w:val="none"/>
                <w:vertAlign w:val="subscript"/>
                <w:lang w:val="en-US" w:eastAsia="zh-CN"/>
              </w:rPr>
              <w:t>2</w:t>
            </w:r>
            <w:r>
              <w:rPr>
                <w:rFonts w:hint="default" w:ascii="Times New Roman" w:hAnsi="Times New Roman" w:eastAsia="宋体" w:cs="Times New Roman"/>
                <w:b w:val="0"/>
                <w:bCs/>
                <w:snapToGrid w:val="0"/>
                <w:color w:val="auto"/>
                <w:kern w:val="0"/>
                <w:sz w:val="24"/>
                <w:szCs w:val="24"/>
                <w:highlight w:val="none"/>
                <w:vertAlign w:val="baseline"/>
                <w:lang w:val="en-US" w:eastAsia="zh-CN"/>
              </w:rPr>
              <w:t>O</w:t>
            </w:r>
          </w:p>
          <w:p w14:paraId="3C4747D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b/>
                <w:bCs w:val="0"/>
                <w:snapToGrid w:val="0"/>
                <w:color w:val="auto"/>
                <w:kern w:val="0"/>
                <w:sz w:val="24"/>
                <w:szCs w:val="24"/>
                <w:vertAlign w:val="baseline"/>
                <w:lang w:val="en-US" w:eastAsia="zh-CN" w:bidi="ar-SA"/>
              </w:rPr>
            </w:pPr>
            <w:r>
              <w:rPr>
                <w:rFonts w:hint="default" w:ascii="Times New Roman" w:hAnsi="Times New Roman" w:eastAsia="宋体" w:cs="Times New Roman"/>
                <w:b w:val="0"/>
                <w:bCs/>
                <w:snapToGrid w:val="0"/>
                <w:color w:val="auto"/>
                <w:kern w:val="0"/>
                <w:sz w:val="24"/>
                <w:szCs w:val="24"/>
                <w:highlight w:val="none"/>
                <w:vertAlign w:val="baseline"/>
                <w:lang w:val="en-US" w:eastAsia="zh-CN"/>
              </w:rPr>
              <w:t>8NH</w:t>
            </w:r>
            <w:r>
              <w:rPr>
                <w:rFonts w:hint="default" w:ascii="Times New Roman" w:hAnsi="Times New Roman" w:eastAsia="宋体" w:cs="Times New Roman"/>
                <w:b w:val="0"/>
                <w:bCs/>
                <w:snapToGrid w:val="0"/>
                <w:color w:val="auto"/>
                <w:kern w:val="0"/>
                <w:sz w:val="24"/>
                <w:szCs w:val="24"/>
                <w:highlight w:val="none"/>
                <w:vertAlign w:val="subscript"/>
                <w:lang w:val="en-US" w:eastAsia="zh-CN"/>
              </w:rPr>
              <w:t>3</w:t>
            </w:r>
            <w:r>
              <w:rPr>
                <w:rFonts w:hint="default" w:ascii="Times New Roman" w:hAnsi="Times New Roman" w:eastAsia="宋体" w:cs="Times New Roman"/>
                <w:b w:val="0"/>
                <w:bCs/>
                <w:snapToGrid w:val="0"/>
                <w:color w:val="auto"/>
                <w:kern w:val="0"/>
                <w:sz w:val="24"/>
                <w:szCs w:val="24"/>
                <w:highlight w:val="none"/>
                <w:vertAlign w:val="baseline"/>
                <w:lang w:val="en-US" w:eastAsia="zh-CN"/>
              </w:rPr>
              <w:t>+6NO+O</w:t>
            </w:r>
            <w:r>
              <w:rPr>
                <w:rFonts w:hint="default" w:ascii="Times New Roman" w:hAnsi="Times New Roman" w:eastAsia="宋体" w:cs="Times New Roman"/>
                <w:b w:val="0"/>
                <w:bCs/>
                <w:snapToGrid w:val="0"/>
                <w:color w:val="auto"/>
                <w:kern w:val="0"/>
                <w:sz w:val="24"/>
                <w:szCs w:val="24"/>
                <w:highlight w:val="none"/>
                <w:vertAlign w:val="subscript"/>
                <w:lang w:val="en-US" w:eastAsia="zh-CN"/>
              </w:rPr>
              <w:t>2</w:t>
            </w:r>
            <w:r>
              <w:rPr>
                <w:rFonts w:hint="default" w:ascii="Times New Roman" w:hAnsi="Times New Roman" w:eastAsia="宋体" w:cs="Times New Roman"/>
                <w:b w:val="0"/>
                <w:bCs/>
                <w:snapToGrid w:val="0"/>
                <w:color w:val="auto"/>
                <w:kern w:val="0"/>
                <w:sz w:val="24"/>
                <w:szCs w:val="24"/>
                <w:highlight w:val="none"/>
                <w:vertAlign w:val="baseline"/>
                <w:lang w:val="en-US" w:eastAsia="zh-CN"/>
              </w:rPr>
              <w:t>→7N</w:t>
            </w:r>
            <w:r>
              <w:rPr>
                <w:rFonts w:hint="default" w:ascii="Times New Roman" w:hAnsi="Times New Roman" w:eastAsia="宋体" w:cs="Times New Roman"/>
                <w:b w:val="0"/>
                <w:bCs/>
                <w:snapToGrid w:val="0"/>
                <w:color w:val="auto"/>
                <w:kern w:val="0"/>
                <w:sz w:val="24"/>
                <w:szCs w:val="24"/>
                <w:highlight w:val="none"/>
                <w:vertAlign w:val="subscript"/>
                <w:lang w:val="en-US" w:eastAsia="zh-CN"/>
              </w:rPr>
              <w:t>2</w:t>
            </w:r>
            <w:r>
              <w:rPr>
                <w:rFonts w:hint="default" w:ascii="Times New Roman" w:hAnsi="Times New Roman" w:eastAsia="宋体" w:cs="Times New Roman"/>
                <w:b w:val="0"/>
                <w:bCs/>
                <w:snapToGrid w:val="0"/>
                <w:color w:val="auto"/>
                <w:kern w:val="0"/>
                <w:sz w:val="24"/>
                <w:szCs w:val="24"/>
                <w:highlight w:val="none"/>
                <w:vertAlign w:val="baseline"/>
                <w:lang w:val="en-US" w:eastAsia="zh-CN"/>
              </w:rPr>
              <w:t>+12H</w:t>
            </w:r>
            <w:r>
              <w:rPr>
                <w:rFonts w:hint="default" w:ascii="Times New Roman" w:hAnsi="Times New Roman" w:eastAsia="宋体" w:cs="Times New Roman"/>
                <w:b w:val="0"/>
                <w:bCs/>
                <w:snapToGrid w:val="0"/>
                <w:color w:val="auto"/>
                <w:kern w:val="0"/>
                <w:sz w:val="24"/>
                <w:szCs w:val="24"/>
                <w:highlight w:val="none"/>
                <w:vertAlign w:val="subscript"/>
                <w:lang w:val="en-US" w:eastAsia="zh-CN"/>
              </w:rPr>
              <w:t>2</w:t>
            </w:r>
            <w:r>
              <w:rPr>
                <w:rFonts w:hint="default" w:ascii="Times New Roman" w:hAnsi="Times New Roman" w:eastAsia="宋体" w:cs="Times New Roman"/>
                <w:b w:val="0"/>
                <w:bCs/>
                <w:snapToGrid w:val="0"/>
                <w:color w:val="auto"/>
                <w:kern w:val="0"/>
                <w:sz w:val="24"/>
                <w:szCs w:val="24"/>
                <w:highlight w:val="none"/>
                <w:vertAlign w:val="baseline"/>
                <w:lang w:val="en-US" w:eastAsia="zh-CN"/>
              </w:rPr>
              <w:t>O</w:t>
            </w:r>
          </w:p>
          <w:p w14:paraId="1FA3358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snapToGrid w:val="0"/>
                <w:color w:val="auto"/>
                <w:kern w:val="0"/>
                <w:sz w:val="24"/>
                <w:szCs w:val="24"/>
                <w:vertAlign w:val="baseline"/>
                <w:lang w:val="en-US" w:eastAsia="zh-CN" w:bidi="ar-SA"/>
              </w:rPr>
            </w:pPr>
            <w:r>
              <w:rPr>
                <w:rFonts w:hint="default" w:ascii="Times New Roman" w:hAnsi="Times New Roman" w:cs="Times New Roman"/>
                <w:b w:val="0"/>
                <w:bCs/>
                <w:snapToGrid w:val="0"/>
                <w:color w:val="auto"/>
                <w:kern w:val="0"/>
                <w:sz w:val="24"/>
                <w:szCs w:val="24"/>
                <w:vertAlign w:val="baseline"/>
                <w:lang w:val="en-US" w:eastAsia="zh-CN" w:bidi="ar-SA"/>
              </w:rPr>
              <w:t>②石灰（石）-石膏湿法脱硫+高效除雾器协同除尘+湿式电除尘器</w:t>
            </w:r>
          </w:p>
          <w:p w14:paraId="178D9F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kern w:val="0"/>
                <w:sz w:val="24"/>
                <w:szCs w:val="24"/>
                <w:vertAlign w:val="baseline"/>
                <w:lang w:val="en-US" w:eastAsia="zh-CN" w:bidi="ar-SA"/>
              </w:rPr>
            </w:pPr>
            <w:r>
              <w:rPr>
                <w:rFonts w:hint="default" w:ascii="Times New Roman" w:hAnsi="Times New Roman" w:cs="Times New Roman"/>
                <w:b w:val="0"/>
                <w:bCs/>
                <w:snapToGrid w:val="0"/>
                <w:color w:val="auto"/>
                <w:kern w:val="0"/>
                <w:sz w:val="24"/>
                <w:szCs w:val="24"/>
                <w:vertAlign w:val="baseline"/>
                <w:lang w:val="en-US" w:eastAsia="zh-CN" w:bidi="ar-SA"/>
              </w:rPr>
              <w:t>本项目脱硫采用石灰石-石膏湿法脱硫，主要过程</w:t>
            </w:r>
            <w:r>
              <w:rPr>
                <w:rFonts w:hint="default" w:ascii="Times New Roman" w:hAnsi="Times New Roman" w:eastAsia="宋体" w:cs="Times New Roman"/>
                <w:b w:val="0"/>
                <w:bCs/>
                <w:snapToGrid w:val="0"/>
                <w:color w:val="auto"/>
                <w:kern w:val="0"/>
                <w:sz w:val="24"/>
                <w:szCs w:val="24"/>
                <w:vertAlign w:val="baseline"/>
                <w:lang w:val="en-US" w:eastAsia="zh-CN" w:bidi="ar-SA"/>
              </w:rPr>
              <w:t>以石灰石浆液为吸收剂，通过气液接触传质，将烟气中的</w:t>
            </w:r>
            <w:r>
              <w:rPr>
                <w:rFonts w:hint="default" w:ascii="Times New Roman" w:hAnsi="Times New Roman" w:cs="Times New Roman"/>
                <w:b w:val="0"/>
                <w:bCs/>
                <w:snapToGrid w:val="0"/>
                <w:color w:val="auto"/>
                <w:kern w:val="0"/>
                <w:sz w:val="24"/>
                <w:szCs w:val="24"/>
                <w:vertAlign w:val="baseline"/>
                <w:lang w:val="en-US" w:eastAsia="zh-CN" w:bidi="ar-SA"/>
              </w:rPr>
              <w:t>二氧化硫</w:t>
            </w:r>
            <w:r>
              <w:rPr>
                <w:rFonts w:hint="default" w:ascii="Times New Roman" w:hAnsi="Times New Roman" w:eastAsia="宋体" w:cs="Times New Roman"/>
                <w:b w:val="0"/>
                <w:bCs/>
                <w:snapToGrid w:val="0"/>
                <w:color w:val="auto"/>
                <w:kern w:val="0"/>
                <w:sz w:val="24"/>
                <w:szCs w:val="24"/>
                <w:vertAlign w:val="baseline"/>
                <w:lang w:val="en-US" w:eastAsia="zh-CN" w:bidi="ar-SA"/>
              </w:rPr>
              <w:t>吸收并转化为稳定的石膏，整个过程分为吸收、氧化、结晶三个核心阶段，总反应方程式如下：</w:t>
            </w:r>
          </w:p>
          <w:p w14:paraId="4CA832F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b w:val="0"/>
                <w:bCs/>
                <w:snapToGrid w:val="0"/>
                <w:color w:val="auto"/>
                <w:kern w:val="0"/>
                <w:sz w:val="24"/>
                <w:szCs w:val="24"/>
                <w:vertAlign w:val="baseline"/>
                <w:lang w:val="en-US" w:eastAsia="zh-CN" w:bidi="ar-SA"/>
              </w:rPr>
            </w:pPr>
            <w:r>
              <w:rPr>
                <w:rFonts w:hint="default" w:ascii="Times New Roman" w:hAnsi="Times New Roman" w:cs="Times New Roman"/>
                <w:b w:val="0"/>
                <w:bCs/>
                <w:snapToGrid w:val="0"/>
                <w:color w:val="auto"/>
                <w:kern w:val="0"/>
                <w:sz w:val="24"/>
                <w:szCs w:val="24"/>
                <w:vertAlign w:val="baseline"/>
                <w:lang w:val="en-US" w:eastAsia="zh-CN" w:bidi="ar-SA"/>
              </w:rPr>
              <w:t>2CaCO</w:t>
            </w:r>
            <w:r>
              <w:rPr>
                <w:rFonts w:hint="default" w:ascii="Times New Roman" w:hAnsi="Times New Roman" w:cs="Times New Roman"/>
                <w:b w:val="0"/>
                <w:bCs/>
                <w:snapToGrid w:val="0"/>
                <w:color w:val="auto"/>
                <w:kern w:val="0"/>
                <w:sz w:val="24"/>
                <w:szCs w:val="24"/>
                <w:vertAlign w:val="subscript"/>
                <w:lang w:val="en-US" w:eastAsia="zh-CN" w:bidi="ar-SA"/>
              </w:rPr>
              <w:t>3</w:t>
            </w:r>
            <w:r>
              <w:rPr>
                <w:rFonts w:hint="default" w:ascii="Times New Roman" w:hAnsi="Times New Roman" w:cs="Times New Roman"/>
                <w:b w:val="0"/>
                <w:bCs/>
                <w:snapToGrid w:val="0"/>
                <w:color w:val="auto"/>
                <w:kern w:val="0"/>
                <w:sz w:val="24"/>
                <w:szCs w:val="24"/>
                <w:vertAlign w:val="baseline"/>
                <w:lang w:val="en-US" w:eastAsia="zh-CN" w:bidi="ar-SA"/>
              </w:rPr>
              <w:t>+2SO</w:t>
            </w:r>
            <w:r>
              <w:rPr>
                <w:rFonts w:hint="default" w:ascii="Times New Roman" w:hAnsi="Times New Roman" w:cs="Times New Roman"/>
                <w:b w:val="0"/>
                <w:bCs/>
                <w:snapToGrid w:val="0"/>
                <w:color w:val="auto"/>
                <w:kern w:val="0"/>
                <w:sz w:val="24"/>
                <w:szCs w:val="24"/>
                <w:vertAlign w:val="subscript"/>
                <w:lang w:val="en-US" w:eastAsia="zh-CN" w:bidi="ar-SA"/>
              </w:rPr>
              <w:t>2</w:t>
            </w:r>
            <w:r>
              <w:rPr>
                <w:rFonts w:hint="default" w:ascii="Times New Roman" w:hAnsi="Times New Roman" w:cs="Times New Roman"/>
                <w:b w:val="0"/>
                <w:bCs/>
                <w:snapToGrid w:val="0"/>
                <w:color w:val="auto"/>
                <w:kern w:val="0"/>
                <w:sz w:val="24"/>
                <w:szCs w:val="24"/>
                <w:vertAlign w:val="baseline"/>
                <w:lang w:val="en-US" w:eastAsia="zh-CN" w:bidi="ar-SA"/>
              </w:rPr>
              <w:t>+O</w:t>
            </w:r>
            <w:r>
              <w:rPr>
                <w:rFonts w:hint="default" w:ascii="Times New Roman" w:hAnsi="Times New Roman" w:cs="Times New Roman"/>
                <w:b w:val="0"/>
                <w:bCs/>
                <w:snapToGrid w:val="0"/>
                <w:color w:val="auto"/>
                <w:kern w:val="0"/>
                <w:sz w:val="24"/>
                <w:szCs w:val="24"/>
                <w:vertAlign w:val="subscript"/>
                <w:lang w:val="en-US" w:eastAsia="zh-CN" w:bidi="ar-SA"/>
              </w:rPr>
              <w:t>2</w:t>
            </w:r>
            <w:r>
              <w:rPr>
                <w:rFonts w:hint="default" w:ascii="Times New Roman" w:hAnsi="Times New Roman" w:cs="Times New Roman"/>
                <w:b w:val="0"/>
                <w:bCs/>
                <w:snapToGrid w:val="0"/>
                <w:color w:val="auto"/>
                <w:kern w:val="0"/>
                <w:sz w:val="24"/>
                <w:szCs w:val="24"/>
                <w:vertAlign w:val="baseline"/>
                <w:lang w:val="en-US" w:eastAsia="zh-CN" w:bidi="ar-SA"/>
              </w:rPr>
              <w:t>+2H</w:t>
            </w:r>
            <w:r>
              <w:rPr>
                <w:rFonts w:hint="default" w:ascii="Times New Roman" w:hAnsi="Times New Roman" w:cs="Times New Roman"/>
                <w:b w:val="0"/>
                <w:bCs/>
                <w:snapToGrid w:val="0"/>
                <w:color w:val="auto"/>
                <w:kern w:val="0"/>
                <w:sz w:val="24"/>
                <w:szCs w:val="24"/>
                <w:vertAlign w:val="subscript"/>
                <w:lang w:val="en-US" w:eastAsia="zh-CN" w:bidi="ar-SA"/>
              </w:rPr>
              <w:t>2</w:t>
            </w:r>
            <w:r>
              <w:rPr>
                <w:rFonts w:hint="default" w:ascii="Times New Roman" w:hAnsi="Times New Roman" w:cs="Times New Roman"/>
                <w:b w:val="0"/>
                <w:bCs/>
                <w:snapToGrid w:val="0"/>
                <w:color w:val="auto"/>
                <w:kern w:val="0"/>
                <w:sz w:val="24"/>
                <w:szCs w:val="24"/>
                <w:vertAlign w:val="baseline"/>
                <w:lang w:val="en-US" w:eastAsia="zh-CN" w:bidi="ar-SA"/>
              </w:rPr>
              <w:t>O→2CaSO</w:t>
            </w:r>
            <w:r>
              <w:rPr>
                <w:rFonts w:hint="default" w:ascii="Times New Roman" w:hAnsi="Times New Roman" w:cs="Times New Roman"/>
                <w:b w:val="0"/>
                <w:bCs/>
                <w:snapToGrid w:val="0"/>
                <w:color w:val="auto"/>
                <w:kern w:val="0"/>
                <w:sz w:val="24"/>
                <w:szCs w:val="24"/>
                <w:vertAlign w:val="subscript"/>
                <w:lang w:val="en-US" w:eastAsia="zh-CN" w:bidi="ar-SA"/>
              </w:rPr>
              <w:t>4</w:t>
            </w:r>
            <w:r>
              <w:rPr>
                <w:rFonts w:hint="default" w:ascii="Times New Roman" w:hAnsi="Times New Roman" w:eastAsia="微软雅黑" w:cs="Times New Roman"/>
                <w:b w:val="0"/>
                <w:bCs/>
                <w:snapToGrid w:val="0"/>
                <w:color w:val="auto"/>
                <w:kern w:val="0"/>
                <w:sz w:val="24"/>
                <w:szCs w:val="24"/>
                <w:vertAlign w:val="baseline"/>
                <w:lang w:val="en-US" w:eastAsia="zh-CN" w:bidi="ar-SA"/>
              </w:rPr>
              <w:t>·</w:t>
            </w:r>
            <w:r>
              <w:rPr>
                <w:rFonts w:hint="default" w:ascii="Times New Roman" w:hAnsi="Times New Roman" w:cs="Times New Roman"/>
                <w:b w:val="0"/>
                <w:bCs/>
                <w:snapToGrid w:val="0"/>
                <w:color w:val="auto"/>
                <w:kern w:val="0"/>
                <w:sz w:val="24"/>
                <w:szCs w:val="24"/>
                <w:vertAlign w:val="baseline"/>
                <w:lang w:val="en-US" w:eastAsia="zh-CN" w:bidi="ar-SA"/>
              </w:rPr>
              <w:t>2H</w:t>
            </w:r>
            <w:r>
              <w:rPr>
                <w:rFonts w:hint="default" w:ascii="Times New Roman" w:hAnsi="Times New Roman" w:cs="Times New Roman"/>
                <w:b w:val="0"/>
                <w:bCs/>
                <w:snapToGrid w:val="0"/>
                <w:color w:val="auto"/>
                <w:kern w:val="0"/>
                <w:sz w:val="24"/>
                <w:szCs w:val="24"/>
                <w:vertAlign w:val="subscript"/>
                <w:lang w:val="en-US" w:eastAsia="zh-CN" w:bidi="ar-SA"/>
              </w:rPr>
              <w:t>2</w:t>
            </w:r>
            <w:r>
              <w:rPr>
                <w:rFonts w:hint="default" w:ascii="Times New Roman" w:hAnsi="Times New Roman" w:cs="Times New Roman"/>
                <w:b w:val="0"/>
                <w:bCs/>
                <w:snapToGrid w:val="0"/>
                <w:color w:val="auto"/>
                <w:kern w:val="0"/>
                <w:sz w:val="24"/>
                <w:szCs w:val="24"/>
                <w:vertAlign w:val="baseline"/>
                <w:lang w:val="en-US" w:eastAsia="zh-CN" w:bidi="ar-SA"/>
              </w:rPr>
              <w:t>O+2CO</w:t>
            </w:r>
            <w:r>
              <w:rPr>
                <w:rFonts w:hint="default" w:ascii="Times New Roman" w:hAnsi="Times New Roman" w:cs="Times New Roman"/>
                <w:b w:val="0"/>
                <w:bCs/>
                <w:snapToGrid w:val="0"/>
                <w:color w:val="auto"/>
                <w:kern w:val="0"/>
                <w:sz w:val="24"/>
                <w:szCs w:val="24"/>
                <w:vertAlign w:val="subscript"/>
                <w:lang w:val="en-US" w:eastAsia="zh-CN" w:bidi="ar-SA"/>
              </w:rPr>
              <w:t>2</w:t>
            </w:r>
            <w:r>
              <w:rPr>
                <w:rFonts w:hint="default" w:ascii="Times New Roman" w:hAnsi="Times New Roman" w:cs="Times New Roman"/>
                <w:b w:val="0"/>
                <w:bCs/>
                <w:snapToGrid w:val="0"/>
                <w:color w:val="auto"/>
                <w:kern w:val="0"/>
                <w:sz w:val="24"/>
                <w:szCs w:val="24"/>
                <w:vertAlign w:val="baseline"/>
                <w:lang w:val="en-US" w:eastAsia="zh-CN" w:bidi="ar-SA"/>
              </w:rPr>
              <w:t>↑</w:t>
            </w:r>
          </w:p>
          <w:p w14:paraId="519A8A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kern w:val="0"/>
                <w:sz w:val="24"/>
                <w:szCs w:val="24"/>
                <w:highlight w:val="none"/>
                <w:vertAlign w:val="baseline"/>
                <w:lang w:val="en-US" w:eastAsia="zh-CN"/>
              </w:rPr>
            </w:pPr>
            <w:r>
              <w:rPr>
                <w:rFonts w:hint="default" w:ascii="Times New Roman" w:hAnsi="Times New Roman" w:eastAsia="宋体" w:cs="Times New Roman"/>
                <w:b w:val="0"/>
                <w:bCs/>
                <w:snapToGrid w:val="0"/>
                <w:color w:val="auto"/>
                <w:kern w:val="0"/>
                <w:sz w:val="24"/>
                <w:szCs w:val="24"/>
                <w:highlight w:val="none"/>
                <w:vertAlign w:val="baseline"/>
                <w:lang w:val="en-US" w:eastAsia="zh-CN"/>
              </w:rPr>
              <w:t>本项目外购成品的石灰石粉，在厂内加水配制成浓度为</w:t>
            </w:r>
            <w:r>
              <w:rPr>
                <w:rFonts w:hint="default" w:ascii="Times New Roman" w:hAnsi="Times New Roman" w:cs="Times New Roman"/>
                <w:b w:val="0"/>
                <w:bCs/>
                <w:snapToGrid w:val="0"/>
                <w:color w:val="auto"/>
                <w:kern w:val="0"/>
                <w:sz w:val="24"/>
                <w:szCs w:val="24"/>
                <w:highlight w:val="none"/>
                <w:vertAlign w:val="baseline"/>
                <w:lang w:val="en-US" w:eastAsia="zh-CN"/>
              </w:rPr>
              <w:t>10%～20%</w:t>
            </w:r>
            <w:r>
              <w:rPr>
                <w:rFonts w:hint="default" w:ascii="Times New Roman" w:hAnsi="Times New Roman" w:eastAsia="宋体" w:cs="Times New Roman"/>
                <w:b w:val="0"/>
                <w:bCs/>
                <w:snapToGrid w:val="0"/>
                <w:color w:val="auto"/>
                <w:kern w:val="0"/>
                <w:sz w:val="24"/>
                <w:szCs w:val="24"/>
                <w:highlight w:val="none"/>
                <w:vertAlign w:val="baseline"/>
                <w:lang w:val="en-US" w:eastAsia="zh-CN"/>
              </w:rPr>
              <w:t>的浆液，泵送至吸收塔。烟气吸收含SO</w:t>
            </w:r>
            <w:r>
              <w:rPr>
                <w:rFonts w:hint="default" w:ascii="Times New Roman" w:hAnsi="Times New Roman" w:eastAsia="宋体" w:cs="Times New Roman"/>
                <w:b w:val="0"/>
                <w:bCs/>
                <w:snapToGrid w:val="0"/>
                <w:color w:val="auto"/>
                <w:kern w:val="0"/>
                <w:sz w:val="24"/>
                <w:szCs w:val="24"/>
                <w:highlight w:val="none"/>
                <w:vertAlign w:val="subscript"/>
                <w:lang w:val="en-US" w:eastAsia="zh-CN"/>
              </w:rPr>
              <w:t>2</w:t>
            </w:r>
            <w:r>
              <w:rPr>
                <w:rFonts w:hint="default" w:ascii="Times New Roman" w:hAnsi="Times New Roman" w:eastAsia="宋体" w:cs="Times New Roman"/>
                <w:b w:val="0"/>
                <w:bCs/>
                <w:snapToGrid w:val="0"/>
                <w:color w:val="auto"/>
                <w:kern w:val="0"/>
                <w:sz w:val="24"/>
                <w:szCs w:val="24"/>
                <w:highlight w:val="none"/>
                <w:vertAlign w:val="baseline"/>
                <w:lang w:val="en-US" w:eastAsia="zh-CN"/>
              </w:rPr>
              <w:t>的烟气从吸收塔底部进入，与塔顶喷淋的石灰石浆液逆流接触。SO</w:t>
            </w:r>
            <w:r>
              <w:rPr>
                <w:rFonts w:hint="default" w:ascii="Times New Roman" w:hAnsi="Times New Roman" w:eastAsia="宋体" w:cs="Times New Roman"/>
                <w:b w:val="0"/>
                <w:bCs/>
                <w:snapToGrid w:val="0"/>
                <w:color w:val="auto"/>
                <w:kern w:val="0"/>
                <w:sz w:val="24"/>
                <w:szCs w:val="24"/>
                <w:highlight w:val="none"/>
                <w:vertAlign w:val="subscript"/>
                <w:lang w:val="en-US" w:eastAsia="zh-CN"/>
              </w:rPr>
              <w:t>2</w:t>
            </w:r>
            <w:r>
              <w:rPr>
                <w:rFonts w:hint="default" w:ascii="Times New Roman" w:hAnsi="Times New Roman" w:eastAsia="宋体" w:cs="Times New Roman"/>
                <w:b w:val="0"/>
                <w:bCs/>
                <w:snapToGrid w:val="0"/>
                <w:color w:val="auto"/>
                <w:kern w:val="0"/>
                <w:sz w:val="24"/>
                <w:szCs w:val="24"/>
                <w:highlight w:val="none"/>
                <w:vertAlign w:val="baseline"/>
                <w:lang w:val="en-US" w:eastAsia="zh-CN"/>
              </w:rPr>
              <w:t>溶于浆液生成亚硫酸，再与石灰石反应生成亚硫酸钙，实现气液传质与脱硫。强制氧化通过氧化风机向吸收塔底部浆液池鼓入压缩空气，将亚硫酸钙氧化为硫酸钙，避免亚硫酸钙结垢堵塞设备。石膏结晶与脱水硫酸钙在浆液中达到过饱和状态后，结合水分子结晶生成二水石膏。浆液经石膏排出泵送至脱水系统，依次通过旋流器浓缩、真空皮带脱水机脱水，得到含水率≤10%的石膏。</w:t>
            </w:r>
          </w:p>
          <w:p w14:paraId="481C51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kern w:val="0"/>
                <w:sz w:val="24"/>
                <w:szCs w:val="24"/>
                <w:highlight w:val="none"/>
                <w:vertAlign w:val="baseline"/>
                <w:lang w:val="en-US" w:eastAsia="zh-CN" w:bidi="ar-SA"/>
              </w:rPr>
            </w:pPr>
            <w:r>
              <w:rPr>
                <w:rFonts w:hint="default" w:ascii="Times New Roman" w:hAnsi="Times New Roman" w:cs="Times New Roman"/>
                <w:b w:val="0"/>
                <w:bCs/>
                <w:snapToGrid w:val="0"/>
                <w:color w:val="auto"/>
                <w:kern w:val="0"/>
                <w:sz w:val="24"/>
                <w:szCs w:val="24"/>
                <w:highlight w:val="none"/>
                <w:vertAlign w:val="baseline"/>
                <w:lang w:val="en-US" w:eastAsia="zh-CN" w:bidi="ar-SA"/>
              </w:rPr>
              <w:t>协同除尘原理：</w:t>
            </w:r>
            <w:r>
              <w:rPr>
                <w:rFonts w:hint="default" w:ascii="Times New Roman" w:hAnsi="Times New Roman" w:eastAsia="宋体" w:cs="Times New Roman"/>
                <w:b w:val="0"/>
                <w:bCs/>
                <w:snapToGrid w:val="0"/>
                <w:color w:val="auto"/>
                <w:kern w:val="0"/>
                <w:sz w:val="24"/>
                <w:szCs w:val="24"/>
                <w:highlight w:val="none"/>
                <w:vertAlign w:val="baseline"/>
                <w:lang w:val="en-US" w:eastAsia="zh-CN" w:bidi="ar-SA"/>
              </w:rPr>
              <w:t>烟气与喷淋浆液逆流接触，大粒径粉尘经惯性碰撞、拦截被液滴捕获；</w:t>
            </w:r>
            <w:r>
              <w:rPr>
                <w:rFonts w:hint="default" w:ascii="Times New Roman" w:hAnsi="Times New Roman" w:eastAsia="宋体" w:cs="Times New Roman"/>
                <w:b w:val="0"/>
                <w:bCs/>
                <w:snapToGrid w:val="0"/>
                <w:color w:val="auto"/>
                <w:kern w:val="0"/>
                <w:sz w:val="24"/>
                <w:szCs w:val="24"/>
                <w:highlight w:val="none"/>
                <w:vertAlign w:val="baseline"/>
                <w:lang w:val="en-US" w:eastAsia="zh-CN"/>
              </w:rPr>
              <w:t>细微粉尘借助布朗扩散、颗粒凝聚被吸附，同时脱硫反应生成的2CaSO</w:t>
            </w:r>
            <w:r>
              <w:rPr>
                <w:rFonts w:hint="default" w:ascii="Times New Roman" w:hAnsi="Times New Roman" w:eastAsia="宋体" w:cs="Times New Roman"/>
                <w:b w:val="0"/>
                <w:bCs/>
                <w:snapToGrid w:val="0"/>
                <w:color w:val="auto"/>
                <w:kern w:val="0"/>
                <w:sz w:val="24"/>
                <w:szCs w:val="24"/>
                <w:highlight w:val="none"/>
                <w:vertAlign w:val="subscript"/>
                <w:lang w:val="en-US" w:eastAsia="zh-CN"/>
              </w:rPr>
              <w:t>4</w:t>
            </w:r>
            <w:r>
              <w:rPr>
                <w:rFonts w:hint="default" w:ascii="Times New Roman" w:hAnsi="Times New Roman" w:eastAsia="宋体" w:cs="Times New Roman"/>
                <w:b w:val="0"/>
                <w:bCs/>
                <w:snapToGrid w:val="0"/>
                <w:color w:val="auto"/>
                <w:kern w:val="0"/>
                <w:sz w:val="24"/>
                <w:szCs w:val="24"/>
                <w:highlight w:val="none"/>
                <w:vertAlign w:val="baseline"/>
                <w:lang w:val="en-US" w:eastAsia="zh-CN"/>
              </w:rPr>
              <w:t>·2H</w:t>
            </w:r>
            <w:r>
              <w:rPr>
                <w:rFonts w:hint="default" w:ascii="Times New Roman" w:hAnsi="Times New Roman" w:eastAsia="宋体" w:cs="Times New Roman"/>
                <w:b w:val="0"/>
                <w:bCs/>
                <w:snapToGrid w:val="0"/>
                <w:color w:val="auto"/>
                <w:kern w:val="0"/>
                <w:sz w:val="24"/>
                <w:szCs w:val="24"/>
                <w:highlight w:val="none"/>
                <w:vertAlign w:val="subscript"/>
                <w:lang w:val="en-US" w:eastAsia="zh-CN"/>
              </w:rPr>
              <w:t>2</w:t>
            </w:r>
            <w:r>
              <w:rPr>
                <w:rFonts w:hint="default" w:ascii="Times New Roman" w:hAnsi="Times New Roman" w:eastAsia="宋体" w:cs="Times New Roman"/>
                <w:b w:val="0"/>
                <w:bCs/>
                <w:snapToGrid w:val="0"/>
                <w:color w:val="auto"/>
                <w:kern w:val="0"/>
                <w:sz w:val="24"/>
                <w:szCs w:val="24"/>
                <w:highlight w:val="none"/>
                <w:vertAlign w:val="baseline"/>
                <w:lang w:val="en-US" w:eastAsia="zh-CN"/>
              </w:rPr>
              <w:t>O固相颗粒，会黏附粉尘形成复合颗粒团，随浆液沉降。脱硫后含尘液滴烟气流经折流板除雾器，液滴因惯性冲击撞击板壁聚集成液膜流下，液滴中包裹的细微粉尘同步被分离</w:t>
            </w:r>
            <w:r>
              <w:rPr>
                <w:rFonts w:hint="default" w:ascii="Times New Roman" w:hAnsi="Times New Roman" w:cs="Times New Roman"/>
                <w:b w:val="0"/>
                <w:bCs/>
                <w:snapToGrid w:val="0"/>
                <w:color w:val="auto"/>
                <w:kern w:val="0"/>
                <w:sz w:val="24"/>
                <w:szCs w:val="24"/>
                <w:highlight w:val="none"/>
                <w:vertAlign w:val="baseline"/>
                <w:lang w:val="en-US" w:eastAsia="zh-CN"/>
              </w:rPr>
              <w:t>。</w:t>
            </w:r>
          </w:p>
          <w:p w14:paraId="16978B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val="0"/>
                <w:bCs/>
                <w:snapToGrid w:val="0"/>
                <w:color w:val="auto"/>
                <w:kern w:val="0"/>
                <w:sz w:val="24"/>
                <w:szCs w:val="24"/>
                <w:highlight w:val="none"/>
                <w:vertAlign w:val="baseline"/>
                <w:lang w:val="en-US" w:eastAsia="zh-CN"/>
              </w:rPr>
            </w:pPr>
            <w:r>
              <w:rPr>
                <w:rFonts w:hint="default" w:ascii="Times New Roman" w:hAnsi="Times New Roman" w:cs="Times New Roman"/>
                <w:color w:val="auto"/>
              </w:rPr>
              <w:drawing>
                <wp:inline distT="0" distB="0" distL="114300" distR="114300">
                  <wp:extent cx="4782820" cy="2571115"/>
                  <wp:effectExtent l="0" t="0" r="1778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3"/>
                          <a:stretch>
                            <a:fillRect/>
                          </a:stretch>
                        </pic:blipFill>
                        <pic:spPr>
                          <a:xfrm>
                            <a:off x="0" y="0"/>
                            <a:ext cx="4782820" cy="2571115"/>
                          </a:xfrm>
                          <a:prstGeom prst="rect">
                            <a:avLst/>
                          </a:prstGeom>
                          <a:noFill/>
                          <a:ln>
                            <a:noFill/>
                          </a:ln>
                        </pic:spPr>
                      </pic:pic>
                    </a:graphicData>
                  </a:graphic>
                </wp:inline>
              </w:drawing>
            </w:r>
          </w:p>
          <w:p w14:paraId="2ACF64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snapToGrid w:val="0"/>
                <w:color w:val="auto"/>
                <w:kern w:val="0"/>
                <w:sz w:val="24"/>
                <w:szCs w:val="24"/>
                <w:highlight w:val="none"/>
                <w:vertAlign w:val="baseline"/>
                <w:lang w:val="en-US" w:eastAsia="zh-CN"/>
              </w:rPr>
            </w:pPr>
            <w:r>
              <w:rPr>
                <w:rFonts w:hint="default" w:ascii="Times New Roman" w:hAnsi="Times New Roman" w:cs="Times New Roman"/>
                <w:b/>
                <w:bCs w:val="0"/>
                <w:snapToGrid w:val="0"/>
                <w:color w:val="auto"/>
                <w:kern w:val="0"/>
                <w:sz w:val="21"/>
                <w:szCs w:val="21"/>
                <w:highlight w:val="none"/>
                <w:vertAlign w:val="baseline"/>
                <w:lang w:val="en-US" w:eastAsia="zh-CN"/>
              </w:rPr>
              <w:t>图4-1</w:t>
            </w:r>
            <w:r>
              <w:rPr>
                <w:rFonts w:hint="default" w:ascii="Times New Roman" w:hAnsi="Times New Roman" w:eastAsia="宋体" w:cs="Times New Roman"/>
                <w:b/>
                <w:bCs w:val="0"/>
                <w:snapToGrid w:val="0"/>
                <w:color w:val="auto"/>
                <w:kern w:val="0"/>
                <w:sz w:val="21"/>
                <w:szCs w:val="21"/>
                <w:highlight w:val="none"/>
                <w:vertAlign w:val="baseline"/>
                <w:lang w:val="en-US" w:eastAsia="zh-CN"/>
              </w:rPr>
              <w:t>石灰（石）－石膏湿法脱硫工艺典型流程示意图</w:t>
            </w:r>
          </w:p>
          <w:p w14:paraId="6483304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cs="Times New Roman"/>
                <w:b/>
                <w:bCs w:val="0"/>
                <w:snapToGrid w:val="0"/>
                <w:color w:val="auto"/>
                <w:kern w:val="0"/>
                <w:sz w:val="24"/>
                <w:szCs w:val="24"/>
                <w:highlight w:val="none"/>
                <w:vertAlign w:val="baseline"/>
                <w:lang w:val="en-US" w:eastAsia="zh-CN"/>
              </w:rPr>
            </w:pPr>
            <w:r>
              <w:rPr>
                <w:rFonts w:hint="default" w:ascii="Times New Roman" w:hAnsi="Times New Roman" w:cs="Times New Roman"/>
                <w:b/>
                <w:bCs w:val="0"/>
                <w:snapToGrid w:val="0"/>
                <w:color w:val="auto"/>
                <w:kern w:val="0"/>
                <w:sz w:val="24"/>
                <w:szCs w:val="24"/>
                <w:highlight w:val="none"/>
                <w:vertAlign w:val="baseline"/>
                <w:lang w:val="en-US" w:eastAsia="zh-CN"/>
              </w:rPr>
              <w:t>处理效率：</w:t>
            </w:r>
          </w:p>
          <w:p w14:paraId="7664181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kern w:val="0"/>
                <w:sz w:val="24"/>
                <w:szCs w:val="24"/>
                <w:highlight w:val="none"/>
                <w:vertAlign w:val="baseline"/>
                <w:lang w:val="en-US" w:eastAsia="zh-CN"/>
              </w:rPr>
            </w:pPr>
            <w:r>
              <w:rPr>
                <w:rFonts w:hint="default" w:ascii="Times New Roman" w:hAnsi="Times New Roman" w:eastAsia="宋体" w:cs="Times New Roman"/>
                <w:color w:val="auto"/>
                <w:sz w:val="24"/>
                <w:szCs w:val="24"/>
                <w:lang w:val="en-US" w:eastAsia="zh-CN"/>
              </w:rPr>
              <w:t>《排放源统计调查产排污核算方法和系数手册》（环境部公告2021年第24号）中4411火力发电、4412热电联产行业系数手册，中焦炉煤气</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采用</w:t>
            </w:r>
            <w:r>
              <w:rPr>
                <w:rFonts w:hint="default" w:ascii="Times New Roman" w:hAnsi="Times New Roman" w:eastAsia="宋体" w:cs="Times New Roman"/>
                <w:b w:val="0"/>
                <w:bCs/>
                <w:snapToGrid w:val="0"/>
                <w:color w:val="auto"/>
                <w:kern w:val="0"/>
                <w:sz w:val="24"/>
                <w:szCs w:val="24"/>
                <w:highlight w:val="none"/>
                <w:vertAlign w:val="baseline"/>
                <w:lang w:val="en-US" w:eastAsia="zh-CN"/>
              </w:rPr>
              <w:t>低氮燃烧</w:t>
            </w:r>
            <w:r>
              <w:rPr>
                <w:rFonts w:hint="default" w:ascii="Times New Roman" w:hAnsi="Times New Roman" w:cs="Times New Roman"/>
                <w:b w:val="0"/>
                <w:bCs/>
                <w:snapToGrid w:val="0"/>
                <w:color w:val="auto"/>
                <w:kern w:val="0"/>
                <w:sz w:val="24"/>
                <w:szCs w:val="24"/>
                <w:highlight w:val="none"/>
                <w:vertAlign w:val="baseline"/>
                <w:lang w:val="en-US" w:eastAsia="zh-CN"/>
              </w:rPr>
              <w:t>法和</w:t>
            </w:r>
            <w:r>
              <w:rPr>
                <w:rFonts w:hint="default" w:ascii="Times New Roman" w:hAnsi="Times New Roman" w:eastAsia="宋体" w:cs="Times New Roman"/>
                <w:b w:val="0"/>
                <w:bCs/>
                <w:snapToGrid w:val="0"/>
                <w:color w:val="auto"/>
                <w:kern w:val="0"/>
                <w:sz w:val="24"/>
                <w:szCs w:val="24"/>
                <w:highlight w:val="none"/>
                <w:vertAlign w:val="baseline"/>
                <w:lang w:val="en-US" w:eastAsia="zh-CN"/>
              </w:rPr>
              <w:t>SCR脱硝</w:t>
            </w:r>
            <w:r>
              <w:rPr>
                <w:rFonts w:hint="default" w:ascii="Times New Roman" w:hAnsi="Times New Roman" w:cs="Times New Roman"/>
                <w:b w:val="0"/>
                <w:bCs/>
                <w:snapToGrid w:val="0"/>
                <w:color w:val="auto"/>
                <w:kern w:val="0"/>
                <w:sz w:val="24"/>
                <w:szCs w:val="24"/>
                <w:highlight w:val="none"/>
                <w:vertAlign w:val="baseline"/>
                <w:lang w:val="en-US" w:eastAsia="zh-CN"/>
              </w:rPr>
              <w:t>治理</w:t>
            </w:r>
            <w:r>
              <w:rPr>
                <w:rFonts w:hint="default" w:ascii="Times New Roman" w:hAnsi="Times New Roman" w:eastAsia="宋体" w:cs="Times New Roman"/>
                <w:b w:val="0"/>
                <w:bCs/>
                <w:snapToGrid w:val="0"/>
                <w:color w:val="auto"/>
                <w:kern w:val="0"/>
                <w:sz w:val="24"/>
                <w:szCs w:val="24"/>
                <w:highlight w:val="none"/>
                <w:vertAlign w:val="baseline"/>
                <w:lang w:val="en-US" w:eastAsia="zh-CN"/>
              </w:rPr>
              <w:t>技术</w:t>
            </w:r>
            <w:r>
              <w:rPr>
                <w:rFonts w:hint="default" w:ascii="Times New Roman" w:hAnsi="Times New Roman" w:cs="Times New Roman"/>
                <w:b w:val="0"/>
                <w:bCs/>
                <w:snapToGrid w:val="0"/>
                <w:color w:val="auto"/>
                <w:kern w:val="0"/>
                <w:sz w:val="24"/>
                <w:szCs w:val="24"/>
                <w:highlight w:val="none"/>
                <w:vertAlign w:val="baseline"/>
                <w:lang w:val="en-US" w:eastAsia="zh-CN"/>
              </w:rPr>
              <w:t>效率为80%</w:t>
            </w:r>
            <w:r>
              <w:rPr>
                <w:rFonts w:hint="default" w:ascii="Times New Roman" w:hAnsi="Times New Roman" w:eastAsia="宋体" w:cs="Times New Roman"/>
                <w:b w:val="0"/>
                <w:bCs/>
                <w:snapToGrid w:val="0"/>
                <w:color w:val="auto"/>
                <w:kern w:val="0"/>
                <w:sz w:val="24"/>
                <w:szCs w:val="24"/>
                <w:highlight w:val="none"/>
                <w:vertAlign w:val="baseline"/>
                <w:lang w:val="en-US" w:eastAsia="zh-CN"/>
              </w:rPr>
              <w:t>。</w:t>
            </w:r>
          </w:p>
          <w:p w14:paraId="106080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根据《污染源源强核算技术指南火电》（HJ888-2018）表B.4常规烟气脱硫技术的一般性能，采用石灰石/石膏法的末端治理技术的处理效率为95%~99.7%，本项目取95%。</w:t>
            </w:r>
          </w:p>
          <w:p w14:paraId="1EBB0E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snapToGrid w:val="0"/>
                <w:color w:val="auto"/>
                <w:kern w:val="0"/>
                <w:sz w:val="24"/>
                <w:szCs w:val="24"/>
                <w:highlight w:val="none"/>
                <w:vertAlign w:val="baseline"/>
                <w:lang w:val="en-US" w:eastAsia="zh-CN"/>
              </w:rPr>
            </w:pPr>
            <w:r>
              <w:rPr>
                <w:rFonts w:hint="default" w:ascii="Times New Roman" w:hAnsi="Times New Roman" w:cs="Times New Roman"/>
                <w:b w:val="0"/>
                <w:bCs/>
                <w:snapToGrid w:val="0"/>
                <w:color w:val="auto"/>
                <w:kern w:val="0"/>
                <w:sz w:val="24"/>
                <w:szCs w:val="24"/>
                <w:highlight w:val="none"/>
                <w:vertAlign w:val="baseline"/>
                <w:lang w:val="en-US" w:eastAsia="zh-CN"/>
              </w:rPr>
              <w:t>本项目颗粒物先经过采用“</w:t>
            </w:r>
            <w:r>
              <w:rPr>
                <w:rFonts w:hint="default" w:ascii="Times New Roman" w:hAnsi="Times New Roman" w:cs="Times New Roman"/>
                <w:b w:val="0"/>
                <w:bCs/>
                <w:snapToGrid w:val="0"/>
                <w:color w:val="auto"/>
                <w:kern w:val="0"/>
                <w:sz w:val="24"/>
                <w:szCs w:val="24"/>
                <w:vertAlign w:val="baseline"/>
                <w:lang w:val="en-US" w:eastAsia="zh-CN" w:bidi="ar-SA"/>
              </w:rPr>
              <w:t>石灰（石）-石膏湿法脱硫+高效除雾器协同除尘</w:t>
            </w:r>
            <w:r>
              <w:rPr>
                <w:rFonts w:hint="default" w:ascii="Times New Roman" w:hAnsi="Times New Roman" w:cs="Times New Roman"/>
                <w:b w:val="0"/>
                <w:bCs/>
                <w:snapToGrid w:val="0"/>
                <w:color w:val="auto"/>
                <w:kern w:val="0"/>
                <w:sz w:val="24"/>
                <w:szCs w:val="24"/>
                <w:highlight w:val="none"/>
                <w:vertAlign w:val="baseline"/>
                <w:lang w:val="en-US" w:eastAsia="zh-CN"/>
              </w:rPr>
              <w:t>”再经湿式电除尘器进行处理。</w:t>
            </w:r>
          </w:p>
          <w:p w14:paraId="619988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snapToGrid w:val="0"/>
                <w:color w:val="auto"/>
                <w:kern w:val="0"/>
                <w:sz w:val="24"/>
                <w:szCs w:val="24"/>
                <w:highlight w:val="none"/>
                <w:vertAlign w:val="baseline"/>
                <w:lang w:val="en-US" w:eastAsia="zh-CN"/>
              </w:rPr>
            </w:pPr>
            <w:r>
              <w:rPr>
                <w:rFonts w:hint="default" w:ascii="Times New Roman" w:hAnsi="Times New Roman" w:cs="Times New Roman"/>
                <w:b w:val="0"/>
                <w:bCs/>
                <w:snapToGrid w:val="0"/>
                <w:color w:val="auto"/>
                <w:kern w:val="0"/>
                <w:sz w:val="24"/>
                <w:szCs w:val="24"/>
                <w:highlight w:val="none"/>
                <w:vertAlign w:val="baseline"/>
                <w:lang w:val="en-US" w:eastAsia="zh-CN"/>
              </w:rPr>
              <w:t>根据《燃煤电厂超低排放烟气治理工程技术规范》（HJ2053-2018）中“通过改进或增设兼具有除尘功能的设备及构件，在实现高效脱除烟气SO</w:t>
            </w:r>
            <w:r>
              <w:rPr>
                <w:rFonts w:hint="default" w:ascii="Times New Roman" w:hAnsi="Times New Roman" w:cs="Times New Roman"/>
                <w:b w:val="0"/>
                <w:bCs/>
                <w:snapToGrid w:val="0"/>
                <w:color w:val="auto"/>
                <w:kern w:val="0"/>
                <w:sz w:val="24"/>
                <w:szCs w:val="24"/>
                <w:highlight w:val="none"/>
                <w:vertAlign w:val="subscript"/>
                <w:lang w:val="en-US" w:eastAsia="zh-CN"/>
              </w:rPr>
              <w:t>2</w:t>
            </w:r>
            <w:r>
              <w:rPr>
                <w:rFonts w:hint="default" w:ascii="Times New Roman" w:hAnsi="Times New Roman" w:cs="Times New Roman"/>
                <w:b w:val="0"/>
                <w:bCs/>
                <w:snapToGrid w:val="0"/>
                <w:color w:val="auto"/>
                <w:kern w:val="0"/>
                <w:sz w:val="24"/>
                <w:szCs w:val="24"/>
                <w:highlight w:val="none"/>
                <w:vertAlign w:val="baseline"/>
                <w:lang w:val="en-US" w:eastAsia="zh-CN"/>
              </w:rPr>
              <w:t>的基础上，使得湿法脱硫系统综合除尘效率不小于70%且出口净烟气颗粒物浓度不大于10mg/m</w:t>
            </w:r>
            <w:r>
              <w:rPr>
                <w:rFonts w:hint="default" w:ascii="Times New Roman" w:hAnsi="Times New Roman" w:cs="Times New Roman"/>
                <w:b w:val="0"/>
                <w:bCs/>
                <w:snapToGrid w:val="0"/>
                <w:color w:val="auto"/>
                <w:kern w:val="0"/>
                <w:sz w:val="24"/>
                <w:szCs w:val="24"/>
                <w:highlight w:val="none"/>
                <w:vertAlign w:val="superscript"/>
                <w:lang w:val="en-US" w:eastAsia="zh-CN"/>
              </w:rPr>
              <w:t>3</w:t>
            </w:r>
            <w:r>
              <w:rPr>
                <w:rFonts w:hint="default" w:ascii="Times New Roman" w:hAnsi="Times New Roman" w:cs="Times New Roman"/>
                <w:b w:val="0"/>
                <w:bCs/>
                <w:snapToGrid w:val="0"/>
                <w:color w:val="auto"/>
                <w:kern w:val="0"/>
                <w:sz w:val="24"/>
                <w:szCs w:val="24"/>
                <w:highlight w:val="none"/>
                <w:vertAlign w:val="baseline"/>
                <w:lang w:val="en-US" w:eastAsia="zh-CN"/>
              </w:rPr>
              <w:t>”。同时确保本项目脱硫系统加装采用合适的烟气均布措施，如均流筛板或烟气湍流器等强化气液传质构件，并辅以数值模拟，必要时采用物理模型予以验证。同时可采用性能增效环或增加喷淋密度等措施，降低塔壁烟气偏流效应。应采用出口烟气携带雾滴浓度不大于25mg/m</w:t>
            </w:r>
            <w:r>
              <w:rPr>
                <w:rFonts w:hint="default" w:ascii="Times New Roman" w:hAnsi="Times New Roman" w:cs="Times New Roman"/>
                <w:b w:val="0"/>
                <w:bCs/>
                <w:snapToGrid w:val="0"/>
                <w:color w:val="auto"/>
                <w:kern w:val="0"/>
                <w:sz w:val="24"/>
                <w:szCs w:val="24"/>
                <w:highlight w:val="none"/>
                <w:vertAlign w:val="superscript"/>
                <w:lang w:val="en-US" w:eastAsia="zh-CN"/>
              </w:rPr>
              <w:t>3</w:t>
            </w:r>
            <w:r>
              <w:rPr>
                <w:rFonts w:hint="default" w:ascii="Times New Roman" w:hAnsi="Times New Roman" w:cs="Times New Roman"/>
                <w:b w:val="0"/>
                <w:bCs/>
                <w:snapToGrid w:val="0"/>
                <w:color w:val="auto"/>
                <w:kern w:val="0"/>
                <w:sz w:val="24"/>
                <w:szCs w:val="24"/>
                <w:highlight w:val="none"/>
                <w:vertAlign w:val="baseline"/>
                <w:lang w:val="en-US" w:eastAsia="zh-CN"/>
              </w:rPr>
              <w:t>的高效除雾器，包括管束式除雾器、声波除雾器、高效屋脊式除雾器等。吸收塔内应用的协同除尘设备及构件应具有一定的耐温性能，在通流烟气温度达到80℃时，应保持20min无形变。吸收塔内采用协同除尘设备时，造成的烟气阻力增加宜不大于500Pa。</w:t>
            </w:r>
          </w:p>
          <w:p w14:paraId="44903D2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snapToGrid w:val="0"/>
                <w:color w:val="auto"/>
                <w:kern w:val="0"/>
                <w:sz w:val="24"/>
                <w:szCs w:val="24"/>
                <w:highlight w:val="none"/>
                <w:vertAlign w:val="baseline"/>
                <w:lang w:val="en-US" w:eastAsia="zh-CN"/>
              </w:rPr>
            </w:pPr>
            <w:r>
              <w:rPr>
                <w:rFonts w:hint="default" w:ascii="Times New Roman" w:hAnsi="Times New Roman" w:cs="Times New Roman"/>
                <w:b w:val="0"/>
                <w:bCs/>
                <w:snapToGrid w:val="0"/>
                <w:color w:val="auto"/>
                <w:kern w:val="0"/>
                <w:sz w:val="24"/>
                <w:szCs w:val="24"/>
                <w:highlight w:val="none"/>
                <w:vertAlign w:val="baseline"/>
                <w:lang w:val="en-US" w:eastAsia="zh-CN"/>
              </w:rPr>
              <w:t>由于本项目原料为焦炉煤气，较直接使用燃煤的废气颗粒物①入口粉尘浓度更低、粒径更细，入口烟尘150～300mg/m</w:t>
            </w:r>
            <w:r>
              <w:rPr>
                <w:rFonts w:hint="default" w:ascii="Times New Roman" w:hAnsi="Times New Roman" w:cs="Times New Roman"/>
                <w:b w:val="0"/>
                <w:bCs/>
                <w:snapToGrid w:val="0"/>
                <w:color w:val="auto"/>
                <w:kern w:val="0"/>
                <w:sz w:val="24"/>
                <w:szCs w:val="24"/>
                <w:highlight w:val="none"/>
                <w:vertAlign w:val="superscript"/>
                <w:lang w:val="en-US" w:eastAsia="zh-CN"/>
              </w:rPr>
              <w:t>3</w:t>
            </w:r>
            <w:r>
              <w:rPr>
                <w:rFonts w:hint="default" w:ascii="Times New Roman" w:hAnsi="Times New Roman" w:cs="Times New Roman"/>
                <w:b w:val="0"/>
                <w:bCs/>
                <w:snapToGrid w:val="0"/>
                <w:color w:val="auto"/>
                <w:kern w:val="0"/>
                <w:sz w:val="24"/>
                <w:szCs w:val="24"/>
                <w:highlight w:val="none"/>
                <w:vertAlign w:val="baseline"/>
                <w:lang w:val="en-US" w:eastAsia="zh-CN"/>
              </w:rPr>
              <w:t>，以10～100μm粗颗粒为主，湿法脱硫对粗粒协同去除有限。焦炉煤气入口烟尘20～50mg/m</w:t>
            </w:r>
            <w:r>
              <w:rPr>
                <w:rFonts w:hint="default" w:ascii="Times New Roman" w:hAnsi="Times New Roman" w:cs="Times New Roman"/>
                <w:b w:val="0"/>
                <w:bCs/>
                <w:snapToGrid w:val="0"/>
                <w:color w:val="auto"/>
                <w:kern w:val="0"/>
                <w:sz w:val="24"/>
                <w:szCs w:val="24"/>
                <w:highlight w:val="none"/>
                <w:vertAlign w:val="superscript"/>
                <w:lang w:val="en-US" w:eastAsia="zh-CN"/>
              </w:rPr>
              <w:t>3</w:t>
            </w:r>
            <w:r>
              <w:rPr>
                <w:rFonts w:hint="default" w:ascii="Times New Roman" w:hAnsi="Times New Roman" w:cs="Times New Roman"/>
                <w:b w:val="0"/>
                <w:bCs/>
                <w:snapToGrid w:val="0"/>
                <w:color w:val="auto"/>
                <w:kern w:val="0"/>
                <w:sz w:val="24"/>
                <w:szCs w:val="24"/>
                <w:highlight w:val="none"/>
                <w:vertAlign w:val="baseline"/>
                <w:lang w:val="en-US" w:eastAsia="zh-CN"/>
              </w:rPr>
              <w:t>，以0.1～10μm细颗粒（含焦油雾滴）为主，易被湿法脱硫浆液雾滴碰撞、吸附；②燃煤烟气含尘形态差异粉尘为干灰颗粒，表面疏水，不易被浆液润湿，部分细尘穿透除雾器。但焦炉废气焦油雾滴+细灰+水汽，黏性强，易在脱硫塔内凝聚成大液滴，除雾器的截留效率也更高。因此本项目采用的“</w:t>
            </w:r>
            <w:r>
              <w:rPr>
                <w:rFonts w:hint="default" w:ascii="Times New Roman" w:hAnsi="Times New Roman" w:cs="Times New Roman"/>
                <w:b w:val="0"/>
                <w:bCs/>
                <w:snapToGrid w:val="0"/>
                <w:color w:val="auto"/>
                <w:kern w:val="0"/>
                <w:sz w:val="24"/>
                <w:szCs w:val="24"/>
                <w:vertAlign w:val="baseline"/>
                <w:lang w:val="en-US" w:eastAsia="zh-CN" w:bidi="ar-SA"/>
              </w:rPr>
              <w:t>石灰（石）-石膏湿法脱硫+高效除雾器协同除尘</w:t>
            </w:r>
            <w:r>
              <w:rPr>
                <w:rFonts w:hint="default" w:ascii="Times New Roman" w:hAnsi="Times New Roman" w:cs="Times New Roman"/>
                <w:b w:val="0"/>
                <w:bCs/>
                <w:snapToGrid w:val="0"/>
                <w:color w:val="auto"/>
                <w:kern w:val="0"/>
                <w:sz w:val="24"/>
                <w:szCs w:val="24"/>
                <w:highlight w:val="none"/>
                <w:vertAlign w:val="baseline"/>
                <w:lang w:val="en-US" w:eastAsia="zh-CN"/>
              </w:rPr>
              <w:t>”处理效率以75%计。</w:t>
            </w:r>
          </w:p>
          <w:p w14:paraId="5C50E6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snapToGrid w:val="0"/>
                <w:color w:val="auto"/>
                <w:kern w:val="0"/>
                <w:sz w:val="24"/>
                <w:szCs w:val="24"/>
                <w:highlight w:val="none"/>
                <w:vertAlign w:val="baseline"/>
                <w:lang w:val="en-US" w:eastAsia="zh-CN"/>
              </w:rPr>
            </w:pPr>
            <w:r>
              <w:rPr>
                <w:rFonts w:hint="default" w:ascii="Times New Roman" w:hAnsi="Times New Roman" w:cs="Times New Roman"/>
                <w:b w:val="0"/>
                <w:bCs/>
                <w:snapToGrid w:val="0"/>
                <w:color w:val="auto"/>
                <w:kern w:val="0"/>
                <w:sz w:val="24"/>
                <w:szCs w:val="24"/>
                <w:highlight w:val="none"/>
                <w:vertAlign w:val="baseline"/>
                <w:lang w:val="en-US" w:eastAsia="zh-CN"/>
              </w:rPr>
              <w:t>本项目计划在脱硫塔出口之后，安装湿式电除尘器进一步除尘，金属放电线在直流高电压的作用下，将其周围气体电离，使粉尘或雾滴粒子表面荷电，荷电粒子在电场力的作用下向收尘极运动，并沉积在收尘极上，水流从集尘板顶端流下，在集尘板上形成一层均匀稳定的水膜，将板上的颗粒带走。因此，湿式电除尘器与干式ESP的除尘原理基本相同，都要经历荷电、收集和清灰三个阶段，最大的区别在于清灰方式的不同，湿式电除尘器采用液体冲刷集尘极表面来进行清灰。其工作原理详见图4-2。</w:t>
            </w:r>
          </w:p>
          <w:p w14:paraId="14686271">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9"/>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drawing>
                <wp:inline distT="0" distB="0" distL="114300" distR="114300">
                  <wp:extent cx="4813300" cy="2654300"/>
                  <wp:effectExtent l="0" t="0" r="6350" b="12700"/>
                  <wp:docPr id="10" name="图片 1" descr="说明: 说明: QQ截图2013122613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说明: 说明: QQ截图20131226130156"/>
                          <pic:cNvPicPr>
                            <a:picLocks noChangeAspect="1"/>
                          </pic:cNvPicPr>
                        </pic:nvPicPr>
                        <pic:blipFill>
                          <a:blip r:embed="rId24"/>
                          <a:stretch>
                            <a:fillRect/>
                          </a:stretch>
                        </pic:blipFill>
                        <pic:spPr>
                          <a:xfrm>
                            <a:off x="0" y="0"/>
                            <a:ext cx="4813300" cy="2654300"/>
                          </a:xfrm>
                          <a:prstGeom prst="rect">
                            <a:avLst/>
                          </a:prstGeom>
                          <a:noFill/>
                          <a:ln>
                            <a:noFill/>
                          </a:ln>
                        </pic:spPr>
                      </pic:pic>
                    </a:graphicData>
                  </a:graphic>
                </wp:inline>
              </w:drawing>
            </w:r>
          </w:p>
          <w:p w14:paraId="4359AE48">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9"/>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图</w:t>
            </w:r>
            <w:r>
              <w:rPr>
                <w:rFonts w:hint="default" w:ascii="Times New Roman" w:hAnsi="Times New Roman" w:eastAsia="宋体" w:cs="Times New Roman"/>
                <w:b/>
                <w:bCs/>
                <w:color w:val="auto"/>
                <w:sz w:val="21"/>
                <w:szCs w:val="21"/>
                <w:lang w:val="en-US" w:eastAsia="zh-CN"/>
              </w:rPr>
              <w:t>4-2</w:t>
            </w:r>
            <w:r>
              <w:rPr>
                <w:rFonts w:hint="default" w:ascii="Times New Roman" w:hAnsi="Times New Roman" w:eastAsia="宋体" w:cs="Times New Roman"/>
                <w:b/>
                <w:bCs/>
                <w:color w:val="auto"/>
                <w:sz w:val="21"/>
                <w:szCs w:val="21"/>
                <w:lang w:eastAsia="zh-CN"/>
              </w:rPr>
              <w:t xml:space="preserve"> WESP工作原理示意图</w:t>
            </w:r>
          </w:p>
          <w:p w14:paraId="371AA4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kern w:val="0"/>
                <w:sz w:val="24"/>
                <w:szCs w:val="24"/>
                <w:highlight w:val="none"/>
                <w:vertAlign w:val="baseline"/>
                <w:lang w:val="en-US" w:eastAsia="zh-CN"/>
              </w:rPr>
            </w:pPr>
            <w:r>
              <w:rPr>
                <w:rFonts w:hint="default" w:ascii="Times New Roman" w:hAnsi="Times New Roman" w:eastAsia="宋体" w:cs="Times New Roman"/>
                <w:b w:val="0"/>
                <w:bCs/>
                <w:snapToGrid w:val="0"/>
                <w:color w:val="auto"/>
                <w:kern w:val="0"/>
                <w:sz w:val="24"/>
                <w:szCs w:val="24"/>
                <w:highlight w:val="none"/>
                <w:vertAlign w:val="baseline"/>
                <w:lang w:val="en-US" w:eastAsia="zh-CN"/>
              </w:rPr>
              <w:t>根据《火电厂污染防治可行技术指南》（HJ2301-2017）表4湿式电除尘器的主要工艺参数及效果，除尘效率约为70%～90%，本项目取中间值80%。因此项目颗粒物的去除方式为“</w:t>
            </w:r>
            <w:r>
              <w:rPr>
                <w:rFonts w:hint="default" w:ascii="Times New Roman" w:hAnsi="Times New Roman" w:cs="Times New Roman"/>
                <w:b w:val="0"/>
                <w:bCs/>
                <w:snapToGrid w:val="0"/>
                <w:color w:val="auto"/>
                <w:kern w:val="0"/>
                <w:sz w:val="24"/>
                <w:szCs w:val="24"/>
                <w:vertAlign w:val="baseline"/>
                <w:lang w:val="en-US" w:eastAsia="zh-CN" w:bidi="ar-SA"/>
              </w:rPr>
              <w:t>石灰（石）-石膏湿法脱硫+高效除雾器协同除尘+</w:t>
            </w:r>
            <w:r>
              <w:rPr>
                <w:rFonts w:hint="default" w:ascii="Times New Roman" w:hAnsi="Times New Roman" w:eastAsia="宋体" w:cs="Times New Roman"/>
                <w:b w:val="0"/>
                <w:bCs/>
                <w:snapToGrid w:val="0"/>
                <w:color w:val="auto"/>
                <w:kern w:val="0"/>
                <w:sz w:val="24"/>
                <w:szCs w:val="24"/>
                <w:highlight w:val="none"/>
                <w:vertAlign w:val="baseline"/>
                <w:lang w:val="en-US" w:eastAsia="zh-CN"/>
              </w:rPr>
              <w:t>湿式电除尘器”</w:t>
            </w:r>
            <w:r>
              <w:rPr>
                <w:rFonts w:hint="default" w:ascii="Times New Roman" w:hAnsi="Times New Roman" w:cs="Times New Roman"/>
                <w:b w:val="0"/>
                <w:bCs/>
                <w:snapToGrid w:val="0"/>
                <w:color w:val="auto"/>
                <w:kern w:val="0"/>
                <w:sz w:val="24"/>
                <w:szCs w:val="24"/>
                <w:highlight w:val="none"/>
                <w:vertAlign w:val="baseline"/>
                <w:lang w:val="en-US" w:eastAsia="zh-CN"/>
              </w:rPr>
              <w:t>，合计处理效率为95%=（1-（1-75%）*（1-80%））。</w:t>
            </w:r>
          </w:p>
          <w:p w14:paraId="2882B3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snapToGrid w:val="0"/>
                <w:color w:val="auto"/>
                <w:kern w:val="0"/>
                <w:sz w:val="24"/>
                <w:szCs w:val="24"/>
                <w:highlight w:val="none"/>
                <w:vertAlign w:val="baseline"/>
                <w:lang w:val="en-US" w:eastAsia="zh-CN"/>
              </w:rPr>
            </w:pPr>
            <w:r>
              <w:rPr>
                <w:rFonts w:hint="default" w:ascii="Times New Roman" w:hAnsi="Times New Roman" w:cs="Times New Roman"/>
                <w:b w:val="0"/>
                <w:bCs/>
                <w:snapToGrid w:val="0"/>
                <w:color w:val="auto"/>
                <w:kern w:val="0"/>
                <w:sz w:val="24"/>
                <w:szCs w:val="24"/>
                <w:highlight w:val="none"/>
                <w:vertAlign w:val="baseline"/>
                <w:lang w:val="en-US" w:eastAsia="zh-CN"/>
              </w:rPr>
              <w:t>综上，本项目所采取的废气治理措施是可行的。</w:t>
            </w:r>
          </w:p>
          <w:p w14:paraId="2207D2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kern w:val="0"/>
                <w:sz w:val="24"/>
                <w:szCs w:val="24"/>
                <w:vertAlign w:val="baseline"/>
                <w:lang w:val="en-US" w:eastAsia="zh-CN" w:bidi="ar-SA"/>
              </w:rPr>
            </w:pPr>
            <w:r>
              <w:rPr>
                <w:rFonts w:hint="default" w:ascii="Times New Roman" w:hAnsi="Times New Roman" w:eastAsia="宋体" w:cs="Times New Roman"/>
                <w:b w:val="0"/>
                <w:bCs/>
                <w:snapToGrid w:val="0"/>
                <w:color w:val="auto"/>
                <w:kern w:val="0"/>
                <w:sz w:val="24"/>
                <w:szCs w:val="24"/>
                <w:vertAlign w:val="baseline"/>
                <w:lang w:val="en-US" w:eastAsia="zh-CN" w:bidi="ar-SA"/>
              </w:rPr>
              <w:t>（2）无组织废气</w:t>
            </w:r>
          </w:p>
          <w:p w14:paraId="1981619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snapToGrid w:val="0"/>
                <w:color w:val="auto"/>
                <w:kern w:val="0"/>
                <w:sz w:val="24"/>
                <w:szCs w:val="24"/>
                <w:highlight w:val="none"/>
                <w:vertAlign w:val="baseline"/>
                <w:lang w:val="en-US" w:eastAsia="zh-CN" w:bidi="ar-SA"/>
              </w:rPr>
            </w:pPr>
            <w:r>
              <w:rPr>
                <w:rFonts w:hint="default" w:ascii="Times New Roman" w:hAnsi="Times New Roman" w:cs="Times New Roman"/>
                <w:b w:val="0"/>
                <w:bCs/>
                <w:snapToGrid w:val="0"/>
                <w:color w:val="auto"/>
                <w:kern w:val="0"/>
                <w:sz w:val="24"/>
                <w:szCs w:val="24"/>
                <w:highlight w:val="none"/>
                <w:vertAlign w:val="baseline"/>
                <w:lang w:val="en-US" w:eastAsia="zh-CN" w:bidi="ar-SA"/>
              </w:rPr>
              <w:t>本项目无组织废气排放主要为脱硫剂（石灰石粉）装卸、输送和贮存的扬尘防治，本项目无组织废气的治理遵循“源头减排—过程控制—末端治理—管理强化”的原则。满足</w:t>
            </w:r>
            <w:r>
              <w:rPr>
                <w:rFonts w:hint="default" w:ascii="Times New Roman" w:hAnsi="Times New Roman" w:eastAsia="宋体" w:cs="Times New Roman"/>
                <w:b w:val="0"/>
                <w:bCs/>
                <w:snapToGrid w:val="0"/>
                <w:color w:val="auto"/>
                <w:kern w:val="0"/>
                <w:sz w:val="24"/>
                <w:szCs w:val="24"/>
                <w:highlight w:val="none"/>
                <w:vertAlign w:val="baseline"/>
                <w:lang w:val="en-US" w:eastAsia="zh-CN"/>
              </w:rPr>
              <w:t>《火电厂污染防治可行技术指南》（HJ2301-2017）中无组织污染防治技术。</w:t>
            </w:r>
          </w:p>
          <w:p w14:paraId="7994C8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snapToGrid w:val="0"/>
                <w:color w:val="auto"/>
                <w:kern w:val="0"/>
                <w:sz w:val="24"/>
                <w:szCs w:val="24"/>
                <w:highlight w:val="none"/>
                <w:vertAlign w:val="baseline"/>
                <w:lang w:val="en-US" w:eastAsia="zh-CN" w:bidi="ar-SA"/>
              </w:rPr>
            </w:pPr>
            <w:r>
              <w:rPr>
                <w:rFonts w:hint="default" w:ascii="Times New Roman" w:hAnsi="Times New Roman" w:cs="Times New Roman"/>
                <w:b w:val="0"/>
                <w:bCs/>
                <w:snapToGrid w:val="0"/>
                <w:color w:val="auto"/>
                <w:kern w:val="0"/>
                <w:sz w:val="24"/>
                <w:szCs w:val="24"/>
                <w:highlight w:val="none"/>
                <w:vertAlign w:val="baseline"/>
                <w:lang w:val="en-US" w:eastAsia="zh-CN" w:bidi="ar-SA"/>
              </w:rPr>
              <w:t>①无组织废气采取严格的治理措施</w:t>
            </w:r>
          </w:p>
          <w:p w14:paraId="3ADE8DBD">
            <w:pPr>
              <w:keepNext w:val="0"/>
              <w:keepLines w:val="0"/>
              <w:pageBreakBefore w:val="0"/>
              <w:widowControl w:val="0"/>
              <w:numPr>
                <w:ilvl w:val="0"/>
                <w:numId w:val="7"/>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kern w:val="0"/>
                <w:sz w:val="24"/>
                <w:szCs w:val="24"/>
                <w:highlight w:val="none"/>
                <w:vertAlign w:val="baseline"/>
                <w:lang w:val="en-US" w:eastAsia="zh-CN" w:bidi="ar-SA"/>
              </w:rPr>
            </w:pPr>
            <w:r>
              <w:rPr>
                <w:rFonts w:hint="default" w:ascii="Times New Roman" w:hAnsi="Times New Roman" w:eastAsia="宋体" w:cs="Times New Roman"/>
                <w:b w:val="0"/>
                <w:bCs/>
                <w:snapToGrid w:val="0"/>
                <w:color w:val="auto"/>
                <w:kern w:val="0"/>
                <w:sz w:val="24"/>
                <w:szCs w:val="24"/>
                <w:highlight w:val="none"/>
                <w:vertAlign w:val="baseline"/>
                <w:lang w:val="en-US" w:eastAsia="zh-CN" w:bidi="ar-SA"/>
              </w:rPr>
              <w:t>本项目石灰石粉装卸作业扬尘防治采用密闭罐车配置卸载设备，贮存采用筒仓贮存配袋式除尘器，</w:t>
            </w:r>
            <w:r>
              <w:rPr>
                <w:rFonts w:hint="default" w:ascii="Times New Roman" w:hAnsi="Times New Roman" w:cs="Times New Roman"/>
                <w:b w:val="0"/>
                <w:bCs/>
                <w:snapToGrid w:val="0"/>
                <w:color w:val="auto"/>
                <w:kern w:val="0"/>
                <w:sz w:val="24"/>
                <w:szCs w:val="24"/>
                <w:highlight w:val="none"/>
                <w:vertAlign w:val="baseline"/>
                <w:lang w:val="en-US" w:eastAsia="zh-CN" w:bidi="ar-SA"/>
              </w:rPr>
              <w:t>投料时</w:t>
            </w:r>
            <w:r>
              <w:rPr>
                <w:rFonts w:hint="default" w:ascii="Times New Roman" w:hAnsi="Times New Roman" w:eastAsia="宋体" w:cs="Times New Roman"/>
                <w:b w:val="0"/>
                <w:bCs/>
                <w:snapToGrid w:val="0"/>
                <w:color w:val="auto"/>
                <w:kern w:val="0"/>
                <w:sz w:val="24"/>
                <w:szCs w:val="24"/>
                <w:highlight w:val="none"/>
                <w:vertAlign w:val="baseline"/>
                <w:lang w:val="en-US" w:eastAsia="zh-CN" w:bidi="ar-SA"/>
              </w:rPr>
              <w:t>排气中粉尘的分离与收集也应采用袋式除尘器进行处理。</w:t>
            </w:r>
          </w:p>
          <w:p w14:paraId="3EE162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kern w:val="0"/>
                <w:sz w:val="24"/>
                <w:szCs w:val="24"/>
                <w:highlight w:val="none"/>
                <w:vertAlign w:val="baseline"/>
                <w:lang w:val="en-US" w:eastAsia="zh-CN" w:bidi="ar-SA"/>
              </w:rPr>
            </w:pPr>
            <w:r>
              <w:rPr>
                <w:rFonts w:hint="default" w:ascii="Times New Roman" w:hAnsi="Times New Roman" w:cs="Times New Roman"/>
                <w:b w:val="0"/>
                <w:bCs/>
                <w:snapToGrid w:val="0"/>
                <w:color w:val="auto"/>
                <w:kern w:val="0"/>
                <w:sz w:val="24"/>
                <w:szCs w:val="24"/>
                <w:highlight w:val="none"/>
                <w:vertAlign w:val="baseline"/>
                <w:lang w:val="en-US" w:eastAsia="zh-CN" w:bidi="ar-SA"/>
              </w:rPr>
              <w:t>2</w:t>
            </w:r>
            <w:r>
              <w:rPr>
                <w:rFonts w:hint="default" w:ascii="Times New Roman" w:hAnsi="Times New Roman" w:eastAsia="宋体" w:cs="Times New Roman"/>
                <w:b w:val="0"/>
                <w:bCs/>
                <w:snapToGrid w:val="0"/>
                <w:color w:val="auto"/>
                <w:kern w:val="0"/>
                <w:sz w:val="24"/>
                <w:szCs w:val="24"/>
                <w:highlight w:val="none"/>
                <w:vertAlign w:val="baseline"/>
                <w:lang w:val="en-US" w:eastAsia="zh-CN" w:bidi="ar-SA"/>
              </w:rPr>
              <w:t>）本项目脱硝还原剂为尿素，尿素制氨采用热解法，</w:t>
            </w:r>
            <w:r>
              <w:rPr>
                <w:rFonts w:hint="default" w:ascii="Times New Roman" w:hAnsi="Times New Roman" w:cs="Times New Roman"/>
                <w:b w:val="0"/>
                <w:bCs/>
                <w:snapToGrid w:val="0"/>
                <w:color w:val="auto"/>
                <w:kern w:val="0"/>
                <w:sz w:val="24"/>
                <w:szCs w:val="24"/>
                <w:highlight w:val="none"/>
                <w:vertAlign w:val="baseline"/>
                <w:lang w:val="en-US" w:eastAsia="zh-CN" w:bidi="ar-SA"/>
              </w:rPr>
              <w:t>符合</w:t>
            </w:r>
            <w:r>
              <w:rPr>
                <w:rFonts w:hint="default" w:ascii="Times New Roman" w:hAnsi="Times New Roman" w:eastAsia="宋体" w:cs="Times New Roman"/>
                <w:b w:val="0"/>
                <w:bCs/>
                <w:snapToGrid w:val="0"/>
                <w:color w:val="auto"/>
                <w:kern w:val="0"/>
                <w:sz w:val="24"/>
                <w:szCs w:val="24"/>
                <w:highlight w:val="none"/>
                <w:vertAlign w:val="baseline"/>
                <w:lang w:val="en-US" w:eastAsia="zh-CN" w:bidi="ar-SA"/>
              </w:rPr>
              <w:t>《火电厂烟气脱硝工程技术规范选择性催化还原法》（HJ562-2010）</w:t>
            </w:r>
            <w:r>
              <w:rPr>
                <w:rFonts w:hint="default" w:ascii="Times New Roman" w:hAnsi="Times New Roman" w:cs="Times New Roman"/>
                <w:b w:val="0"/>
                <w:bCs/>
                <w:snapToGrid w:val="0"/>
                <w:color w:val="auto"/>
                <w:kern w:val="0"/>
                <w:sz w:val="24"/>
                <w:szCs w:val="24"/>
                <w:highlight w:val="none"/>
                <w:vertAlign w:val="baseline"/>
                <w:lang w:val="en-US" w:eastAsia="zh-CN" w:bidi="ar-SA"/>
              </w:rPr>
              <w:t>中6.3.3尿素还原剂的</w:t>
            </w:r>
            <w:r>
              <w:rPr>
                <w:rFonts w:hint="default" w:ascii="Times New Roman" w:hAnsi="Times New Roman" w:eastAsia="宋体" w:cs="Times New Roman"/>
                <w:b w:val="0"/>
                <w:bCs/>
                <w:snapToGrid w:val="0"/>
                <w:color w:val="auto"/>
                <w:kern w:val="0"/>
                <w:sz w:val="24"/>
                <w:szCs w:val="24"/>
                <w:highlight w:val="none"/>
                <w:vertAlign w:val="baseline"/>
                <w:lang w:val="en-US" w:eastAsia="zh-CN" w:bidi="ar-SA"/>
              </w:rPr>
              <w:t>要求。</w:t>
            </w:r>
          </w:p>
          <w:p w14:paraId="56F444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kern w:val="0"/>
                <w:sz w:val="24"/>
                <w:szCs w:val="24"/>
                <w:highlight w:val="none"/>
                <w:vertAlign w:val="baseline"/>
                <w:lang w:val="en-US" w:eastAsia="zh-CN" w:bidi="ar-SA"/>
              </w:rPr>
            </w:pPr>
            <w:r>
              <w:rPr>
                <w:rFonts w:hint="default" w:ascii="Times New Roman" w:hAnsi="Times New Roman" w:eastAsia="宋体" w:cs="Times New Roman"/>
                <w:b w:val="0"/>
                <w:bCs/>
                <w:snapToGrid w:val="0"/>
                <w:color w:val="auto"/>
                <w:kern w:val="0"/>
                <w:sz w:val="24"/>
                <w:szCs w:val="24"/>
                <w:highlight w:val="none"/>
                <w:vertAlign w:val="baseline"/>
                <w:lang w:val="en-US" w:eastAsia="zh-CN" w:bidi="ar-SA"/>
              </w:rPr>
              <w:t>②在装置区及其周边设置绿化</w:t>
            </w:r>
          </w:p>
          <w:p w14:paraId="7DB985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kern w:val="0"/>
                <w:sz w:val="24"/>
                <w:szCs w:val="24"/>
                <w:highlight w:val="none"/>
                <w:vertAlign w:val="baseline"/>
                <w:lang w:val="en-US" w:eastAsia="zh-CN" w:bidi="ar-SA"/>
              </w:rPr>
            </w:pPr>
            <w:r>
              <w:rPr>
                <w:rFonts w:hint="default" w:ascii="Times New Roman" w:hAnsi="Times New Roman" w:eastAsia="宋体" w:cs="Times New Roman"/>
                <w:b w:val="0"/>
                <w:bCs/>
                <w:snapToGrid w:val="0"/>
                <w:color w:val="auto"/>
                <w:kern w:val="0"/>
                <w:sz w:val="24"/>
                <w:szCs w:val="24"/>
                <w:highlight w:val="none"/>
                <w:vertAlign w:val="baseline"/>
                <w:lang w:val="en-US" w:eastAsia="zh-CN" w:bidi="ar-SA"/>
              </w:rPr>
              <w:t>本项目在装置区及其周边设置绿化，</w:t>
            </w:r>
            <w:r>
              <w:rPr>
                <w:rFonts w:hint="default" w:ascii="Times New Roman" w:hAnsi="Times New Roman" w:eastAsia="宋体" w:cs="Times New Roman"/>
                <w:color w:val="auto"/>
                <w:sz w:val="24"/>
                <w:szCs w:val="24"/>
                <w:highlight w:val="none"/>
              </w:rPr>
              <w:t>总绿化面积</w:t>
            </w:r>
            <w:r>
              <w:rPr>
                <w:rFonts w:hint="default" w:ascii="Times New Roman" w:hAnsi="Times New Roman" w:eastAsia="宋体" w:cs="Times New Roman"/>
                <w:color w:val="auto"/>
                <w:sz w:val="24"/>
                <w:szCs w:val="24"/>
                <w:highlight w:val="none"/>
                <w:lang w:val="en-US" w:eastAsia="zh-CN"/>
              </w:rPr>
              <w:t>为2200m</w:t>
            </w:r>
            <w:r>
              <w:rPr>
                <w:rFonts w:hint="default" w:ascii="Times New Roman" w:hAnsi="Times New Roman" w:eastAsia="宋体" w:cs="Times New Roman"/>
                <w:color w:val="auto"/>
                <w:sz w:val="24"/>
                <w:szCs w:val="24"/>
                <w:highlight w:val="none"/>
                <w:vertAlign w:val="superscript"/>
                <w:lang w:val="en-US" w:eastAsia="zh-CN"/>
              </w:rPr>
              <w:t>2</w:t>
            </w:r>
            <w:r>
              <w:rPr>
                <w:rFonts w:hint="default" w:ascii="Times New Roman" w:hAnsi="Times New Roman" w:eastAsia="宋体" w:cs="Times New Roman"/>
                <w:color w:val="auto"/>
                <w:spacing w:val="0"/>
                <w:kern w:val="0"/>
                <w:sz w:val="24"/>
                <w:szCs w:val="24"/>
                <w:highlight w:val="none"/>
                <w:lang w:eastAsia="zh-CN"/>
              </w:rPr>
              <w:t>。</w:t>
            </w:r>
            <w:r>
              <w:rPr>
                <w:rFonts w:hint="default" w:ascii="Times New Roman" w:hAnsi="Times New Roman" w:eastAsia="宋体" w:cs="Times New Roman"/>
                <w:b w:val="0"/>
                <w:bCs/>
                <w:snapToGrid w:val="0"/>
                <w:color w:val="auto"/>
                <w:kern w:val="0"/>
                <w:sz w:val="24"/>
                <w:szCs w:val="24"/>
                <w:highlight w:val="none"/>
                <w:vertAlign w:val="baseline"/>
                <w:lang w:val="en-US" w:eastAsia="zh-CN" w:bidi="ar-SA"/>
              </w:rPr>
              <w:t>可对装置区无组织粉尘形成“吸附-沉降”双重控制，植物叶片表面结构可直接捕获空气中的粉尘颗粒，同时绿化植被可降低地表风速，使粉尘因重力沉降速度加快，减少无组织扩散。</w:t>
            </w:r>
          </w:p>
          <w:p w14:paraId="7C7524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b w:val="0"/>
                <w:bCs/>
                <w:snapToGrid w:val="0"/>
                <w:color w:val="auto"/>
                <w:kern w:val="0"/>
                <w:sz w:val="24"/>
                <w:szCs w:val="24"/>
                <w:highlight w:val="none"/>
                <w:vertAlign w:val="baseline"/>
                <w:lang w:val="en-US" w:eastAsia="zh-CN" w:bidi="ar-SA"/>
              </w:rPr>
            </w:pPr>
            <w:r>
              <w:rPr>
                <w:rFonts w:hint="default" w:ascii="Times New Roman" w:hAnsi="Times New Roman" w:cs="Times New Roman"/>
                <w:b w:val="0"/>
                <w:bCs/>
                <w:snapToGrid w:val="0"/>
                <w:color w:val="auto"/>
                <w:kern w:val="0"/>
                <w:sz w:val="24"/>
                <w:szCs w:val="24"/>
                <w:highlight w:val="none"/>
                <w:vertAlign w:val="baseline"/>
                <w:lang w:val="en-US" w:eastAsia="zh-CN" w:bidi="ar-SA"/>
              </w:rPr>
              <w:t>③无组织废气的管理强化措施</w:t>
            </w:r>
          </w:p>
          <w:p w14:paraId="4AF84805">
            <w:pPr>
              <w:keepNext w:val="0"/>
              <w:keepLines w:val="0"/>
              <w:pageBreakBefore w:val="0"/>
              <w:widowControl w:val="0"/>
              <w:numPr>
                <w:ilvl w:val="0"/>
                <w:numId w:val="8"/>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kern w:val="0"/>
                <w:sz w:val="24"/>
                <w:szCs w:val="24"/>
                <w:highlight w:val="none"/>
                <w:vertAlign w:val="baseline"/>
                <w:lang w:val="en-US" w:eastAsia="zh-CN" w:bidi="ar-SA"/>
              </w:rPr>
            </w:pPr>
            <w:r>
              <w:rPr>
                <w:rFonts w:hint="default" w:ascii="Times New Roman" w:hAnsi="Times New Roman" w:eastAsia="宋体" w:cs="Times New Roman"/>
                <w:b w:val="0"/>
                <w:bCs/>
                <w:snapToGrid w:val="0"/>
                <w:color w:val="auto"/>
                <w:kern w:val="0"/>
                <w:sz w:val="24"/>
                <w:szCs w:val="24"/>
                <w:highlight w:val="none"/>
                <w:vertAlign w:val="baseline"/>
                <w:lang w:val="en-US" w:eastAsia="zh-CN" w:bidi="ar-SA"/>
              </w:rPr>
              <w:t>定期对无组织废气排放源进行检测，建立污染源档案和台账，及时整治。</w:t>
            </w:r>
          </w:p>
          <w:p w14:paraId="7A2FE3B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kern w:val="0"/>
                <w:sz w:val="24"/>
                <w:szCs w:val="24"/>
                <w:highlight w:val="none"/>
                <w:vertAlign w:val="baseline"/>
                <w:lang w:val="en-US" w:eastAsia="zh-CN" w:bidi="ar-SA"/>
              </w:rPr>
            </w:pPr>
            <w:r>
              <w:rPr>
                <w:rFonts w:hint="default" w:ascii="Times New Roman" w:hAnsi="Times New Roman" w:cs="Times New Roman"/>
                <w:b w:val="0"/>
                <w:bCs/>
                <w:snapToGrid w:val="0"/>
                <w:color w:val="auto"/>
                <w:kern w:val="0"/>
                <w:sz w:val="24"/>
                <w:szCs w:val="24"/>
                <w:highlight w:val="none"/>
                <w:vertAlign w:val="baseline"/>
                <w:lang w:val="en-US" w:eastAsia="zh-CN" w:bidi="ar-SA"/>
              </w:rPr>
              <w:t>2）</w:t>
            </w:r>
            <w:r>
              <w:rPr>
                <w:rFonts w:hint="default" w:ascii="Times New Roman" w:hAnsi="Times New Roman" w:eastAsia="宋体" w:cs="Times New Roman"/>
                <w:b w:val="0"/>
                <w:bCs/>
                <w:snapToGrid w:val="0"/>
                <w:color w:val="auto"/>
                <w:kern w:val="0"/>
                <w:sz w:val="24"/>
                <w:szCs w:val="24"/>
                <w:highlight w:val="none"/>
                <w:vertAlign w:val="baseline"/>
                <w:lang w:val="en-US" w:eastAsia="zh-CN" w:bidi="ar-SA"/>
              </w:rPr>
              <w:t>加强对企业技术人员进行清洁生产知识培训，让企业从生产工艺、原料、设备等方面尽力减少无组织废气的排放，自觉地加强内部管理，减少跑、冒、滴、漏，使无组织废气排放最小化。</w:t>
            </w:r>
          </w:p>
          <w:p w14:paraId="7B8F243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b w:val="0"/>
                <w:bCs/>
                <w:snapToGrid w:val="0"/>
                <w:color w:val="auto"/>
                <w:kern w:val="0"/>
                <w:sz w:val="24"/>
                <w:szCs w:val="24"/>
                <w:highlight w:val="none"/>
                <w:vertAlign w:val="baseline"/>
                <w:lang w:val="en-US" w:eastAsia="zh-CN" w:bidi="ar-SA"/>
              </w:rPr>
              <w:t>综上，本项目废气所采取的处理技术均是可行的，在严格落实本评价提出的污染治理措施的前提下，有组织废气可满足</w:t>
            </w:r>
            <w:r>
              <w:rPr>
                <w:rFonts w:hint="default" w:ascii="Times New Roman" w:hAnsi="Times New Roman" w:eastAsia="宋体" w:cs="Times New Roman"/>
                <w:color w:val="auto"/>
                <w:spacing w:val="0"/>
                <w:position w:val="0"/>
                <w:sz w:val="24"/>
                <w:szCs w:val="24"/>
                <w:highlight w:val="none"/>
                <w:lang w:val="en-US" w:eastAsia="zh-CN"/>
              </w:rPr>
              <w:t>《火电厂大气污染物排放标准》（GB13223-2011）</w:t>
            </w:r>
            <w:r>
              <w:rPr>
                <w:rFonts w:hint="default" w:ascii="Times New Roman" w:hAnsi="Times New Roman" w:cs="Times New Roman"/>
                <w:color w:val="auto"/>
                <w:spacing w:val="0"/>
                <w:position w:val="0"/>
                <w:sz w:val="24"/>
                <w:szCs w:val="24"/>
                <w:highlight w:val="none"/>
                <w:lang w:val="en-US" w:eastAsia="zh-CN"/>
              </w:rPr>
              <w:t>表2大气污染物特别排放限值</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颗粒物</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mg/m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vertAlign w:val="baseline"/>
                <w:lang w:val="en-US" w:eastAsia="zh-CN"/>
              </w:rPr>
              <w:t>；二氧化硫</w:t>
            </w:r>
            <w:r>
              <w:rPr>
                <w:rFonts w:hint="default" w:ascii="Times New Roman" w:hAnsi="Times New Roman" w:cs="Times New Roman"/>
                <w:color w:val="auto"/>
                <w:sz w:val="24"/>
                <w:szCs w:val="24"/>
                <w:highlight w:val="none"/>
                <w:vertAlign w:val="baseline"/>
                <w:lang w:val="en-US" w:eastAsia="zh-CN"/>
              </w:rPr>
              <w:t>50</w:t>
            </w:r>
            <w:r>
              <w:rPr>
                <w:rFonts w:hint="default" w:ascii="Times New Roman" w:hAnsi="Times New Roman" w:eastAsia="宋体" w:cs="Times New Roman"/>
                <w:color w:val="auto"/>
                <w:sz w:val="24"/>
                <w:szCs w:val="24"/>
                <w:highlight w:val="none"/>
                <w:lang w:val="en-US" w:eastAsia="zh-CN"/>
              </w:rPr>
              <w:t>mg/m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vertAlign w:val="baseline"/>
                <w:lang w:val="en-US" w:eastAsia="zh-CN"/>
              </w:rPr>
              <w:t>；</w:t>
            </w:r>
            <w:r>
              <w:rPr>
                <w:rFonts w:hint="default" w:ascii="Times New Roman" w:hAnsi="Times New Roman" w:eastAsia="宋体" w:cs="Times New Roman"/>
                <w:color w:val="auto"/>
                <w:kern w:val="0"/>
                <w:sz w:val="24"/>
                <w:szCs w:val="24"/>
                <w:highlight w:val="none"/>
                <w:lang w:val="en-US" w:eastAsia="zh-CN" w:bidi="ar"/>
              </w:rPr>
              <w:t>林格曼黑度</w:t>
            </w:r>
            <w:r>
              <w:rPr>
                <w:rFonts w:hint="default" w:ascii="Times New Roman" w:hAnsi="Times New Roman" w:eastAsia="宋体" w:cs="Times New Roman"/>
                <w:b w:val="0"/>
                <w:bCs w:val="0"/>
                <w:color w:val="auto"/>
                <w:kern w:val="2"/>
                <w:sz w:val="24"/>
                <w:szCs w:val="24"/>
                <w:highlight w:val="none"/>
                <w:vertAlign w:val="baseline"/>
                <w:lang w:val="en-US" w:eastAsia="zh-CN" w:bidi="ar-SA"/>
              </w:rPr>
              <w:t>≤1</w:t>
            </w:r>
            <w:r>
              <w:rPr>
                <w:rFonts w:hint="default" w:ascii="Times New Roman" w:hAnsi="Times New Roman" w:eastAsia="宋体" w:cs="Times New Roman"/>
                <w:color w:val="auto"/>
                <w:sz w:val="24"/>
                <w:szCs w:val="24"/>
                <w:highlight w:val="none"/>
                <w:lang w:val="en-US" w:eastAsia="zh-CN"/>
              </w:rPr>
              <w:t>）；氮氧化物可满足</w:t>
            </w:r>
            <w:r>
              <w:rPr>
                <w:rFonts w:hint="default" w:ascii="Times New Roman" w:hAnsi="Times New Roman" w:cs="Times New Roman"/>
                <w:snapToGrid w:val="0"/>
                <w:color w:val="auto"/>
                <w:kern w:val="0"/>
                <w:sz w:val="24"/>
                <w:szCs w:val="24"/>
                <w:highlight w:val="none"/>
                <w:lang w:val="en-US" w:eastAsia="zh-CN" w:bidi="ar-SA"/>
              </w:rPr>
              <w:t>《关于印发〈全面实施燃煤电厂超低排放和节能改造工作方案〉的通知》（环发〔2015〕164号）</w:t>
            </w:r>
            <w:r>
              <w:rPr>
                <w:rFonts w:hint="default" w:ascii="Times New Roman" w:hAnsi="Times New Roman" w:eastAsia="宋体" w:cs="Times New Roman"/>
                <w:color w:val="auto"/>
                <w:sz w:val="24"/>
                <w:szCs w:val="24"/>
                <w:highlight w:val="none"/>
                <w:lang w:val="en-US" w:eastAsia="zh-CN"/>
              </w:rPr>
              <w:t>（氮氧化物：50mg/m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pacing w:val="8"/>
                <w:sz w:val="24"/>
                <w:szCs w:val="24"/>
                <w:lang w:eastAsia="zh-CN"/>
              </w:rPr>
              <w:t>；</w:t>
            </w:r>
            <w:r>
              <w:rPr>
                <w:rFonts w:hint="default" w:ascii="Times New Roman" w:hAnsi="Times New Roman" w:eastAsia="宋体" w:cs="Times New Roman"/>
                <w:color w:val="auto"/>
                <w:sz w:val="24"/>
                <w:szCs w:val="24"/>
                <w:highlight w:val="none"/>
                <w:lang w:val="en-US" w:eastAsia="zh-CN"/>
              </w:rPr>
              <w:t>氨满足</w:t>
            </w:r>
            <w:r>
              <w:rPr>
                <w:rFonts w:hint="default" w:ascii="Times New Roman" w:hAnsi="Times New Roman" w:cs="Times New Roman"/>
                <w:color w:val="auto"/>
                <w:spacing w:val="8"/>
                <w:sz w:val="24"/>
                <w:szCs w:val="24"/>
              </w:rPr>
              <w:t>《火电厂烟气脱硝工程技术规范</w:t>
            </w:r>
            <w:r>
              <w:rPr>
                <w:rFonts w:hint="default" w:ascii="Times New Roman" w:hAnsi="Times New Roman" w:cs="Times New Roman"/>
                <w:color w:val="auto"/>
                <w:spacing w:val="8"/>
                <w:sz w:val="24"/>
                <w:szCs w:val="24"/>
                <w:lang w:val="en-US" w:eastAsia="zh-CN"/>
              </w:rPr>
              <w:t>选择性催化还原法</w:t>
            </w:r>
            <w:r>
              <w:rPr>
                <w:rFonts w:hint="default" w:ascii="Times New Roman" w:hAnsi="Times New Roman" w:cs="Times New Roman"/>
                <w:color w:val="auto"/>
                <w:spacing w:val="8"/>
                <w:sz w:val="24"/>
                <w:szCs w:val="24"/>
              </w:rPr>
              <w:t>》（HJ562-2010）</w:t>
            </w:r>
            <w:r>
              <w:rPr>
                <w:rFonts w:hint="default" w:ascii="Times New Roman" w:hAnsi="Times New Roman" w:eastAsia="宋体" w:cs="Times New Roman"/>
                <w:color w:val="auto"/>
                <w:spacing w:val="0"/>
                <w:position w:val="0"/>
                <w:sz w:val="24"/>
                <w:szCs w:val="24"/>
                <w:highlight w:val="none"/>
                <w:lang w:val="en-US" w:eastAsia="zh-CN"/>
              </w:rPr>
              <w:t>（氨：</w:t>
            </w:r>
            <w:r>
              <w:rPr>
                <w:rFonts w:hint="default" w:ascii="Times New Roman" w:hAnsi="Times New Roman" w:eastAsia="宋体" w:cs="Times New Roman"/>
                <w:color w:val="auto"/>
                <w:sz w:val="24"/>
                <w:szCs w:val="24"/>
                <w:highlight w:val="none"/>
                <w:lang w:val="en-US" w:eastAsia="zh-CN"/>
              </w:rPr>
              <w:t>2.5mg/m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vertAlign w:val="baseline"/>
                <w:lang w:val="en-US" w:eastAsia="zh-CN"/>
              </w:rPr>
              <w:t>；厂界无组织颗粒物满足</w:t>
            </w:r>
            <w:r>
              <w:rPr>
                <w:rFonts w:hint="default" w:ascii="Times New Roman" w:hAnsi="Times New Roman" w:cs="Times New Roman"/>
                <w:color w:val="auto"/>
                <w:spacing w:val="8"/>
                <w:sz w:val="24"/>
                <w:szCs w:val="24"/>
              </w:rPr>
              <w:t>《大气污染物综合排放</w:t>
            </w:r>
            <w:r>
              <w:rPr>
                <w:rFonts w:hint="default" w:ascii="Times New Roman" w:hAnsi="Times New Roman" w:cs="Times New Roman"/>
                <w:color w:val="auto"/>
                <w:spacing w:val="6"/>
                <w:sz w:val="24"/>
                <w:szCs w:val="24"/>
              </w:rPr>
              <w:t>标准》（</w:t>
            </w:r>
            <w:r>
              <w:rPr>
                <w:rFonts w:hint="default" w:ascii="Times New Roman" w:hAnsi="Times New Roman" w:eastAsia="Times New Roman" w:cs="Times New Roman"/>
                <w:color w:val="auto"/>
                <w:sz w:val="24"/>
                <w:szCs w:val="24"/>
              </w:rPr>
              <w:t>GB</w:t>
            </w:r>
            <w:r>
              <w:rPr>
                <w:rFonts w:hint="default" w:ascii="Times New Roman" w:hAnsi="Times New Roman" w:eastAsia="Times New Roman" w:cs="Times New Roman"/>
                <w:color w:val="auto"/>
                <w:spacing w:val="6"/>
                <w:sz w:val="24"/>
                <w:szCs w:val="24"/>
              </w:rPr>
              <w:t>16297-1996</w:t>
            </w:r>
            <w:r>
              <w:rPr>
                <w:rFonts w:hint="default" w:ascii="Times New Roman" w:hAnsi="Times New Roman" w:cs="Times New Roman"/>
                <w:color w:val="auto"/>
                <w:spacing w:val="6"/>
                <w:sz w:val="24"/>
                <w:szCs w:val="24"/>
              </w:rPr>
              <w:t>）</w:t>
            </w:r>
            <w:r>
              <w:rPr>
                <w:rFonts w:hint="default" w:ascii="Times New Roman" w:hAnsi="Times New Roman" w:cs="Times New Roman"/>
                <w:color w:val="auto"/>
                <w:spacing w:val="6"/>
                <w:sz w:val="24"/>
                <w:szCs w:val="24"/>
                <w:lang w:val="en-US" w:eastAsia="zh-CN"/>
              </w:rPr>
              <w:t>表2（颗粒物：1.0mg/m</w:t>
            </w:r>
            <w:r>
              <w:rPr>
                <w:rFonts w:hint="default" w:ascii="Times New Roman" w:hAnsi="Times New Roman" w:cs="Times New Roman"/>
                <w:color w:val="auto"/>
                <w:spacing w:val="6"/>
                <w:sz w:val="24"/>
                <w:szCs w:val="24"/>
                <w:vertAlign w:val="superscript"/>
                <w:lang w:val="en-US" w:eastAsia="zh-CN"/>
              </w:rPr>
              <w:t>3</w:t>
            </w:r>
            <w:r>
              <w:rPr>
                <w:rFonts w:hint="default" w:ascii="Times New Roman" w:hAnsi="Times New Roman" w:cs="Times New Roman"/>
                <w:color w:val="auto"/>
                <w:spacing w:val="6"/>
                <w:sz w:val="24"/>
                <w:szCs w:val="24"/>
                <w:lang w:val="en-US" w:eastAsia="zh-CN"/>
              </w:rPr>
              <w:t>）</w:t>
            </w:r>
            <w:r>
              <w:rPr>
                <w:rFonts w:hint="default" w:ascii="Times New Roman" w:hAnsi="Times New Roman" w:eastAsia="宋体" w:cs="Times New Roman"/>
                <w:color w:val="auto"/>
                <w:spacing w:val="0"/>
                <w:position w:val="0"/>
                <w:sz w:val="24"/>
                <w:szCs w:val="24"/>
                <w:highlight w:val="none"/>
                <w:lang w:val="en-US" w:eastAsia="zh-CN"/>
              </w:rPr>
              <w:t>。</w:t>
            </w:r>
          </w:p>
          <w:p w14:paraId="1C50614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val="0"/>
                <w:bCs/>
                <w:snapToGrid w:val="0"/>
                <w:color w:val="auto"/>
                <w:kern w:val="0"/>
                <w:sz w:val="24"/>
                <w:szCs w:val="24"/>
                <w:highlight w:val="none"/>
                <w:vertAlign w:val="baseline"/>
                <w:lang w:val="en-US" w:eastAsia="zh-CN" w:bidi="ar-SA"/>
              </w:rPr>
            </w:pPr>
            <w:r>
              <w:rPr>
                <w:rFonts w:hint="default" w:ascii="Times New Roman" w:hAnsi="Times New Roman" w:eastAsia="宋体" w:cs="Times New Roman"/>
                <w:color w:val="auto"/>
                <w:spacing w:val="0"/>
                <w:position w:val="0"/>
                <w:sz w:val="24"/>
                <w:szCs w:val="24"/>
                <w:highlight w:val="none"/>
                <w:lang w:val="en-US" w:eastAsia="zh-CN"/>
              </w:rPr>
              <w:t>综上，本项目营运期废气均</w:t>
            </w:r>
            <w:r>
              <w:rPr>
                <w:rFonts w:hint="default" w:ascii="Times New Roman" w:hAnsi="Times New Roman" w:eastAsia="宋体" w:cs="Times New Roman"/>
                <w:color w:val="auto"/>
                <w:sz w:val="24"/>
                <w:szCs w:val="24"/>
                <w:highlight w:val="none"/>
                <w:lang w:val="en-US" w:eastAsia="zh-CN"/>
              </w:rPr>
              <w:t>能</w:t>
            </w:r>
            <w:r>
              <w:rPr>
                <w:rFonts w:hint="default" w:ascii="Times New Roman" w:hAnsi="Times New Roman" w:eastAsia="宋体" w:cs="Times New Roman"/>
                <w:b w:val="0"/>
                <w:bCs/>
                <w:snapToGrid w:val="0"/>
                <w:color w:val="auto"/>
                <w:kern w:val="0"/>
                <w:sz w:val="24"/>
                <w:szCs w:val="24"/>
                <w:highlight w:val="none"/>
                <w:vertAlign w:val="baseline"/>
                <w:lang w:val="en-US" w:eastAsia="zh-CN" w:bidi="ar-SA"/>
              </w:rPr>
              <w:t>达标排放，对区域大气环境影响处于可接受水平。</w:t>
            </w:r>
          </w:p>
          <w:p w14:paraId="4F3BB20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w:t>
            </w:r>
            <w:r>
              <w:rPr>
                <w:rFonts w:hint="default" w:ascii="Times New Roman" w:hAnsi="Times New Roman" w:cs="Times New Roman"/>
                <w:b/>
                <w:bCs/>
                <w:color w:val="auto"/>
                <w:sz w:val="24"/>
                <w:szCs w:val="24"/>
                <w:lang w:val="en-US" w:eastAsia="zh-CN"/>
              </w:rPr>
              <w:t>1.3</w:t>
            </w:r>
            <w:r>
              <w:rPr>
                <w:rFonts w:hint="default" w:ascii="Times New Roman" w:hAnsi="Times New Roman" w:eastAsia="宋体" w:cs="Times New Roman"/>
                <w:b/>
                <w:bCs/>
                <w:color w:val="auto"/>
                <w:sz w:val="24"/>
                <w:szCs w:val="24"/>
                <w:lang w:val="en-US" w:eastAsia="zh-CN"/>
              </w:rPr>
              <w:t>非正常工况废气源强核算</w:t>
            </w:r>
          </w:p>
          <w:p w14:paraId="0B1813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eastAsia="宋体" w:cs="Times New Roman"/>
                <w:color w:val="auto"/>
                <w:spacing w:val="0"/>
                <w:position w:val="0"/>
                <w:sz w:val="24"/>
                <w:szCs w:val="24"/>
                <w:highlight w:val="none"/>
                <w:lang w:val="en-US" w:eastAsia="zh-CN"/>
              </w:rPr>
              <w:t>本项目非正常工况为生产设施开停炉（机）等非正常情况，污染治理设备设施未正常运行导致污染物排放量骤然增加，非正常工况废气污染物产生及排放情况详见表4-6。</w:t>
            </w:r>
          </w:p>
          <w:p w14:paraId="128F50C4">
            <w:pPr>
              <w:pStyle w:val="4"/>
              <w:keepNext w:val="0"/>
              <w:keepLines/>
              <w:pageBreakBefore w:val="0"/>
              <w:widowControl w:val="0"/>
              <w:numPr>
                <w:ilvl w:val="2"/>
                <w:numId w:val="0"/>
              </w:numPr>
              <w:tabs>
                <w:tab w:val="clear" w:pos="720"/>
              </w:tabs>
              <w:kinsoku/>
              <w:wordWrap/>
              <w:overflowPunct/>
              <w:topLinePunct w:val="0"/>
              <w:autoSpaceDE/>
              <w:autoSpaceDN/>
              <w:bidi w:val="0"/>
              <w:adjustRightInd w:val="0"/>
              <w:snapToGrid w:val="0"/>
              <w:spacing w:line="240" w:lineRule="auto"/>
              <w:ind w:leftChars="0"/>
              <w:jc w:val="center"/>
              <w:textAlignment w:val="bottom"/>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表4</w:t>
            </w:r>
            <w:r>
              <w:rPr>
                <w:rFonts w:hint="default" w:ascii="Times New Roman" w:hAnsi="Times New Roman" w:cs="Times New Roman"/>
                <w:b/>
                <w:bCs/>
                <w:color w:val="auto"/>
                <w:kern w:val="2"/>
                <w:sz w:val="21"/>
                <w:szCs w:val="21"/>
                <w:highlight w:val="none"/>
                <w:lang w:val="en-US" w:eastAsia="zh-CN" w:bidi="ar-SA"/>
              </w:rPr>
              <w:t>-6</w:t>
            </w:r>
            <w:r>
              <w:rPr>
                <w:rFonts w:hint="default" w:ascii="Times New Roman" w:hAnsi="Times New Roman" w:eastAsia="宋体" w:cs="Times New Roman"/>
                <w:b/>
                <w:bCs/>
                <w:color w:val="auto"/>
                <w:kern w:val="2"/>
                <w:sz w:val="21"/>
                <w:szCs w:val="21"/>
                <w:highlight w:val="none"/>
                <w:lang w:val="en-US" w:eastAsia="zh-CN" w:bidi="ar-SA"/>
              </w:rPr>
              <w:t>非正常工况废气污染物产生及排放情况</w:t>
            </w:r>
          </w:p>
          <w:tbl>
            <w:tblPr>
              <w:tblStyle w:val="32"/>
              <w:tblW w:w="7938"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639"/>
              <w:gridCol w:w="1022"/>
              <w:gridCol w:w="843"/>
              <w:gridCol w:w="924"/>
              <w:gridCol w:w="1092"/>
              <w:gridCol w:w="1182"/>
              <w:gridCol w:w="510"/>
              <w:gridCol w:w="1726"/>
            </w:tblGrid>
            <w:tr w14:paraId="2B89A85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30" w:hRule="atLeast"/>
              </w:trPr>
              <w:tc>
                <w:tcPr>
                  <w:tcW w:w="402" w:type="pct"/>
                  <w:vMerge w:val="restart"/>
                  <w:tcBorders>
                    <w:tl2br w:val="nil"/>
                    <w:tr2bl w:val="nil"/>
                  </w:tcBorders>
                  <w:noWrap/>
                  <w:vAlign w:val="center"/>
                </w:tcPr>
                <w:p w14:paraId="481778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产污环节</w:t>
                  </w:r>
                </w:p>
              </w:tc>
              <w:tc>
                <w:tcPr>
                  <w:tcW w:w="643" w:type="pct"/>
                  <w:vMerge w:val="restart"/>
                  <w:tcBorders>
                    <w:tl2br w:val="nil"/>
                    <w:tr2bl w:val="nil"/>
                  </w:tcBorders>
                  <w:noWrap/>
                  <w:vAlign w:val="center"/>
                </w:tcPr>
                <w:p w14:paraId="0945A5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污染物</w:t>
                  </w:r>
                </w:p>
              </w:tc>
              <w:tc>
                <w:tcPr>
                  <w:tcW w:w="530" w:type="pct"/>
                  <w:vMerge w:val="restart"/>
                  <w:tcBorders>
                    <w:tl2br w:val="nil"/>
                    <w:tr2bl w:val="nil"/>
                  </w:tcBorders>
                  <w:noWrap/>
                  <w:vAlign w:val="center"/>
                </w:tcPr>
                <w:p w14:paraId="248BEE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lang w:val="en-US"/>
                    </w:rPr>
                  </w:pPr>
                  <w:r>
                    <w:rPr>
                      <w:rFonts w:hint="default" w:ascii="Times New Roman" w:hAnsi="Times New Roman" w:eastAsia="宋体" w:cs="Times New Roman"/>
                      <w:b/>
                      <w:bCs/>
                      <w:i w:val="0"/>
                      <w:iCs w:val="0"/>
                      <w:color w:val="auto"/>
                      <w:kern w:val="0"/>
                      <w:sz w:val="21"/>
                      <w:szCs w:val="21"/>
                      <w:u w:val="none"/>
                      <w:lang w:val="en-US" w:eastAsia="zh-CN" w:bidi="ar"/>
                    </w:rPr>
                    <w:t>单次持续时间</w:t>
                  </w:r>
                </w:p>
              </w:tc>
              <w:tc>
                <w:tcPr>
                  <w:tcW w:w="2014" w:type="pct"/>
                  <w:gridSpan w:val="3"/>
                  <w:tcBorders>
                    <w:tl2br w:val="nil"/>
                    <w:tr2bl w:val="nil"/>
                  </w:tcBorders>
                  <w:noWrap/>
                  <w:vAlign w:val="center"/>
                </w:tcPr>
                <w:p w14:paraId="3356F9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非正常工况</w:t>
                  </w:r>
                </w:p>
              </w:tc>
              <w:tc>
                <w:tcPr>
                  <w:tcW w:w="321" w:type="pct"/>
                  <w:vMerge w:val="restart"/>
                  <w:tcBorders>
                    <w:tl2br w:val="nil"/>
                    <w:tr2bl w:val="nil"/>
                  </w:tcBorders>
                  <w:noWrap/>
                  <w:vAlign w:val="center"/>
                </w:tcPr>
                <w:p w14:paraId="1DCFB2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auto"/>
                      <w:sz w:val="21"/>
                      <w:szCs w:val="21"/>
                      <w:u w:val="none"/>
                      <w:lang w:val="en-US" w:eastAsia="zh-CN"/>
                    </w:rPr>
                  </w:pPr>
                  <w:r>
                    <w:rPr>
                      <w:rFonts w:hint="default" w:ascii="Times New Roman" w:hAnsi="Times New Roman" w:eastAsia="宋体" w:cs="Times New Roman"/>
                      <w:b/>
                      <w:bCs/>
                      <w:i w:val="0"/>
                      <w:iCs w:val="0"/>
                      <w:color w:val="auto"/>
                      <w:sz w:val="21"/>
                      <w:szCs w:val="21"/>
                      <w:u w:val="none"/>
                      <w:lang w:val="en-US" w:eastAsia="zh-CN"/>
                    </w:rPr>
                    <w:t>频次</w:t>
                  </w:r>
                </w:p>
              </w:tc>
              <w:tc>
                <w:tcPr>
                  <w:tcW w:w="1087" w:type="pct"/>
                  <w:vMerge w:val="restart"/>
                  <w:tcBorders>
                    <w:tl2br w:val="nil"/>
                    <w:tr2bl w:val="nil"/>
                  </w:tcBorders>
                  <w:noWrap/>
                  <w:vAlign w:val="center"/>
                </w:tcPr>
                <w:p w14:paraId="6E1F71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auto"/>
                      <w:sz w:val="21"/>
                      <w:szCs w:val="21"/>
                      <w:u w:val="none"/>
                      <w:lang w:val="en-US" w:eastAsia="zh-CN"/>
                    </w:rPr>
                  </w:pPr>
                  <w:r>
                    <w:rPr>
                      <w:rFonts w:hint="default" w:ascii="Times New Roman" w:hAnsi="Times New Roman" w:eastAsia="宋体" w:cs="Times New Roman"/>
                      <w:b/>
                      <w:bCs/>
                      <w:i w:val="0"/>
                      <w:iCs w:val="0"/>
                      <w:color w:val="auto"/>
                      <w:sz w:val="21"/>
                      <w:szCs w:val="21"/>
                      <w:u w:val="none"/>
                      <w:lang w:val="en-US" w:eastAsia="zh-CN"/>
                    </w:rPr>
                    <w:t>治理措施</w:t>
                  </w:r>
                </w:p>
              </w:tc>
            </w:tr>
            <w:tr w14:paraId="31CE089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44" w:hRule="atLeast"/>
              </w:trPr>
              <w:tc>
                <w:tcPr>
                  <w:tcW w:w="402" w:type="pct"/>
                  <w:vMerge w:val="continue"/>
                  <w:tcBorders>
                    <w:tl2br w:val="nil"/>
                    <w:tr2bl w:val="nil"/>
                  </w:tcBorders>
                  <w:noWrap/>
                  <w:vAlign w:val="center"/>
                </w:tcPr>
                <w:p w14:paraId="06F636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auto"/>
                      <w:sz w:val="21"/>
                      <w:szCs w:val="21"/>
                      <w:u w:val="none"/>
                    </w:rPr>
                  </w:pPr>
                </w:p>
              </w:tc>
              <w:tc>
                <w:tcPr>
                  <w:tcW w:w="643" w:type="pct"/>
                  <w:vMerge w:val="continue"/>
                  <w:tcBorders>
                    <w:tl2br w:val="nil"/>
                    <w:tr2bl w:val="nil"/>
                  </w:tcBorders>
                  <w:noWrap/>
                  <w:vAlign w:val="center"/>
                </w:tcPr>
                <w:p w14:paraId="570278A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auto"/>
                      <w:sz w:val="21"/>
                      <w:szCs w:val="21"/>
                      <w:u w:val="none"/>
                    </w:rPr>
                  </w:pPr>
                </w:p>
              </w:tc>
              <w:tc>
                <w:tcPr>
                  <w:tcW w:w="530" w:type="pct"/>
                  <w:vMerge w:val="continue"/>
                  <w:tcBorders>
                    <w:tl2br w:val="nil"/>
                    <w:tr2bl w:val="nil"/>
                  </w:tcBorders>
                  <w:noWrap/>
                  <w:vAlign w:val="center"/>
                </w:tcPr>
                <w:p w14:paraId="38D7C89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auto"/>
                      <w:sz w:val="21"/>
                      <w:szCs w:val="21"/>
                      <w:u w:val="none"/>
                    </w:rPr>
                  </w:pPr>
                </w:p>
              </w:tc>
              <w:tc>
                <w:tcPr>
                  <w:tcW w:w="582" w:type="pct"/>
                  <w:tcBorders>
                    <w:tl2br w:val="nil"/>
                    <w:tr2bl w:val="nil"/>
                  </w:tcBorders>
                  <w:noWrap/>
                  <w:vAlign w:val="center"/>
                </w:tcPr>
                <w:p w14:paraId="6C0C76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排放量</w:t>
                  </w:r>
                </w:p>
              </w:tc>
              <w:tc>
                <w:tcPr>
                  <w:tcW w:w="687" w:type="pct"/>
                  <w:tcBorders>
                    <w:tl2br w:val="nil"/>
                    <w:tr2bl w:val="nil"/>
                  </w:tcBorders>
                  <w:noWrap/>
                  <w:vAlign w:val="center"/>
                </w:tcPr>
                <w:p w14:paraId="1DFD4D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bCs/>
                      <w:i w:val="0"/>
                      <w:iCs w:val="0"/>
                      <w:color w:val="auto"/>
                      <w:sz w:val="21"/>
                      <w:szCs w:val="21"/>
                      <w:u w:val="none"/>
                      <w:lang w:val="en-US" w:eastAsia="zh-CN"/>
                    </w:rPr>
                  </w:pPr>
                  <w:r>
                    <w:rPr>
                      <w:rFonts w:hint="default" w:ascii="Times New Roman" w:hAnsi="Times New Roman" w:cs="Times New Roman"/>
                      <w:b/>
                      <w:bCs/>
                      <w:i w:val="0"/>
                      <w:iCs w:val="0"/>
                      <w:color w:val="auto"/>
                      <w:sz w:val="21"/>
                      <w:szCs w:val="21"/>
                      <w:u w:val="none"/>
                      <w:lang w:val="en-US" w:eastAsia="zh-CN"/>
                    </w:rPr>
                    <w:t>排放浓度</w:t>
                  </w:r>
                </w:p>
              </w:tc>
              <w:tc>
                <w:tcPr>
                  <w:tcW w:w="744" w:type="pct"/>
                  <w:tcBorders>
                    <w:tl2br w:val="nil"/>
                    <w:tr2bl w:val="nil"/>
                  </w:tcBorders>
                  <w:noWrap/>
                  <w:vAlign w:val="center"/>
                </w:tcPr>
                <w:p w14:paraId="66C49B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lang w:val="en-US" w:eastAsia="zh-CN"/>
                    </w:rPr>
                  </w:pPr>
                  <w:r>
                    <w:rPr>
                      <w:rFonts w:hint="default" w:ascii="Times New Roman" w:hAnsi="Times New Roman" w:cs="Times New Roman"/>
                      <w:b/>
                      <w:bCs/>
                      <w:i w:val="0"/>
                      <w:iCs w:val="0"/>
                      <w:color w:val="auto"/>
                      <w:sz w:val="21"/>
                      <w:szCs w:val="21"/>
                      <w:u w:val="none"/>
                      <w:lang w:val="en-US" w:eastAsia="zh-CN"/>
                    </w:rPr>
                    <w:t>去除效率</w:t>
                  </w:r>
                </w:p>
              </w:tc>
              <w:tc>
                <w:tcPr>
                  <w:tcW w:w="321" w:type="pct"/>
                  <w:vMerge w:val="continue"/>
                  <w:tcBorders>
                    <w:tl2br w:val="nil"/>
                    <w:tr2bl w:val="nil"/>
                  </w:tcBorders>
                  <w:noWrap/>
                  <w:vAlign w:val="center"/>
                </w:tcPr>
                <w:p w14:paraId="186B5A4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auto"/>
                      <w:sz w:val="21"/>
                      <w:szCs w:val="21"/>
                      <w:u w:val="none"/>
                      <w:lang w:val="en-US" w:eastAsia="zh-CN"/>
                    </w:rPr>
                  </w:pPr>
                </w:p>
              </w:tc>
              <w:tc>
                <w:tcPr>
                  <w:tcW w:w="1087" w:type="pct"/>
                  <w:vMerge w:val="continue"/>
                  <w:tcBorders>
                    <w:tl2br w:val="nil"/>
                    <w:tr2bl w:val="nil"/>
                  </w:tcBorders>
                  <w:noWrap/>
                  <w:vAlign w:val="center"/>
                </w:tcPr>
                <w:p w14:paraId="57C8A11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bCs/>
                      <w:i w:val="0"/>
                      <w:iCs w:val="0"/>
                      <w:color w:val="auto"/>
                      <w:sz w:val="21"/>
                      <w:szCs w:val="21"/>
                      <w:u w:val="none"/>
                      <w:lang w:val="en-US" w:eastAsia="zh-CN"/>
                    </w:rPr>
                  </w:pPr>
                </w:p>
              </w:tc>
            </w:tr>
            <w:tr w14:paraId="4D8DA9C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02" w:type="pct"/>
                  <w:vMerge w:val="continue"/>
                  <w:tcBorders>
                    <w:tl2br w:val="nil"/>
                    <w:tr2bl w:val="nil"/>
                  </w:tcBorders>
                  <w:noWrap/>
                  <w:vAlign w:val="center"/>
                </w:tcPr>
                <w:p w14:paraId="2FC490B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21"/>
                      <w:szCs w:val="21"/>
                      <w:u w:val="none"/>
                    </w:rPr>
                  </w:pPr>
                </w:p>
              </w:tc>
              <w:tc>
                <w:tcPr>
                  <w:tcW w:w="643" w:type="pct"/>
                  <w:vMerge w:val="continue"/>
                  <w:tcBorders>
                    <w:tl2br w:val="nil"/>
                    <w:tr2bl w:val="nil"/>
                  </w:tcBorders>
                  <w:noWrap/>
                  <w:vAlign w:val="center"/>
                </w:tcPr>
                <w:p w14:paraId="055B52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21"/>
                      <w:szCs w:val="21"/>
                      <w:u w:val="none"/>
                    </w:rPr>
                  </w:pPr>
                </w:p>
              </w:tc>
              <w:tc>
                <w:tcPr>
                  <w:tcW w:w="530" w:type="pct"/>
                  <w:tcBorders>
                    <w:tl2br w:val="nil"/>
                    <w:tr2bl w:val="nil"/>
                  </w:tcBorders>
                  <w:noWrap/>
                  <w:vAlign w:val="center"/>
                </w:tcPr>
                <w:p w14:paraId="20045D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h</w:t>
                  </w:r>
                </w:p>
              </w:tc>
              <w:tc>
                <w:tcPr>
                  <w:tcW w:w="582" w:type="pct"/>
                  <w:tcBorders>
                    <w:tl2br w:val="nil"/>
                    <w:tr2bl w:val="nil"/>
                  </w:tcBorders>
                  <w:noWrap/>
                  <w:vAlign w:val="center"/>
                </w:tcPr>
                <w:p w14:paraId="6249B8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lang w:val="en-US" w:eastAsia="zh-CN"/>
                    </w:rPr>
                  </w:pPr>
                  <w:r>
                    <w:rPr>
                      <w:rFonts w:hint="default" w:ascii="Times New Roman" w:hAnsi="Times New Roman" w:eastAsia="宋体" w:cs="Times New Roman"/>
                      <w:b/>
                      <w:bCs/>
                      <w:i w:val="0"/>
                      <w:iCs w:val="0"/>
                      <w:color w:val="auto"/>
                      <w:sz w:val="21"/>
                      <w:szCs w:val="21"/>
                      <w:u w:val="none"/>
                      <w:lang w:val="en-US" w:eastAsia="zh-CN"/>
                    </w:rPr>
                    <w:t>kg</w:t>
                  </w:r>
                </w:p>
              </w:tc>
              <w:tc>
                <w:tcPr>
                  <w:tcW w:w="687" w:type="pct"/>
                  <w:tcBorders>
                    <w:tl2br w:val="nil"/>
                    <w:tr2bl w:val="nil"/>
                  </w:tcBorders>
                  <w:noWrap/>
                  <w:vAlign w:val="center"/>
                </w:tcPr>
                <w:p w14:paraId="4B6700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b/>
                      <w:bCs/>
                      <w:i w:val="0"/>
                      <w:iCs w:val="0"/>
                      <w:color w:val="auto"/>
                      <w:kern w:val="0"/>
                      <w:sz w:val="21"/>
                      <w:szCs w:val="21"/>
                      <w:u w:val="none"/>
                      <w:lang w:val="en-US" w:eastAsia="zh-CN" w:bidi="ar"/>
                    </w:rPr>
                  </w:pPr>
                  <w:r>
                    <w:rPr>
                      <w:rFonts w:hint="default" w:ascii="Times New Roman" w:hAnsi="Times New Roman" w:cs="Times New Roman"/>
                      <w:b/>
                      <w:bCs/>
                      <w:i w:val="0"/>
                      <w:iCs w:val="0"/>
                      <w:color w:val="auto"/>
                      <w:kern w:val="0"/>
                      <w:sz w:val="21"/>
                      <w:szCs w:val="21"/>
                      <w:u w:val="none"/>
                      <w:lang w:val="en-US" w:eastAsia="zh-CN" w:bidi="ar"/>
                    </w:rPr>
                    <w:t>mg/m</w:t>
                  </w:r>
                  <w:r>
                    <w:rPr>
                      <w:rFonts w:hint="default" w:ascii="Times New Roman" w:hAnsi="Times New Roman" w:cs="Times New Roman"/>
                      <w:b/>
                      <w:bCs/>
                      <w:i w:val="0"/>
                      <w:iCs w:val="0"/>
                      <w:color w:val="auto"/>
                      <w:kern w:val="0"/>
                      <w:sz w:val="21"/>
                      <w:szCs w:val="21"/>
                      <w:u w:val="none"/>
                      <w:vertAlign w:val="superscript"/>
                      <w:lang w:val="en-US" w:eastAsia="zh-CN" w:bidi="ar"/>
                    </w:rPr>
                    <w:t>3</w:t>
                  </w:r>
                </w:p>
              </w:tc>
              <w:tc>
                <w:tcPr>
                  <w:tcW w:w="744" w:type="pct"/>
                  <w:tcBorders>
                    <w:tl2br w:val="nil"/>
                    <w:tr2bl w:val="nil"/>
                  </w:tcBorders>
                  <w:noWrap/>
                  <w:vAlign w:val="center"/>
                </w:tcPr>
                <w:p w14:paraId="7D385EF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cs="Times New Roman"/>
                      <w:b/>
                      <w:bCs/>
                      <w:i w:val="0"/>
                      <w:iCs w:val="0"/>
                      <w:color w:val="auto"/>
                      <w:kern w:val="0"/>
                      <w:sz w:val="21"/>
                      <w:szCs w:val="21"/>
                      <w:u w:val="none"/>
                      <w:lang w:val="en-US" w:eastAsia="zh-CN" w:bidi="ar"/>
                    </w:rPr>
                    <w:t>%</w:t>
                  </w:r>
                </w:p>
              </w:tc>
              <w:tc>
                <w:tcPr>
                  <w:tcW w:w="321" w:type="pct"/>
                  <w:vMerge w:val="continue"/>
                  <w:tcBorders>
                    <w:tl2br w:val="nil"/>
                    <w:tr2bl w:val="nil"/>
                  </w:tcBorders>
                  <w:noWrap/>
                  <w:vAlign w:val="center"/>
                </w:tcPr>
                <w:p w14:paraId="48DDBB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21"/>
                      <w:szCs w:val="21"/>
                      <w:u w:val="none"/>
                    </w:rPr>
                  </w:pPr>
                </w:p>
              </w:tc>
              <w:tc>
                <w:tcPr>
                  <w:tcW w:w="1087" w:type="pct"/>
                  <w:vMerge w:val="continue"/>
                  <w:tcBorders>
                    <w:tl2br w:val="nil"/>
                    <w:tr2bl w:val="nil"/>
                  </w:tcBorders>
                  <w:noWrap/>
                  <w:vAlign w:val="center"/>
                </w:tcPr>
                <w:p w14:paraId="61E400B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b w:val="0"/>
                      <w:bCs w:val="0"/>
                      <w:i w:val="0"/>
                      <w:iCs w:val="0"/>
                      <w:color w:val="auto"/>
                      <w:sz w:val="21"/>
                      <w:szCs w:val="21"/>
                      <w:u w:val="none"/>
                    </w:rPr>
                  </w:pPr>
                </w:p>
              </w:tc>
            </w:tr>
            <w:tr w14:paraId="23A6D0A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64" w:hRule="atLeast"/>
              </w:trPr>
              <w:tc>
                <w:tcPr>
                  <w:tcW w:w="402" w:type="pct"/>
                  <w:vMerge w:val="restart"/>
                  <w:tcBorders>
                    <w:tl2br w:val="nil"/>
                    <w:tr2bl w:val="nil"/>
                  </w:tcBorders>
                  <w:shd w:val="clear" w:color="auto" w:fill="auto"/>
                  <w:noWrap w:val="0"/>
                  <w:vAlign w:val="center"/>
                </w:tcPr>
                <w:p w14:paraId="22D480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default" w:ascii="Times New Roman" w:hAnsi="Times New Roman" w:cs="Times New Roman"/>
                      <w:b w:val="0"/>
                      <w:bCs w:val="0"/>
                      <w:i w:val="0"/>
                      <w:iCs w:val="0"/>
                      <w:color w:val="auto"/>
                      <w:sz w:val="21"/>
                      <w:szCs w:val="21"/>
                      <w:u w:val="none"/>
                      <w:lang w:val="en-US" w:eastAsia="zh-CN"/>
                    </w:rPr>
                    <w:t>煤气燃烧</w:t>
                  </w:r>
                </w:p>
              </w:tc>
              <w:tc>
                <w:tcPr>
                  <w:tcW w:w="643" w:type="pct"/>
                  <w:tcBorders>
                    <w:tl2br w:val="nil"/>
                    <w:tr2bl w:val="nil"/>
                  </w:tcBorders>
                  <w:noWrap/>
                  <w:vAlign w:val="center"/>
                </w:tcPr>
                <w:p w14:paraId="2AFA8C3E">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default" w:ascii="Times New Roman" w:hAnsi="Times New Roman" w:eastAsia="宋体" w:cs="Times New Roman"/>
                      <w:i w:val="0"/>
                      <w:iCs w:val="0"/>
                      <w:color w:val="auto"/>
                      <w:kern w:val="0"/>
                      <w:sz w:val="20"/>
                      <w:szCs w:val="20"/>
                      <w:u w:val="none"/>
                      <w:lang w:val="en-US" w:eastAsia="zh-CN" w:bidi="ar"/>
                    </w:rPr>
                    <w:t>颗粒物</w:t>
                  </w:r>
                </w:p>
              </w:tc>
              <w:tc>
                <w:tcPr>
                  <w:tcW w:w="530" w:type="pct"/>
                  <w:tcBorders>
                    <w:tl2br w:val="nil"/>
                    <w:tr2bl w:val="nil"/>
                  </w:tcBorders>
                  <w:noWrap/>
                  <w:vAlign w:val="center"/>
                </w:tcPr>
                <w:p w14:paraId="14CA10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sz w:val="21"/>
                      <w:szCs w:val="21"/>
                      <w:u w:val="none"/>
                      <w:lang w:val="en-US" w:eastAsia="zh-CN"/>
                    </w:rPr>
                  </w:pPr>
                  <w:r>
                    <w:rPr>
                      <w:rFonts w:hint="default" w:ascii="Times New Roman" w:hAnsi="Times New Roman" w:cs="Times New Roman"/>
                      <w:b w:val="0"/>
                      <w:bCs w:val="0"/>
                      <w:i w:val="0"/>
                      <w:iCs w:val="0"/>
                      <w:color w:val="auto"/>
                      <w:sz w:val="21"/>
                      <w:szCs w:val="21"/>
                      <w:u w:val="none"/>
                      <w:lang w:val="en-US" w:eastAsia="zh-CN"/>
                    </w:rPr>
                    <w:t>1</w:t>
                  </w:r>
                </w:p>
              </w:tc>
              <w:tc>
                <w:tcPr>
                  <w:tcW w:w="582" w:type="pct"/>
                  <w:tcBorders>
                    <w:tl2br w:val="nil"/>
                    <w:tr2bl w:val="nil"/>
                  </w:tcBorders>
                  <w:noWrap/>
                  <w:vAlign w:val="center"/>
                </w:tcPr>
                <w:p w14:paraId="4EDD1367">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8.89</w:t>
                  </w:r>
                </w:p>
              </w:tc>
              <w:tc>
                <w:tcPr>
                  <w:tcW w:w="687" w:type="pct"/>
                  <w:tcBorders>
                    <w:tl2br w:val="nil"/>
                    <w:tr2bl w:val="nil"/>
                  </w:tcBorders>
                  <w:noWrap/>
                  <w:vAlign w:val="center"/>
                </w:tcPr>
                <w:p w14:paraId="581E72E3">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18.26</w:t>
                  </w:r>
                </w:p>
              </w:tc>
              <w:tc>
                <w:tcPr>
                  <w:tcW w:w="744" w:type="pct"/>
                  <w:tcBorders>
                    <w:tl2br w:val="nil"/>
                    <w:tr2bl w:val="nil"/>
                  </w:tcBorders>
                  <w:noWrap/>
                  <w:vAlign w:val="center"/>
                </w:tcPr>
                <w:p w14:paraId="3ED97F3B">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w:t>
                  </w:r>
                </w:p>
              </w:tc>
              <w:tc>
                <w:tcPr>
                  <w:tcW w:w="321" w:type="pct"/>
                  <w:vMerge w:val="restart"/>
                  <w:tcBorders>
                    <w:tl2br w:val="nil"/>
                    <w:tr2bl w:val="nil"/>
                  </w:tcBorders>
                  <w:noWrap/>
                  <w:vAlign w:val="center"/>
                </w:tcPr>
                <w:p w14:paraId="2F384A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cs="Times New Roman"/>
                      <w:color w:val="auto"/>
                      <w:sz w:val="21"/>
                      <w:szCs w:val="21"/>
                      <w:lang w:val="en-US" w:eastAsia="zh-CN"/>
                    </w:rPr>
                    <w:t>1次/年</w:t>
                  </w:r>
                </w:p>
              </w:tc>
              <w:tc>
                <w:tcPr>
                  <w:tcW w:w="1087" w:type="pct"/>
                  <w:vMerge w:val="restart"/>
                  <w:tcBorders>
                    <w:tl2br w:val="nil"/>
                    <w:tr2bl w:val="nil"/>
                  </w:tcBorders>
                  <w:noWrap/>
                  <w:vAlign w:val="center"/>
                </w:tcPr>
                <w:p w14:paraId="21F634E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r>
                    <w:rPr>
                      <w:rFonts w:hint="default" w:ascii="Times New Roman" w:hAnsi="Times New Roman" w:eastAsia="宋体" w:cs="Times New Roman"/>
                      <w:color w:val="auto"/>
                      <w:sz w:val="21"/>
                      <w:szCs w:val="21"/>
                    </w:rPr>
                    <w:t>加强日常废气治理设备检修和维护，并在事故状态下及时停产维修</w:t>
                  </w:r>
                </w:p>
              </w:tc>
            </w:tr>
            <w:tr w14:paraId="52F18DA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77" w:hRule="atLeast"/>
              </w:trPr>
              <w:tc>
                <w:tcPr>
                  <w:tcW w:w="402" w:type="pct"/>
                  <w:vMerge w:val="continue"/>
                  <w:tcBorders>
                    <w:tl2br w:val="nil"/>
                    <w:tr2bl w:val="nil"/>
                  </w:tcBorders>
                  <w:shd w:val="clear" w:color="auto" w:fill="auto"/>
                  <w:noWrap w:val="0"/>
                  <w:vAlign w:val="center"/>
                </w:tcPr>
                <w:p w14:paraId="1F6E65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snapToGrid w:val="0"/>
                      <w:color w:val="auto"/>
                      <w:kern w:val="0"/>
                      <w:sz w:val="21"/>
                      <w:szCs w:val="21"/>
                      <w:lang w:val="en-US" w:eastAsia="zh-CN" w:bidi="ar-SA"/>
                    </w:rPr>
                  </w:pPr>
                </w:p>
              </w:tc>
              <w:tc>
                <w:tcPr>
                  <w:tcW w:w="643" w:type="pct"/>
                  <w:tcBorders>
                    <w:tl2br w:val="nil"/>
                    <w:tr2bl w:val="nil"/>
                  </w:tcBorders>
                  <w:noWrap/>
                  <w:vAlign w:val="center"/>
                </w:tcPr>
                <w:p w14:paraId="2135FB1D">
                  <w:pPr>
                    <w:keepNext w:val="0"/>
                    <w:keepLines w:val="0"/>
                    <w:widowControl/>
                    <w:suppressLineNumbers w:val="0"/>
                    <w:jc w:val="center"/>
                    <w:textAlignment w:val="center"/>
                    <w:rPr>
                      <w:rFonts w:hint="default" w:ascii="Times New Roman" w:hAnsi="Times New Roman" w:cs="Times New Roman"/>
                      <w:b w:val="0"/>
                      <w:bCs w:val="0"/>
                      <w:i w:val="0"/>
                      <w:iCs w:val="0"/>
                      <w:color w:val="auto"/>
                      <w:sz w:val="21"/>
                      <w:szCs w:val="21"/>
                      <w:u w:val="none"/>
                      <w:lang w:val="en-US" w:eastAsia="zh-CN"/>
                    </w:rPr>
                  </w:pPr>
                  <w:r>
                    <w:rPr>
                      <w:rFonts w:hint="default" w:ascii="Times New Roman" w:hAnsi="Times New Roman" w:eastAsia="宋体" w:cs="Times New Roman"/>
                      <w:i w:val="0"/>
                      <w:iCs w:val="0"/>
                      <w:color w:val="auto"/>
                      <w:kern w:val="0"/>
                      <w:sz w:val="20"/>
                      <w:szCs w:val="20"/>
                      <w:u w:val="none"/>
                      <w:lang w:val="en-US" w:eastAsia="zh-CN" w:bidi="ar"/>
                    </w:rPr>
                    <w:t>氮氧化物</w:t>
                  </w:r>
                </w:p>
              </w:tc>
              <w:tc>
                <w:tcPr>
                  <w:tcW w:w="530" w:type="pct"/>
                  <w:tcBorders>
                    <w:tl2br w:val="nil"/>
                    <w:tr2bl w:val="nil"/>
                  </w:tcBorders>
                  <w:noWrap/>
                  <w:vAlign w:val="center"/>
                </w:tcPr>
                <w:p w14:paraId="0D58DD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cs="Times New Roman"/>
                      <w:b w:val="0"/>
                      <w:bCs w:val="0"/>
                      <w:i w:val="0"/>
                      <w:iCs w:val="0"/>
                      <w:color w:val="auto"/>
                      <w:kern w:val="0"/>
                      <w:sz w:val="21"/>
                      <w:szCs w:val="21"/>
                      <w:u w:val="none"/>
                      <w:lang w:val="en-US" w:eastAsia="zh-CN" w:bidi="ar"/>
                    </w:rPr>
                    <w:t>1</w:t>
                  </w:r>
                </w:p>
              </w:tc>
              <w:tc>
                <w:tcPr>
                  <w:tcW w:w="582" w:type="pct"/>
                  <w:tcBorders>
                    <w:tl2br w:val="nil"/>
                    <w:tr2bl w:val="nil"/>
                  </w:tcBorders>
                  <w:noWrap/>
                  <w:vAlign w:val="center"/>
                </w:tcPr>
                <w:p w14:paraId="7F2C08C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0"/>
                      <w:szCs w:val="20"/>
                      <w:u w:val="none"/>
                      <w:lang w:val="en-US" w:eastAsia="zh-CN" w:bidi="ar"/>
                    </w:rPr>
                    <w:t>48.67</w:t>
                  </w:r>
                </w:p>
              </w:tc>
              <w:tc>
                <w:tcPr>
                  <w:tcW w:w="687" w:type="pct"/>
                  <w:tcBorders>
                    <w:tl2br w:val="nil"/>
                    <w:tr2bl w:val="nil"/>
                  </w:tcBorders>
                  <w:noWrap/>
                  <w:vAlign w:val="center"/>
                </w:tcPr>
                <w:p w14:paraId="6577AE89">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0"/>
                      <w:szCs w:val="20"/>
                      <w:u w:val="none"/>
                      <w:lang w:val="en-US" w:eastAsia="zh-CN" w:bidi="ar"/>
                    </w:rPr>
                    <w:t>100</w:t>
                  </w:r>
                  <w:r>
                    <w:rPr>
                      <w:rFonts w:hint="default" w:ascii="Times New Roman" w:hAnsi="Times New Roman" w:eastAsia="宋体" w:cs="Times New Roman"/>
                      <w:i w:val="0"/>
                      <w:iCs w:val="0"/>
                      <w:color w:val="auto"/>
                      <w:kern w:val="0"/>
                      <w:sz w:val="20"/>
                      <w:szCs w:val="20"/>
                      <w:u w:val="none"/>
                      <w:lang w:val="en-US" w:eastAsia="zh-CN" w:bidi="ar"/>
                    </w:rPr>
                    <w:t>.00</w:t>
                  </w:r>
                </w:p>
              </w:tc>
              <w:tc>
                <w:tcPr>
                  <w:tcW w:w="744" w:type="pct"/>
                  <w:tcBorders>
                    <w:tl2br w:val="nil"/>
                    <w:tr2bl w:val="nil"/>
                  </w:tcBorders>
                  <w:noWrap/>
                  <w:vAlign w:val="center"/>
                </w:tcPr>
                <w:p w14:paraId="7123D6B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0</w:t>
                  </w:r>
                </w:p>
              </w:tc>
              <w:tc>
                <w:tcPr>
                  <w:tcW w:w="321" w:type="pct"/>
                  <w:vMerge w:val="continue"/>
                  <w:tcBorders>
                    <w:tl2br w:val="nil"/>
                    <w:tr2bl w:val="nil"/>
                  </w:tcBorders>
                  <w:noWrap/>
                  <w:vAlign w:val="center"/>
                </w:tcPr>
                <w:p w14:paraId="132157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p>
              </w:tc>
              <w:tc>
                <w:tcPr>
                  <w:tcW w:w="1087" w:type="pct"/>
                  <w:vMerge w:val="continue"/>
                  <w:tcBorders>
                    <w:tl2br w:val="nil"/>
                    <w:tr2bl w:val="nil"/>
                  </w:tcBorders>
                  <w:noWrap/>
                  <w:vAlign w:val="center"/>
                </w:tcPr>
                <w:p w14:paraId="3520F99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rPr>
                  </w:pPr>
                </w:p>
              </w:tc>
            </w:tr>
            <w:tr w14:paraId="4E900C1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402" w:type="pct"/>
                  <w:vMerge w:val="continue"/>
                  <w:tcBorders>
                    <w:tl2br w:val="nil"/>
                    <w:tr2bl w:val="nil"/>
                  </w:tcBorders>
                  <w:shd w:val="clear" w:color="auto" w:fill="auto"/>
                  <w:noWrap w:val="0"/>
                  <w:vAlign w:val="center"/>
                </w:tcPr>
                <w:p w14:paraId="64A418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snapToGrid w:val="0"/>
                      <w:color w:val="auto"/>
                      <w:kern w:val="0"/>
                      <w:sz w:val="21"/>
                      <w:szCs w:val="21"/>
                      <w:lang w:val="en-US" w:eastAsia="zh-CN" w:bidi="ar-SA"/>
                    </w:rPr>
                  </w:pPr>
                </w:p>
              </w:tc>
              <w:tc>
                <w:tcPr>
                  <w:tcW w:w="643" w:type="pct"/>
                  <w:tcBorders>
                    <w:tl2br w:val="nil"/>
                    <w:tr2bl w:val="nil"/>
                  </w:tcBorders>
                  <w:noWrap/>
                  <w:vAlign w:val="center"/>
                </w:tcPr>
                <w:p w14:paraId="52683599">
                  <w:pPr>
                    <w:keepNext w:val="0"/>
                    <w:keepLines w:val="0"/>
                    <w:widowControl/>
                    <w:suppressLineNumbers w:val="0"/>
                    <w:jc w:val="center"/>
                    <w:textAlignment w:val="center"/>
                    <w:rPr>
                      <w:rFonts w:hint="default" w:ascii="Times New Roman" w:hAnsi="Times New Roman" w:cs="Times New Roman"/>
                      <w:b w:val="0"/>
                      <w:bCs w:val="0"/>
                      <w:i w:val="0"/>
                      <w:iCs w:val="0"/>
                      <w:color w:val="auto"/>
                      <w:sz w:val="21"/>
                      <w:szCs w:val="21"/>
                      <w:u w:val="none"/>
                      <w:lang w:val="en-US" w:eastAsia="zh-CN"/>
                    </w:rPr>
                  </w:pPr>
                  <w:r>
                    <w:rPr>
                      <w:rFonts w:hint="default" w:ascii="Times New Roman" w:hAnsi="Times New Roman" w:eastAsia="宋体" w:cs="Times New Roman"/>
                      <w:i w:val="0"/>
                      <w:iCs w:val="0"/>
                      <w:color w:val="auto"/>
                      <w:kern w:val="0"/>
                      <w:sz w:val="20"/>
                      <w:szCs w:val="20"/>
                      <w:u w:val="none"/>
                      <w:lang w:val="en-US" w:eastAsia="zh-CN" w:bidi="ar"/>
                    </w:rPr>
                    <w:t>二氧化硫</w:t>
                  </w:r>
                </w:p>
              </w:tc>
              <w:tc>
                <w:tcPr>
                  <w:tcW w:w="530" w:type="pct"/>
                  <w:tcBorders>
                    <w:tl2br w:val="nil"/>
                    <w:tr2bl w:val="nil"/>
                  </w:tcBorders>
                  <w:noWrap/>
                  <w:vAlign w:val="center"/>
                </w:tcPr>
                <w:p w14:paraId="685411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auto"/>
                      <w:kern w:val="0"/>
                      <w:sz w:val="21"/>
                      <w:szCs w:val="21"/>
                      <w:u w:val="none"/>
                      <w:lang w:val="en-US" w:eastAsia="zh-CN" w:bidi="ar"/>
                    </w:rPr>
                  </w:pPr>
                  <w:r>
                    <w:rPr>
                      <w:rFonts w:hint="default" w:ascii="Times New Roman" w:hAnsi="Times New Roman" w:cs="Times New Roman"/>
                      <w:b w:val="0"/>
                      <w:bCs w:val="0"/>
                      <w:i w:val="0"/>
                      <w:iCs w:val="0"/>
                      <w:color w:val="auto"/>
                      <w:kern w:val="0"/>
                      <w:sz w:val="21"/>
                      <w:szCs w:val="21"/>
                      <w:u w:val="none"/>
                      <w:lang w:val="en-US" w:eastAsia="zh-CN" w:bidi="ar"/>
                    </w:rPr>
                    <w:t>1</w:t>
                  </w:r>
                </w:p>
              </w:tc>
              <w:tc>
                <w:tcPr>
                  <w:tcW w:w="582" w:type="pct"/>
                  <w:tcBorders>
                    <w:tl2br w:val="nil"/>
                    <w:tr2bl w:val="nil"/>
                  </w:tcBorders>
                  <w:noWrap/>
                  <w:vAlign w:val="center"/>
                </w:tcPr>
                <w:p w14:paraId="1A14038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83.10</w:t>
                  </w:r>
                </w:p>
              </w:tc>
              <w:tc>
                <w:tcPr>
                  <w:tcW w:w="687" w:type="pct"/>
                  <w:tcBorders>
                    <w:tl2br w:val="nil"/>
                    <w:tr2bl w:val="nil"/>
                  </w:tcBorders>
                  <w:noWrap/>
                  <w:vAlign w:val="center"/>
                </w:tcPr>
                <w:p w14:paraId="5E319F1D">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0"/>
                      <w:szCs w:val="20"/>
                      <w:u w:val="none"/>
                      <w:lang w:val="en-US" w:eastAsia="zh-CN" w:bidi="ar"/>
                    </w:rPr>
                    <w:t>170.73</w:t>
                  </w:r>
                </w:p>
              </w:tc>
              <w:tc>
                <w:tcPr>
                  <w:tcW w:w="744" w:type="pct"/>
                  <w:tcBorders>
                    <w:tl2br w:val="nil"/>
                    <w:tr2bl w:val="nil"/>
                  </w:tcBorders>
                  <w:noWrap/>
                  <w:vAlign w:val="center"/>
                </w:tcPr>
                <w:p w14:paraId="224ED3A5">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0</w:t>
                  </w:r>
                </w:p>
              </w:tc>
              <w:tc>
                <w:tcPr>
                  <w:tcW w:w="321" w:type="pct"/>
                  <w:vMerge w:val="continue"/>
                  <w:tcBorders>
                    <w:tl2br w:val="nil"/>
                    <w:tr2bl w:val="nil"/>
                  </w:tcBorders>
                  <w:noWrap/>
                  <w:vAlign w:val="center"/>
                </w:tcPr>
                <w:p w14:paraId="3EAB6A9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cs="Times New Roman"/>
                      <w:color w:val="auto"/>
                      <w:sz w:val="21"/>
                      <w:szCs w:val="21"/>
                      <w:lang w:val="en-US" w:eastAsia="zh-CN"/>
                    </w:rPr>
                  </w:pPr>
                </w:p>
              </w:tc>
              <w:tc>
                <w:tcPr>
                  <w:tcW w:w="1087" w:type="pct"/>
                  <w:vMerge w:val="continue"/>
                  <w:tcBorders>
                    <w:tl2br w:val="nil"/>
                    <w:tr2bl w:val="nil"/>
                  </w:tcBorders>
                  <w:noWrap/>
                  <w:vAlign w:val="center"/>
                </w:tcPr>
                <w:p w14:paraId="5CDBCD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color w:val="auto"/>
                      <w:sz w:val="21"/>
                      <w:szCs w:val="21"/>
                    </w:rPr>
                  </w:pPr>
                </w:p>
              </w:tc>
            </w:tr>
          </w:tbl>
          <w:p w14:paraId="2C718A3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color w:val="auto"/>
                <w:sz w:val="24"/>
                <w:szCs w:val="24"/>
              </w:rPr>
              <w:t>本项目非正常工况下</w:t>
            </w:r>
            <w:r>
              <w:rPr>
                <w:rFonts w:hint="default" w:ascii="Times New Roman" w:hAnsi="Times New Roman" w:cs="Times New Roman"/>
                <w:color w:val="auto"/>
                <w:sz w:val="24"/>
                <w:szCs w:val="24"/>
                <w:lang w:val="en-US" w:eastAsia="zh-CN"/>
              </w:rPr>
              <w:t>去除效率不能满足</w:t>
            </w:r>
            <w:r>
              <w:rPr>
                <w:rFonts w:hint="default" w:ascii="Times New Roman" w:hAnsi="Times New Roman" w:eastAsia="宋体" w:cs="Times New Roman"/>
                <w:snapToGrid w:val="0"/>
                <w:color w:val="auto"/>
                <w:kern w:val="0"/>
                <w:sz w:val="24"/>
                <w:szCs w:val="24"/>
                <w:highlight w:val="none"/>
                <w:lang w:val="en-US" w:eastAsia="zh-CN" w:bidi="ar-SA"/>
              </w:rPr>
              <w:t>《火电厂大气污染物排放标准》（GB13223-2011）</w:t>
            </w:r>
            <w:r>
              <w:rPr>
                <w:rFonts w:hint="default" w:ascii="Times New Roman" w:hAnsi="Times New Roman" w:cs="Times New Roman"/>
                <w:snapToGrid w:val="0"/>
                <w:color w:val="auto"/>
                <w:kern w:val="0"/>
                <w:sz w:val="24"/>
                <w:szCs w:val="24"/>
                <w:highlight w:val="none"/>
                <w:lang w:val="en-US" w:eastAsia="zh-CN" w:bidi="ar-SA"/>
              </w:rPr>
              <w:t>表2大气污染物特别排放限值</w:t>
            </w:r>
            <w:r>
              <w:rPr>
                <w:rFonts w:hint="default" w:ascii="Times New Roman" w:hAnsi="Times New Roman" w:eastAsia="宋体" w:cs="Times New Roman"/>
                <w:snapToGrid w:val="0"/>
                <w:color w:val="auto"/>
                <w:kern w:val="0"/>
                <w:sz w:val="24"/>
                <w:szCs w:val="24"/>
                <w:highlight w:val="none"/>
                <w:lang w:val="en-US" w:eastAsia="zh-CN" w:bidi="ar-SA"/>
              </w:rPr>
              <w:t>要求</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颗粒物</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mg/m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vertAlign w:val="baseline"/>
                <w:lang w:val="en-US" w:eastAsia="zh-CN"/>
              </w:rPr>
              <w:t>；二氧化硫：</w:t>
            </w:r>
            <w:r>
              <w:rPr>
                <w:rFonts w:hint="default" w:ascii="Times New Roman" w:hAnsi="Times New Roman" w:cs="Times New Roman"/>
                <w:color w:val="auto"/>
                <w:sz w:val="24"/>
                <w:szCs w:val="24"/>
                <w:highlight w:val="none"/>
                <w:vertAlign w:val="baseline"/>
                <w:lang w:val="en-US" w:eastAsia="zh-CN"/>
              </w:rPr>
              <w:t>35</w:t>
            </w:r>
            <w:r>
              <w:rPr>
                <w:rFonts w:hint="default" w:ascii="Times New Roman" w:hAnsi="Times New Roman" w:eastAsia="宋体" w:cs="Times New Roman"/>
                <w:color w:val="auto"/>
                <w:sz w:val="24"/>
                <w:szCs w:val="24"/>
                <w:highlight w:val="none"/>
                <w:lang w:val="en-US" w:eastAsia="zh-CN"/>
              </w:rPr>
              <w:t>mg/m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vertAlign w:val="baseline"/>
                <w:lang w:val="en-US" w:eastAsia="zh-CN"/>
              </w:rPr>
              <w:t>；</w:t>
            </w:r>
            <w:r>
              <w:rPr>
                <w:rFonts w:hint="default" w:ascii="Times New Roman" w:hAnsi="Times New Roman" w:eastAsia="宋体" w:cs="Times New Roman"/>
                <w:color w:val="auto"/>
                <w:kern w:val="0"/>
                <w:sz w:val="24"/>
                <w:szCs w:val="24"/>
                <w:highlight w:val="none"/>
                <w:lang w:val="en-US" w:eastAsia="zh-CN" w:bidi="ar"/>
              </w:rPr>
              <w:t>林格</w:t>
            </w:r>
            <w:r>
              <w:rPr>
                <w:rFonts w:hint="default" w:ascii="Times New Roman" w:hAnsi="Times New Roman" w:eastAsia="宋体" w:cs="Times New Roman"/>
                <w:b w:val="0"/>
                <w:bCs/>
                <w:snapToGrid w:val="0"/>
                <w:color w:val="auto"/>
                <w:kern w:val="0"/>
                <w:sz w:val="24"/>
                <w:szCs w:val="24"/>
                <w:highlight w:val="none"/>
                <w:vertAlign w:val="baseline"/>
                <w:lang w:val="en-US" w:eastAsia="zh-CN"/>
              </w:rPr>
              <w:t>曼黑度≤1）</w:t>
            </w:r>
            <w:r>
              <w:rPr>
                <w:rFonts w:hint="default" w:ascii="Times New Roman" w:hAnsi="Times New Roman" w:cs="Times New Roman"/>
                <w:b w:val="0"/>
                <w:bCs/>
                <w:snapToGrid w:val="0"/>
                <w:color w:val="auto"/>
                <w:kern w:val="0"/>
                <w:sz w:val="24"/>
                <w:szCs w:val="24"/>
                <w:highlight w:val="none"/>
                <w:vertAlign w:val="baseline"/>
                <w:lang w:val="en-US" w:eastAsia="zh-CN"/>
              </w:rPr>
              <w:t>和</w:t>
            </w:r>
            <w:r>
              <w:rPr>
                <w:rFonts w:hint="default" w:ascii="Times New Roman" w:hAnsi="Times New Roman" w:cs="Times New Roman"/>
                <w:snapToGrid w:val="0"/>
                <w:color w:val="auto"/>
                <w:kern w:val="0"/>
                <w:sz w:val="24"/>
                <w:szCs w:val="24"/>
                <w:highlight w:val="none"/>
                <w:lang w:val="en-US" w:eastAsia="zh-CN" w:bidi="ar-SA"/>
              </w:rPr>
              <w:t>《关于印发〈全面实施燃煤电厂超低排放和节能改造工作方案〉的通知》（环发〔2015〕164号）</w:t>
            </w:r>
            <w:r>
              <w:rPr>
                <w:rFonts w:hint="default" w:ascii="Times New Roman" w:hAnsi="Times New Roman" w:eastAsia="宋体" w:cs="Times New Roman"/>
                <w:color w:val="auto"/>
                <w:sz w:val="24"/>
                <w:szCs w:val="24"/>
                <w:highlight w:val="none"/>
                <w:lang w:val="en-US" w:eastAsia="zh-CN"/>
              </w:rPr>
              <w:t>（氮氧化物：50mg/m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rPr>
              <w:t>对周边环境有较大影响。因此，企业应加强日常管理防止此类事故的发生，建议企业对环保设施与生产设备实行联动，即当环保设施发生故障或达不到预期效果时应立即停止生产，待</w:t>
            </w:r>
            <w:r>
              <w:rPr>
                <w:rFonts w:hint="default" w:ascii="Times New Roman" w:hAnsi="Times New Roman" w:cs="Times New Roman"/>
                <w:color w:val="auto"/>
                <w:sz w:val="24"/>
                <w:szCs w:val="24"/>
                <w:lang w:val="en-US" w:eastAsia="zh-CN"/>
              </w:rPr>
              <w:t>废气</w:t>
            </w:r>
            <w:r>
              <w:rPr>
                <w:rFonts w:hint="default" w:ascii="Times New Roman" w:hAnsi="Times New Roman" w:eastAsia="宋体" w:cs="Times New Roman"/>
                <w:color w:val="auto"/>
                <w:sz w:val="24"/>
                <w:szCs w:val="24"/>
              </w:rPr>
              <w:t>处理装置正常运转后，再恢复生产。另外应加强对环保设施的日常管理，当发现处理设施出现异常情况时应及时采取应急处理措施，确保在半小时内解决故障，避免对环境造成持续性影响。</w:t>
            </w:r>
          </w:p>
          <w:p w14:paraId="3AF4758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2</w:t>
            </w:r>
            <w:r>
              <w:rPr>
                <w:rFonts w:hint="default" w:ascii="Times New Roman" w:hAnsi="Times New Roman" w:eastAsia="宋体" w:cs="Times New Roman"/>
                <w:b/>
                <w:bCs/>
                <w:color w:val="auto"/>
                <w:sz w:val="24"/>
                <w:szCs w:val="24"/>
              </w:rPr>
              <w:t>.</w:t>
            </w:r>
            <w:r>
              <w:rPr>
                <w:rFonts w:hint="default" w:ascii="Times New Roman" w:hAnsi="Times New Roman" w:cs="Times New Roman"/>
                <w:b/>
                <w:bCs/>
                <w:color w:val="auto"/>
                <w:sz w:val="24"/>
                <w:szCs w:val="24"/>
                <w:lang w:val="en-US" w:eastAsia="zh-CN"/>
              </w:rPr>
              <w:t>1.4</w:t>
            </w:r>
            <w:r>
              <w:rPr>
                <w:rFonts w:hint="default" w:ascii="Times New Roman" w:hAnsi="Times New Roman" w:eastAsia="宋体" w:cs="Times New Roman"/>
                <w:b/>
                <w:bCs/>
                <w:color w:val="auto"/>
                <w:sz w:val="24"/>
                <w:szCs w:val="24"/>
                <w:lang w:val="en-US" w:eastAsia="zh-CN"/>
              </w:rPr>
              <w:t>废气监测要求</w:t>
            </w:r>
          </w:p>
          <w:p w14:paraId="0CDBAA2F">
            <w:pPr>
              <w:keepNext w:val="0"/>
              <w:keepLines w:val="0"/>
              <w:pageBreakBefore w:val="0"/>
              <w:widowControl/>
              <w:kinsoku/>
              <w:wordWrap/>
              <w:overflowPunct/>
              <w:topLinePunct w:val="0"/>
              <w:autoSpaceDE/>
              <w:autoSpaceDN/>
              <w:bidi w:val="0"/>
              <w:adjustRightInd w:val="0"/>
              <w:snapToGrid w:val="0"/>
              <w:spacing w:line="360" w:lineRule="auto"/>
              <w:ind w:firstLine="440" w:firstLineChars="200"/>
              <w:textAlignment w:val="auto"/>
              <w:rPr>
                <w:rFonts w:hint="default" w:ascii="Times New Roman" w:hAnsi="Times New Roman" w:cs="Times New Roman"/>
                <w:b w:val="0"/>
                <w:bCs/>
                <w:color w:val="auto"/>
                <w:spacing w:val="-10"/>
                <w:sz w:val="24"/>
                <w:szCs w:val="24"/>
                <w:lang w:val="en-US" w:eastAsia="zh-CN"/>
              </w:rPr>
            </w:pPr>
            <w:r>
              <w:rPr>
                <w:rFonts w:hint="default" w:ascii="Times New Roman" w:hAnsi="Times New Roman" w:eastAsia="宋体" w:cs="Times New Roman"/>
                <w:b w:val="0"/>
                <w:bCs/>
                <w:color w:val="auto"/>
                <w:spacing w:val="-10"/>
                <w:sz w:val="24"/>
                <w:szCs w:val="24"/>
                <w:lang w:val="en-US" w:eastAsia="zh-CN"/>
              </w:rPr>
              <w:t>根据《排污单位自行监测技术指南火力发电及锅炉》（HJ</w:t>
            </w:r>
            <w:r>
              <w:rPr>
                <w:rFonts w:hint="default" w:ascii="Times New Roman" w:hAnsi="Times New Roman" w:cs="Times New Roman"/>
                <w:b w:val="0"/>
                <w:bCs/>
                <w:color w:val="auto"/>
                <w:spacing w:val="-10"/>
                <w:sz w:val="24"/>
                <w:szCs w:val="24"/>
                <w:lang w:val="en-US" w:eastAsia="zh-CN"/>
              </w:rPr>
              <w:t>820</w:t>
            </w:r>
            <w:r>
              <w:rPr>
                <w:rFonts w:hint="default" w:ascii="Times New Roman" w:hAnsi="Times New Roman" w:eastAsia="宋体" w:cs="Times New Roman"/>
                <w:b w:val="0"/>
                <w:bCs/>
                <w:color w:val="auto"/>
                <w:spacing w:val="-10"/>
                <w:sz w:val="24"/>
                <w:szCs w:val="24"/>
                <w:lang w:val="en-US" w:eastAsia="zh-CN"/>
              </w:rPr>
              <w:t>-201</w:t>
            </w:r>
            <w:r>
              <w:rPr>
                <w:rFonts w:hint="default" w:ascii="Times New Roman" w:hAnsi="Times New Roman" w:cs="Times New Roman"/>
                <w:b w:val="0"/>
                <w:bCs/>
                <w:color w:val="auto"/>
                <w:spacing w:val="-10"/>
                <w:sz w:val="24"/>
                <w:szCs w:val="24"/>
                <w:lang w:val="en-US" w:eastAsia="zh-CN"/>
              </w:rPr>
              <w:t>7</w:t>
            </w:r>
            <w:r>
              <w:rPr>
                <w:rFonts w:hint="default" w:ascii="Times New Roman" w:hAnsi="Times New Roman" w:eastAsia="宋体" w:cs="Times New Roman"/>
                <w:b w:val="0"/>
                <w:bCs/>
                <w:color w:val="auto"/>
                <w:spacing w:val="-10"/>
                <w:sz w:val="24"/>
                <w:szCs w:val="24"/>
                <w:lang w:val="en-US" w:eastAsia="zh-CN"/>
              </w:rPr>
              <w:t>）</w:t>
            </w:r>
            <w:r>
              <w:rPr>
                <w:rFonts w:hint="default" w:ascii="Times New Roman" w:hAnsi="Times New Roman" w:cs="Times New Roman"/>
                <w:b w:val="0"/>
                <w:bCs/>
                <w:color w:val="auto"/>
                <w:spacing w:val="-10"/>
                <w:sz w:val="24"/>
                <w:szCs w:val="24"/>
                <w:lang w:val="en-US" w:eastAsia="zh-CN"/>
              </w:rPr>
              <w:t>和项目工艺特点，</w:t>
            </w:r>
            <w:r>
              <w:rPr>
                <w:rFonts w:hint="default" w:ascii="Times New Roman" w:hAnsi="Times New Roman" w:eastAsia="宋体" w:cs="Times New Roman"/>
                <w:b w:val="0"/>
                <w:bCs/>
                <w:color w:val="auto"/>
                <w:spacing w:val="-10"/>
                <w:sz w:val="24"/>
                <w:szCs w:val="24"/>
                <w:lang w:val="en-US" w:eastAsia="zh-CN"/>
              </w:rPr>
              <w:t>本项目</w:t>
            </w:r>
            <w:r>
              <w:rPr>
                <w:rFonts w:hint="default" w:ascii="Times New Roman" w:hAnsi="Times New Roman" w:cs="Times New Roman"/>
                <w:b w:val="0"/>
                <w:bCs/>
                <w:color w:val="auto"/>
                <w:spacing w:val="-10"/>
                <w:sz w:val="24"/>
                <w:szCs w:val="24"/>
                <w:lang w:val="en-US" w:eastAsia="zh-CN"/>
              </w:rPr>
              <w:t>燃料为煤气，属于“其他气体燃料的锅炉或燃气轮机组参照以油为燃料</w:t>
            </w:r>
          </w:p>
          <w:p w14:paraId="655D676C">
            <w:pPr>
              <w:keepNext w:val="0"/>
              <w:keepLines w:val="0"/>
              <w:pageBreakBefore w:val="0"/>
              <w:widowControl/>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b w:val="0"/>
                <w:bCs/>
                <w:color w:val="auto"/>
                <w:spacing w:val="-10"/>
                <w:sz w:val="24"/>
                <w:szCs w:val="24"/>
                <w:lang w:val="en-US" w:eastAsia="zh-CN"/>
              </w:rPr>
            </w:pPr>
            <w:r>
              <w:rPr>
                <w:rFonts w:hint="default" w:ascii="Times New Roman" w:hAnsi="Times New Roman" w:cs="Times New Roman"/>
                <w:b w:val="0"/>
                <w:bCs/>
                <w:color w:val="auto"/>
                <w:spacing w:val="-10"/>
                <w:sz w:val="24"/>
                <w:szCs w:val="24"/>
                <w:lang w:val="en-US" w:eastAsia="zh-CN"/>
              </w:rPr>
              <w:t>的锅炉或燃气轮机组”，</w:t>
            </w:r>
            <w:r>
              <w:rPr>
                <w:rFonts w:hint="default" w:ascii="Times New Roman" w:hAnsi="Times New Roman" w:eastAsia="宋体" w:cs="Times New Roman"/>
                <w:b w:val="0"/>
                <w:bCs/>
                <w:color w:val="auto"/>
                <w:spacing w:val="-10"/>
                <w:sz w:val="24"/>
                <w:szCs w:val="24"/>
                <w:lang w:val="en-US" w:eastAsia="zh-CN"/>
              </w:rPr>
              <w:t>废气监测计划</w:t>
            </w:r>
            <w:r>
              <w:rPr>
                <w:rFonts w:hint="default" w:ascii="Times New Roman" w:hAnsi="Times New Roman" w:cs="Times New Roman"/>
                <w:b w:val="0"/>
                <w:bCs/>
                <w:color w:val="auto"/>
                <w:spacing w:val="-10"/>
                <w:sz w:val="24"/>
                <w:szCs w:val="24"/>
                <w:lang w:val="en-US" w:eastAsia="zh-CN"/>
              </w:rPr>
              <w:t>详</w:t>
            </w:r>
            <w:r>
              <w:rPr>
                <w:rFonts w:hint="default" w:ascii="Times New Roman" w:hAnsi="Times New Roman" w:eastAsia="宋体" w:cs="Times New Roman"/>
                <w:b w:val="0"/>
                <w:bCs/>
                <w:color w:val="auto"/>
                <w:spacing w:val="-10"/>
                <w:sz w:val="24"/>
                <w:szCs w:val="24"/>
                <w:lang w:val="en-US" w:eastAsia="zh-CN"/>
              </w:rPr>
              <w:t>见表4-</w:t>
            </w:r>
            <w:r>
              <w:rPr>
                <w:rFonts w:hint="default" w:ascii="Times New Roman" w:hAnsi="Times New Roman" w:cs="Times New Roman"/>
                <w:b w:val="0"/>
                <w:bCs/>
                <w:color w:val="auto"/>
                <w:spacing w:val="-10"/>
                <w:sz w:val="24"/>
                <w:szCs w:val="24"/>
                <w:lang w:val="en-US" w:eastAsia="zh-CN"/>
              </w:rPr>
              <w:t>7</w:t>
            </w:r>
            <w:r>
              <w:rPr>
                <w:rFonts w:hint="default" w:ascii="Times New Roman" w:hAnsi="Times New Roman" w:eastAsia="宋体" w:cs="Times New Roman"/>
                <w:b w:val="0"/>
                <w:bCs/>
                <w:color w:val="auto"/>
                <w:spacing w:val="-10"/>
                <w:sz w:val="24"/>
                <w:szCs w:val="24"/>
                <w:lang w:val="en-US" w:eastAsia="zh-CN"/>
              </w:rPr>
              <w:t>。</w:t>
            </w:r>
          </w:p>
          <w:p w14:paraId="61BA750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表4-</w:t>
            </w:r>
            <w:r>
              <w:rPr>
                <w:rFonts w:hint="default" w:ascii="Times New Roman" w:hAnsi="Times New Roman" w:cs="Times New Roman"/>
                <w:b/>
                <w:bCs/>
                <w:color w:val="auto"/>
                <w:kern w:val="2"/>
                <w:sz w:val="21"/>
                <w:szCs w:val="21"/>
                <w:highlight w:val="none"/>
                <w:lang w:val="en-US" w:eastAsia="zh-CN" w:bidi="ar-SA"/>
              </w:rPr>
              <w:t>7</w:t>
            </w:r>
            <w:r>
              <w:rPr>
                <w:rFonts w:hint="default" w:ascii="Times New Roman" w:hAnsi="Times New Roman" w:eastAsia="宋体" w:cs="Times New Roman"/>
                <w:b/>
                <w:bCs/>
                <w:color w:val="auto"/>
                <w:kern w:val="2"/>
                <w:sz w:val="21"/>
                <w:szCs w:val="21"/>
                <w:highlight w:val="none"/>
                <w:lang w:val="en-US" w:eastAsia="zh-CN" w:bidi="ar-SA"/>
              </w:rPr>
              <w:t>废气监测计划一览表</w:t>
            </w:r>
          </w:p>
          <w:tbl>
            <w:tblPr>
              <w:tblStyle w:val="32"/>
              <w:tblW w:w="803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85" w:type="dxa"/>
                <w:bottom w:w="0" w:type="dxa"/>
                <w:right w:w="85" w:type="dxa"/>
              </w:tblCellMar>
            </w:tblPr>
            <w:tblGrid>
              <w:gridCol w:w="500"/>
              <w:gridCol w:w="664"/>
              <w:gridCol w:w="1059"/>
              <w:gridCol w:w="713"/>
              <w:gridCol w:w="5102"/>
            </w:tblGrid>
            <w:tr w14:paraId="399EB1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85" w:type="dxa"/>
                  <w:bottom w:w="0" w:type="dxa"/>
                  <w:right w:w="85" w:type="dxa"/>
                </w:tblCellMar>
              </w:tblPrEx>
              <w:trPr>
                <w:trHeight w:val="603" w:hRule="atLeast"/>
                <w:jc w:val="center"/>
              </w:trPr>
              <w:tc>
                <w:tcPr>
                  <w:tcW w:w="311" w:type="pct"/>
                  <w:tcBorders>
                    <w:tl2br w:val="nil"/>
                    <w:tr2bl w:val="nil"/>
                  </w:tcBorders>
                  <w:noWrap w:val="0"/>
                  <w:vAlign w:val="center"/>
                </w:tcPr>
                <w:p w14:paraId="1B781EBD">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排放形式</w:t>
                  </w:r>
                </w:p>
              </w:tc>
              <w:tc>
                <w:tcPr>
                  <w:tcW w:w="413" w:type="pct"/>
                  <w:tcBorders>
                    <w:tl2br w:val="nil"/>
                    <w:tr2bl w:val="nil"/>
                  </w:tcBorders>
                  <w:noWrap w:val="0"/>
                  <w:vAlign w:val="center"/>
                </w:tcPr>
                <w:p w14:paraId="0E6FB775">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监测位置</w:t>
                  </w:r>
                </w:p>
              </w:tc>
              <w:tc>
                <w:tcPr>
                  <w:tcW w:w="658" w:type="pct"/>
                  <w:tcBorders>
                    <w:tl2br w:val="nil"/>
                    <w:tr2bl w:val="nil"/>
                  </w:tcBorders>
                  <w:noWrap w:val="0"/>
                  <w:vAlign w:val="center"/>
                </w:tcPr>
                <w:p w14:paraId="31875761">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监测</w:t>
                  </w:r>
                  <w:r>
                    <w:rPr>
                      <w:rFonts w:hint="default" w:ascii="Times New Roman" w:hAnsi="Times New Roman" w:eastAsia="宋体" w:cs="Times New Roman"/>
                      <w:b/>
                      <w:bCs/>
                      <w:color w:val="auto"/>
                      <w:sz w:val="21"/>
                      <w:szCs w:val="21"/>
                      <w:lang w:val="en-US" w:eastAsia="zh-CN"/>
                    </w:rPr>
                    <w:t>项目</w:t>
                  </w:r>
                </w:p>
              </w:tc>
              <w:tc>
                <w:tcPr>
                  <w:tcW w:w="443" w:type="pct"/>
                  <w:tcBorders>
                    <w:tl2br w:val="nil"/>
                    <w:tr2bl w:val="nil"/>
                  </w:tcBorders>
                  <w:noWrap w:val="0"/>
                  <w:vAlign w:val="center"/>
                </w:tcPr>
                <w:p w14:paraId="6BAD3773">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监测频次</w:t>
                  </w:r>
                </w:p>
              </w:tc>
              <w:tc>
                <w:tcPr>
                  <w:tcW w:w="3173" w:type="pct"/>
                  <w:tcBorders>
                    <w:tl2br w:val="nil"/>
                    <w:tr2bl w:val="nil"/>
                  </w:tcBorders>
                  <w:noWrap w:val="0"/>
                  <w:vAlign w:val="center"/>
                </w:tcPr>
                <w:p w14:paraId="523F10F6">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b/>
                      <w:bCs/>
                      <w:color w:val="auto"/>
                      <w:sz w:val="21"/>
                      <w:szCs w:val="21"/>
                      <w:lang w:eastAsia="zh-CN"/>
                    </w:rPr>
                    <w:t>执行标准</w:t>
                  </w:r>
                </w:p>
              </w:tc>
            </w:tr>
            <w:tr w14:paraId="6EABD5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85" w:type="dxa"/>
                  <w:bottom w:w="0" w:type="dxa"/>
                  <w:right w:w="85" w:type="dxa"/>
                </w:tblCellMar>
              </w:tblPrEx>
              <w:trPr>
                <w:trHeight w:val="821" w:hRule="atLeast"/>
                <w:jc w:val="center"/>
              </w:trPr>
              <w:tc>
                <w:tcPr>
                  <w:tcW w:w="311" w:type="pct"/>
                  <w:vMerge w:val="restart"/>
                  <w:tcBorders>
                    <w:tl2br w:val="nil"/>
                    <w:tr2bl w:val="nil"/>
                  </w:tcBorders>
                  <w:noWrap w:val="0"/>
                  <w:vAlign w:val="center"/>
                </w:tcPr>
                <w:p w14:paraId="14CFF8CC">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有组织</w:t>
                  </w:r>
                </w:p>
              </w:tc>
              <w:tc>
                <w:tcPr>
                  <w:tcW w:w="413" w:type="pct"/>
                  <w:vMerge w:val="restart"/>
                  <w:tcBorders>
                    <w:tl2br w:val="nil"/>
                    <w:tr2bl w:val="nil"/>
                  </w:tcBorders>
                  <w:noWrap w:val="0"/>
                  <w:vAlign w:val="center"/>
                </w:tcPr>
                <w:p w14:paraId="6775EF4E">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锅炉排气筒（DA001）</w:t>
                  </w:r>
                </w:p>
              </w:tc>
              <w:tc>
                <w:tcPr>
                  <w:tcW w:w="658" w:type="pct"/>
                  <w:tcBorders>
                    <w:tl2br w:val="nil"/>
                    <w:tr2bl w:val="nil"/>
                  </w:tcBorders>
                  <w:noWrap w:val="0"/>
                  <w:vAlign w:val="center"/>
                </w:tcPr>
                <w:p w14:paraId="4525F2B2">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颗粒物、二氧化硫</w:t>
                  </w:r>
                </w:p>
              </w:tc>
              <w:tc>
                <w:tcPr>
                  <w:tcW w:w="443" w:type="pct"/>
                  <w:vMerge w:val="restart"/>
                  <w:tcBorders>
                    <w:tl2br w:val="nil"/>
                    <w:tr2bl w:val="nil"/>
                  </w:tcBorders>
                  <w:noWrap w:val="0"/>
                  <w:vAlign w:val="center"/>
                </w:tcPr>
                <w:p w14:paraId="1C1947A6">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自动监测</w:t>
                  </w:r>
                </w:p>
              </w:tc>
              <w:tc>
                <w:tcPr>
                  <w:tcW w:w="3173" w:type="pct"/>
                  <w:tcBorders>
                    <w:tl2br w:val="nil"/>
                    <w:tr2bl w:val="nil"/>
                  </w:tcBorders>
                  <w:noWrap w:val="0"/>
                  <w:vAlign w:val="center"/>
                </w:tcPr>
                <w:p w14:paraId="041C940E">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cs="Times New Roman"/>
                      <w:color w:val="auto"/>
                      <w:kern w:val="2"/>
                      <w:sz w:val="21"/>
                      <w:szCs w:val="21"/>
                      <w:lang w:val="en-US" w:eastAsia="zh-CN" w:bidi="ar-SA"/>
                    </w:rPr>
                  </w:pPr>
                  <w:r>
                    <w:rPr>
                      <w:rFonts w:hint="default" w:ascii="Times New Roman" w:hAnsi="Times New Roman" w:eastAsia="宋体" w:cs="Times New Roman"/>
                      <w:color w:val="auto"/>
                      <w:spacing w:val="0"/>
                      <w:position w:val="0"/>
                      <w:sz w:val="21"/>
                      <w:szCs w:val="21"/>
                      <w:highlight w:val="none"/>
                      <w:lang w:val="en-US" w:eastAsia="zh-CN"/>
                    </w:rPr>
                    <w:t>《火电厂大气污染物排放标准》（GB13223-2011）</w:t>
                  </w:r>
                  <w:r>
                    <w:rPr>
                      <w:rFonts w:hint="default" w:ascii="Times New Roman" w:hAnsi="Times New Roman" w:cs="Times New Roman"/>
                      <w:color w:val="auto"/>
                      <w:spacing w:val="0"/>
                      <w:position w:val="0"/>
                      <w:sz w:val="21"/>
                      <w:szCs w:val="21"/>
                      <w:highlight w:val="none"/>
                      <w:lang w:val="en-US" w:eastAsia="zh-CN"/>
                    </w:rPr>
                    <w:t>表2大气污染物特别排放限值</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颗粒物</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lang w:val="en-US" w:eastAsia="zh-CN"/>
                    </w:rPr>
                    <w:t>mg/m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vertAlign w:val="baseline"/>
                      <w:lang w:val="en-US" w:eastAsia="zh-CN"/>
                    </w:rPr>
                    <w:t>；二氧化硫</w:t>
                  </w:r>
                  <w:r>
                    <w:rPr>
                      <w:rFonts w:hint="default" w:ascii="Times New Roman" w:hAnsi="Times New Roman" w:cs="Times New Roman"/>
                      <w:color w:val="auto"/>
                      <w:sz w:val="21"/>
                      <w:szCs w:val="21"/>
                      <w:highlight w:val="none"/>
                      <w:vertAlign w:val="baseline"/>
                      <w:lang w:val="en-US" w:eastAsia="zh-CN"/>
                    </w:rPr>
                    <w:t>35</w:t>
                  </w:r>
                  <w:r>
                    <w:rPr>
                      <w:rFonts w:hint="default" w:ascii="Times New Roman" w:hAnsi="Times New Roman" w:eastAsia="宋体" w:cs="Times New Roman"/>
                      <w:color w:val="auto"/>
                      <w:sz w:val="21"/>
                      <w:szCs w:val="21"/>
                      <w:highlight w:val="none"/>
                      <w:lang w:val="en-US" w:eastAsia="zh-CN"/>
                    </w:rPr>
                    <w:t>mg/m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w:t>
                  </w:r>
                </w:p>
              </w:tc>
            </w:tr>
            <w:tr w14:paraId="6E147D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85" w:type="dxa"/>
                  <w:bottom w:w="0" w:type="dxa"/>
                  <w:right w:w="85" w:type="dxa"/>
                </w:tblCellMar>
              </w:tblPrEx>
              <w:trPr>
                <w:trHeight w:val="564" w:hRule="atLeast"/>
                <w:jc w:val="center"/>
              </w:trPr>
              <w:tc>
                <w:tcPr>
                  <w:tcW w:w="311" w:type="pct"/>
                  <w:vMerge w:val="continue"/>
                  <w:tcBorders>
                    <w:tl2br w:val="nil"/>
                    <w:tr2bl w:val="nil"/>
                  </w:tcBorders>
                  <w:noWrap w:val="0"/>
                  <w:vAlign w:val="center"/>
                </w:tcPr>
                <w:p w14:paraId="515D380F">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color w:val="auto"/>
                      <w:sz w:val="21"/>
                      <w:szCs w:val="21"/>
                      <w:lang w:val="en-US" w:eastAsia="zh-CN"/>
                    </w:rPr>
                  </w:pPr>
                </w:p>
              </w:tc>
              <w:tc>
                <w:tcPr>
                  <w:tcW w:w="413" w:type="pct"/>
                  <w:vMerge w:val="continue"/>
                  <w:tcBorders>
                    <w:tl2br w:val="nil"/>
                    <w:tr2bl w:val="nil"/>
                  </w:tcBorders>
                  <w:noWrap w:val="0"/>
                  <w:vAlign w:val="center"/>
                </w:tcPr>
                <w:p w14:paraId="062E6E56">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cs="Times New Roman"/>
                      <w:color w:val="auto"/>
                      <w:kern w:val="2"/>
                      <w:sz w:val="21"/>
                      <w:szCs w:val="21"/>
                      <w:lang w:val="en-US" w:eastAsia="zh-CN" w:bidi="ar-SA"/>
                    </w:rPr>
                  </w:pPr>
                </w:p>
              </w:tc>
              <w:tc>
                <w:tcPr>
                  <w:tcW w:w="658" w:type="pct"/>
                  <w:tcBorders>
                    <w:tl2br w:val="nil"/>
                    <w:tr2bl w:val="nil"/>
                  </w:tcBorders>
                  <w:noWrap w:val="0"/>
                  <w:vAlign w:val="center"/>
                </w:tcPr>
                <w:p w14:paraId="26BD551F">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氮氧化物</w:t>
                  </w:r>
                </w:p>
              </w:tc>
              <w:tc>
                <w:tcPr>
                  <w:tcW w:w="443" w:type="pct"/>
                  <w:vMerge w:val="continue"/>
                  <w:tcBorders>
                    <w:tl2br w:val="nil"/>
                    <w:tr2bl w:val="nil"/>
                  </w:tcBorders>
                  <w:noWrap w:val="0"/>
                  <w:vAlign w:val="center"/>
                </w:tcPr>
                <w:p w14:paraId="140139AC">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cs="Times New Roman"/>
                      <w:color w:val="auto"/>
                      <w:kern w:val="2"/>
                      <w:sz w:val="21"/>
                      <w:szCs w:val="21"/>
                      <w:lang w:val="en-US" w:eastAsia="zh-CN" w:bidi="ar-SA"/>
                    </w:rPr>
                  </w:pPr>
                </w:p>
              </w:tc>
              <w:tc>
                <w:tcPr>
                  <w:tcW w:w="3173" w:type="pct"/>
                  <w:tcBorders>
                    <w:tl2br w:val="nil"/>
                    <w:tr2bl w:val="nil"/>
                  </w:tcBorders>
                  <w:noWrap w:val="0"/>
                  <w:vAlign w:val="center"/>
                </w:tcPr>
                <w:p w14:paraId="65CF8612">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color w:val="auto"/>
                      <w:spacing w:val="0"/>
                      <w:position w:val="0"/>
                      <w:sz w:val="21"/>
                      <w:szCs w:val="21"/>
                      <w:highlight w:val="none"/>
                      <w:lang w:val="en-US" w:eastAsia="zh-CN"/>
                    </w:rPr>
                  </w:pPr>
                  <w:r>
                    <w:rPr>
                      <w:rFonts w:hint="default" w:ascii="Times New Roman" w:hAnsi="Times New Roman" w:cs="Times New Roman"/>
                      <w:snapToGrid w:val="0"/>
                      <w:color w:val="auto"/>
                      <w:kern w:val="0"/>
                      <w:sz w:val="24"/>
                      <w:szCs w:val="24"/>
                      <w:highlight w:val="none"/>
                      <w:lang w:val="en-US" w:eastAsia="zh-CN" w:bidi="ar-SA"/>
                    </w:rPr>
                    <w:t>《</w:t>
                  </w:r>
                  <w:r>
                    <w:rPr>
                      <w:rFonts w:hint="default" w:ascii="Times New Roman" w:hAnsi="Times New Roman" w:cs="Times New Roman"/>
                      <w:color w:val="auto"/>
                      <w:spacing w:val="0"/>
                      <w:position w:val="0"/>
                      <w:sz w:val="21"/>
                      <w:szCs w:val="21"/>
                      <w:highlight w:val="none"/>
                      <w:lang w:val="en-US" w:eastAsia="zh-CN"/>
                    </w:rPr>
                    <w:t>关于印发〈全面实施燃煤电厂超低排放和节能改造工作方案〉的通知》（环发〔2015〕164号）</w:t>
                  </w:r>
                  <w:r>
                    <w:rPr>
                      <w:rFonts w:hint="default" w:ascii="Times New Roman" w:hAnsi="Times New Roman" w:eastAsia="宋体" w:cs="Times New Roman"/>
                      <w:color w:val="auto"/>
                      <w:sz w:val="21"/>
                      <w:szCs w:val="21"/>
                      <w:highlight w:val="none"/>
                      <w:lang w:val="en-US" w:eastAsia="zh-CN"/>
                    </w:rPr>
                    <w:t>（氮氧化物：50mg/m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z w:val="21"/>
                      <w:szCs w:val="21"/>
                      <w:highlight w:val="none"/>
                      <w:lang w:val="en-US" w:eastAsia="zh-CN"/>
                    </w:rPr>
                    <w:t>）</w:t>
                  </w:r>
                </w:p>
              </w:tc>
            </w:tr>
            <w:tr w14:paraId="3EACC9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85" w:type="dxa"/>
                  <w:bottom w:w="0" w:type="dxa"/>
                  <w:right w:w="85" w:type="dxa"/>
                </w:tblCellMar>
              </w:tblPrEx>
              <w:trPr>
                <w:trHeight w:val="821" w:hRule="atLeast"/>
                <w:jc w:val="center"/>
              </w:trPr>
              <w:tc>
                <w:tcPr>
                  <w:tcW w:w="311" w:type="pct"/>
                  <w:vMerge w:val="continue"/>
                  <w:tcBorders>
                    <w:tl2br w:val="nil"/>
                    <w:tr2bl w:val="nil"/>
                  </w:tcBorders>
                  <w:noWrap w:val="0"/>
                  <w:vAlign w:val="center"/>
                </w:tcPr>
                <w:p w14:paraId="41408630">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color w:val="auto"/>
                      <w:sz w:val="21"/>
                      <w:szCs w:val="21"/>
                      <w:lang w:val="en-US" w:eastAsia="zh-CN"/>
                    </w:rPr>
                  </w:pPr>
                </w:p>
              </w:tc>
              <w:tc>
                <w:tcPr>
                  <w:tcW w:w="413" w:type="pct"/>
                  <w:vMerge w:val="continue"/>
                  <w:tcBorders>
                    <w:tl2br w:val="nil"/>
                    <w:tr2bl w:val="nil"/>
                  </w:tcBorders>
                  <w:noWrap w:val="0"/>
                  <w:vAlign w:val="center"/>
                </w:tcPr>
                <w:p w14:paraId="7E926D59">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color w:val="auto"/>
                      <w:kern w:val="2"/>
                      <w:sz w:val="21"/>
                      <w:szCs w:val="21"/>
                      <w:lang w:val="en-US" w:eastAsia="zh-CN" w:bidi="ar-SA"/>
                    </w:rPr>
                  </w:pPr>
                </w:p>
              </w:tc>
              <w:tc>
                <w:tcPr>
                  <w:tcW w:w="658" w:type="pct"/>
                  <w:tcBorders>
                    <w:tl2br w:val="nil"/>
                    <w:tr2bl w:val="nil"/>
                  </w:tcBorders>
                  <w:noWrap w:val="0"/>
                  <w:vAlign w:val="center"/>
                </w:tcPr>
                <w:p w14:paraId="51F54987">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林格曼黑度</w:t>
                  </w:r>
                </w:p>
              </w:tc>
              <w:tc>
                <w:tcPr>
                  <w:tcW w:w="443" w:type="pct"/>
                  <w:vMerge w:val="restart"/>
                  <w:tcBorders>
                    <w:tl2br w:val="nil"/>
                    <w:tr2bl w:val="nil"/>
                  </w:tcBorders>
                  <w:noWrap w:val="0"/>
                  <w:vAlign w:val="center"/>
                </w:tcPr>
                <w:p w14:paraId="7F63FF8F">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lang w:val="en-US" w:eastAsia="zh-CN"/>
                    </w:rPr>
                    <w:t>1次/季度</w:t>
                  </w:r>
                </w:p>
              </w:tc>
              <w:tc>
                <w:tcPr>
                  <w:tcW w:w="3173" w:type="pct"/>
                  <w:tcBorders>
                    <w:tl2br w:val="nil"/>
                    <w:tr2bl w:val="nil"/>
                  </w:tcBorders>
                  <w:noWrap w:val="0"/>
                  <w:vAlign w:val="center"/>
                </w:tcPr>
                <w:p w14:paraId="5D7FF1DB">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cs="Times New Roman"/>
                      <w:color w:val="auto"/>
                      <w:kern w:val="2"/>
                      <w:sz w:val="21"/>
                      <w:szCs w:val="21"/>
                      <w:lang w:val="en-US" w:eastAsia="zh-CN" w:bidi="ar-SA"/>
                    </w:rPr>
                  </w:pPr>
                  <w:r>
                    <w:rPr>
                      <w:rFonts w:hint="default" w:ascii="Times New Roman" w:hAnsi="Times New Roman" w:eastAsia="宋体" w:cs="Times New Roman"/>
                      <w:color w:val="auto"/>
                      <w:spacing w:val="0"/>
                      <w:position w:val="0"/>
                      <w:sz w:val="21"/>
                      <w:szCs w:val="21"/>
                      <w:highlight w:val="none"/>
                      <w:lang w:val="en-US" w:eastAsia="zh-CN"/>
                    </w:rPr>
                    <w:t>《火电厂大气污染物排放标准》（GB13223-2011）</w:t>
                  </w:r>
                  <w:r>
                    <w:rPr>
                      <w:rFonts w:hint="default" w:ascii="Times New Roman" w:hAnsi="Times New Roman" w:cs="Times New Roman"/>
                      <w:color w:val="auto"/>
                      <w:spacing w:val="0"/>
                      <w:position w:val="0"/>
                      <w:sz w:val="21"/>
                      <w:szCs w:val="21"/>
                      <w:highlight w:val="none"/>
                      <w:lang w:val="en-US" w:eastAsia="zh-CN"/>
                    </w:rPr>
                    <w:t>表2大气污染物特别排放限值</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bidi="ar"/>
                    </w:rPr>
                    <w:t>林格曼黑度</w:t>
                  </w:r>
                  <w:r>
                    <w:rPr>
                      <w:rFonts w:hint="default" w:ascii="Times New Roman" w:hAnsi="Times New Roman" w:eastAsia="宋体" w:cs="Times New Roman"/>
                      <w:b w:val="0"/>
                      <w:bCs w:val="0"/>
                      <w:color w:val="auto"/>
                      <w:kern w:val="2"/>
                      <w:sz w:val="21"/>
                      <w:szCs w:val="21"/>
                      <w:highlight w:val="none"/>
                      <w:vertAlign w:val="baseline"/>
                      <w:lang w:val="en-US" w:eastAsia="zh-CN" w:bidi="ar-SA"/>
                    </w:rPr>
                    <w:t>≤1</w:t>
                  </w:r>
                  <w:r>
                    <w:rPr>
                      <w:rFonts w:hint="default" w:ascii="Times New Roman" w:hAnsi="Times New Roman" w:eastAsia="宋体" w:cs="Times New Roman"/>
                      <w:color w:val="auto"/>
                      <w:sz w:val="21"/>
                      <w:szCs w:val="21"/>
                      <w:highlight w:val="none"/>
                      <w:lang w:val="en-US" w:eastAsia="zh-CN"/>
                    </w:rPr>
                    <w:t>）</w:t>
                  </w:r>
                </w:p>
              </w:tc>
            </w:tr>
            <w:tr w14:paraId="7D81A7E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85" w:type="dxa"/>
                  <w:bottom w:w="0" w:type="dxa"/>
                  <w:right w:w="85" w:type="dxa"/>
                </w:tblCellMar>
              </w:tblPrEx>
              <w:trPr>
                <w:trHeight w:val="564" w:hRule="atLeast"/>
                <w:jc w:val="center"/>
              </w:trPr>
              <w:tc>
                <w:tcPr>
                  <w:tcW w:w="311" w:type="pct"/>
                  <w:vMerge w:val="continue"/>
                  <w:tcBorders>
                    <w:tl2br w:val="nil"/>
                    <w:tr2bl w:val="nil"/>
                  </w:tcBorders>
                  <w:noWrap w:val="0"/>
                  <w:vAlign w:val="center"/>
                </w:tcPr>
                <w:p w14:paraId="0793B5F3">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color w:val="auto"/>
                      <w:sz w:val="21"/>
                      <w:szCs w:val="21"/>
                      <w:lang w:val="en-US" w:eastAsia="zh-CN"/>
                    </w:rPr>
                  </w:pPr>
                </w:p>
              </w:tc>
              <w:tc>
                <w:tcPr>
                  <w:tcW w:w="413" w:type="pct"/>
                  <w:vMerge w:val="continue"/>
                  <w:tcBorders>
                    <w:tl2br w:val="nil"/>
                    <w:tr2bl w:val="nil"/>
                  </w:tcBorders>
                  <w:noWrap w:val="0"/>
                  <w:vAlign w:val="center"/>
                </w:tcPr>
                <w:p w14:paraId="426725BE">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color w:val="auto"/>
                      <w:kern w:val="2"/>
                      <w:sz w:val="21"/>
                      <w:szCs w:val="21"/>
                      <w:lang w:val="en-US" w:eastAsia="zh-CN" w:bidi="ar-SA"/>
                    </w:rPr>
                  </w:pPr>
                </w:p>
              </w:tc>
              <w:tc>
                <w:tcPr>
                  <w:tcW w:w="658" w:type="pct"/>
                  <w:tcBorders>
                    <w:tl2br w:val="nil"/>
                    <w:tr2bl w:val="nil"/>
                  </w:tcBorders>
                  <w:noWrap w:val="0"/>
                  <w:vAlign w:val="center"/>
                </w:tcPr>
                <w:p w14:paraId="653304B5">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氨</w:t>
                  </w:r>
                </w:p>
              </w:tc>
              <w:tc>
                <w:tcPr>
                  <w:tcW w:w="443" w:type="pct"/>
                  <w:vMerge w:val="continue"/>
                  <w:tcBorders>
                    <w:tl2br w:val="nil"/>
                    <w:tr2bl w:val="nil"/>
                  </w:tcBorders>
                  <w:noWrap w:val="0"/>
                  <w:vAlign w:val="center"/>
                </w:tcPr>
                <w:p w14:paraId="6E111485">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color w:val="auto"/>
                      <w:sz w:val="21"/>
                      <w:szCs w:val="21"/>
                      <w:highlight w:val="none"/>
                      <w:lang w:val="en-US" w:eastAsia="zh-CN"/>
                    </w:rPr>
                  </w:pPr>
                </w:p>
              </w:tc>
              <w:tc>
                <w:tcPr>
                  <w:tcW w:w="3173" w:type="pct"/>
                  <w:tcBorders>
                    <w:tl2br w:val="nil"/>
                    <w:tr2bl w:val="nil"/>
                  </w:tcBorders>
                  <w:noWrap w:val="0"/>
                  <w:vAlign w:val="center"/>
                </w:tcPr>
                <w:p w14:paraId="54798D52">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spacing w:val="8"/>
                      <w:sz w:val="21"/>
                      <w:szCs w:val="21"/>
                    </w:rPr>
                    <w:t>《火电厂烟气脱硝工程技术规范</w:t>
                  </w:r>
                  <w:r>
                    <w:rPr>
                      <w:rFonts w:hint="default" w:ascii="Times New Roman" w:hAnsi="Times New Roman" w:cs="Times New Roman"/>
                      <w:color w:val="auto"/>
                      <w:spacing w:val="8"/>
                      <w:sz w:val="21"/>
                      <w:szCs w:val="21"/>
                      <w:lang w:val="en-US" w:eastAsia="zh-CN"/>
                    </w:rPr>
                    <w:t>选择性催化还原法</w:t>
                  </w:r>
                  <w:r>
                    <w:rPr>
                      <w:rFonts w:hint="default" w:ascii="Times New Roman" w:hAnsi="Times New Roman" w:cs="Times New Roman"/>
                      <w:color w:val="auto"/>
                      <w:spacing w:val="8"/>
                      <w:sz w:val="21"/>
                      <w:szCs w:val="21"/>
                    </w:rPr>
                    <w:t>》（HJ562-2010）</w:t>
                  </w:r>
                  <w:r>
                    <w:rPr>
                      <w:rFonts w:hint="default" w:ascii="Times New Roman" w:hAnsi="Times New Roman" w:eastAsia="宋体" w:cs="Times New Roman"/>
                      <w:color w:val="auto"/>
                      <w:spacing w:val="0"/>
                      <w:position w:val="0"/>
                      <w:sz w:val="21"/>
                      <w:szCs w:val="21"/>
                      <w:highlight w:val="none"/>
                      <w:lang w:val="en-US" w:eastAsia="zh-CN"/>
                    </w:rPr>
                    <w:t>（氨：</w:t>
                  </w:r>
                  <w:r>
                    <w:rPr>
                      <w:rFonts w:hint="default" w:ascii="Times New Roman" w:hAnsi="Times New Roman" w:eastAsia="宋体" w:cs="Times New Roman"/>
                      <w:color w:val="auto"/>
                      <w:sz w:val="21"/>
                      <w:szCs w:val="21"/>
                      <w:highlight w:val="none"/>
                      <w:lang w:val="en-US" w:eastAsia="zh-CN"/>
                    </w:rPr>
                    <w:t>2.5mg/m</w:t>
                  </w:r>
                  <w:r>
                    <w:rPr>
                      <w:rFonts w:hint="default" w:ascii="Times New Roman" w:hAnsi="Times New Roman" w:eastAsia="宋体" w:cs="Times New Roman"/>
                      <w:color w:val="auto"/>
                      <w:sz w:val="21"/>
                      <w:szCs w:val="21"/>
                      <w:highlight w:val="none"/>
                      <w:vertAlign w:val="superscript"/>
                      <w:lang w:val="en-US" w:eastAsia="zh-CN"/>
                    </w:rPr>
                    <w:t>3</w:t>
                  </w:r>
                  <w:r>
                    <w:rPr>
                      <w:rFonts w:hint="default" w:ascii="Times New Roman" w:hAnsi="Times New Roman" w:eastAsia="宋体" w:cs="Times New Roman"/>
                      <w:color w:val="auto"/>
                      <w:spacing w:val="0"/>
                      <w:position w:val="0"/>
                      <w:sz w:val="21"/>
                      <w:szCs w:val="21"/>
                      <w:highlight w:val="none"/>
                      <w:lang w:val="en-US" w:eastAsia="zh-CN"/>
                    </w:rPr>
                    <w:t>）</w:t>
                  </w:r>
                </w:p>
              </w:tc>
            </w:tr>
            <w:tr w14:paraId="2E9885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85" w:type="dxa"/>
                  <w:bottom w:w="0" w:type="dxa"/>
                  <w:right w:w="85" w:type="dxa"/>
                </w:tblCellMar>
              </w:tblPrEx>
              <w:trPr>
                <w:trHeight w:val="623" w:hRule="atLeast"/>
                <w:jc w:val="center"/>
              </w:trPr>
              <w:tc>
                <w:tcPr>
                  <w:tcW w:w="311" w:type="pct"/>
                  <w:tcBorders>
                    <w:tl2br w:val="nil"/>
                    <w:tr2bl w:val="nil"/>
                  </w:tcBorders>
                  <w:noWrap w:val="0"/>
                  <w:vAlign w:val="center"/>
                </w:tcPr>
                <w:p w14:paraId="26684F77">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无组织</w:t>
                  </w:r>
                </w:p>
              </w:tc>
              <w:tc>
                <w:tcPr>
                  <w:tcW w:w="413" w:type="pct"/>
                  <w:tcBorders>
                    <w:tl2br w:val="nil"/>
                    <w:tr2bl w:val="nil"/>
                  </w:tcBorders>
                  <w:noWrap w:val="0"/>
                  <w:vAlign w:val="center"/>
                </w:tcPr>
                <w:p w14:paraId="608750EC">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highlight w:val="none"/>
                      <w:lang w:eastAsia="zh-CN"/>
                    </w:rPr>
                    <w:t>厂界上</w:t>
                  </w:r>
                  <w:r>
                    <w:rPr>
                      <w:rFonts w:hint="default" w:ascii="Times New Roman" w:hAnsi="Times New Roman" w:eastAsia="宋体" w:cs="Times New Roman"/>
                      <w:color w:val="auto"/>
                      <w:sz w:val="21"/>
                      <w:szCs w:val="21"/>
                      <w:highlight w:val="none"/>
                      <w:lang w:val="en-US" w:eastAsia="zh-CN"/>
                    </w:rPr>
                    <w:t>、下风向</w:t>
                  </w:r>
                </w:p>
              </w:tc>
              <w:tc>
                <w:tcPr>
                  <w:tcW w:w="658" w:type="pct"/>
                  <w:tcBorders>
                    <w:tl2br w:val="nil"/>
                    <w:tr2bl w:val="nil"/>
                  </w:tcBorders>
                  <w:noWrap w:val="0"/>
                  <w:vAlign w:val="center"/>
                </w:tcPr>
                <w:p w14:paraId="20E85BC3">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颗粒物</w:t>
                  </w:r>
                </w:p>
              </w:tc>
              <w:tc>
                <w:tcPr>
                  <w:tcW w:w="443" w:type="pct"/>
                  <w:tcBorders>
                    <w:tl2br w:val="nil"/>
                    <w:tr2bl w:val="nil"/>
                  </w:tcBorders>
                  <w:noWrap w:val="0"/>
                  <w:vAlign w:val="center"/>
                </w:tcPr>
                <w:p w14:paraId="5C60474A">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1次/季度</w:t>
                  </w:r>
                </w:p>
              </w:tc>
              <w:tc>
                <w:tcPr>
                  <w:tcW w:w="3173" w:type="pct"/>
                  <w:tcBorders>
                    <w:tl2br w:val="nil"/>
                    <w:tr2bl w:val="nil"/>
                  </w:tcBorders>
                  <w:noWrap w:val="0"/>
                  <w:vAlign w:val="center"/>
                </w:tcPr>
                <w:p w14:paraId="5014707E">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cs="Times New Roman"/>
                      <w:color w:val="auto"/>
                      <w:spacing w:val="8"/>
                      <w:sz w:val="21"/>
                      <w:szCs w:val="21"/>
                    </w:rPr>
                  </w:pPr>
                  <w:r>
                    <w:rPr>
                      <w:rFonts w:hint="default" w:ascii="Times New Roman" w:hAnsi="Times New Roman" w:cs="Times New Roman"/>
                      <w:color w:val="auto"/>
                      <w:spacing w:val="8"/>
                      <w:sz w:val="21"/>
                      <w:szCs w:val="21"/>
                    </w:rPr>
                    <w:t>《大气污染物综合排放</w:t>
                  </w:r>
                  <w:r>
                    <w:rPr>
                      <w:rFonts w:hint="default" w:ascii="Times New Roman" w:hAnsi="Times New Roman" w:cs="Times New Roman"/>
                      <w:color w:val="auto"/>
                      <w:spacing w:val="6"/>
                      <w:sz w:val="21"/>
                      <w:szCs w:val="21"/>
                    </w:rPr>
                    <w:t>标准》（</w:t>
                  </w:r>
                  <w:r>
                    <w:rPr>
                      <w:rFonts w:hint="default" w:ascii="Times New Roman" w:hAnsi="Times New Roman" w:eastAsia="Times New Roman" w:cs="Times New Roman"/>
                      <w:color w:val="auto"/>
                      <w:sz w:val="21"/>
                      <w:szCs w:val="21"/>
                    </w:rPr>
                    <w:t>GB</w:t>
                  </w:r>
                  <w:r>
                    <w:rPr>
                      <w:rFonts w:hint="default" w:ascii="Times New Roman" w:hAnsi="Times New Roman" w:eastAsia="Times New Roman" w:cs="Times New Roman"/>
                      <w:color w:val="auto"/>
                      <w:spacing w:val="6"/>
                      <w:sz w:val="21"/>
                      <w:szCs w:val="21"/>
                    </w:rPr>
                    <w:t>16297-1996</w:t>
                  </w:r>
                  <w:r>
                    <w:rPr>
                      <w:rFonts w:hint="default" w:ascii="Times New Roman" w:hAnsi="Times New Roman" w:cs="Times New Roman"/>
                      <w:color w:val="auto"/>
                      <w:spacing w:val="6"/>
                      <w:sz w:val="21"/>
                      <w:szCs w:val="21"/>
                    </w:rPr>
                    <w:t>）</w:t>
                  </w:r>
                  <w:r>
                    <w:rPr>
                      <w:rFonts w:hint="default" w:ascii="Times New Roman" w:hAnsi="Times New Roman" w:cs="Times New Roman"/>
                      <w:color w:val="auto"/>
                      <w:spacing w:val="6"/>
                      <w:sz w:val="21"/>
                      <w:szCs w:val="21"/>
                      <w:lang w:val="en-US" w:eastAsia="zh-CN"/>
                    </w:rPr>
                    <w:t>表2（颗粒物：1.0mg/m</w:t>
                  </w:r>
                  <w:r>
                    <w:rPr>
                      <w:rFonts w:hint="default" w:ascii="Times New Roman" w:hAnsi="Times New Roman" w:cs="Times New Roman"/>
                      <w:color w:val="auto"/>
                      <w:spacing w:val="6"/>
                      <w:sz w:val="21"/>
                      <w:szCs w:val="21"/>
                      <w:vertAlign w:val="superscript"/>
                      <w:lang w:val="en-US" w:eastAsia="zh-CN"/>
                    </w:rPr>
                    <w:t>3</w:t>
                  </w:r>
                  <w:r>
                    <w:rPr>
                      <w:rFonts w:hint="default" w:ascii="Times New Roman" w:hAnsi="Times New Roman" w:cs="Times New Roman"/>
                      <w:color w:val="auto"/>
                      <w:spacing w:val="6"/>
                      <w:sz w:val="21"/>
                      <w:szCs w:val="21"/>
                      <w:lang w:val="en-US" w:eastAsia="zh-CN"/>
                    </w:rPr>
                    <w:t>）</w:t>
                  </w:r>
                </w:p>
              </w:tc>
            </w:tr>
          </w:tbl>
          <w:p w14:paraId="23DDAAA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napToGrid w:val="0"/>
                <w:color w:val="auto"/>
                <w:kern w:val="2"/>
                <w:sz w:val="24"/>
                <w:szCs w:val="24"/>
                <w:lang w:val="en-US" w:eastAsia="zh-CN" w:bidi="ar-SA"/>
              </w:rPr>
            </w:pPr>
            <w:r>
              <w:rPr>
                <w:rFonts w:hint="default" w:ascii="Times New Roman" w:hAnsi="Times New Roman" w:eastAsia="宋体" w:cs="Times New Roman"/>
                <w:snapToGrid w:val="0"/>
                <w:color w:val="auto"/>
                <w:kern w:val="2"/>
                <w:sz w:val="24"/>
                <w:szCs w:val="24"/>
                <w:lang w:val="en-US" w:eastAsia="zh-CN" w:bidi="ar-SA"/>
              </w:rPr>
              <w:t>本项目需设置烟气在线监测系统（CEMS），根据《排污单位自行监测技术指南总则》、《排污单位自行监测技术指南火力发电及锅炉》、《火电行业排污许可证申请与核发技术规范》（环水体</w:t>
            </w:r>
            <w:r>
              <w:rPr>
                <w:rFonts w:hint="default" w:ascii="Times New Roman" w:hAnsi="Times New Roman" w:cs="Times New Roman"/>
                <w:snapToGrid w:val="0"/>
                <w:color w:val="auto"/>
                <w:kern w:val="2"/>
                <w:sz w:val="24"/>
                <w:szCs w:val="24"/>
                <w:lang w:val="en-US" w:eastAsia="zh-CN" w:bidi="ar-SA"/>
              </w:rPr>
              <w:t>〔2016〕189号</w:t>
            </w:r>
            <w:r>
              <w:rPr>
                <w:rFonts w:hint="default" w:ascii="Times New Roman" w:hAnsi="Times New Roman" w:eastAsia="宋体" w:cs="Times New Roman"/>
                <w:snapToGrid w:val="0"/>
                <w:color w:val="auto"/>
                <w:kern w:val="2"/>
                <w:sz w:val="24"/>
                <w:szCs w:val="24"/>
                <w:lang w:val="en-US" w:eastAsia="zh-CN" w:bidi="ar-SA"/>
              </w:rPr>
              <w:t>），企业自行监测应做到以下要求：</w:t>
            </w:r>
          </w:p>
          <w:p w14:paraId="65D78DBB">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napToGrid w:val="0"/>
                <w:color w:val="auto"/>
                <w:kern w:val="2"/>
                <w:sz w:val="24"/>
                <w:szCs w:val="24"/>
                <w:lang w:val="en-US" w:eastAsia="zh-CN" w:bidi="ar-SA"/>
              </w:rPr>
            </w:pPr>
            <w:r>
              <w:rPr>
                <w:rFonts w:hint="default" w:ascii="Times New Roman" w:hAnsi="Times New Roman" w:eastAsia="宋体" w:cs="Times New Roman"/>
                <w:snapToGrid w:val="0"/>
                <w:color w:val="auto"/>
                <w:kern w:val="2"/>
                <w:sz w:val="24"/>
                <w:szCs w:val="24"/>
                <w:lang w:val="en-US" w:eastAsia="zh-CN" w:bidi="ar-SA"/>
              </w:rPr>
              <w:t>（1）制定监测方案。监测方案内容包括：单位基本情况，监测点位及示意图、监测指标、执行标准及限值、监测频次、采样和样品保存方法、监测分析方法和仪器、质量保证与控制等。</w:t>
            </w:r>
          </w:p>
          <w:p w14:paraId="7721B479">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napToGrid w:val="0"/>
                <w:color w:val="auto"/>
                <w:kern w:val="2"/>
                <w:sz w:val="24"/>
                <w:szCs w:val="24"/>
                <w:lang w:val="en-US" w:eastAsia="zh-CN" w:bidi="ar-SA"/>
              </w:rPr>
            </w:pPr>
            <w:r>
              <w:rPr>
                <w:rFonts w:hint="default" w:ascii="Times New Roman" w:hAnsi="Times New Roman" w:eastAsia="宋体" w:cs="Times New Roman"/>
                <w:snapToGrid w:val="0"/>
                <w:color w:val="auto"/>
                <w:kern w:val="2"/>
                <w:sz w:val="24"/>
                <w:szCs w:val="24"/>
                <w:lang w:val="en-US" w:eastAsia="zh-CN" w:bidi="ar-SA"/>
              </w:rPr>
              <w:t>（2）设置和维护监测设施企业应按照规定设置满足开展监测所需要的监测设施。废气污染源通过排气筒等方式排放至外环境的废气，应在废气外排口上设置最具代表性的监测点位。废气监测平台、监测断面和监测孔的设置应符合《</w:t>
            </w:r>
            <w:r>
              <w:rPr>
                <w:rFonts w:hint="default" w:ascii="Times New Roman" w:hAnsi="Times New Roman" w:cs="Times New Roman"/>
                <w:snapToGrid w:val="0"/>
                <w:color w:val="auto"/>
                <w:kern w:val="2"/>
                <w:sz w:val="24"/>
                <w:szCs w:val="24"/>
                <w:lang w:val="en-US" w:eastAsia="zh-CN" w:bidi="ar-SA"/>
              </w:rPr>
              <w:t>固定污染源烟气（SO</w:t>
            </w:r>
            <w:r>
              <w:rPr>
                <w:rFonts w:hint="default" w:ascii="Times New Roman" w:hAnsi="Times New Roman" w:cs="Times New Roman"/>
                <w:snapToGrid w:val="0"/>
                <w:color w:val="auto"/>
                <w:kern w:val="2"/>
                <w:sz w:val="24"/>
                <w:szCs w:val="24"/>
                <w:vertAlign w:val="subscript"/>
                <w:lang w:val="en-US" w:eastAsia="zh-CN" w:bidi="ar-SA"/>
              </w:rPr>
              <w:t>2</w:t>
            </w:r>
            <w:r>
              <w:rPr>
                <w:rFonts w:hint="default" w:ascii="Times New Roman" w:hAnsi="Times New Roman" w:cs="Times New Roman"/>
                <w:snapToGrid w:val="0"/>
                <w:color w:val="auto"/>
                <w:kern w:val="2"/>
                <w:sz w:val="24"/>
                <w:szCs w:val="24"/>
                <w:lang w:val="en-US" w:eastAsia="zh-CN" w:bidi="ar-SA"/>
              </w:rPr>
              <w:t>、NO</w:t>
            </w:r>
            <w:r>
              <w:rPr>
                <w:rFonts w:hint="default" w:ascii="Times New Roman" w:hAnsi="Times New Roman" w:cs="Times New Roman"/>
                <w:snapToGrid w:val="0"/>
                <w:color w:val="auto"/>
                <w:kern w:val="2"/>
                <w:sz w:val="24"/>
                <w:szCs w:val="24"/>
                <w:vertAlign w:val="subscript"/>
                <w:lang w:val="en-US" w:eastAsia="zh-CN" w:bidi="ar-SA"/>
              </w:rPr>
              <w:t>X</w:t>
            </w:r>
            <w:r>
              <w:rPr>
                <w:rFonts w:hint="default" w:ascii="Times New Roman" w:hAnsi="Times New Roman" w:cs="Times New Roman"/>
                <w:snapToGrid w:val="0"/>
                <w:color w:val="auto"/>
                <w:kern w:val="2"/>
                <w:sz w:val="24"/>
                <w:szCs w:val="24"/>
                <w:lang w:val="en-US" w:eastAsia="zh-CN" w:bidi="ar-SA"/>
              </w:rPr>
              <w:t>、颗粒物）排放连续监测系统技术要求及检测方法</w:t>
            </w:r>
            <w:r>
              <w:rPr>
                <w:rFonts w:hint="default" w:ascii="Times New Roman" w:hAnsi="Times New Roman" w:eastAsia="宋体" w:cs="Times New Roman"/>
                <w:snapToGrid w:val="0"/>
                <w:color w:val="auto"/>
                <w:kern w:val="2"/>
                <w:sz w:val="24"/>
                <w:szCs w:val="24"/>
                <w:lang w:val="en-US" w:eastAsia="zh-CN" w:bidi="ar-SA"/>
              </w:rPr>
              <w:t>》（</w:t>
            </w:r>
            <w:r>
              <w:rPr>
                <w:rFonts w:hint="default" w:ascii="Times New Roman" w:hAnsi="Times New Roman" w:cs="Times New Roman"/>
                <w:snapToGrid w:val="0"/>
                <w:color w:val="auto"/>
                <w:kern w:val="2"/>
                <w:sz w:val="24"/>
                <w:szCs w:val="24"/>
                <w:lang w:val="en-US" w:eastAsia="zh-CN" w:bidi="ar-SA"/>
              </w:rPr>
              <w:t>HJ76-2017</w:t>
            </w:r>
            <w:r>
              <w:rPr>
                <w:rFonts w:hint="default" w:ascii="Times New Roman" w:hAnsi="Times New Roman" w:eastAsia="宋体" w:cs="Times New Roman"/>
                <w:snapToGrid w:val="0"/>
                <w:color w:val="auto"/>
                <w:kern w:val="2"/>
                <w:sz w:val="24"/>
                <w:szCs w:val="24"/>
                <w:lang w:val="en-US" w:eastAsia="zh-CN" w:bidi="ar-SA"/>
              </w:rPr>
              <w:t>）、《固定源废气监测技术规范》（HJ/T397）等的要求，同时监测平台应便于开展监测活动，保证监测人员的安全。</w:t>
            </w:r>
          </w:p>
          <w:p w14:paraId="7198914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napToGrid w:val="0"/>
                <w:color w:val="auto"/>
                <w:kern w:val="2"/>
                <w:sz w:val="24"/>
                <w:szCs w:val="24"/>
                <w:lang w:val="en-US" w:eastAsia="zh-CN" w:bidi="ar-SA"/>
              </w:rPr>
            </w:pPr>
            <w:r>
              <w:rPr>
                <w:rFonts w:hint="default" w:ascii="Times New Roman" w:hAnsi="Times New Roman" w:eastAsia="宋体" w:cs="Times New Roman"/>
                <w:snapToGrid w:val="0"/>
                <w:color w:val="auto"/>
                <w:kern w:val="2"/>
                <w:sz w:val="24"/>
                <w:szCs w:val="24"/>
                <w:lang w:val="en-US" w:eastAsia="zh-CN" w:bidi="ar-SA"/>
              </w:rPr>
              <w:t>（3）开展自行监测排污单位开展监测活动，可根据自身条件和能力，利用自有人员、场所和设备自行监测，也可委托其他有资质的检（监）测机构开展自行监测。废气技术监测采用手工监测、自动监测两种，其中烟气、二氧化碳、氮氧化物采用自动监测，其他采用手动监测。手动监测频次根据相关技术规范进行。自动监测采样及测定方法参照《</w:t>
            </w:r>
            <w:r>
              <w:rPr>
                <w:rFonts w:hint="default" w:ascii="Times New Roman" w:hAnsi="Times New Roman" w:cs="Times New Roman"/>
                <w:snapToGrid w:val="0"/>
                <w:color w:val="auto"/>
                <w:kern w:val="2"/>
                <w:sz w:val="24"/>
                <w:szCs w:val="24"/>
                <w:lang w:val="en-US" w:eastAsia="zh-CN" w:bidi="ar-SA"/>
              </w:rPr>
              <w:t>固定污染源烟气（SO</w:t>
            </w:r>
            <w:r>
              <w:rPr>
                <w:rFonts w:hint="default" w:ascii="Times New Roman" w:hAnsi="Times New Roman" w:cs="Times New Roman"/>
                <w:snapToGrid w:val="0"/>
                <w:color w:val="auto"/>
                <w:kern w:val="2"/>
                <w:sz w:val="24"/>
                <w:szCs w:val="24"/>
                <w:vertAlign w:val="subscript"/>
                <w:lang w:val="en-US" w:eastAsia="zh-CN" w:bidi="ar-SA"/>
              </w:rPr>
              <w:t>2</w:t>
            </w:r>
            <w:r>
              <w:rPr>
                <w:rFonts w:hint="default" w:ascii="Times New Roman" w:hAnsi="Times New Roman" w:cs="Times New Roman"/>
                <w:snapToGrid w:val="0"/>
                <w:color w:val="auto"/>
                <w:kern w:val="2"/>
                <w:sz w:val="24"/>
                <w:szCs w:val="24"/>
                <w:lang w:val="en-US" w:eastAsia="zh-CN" w:bidi="ar-SA"/>
              </w:rPr>
              <w:t>、NO</w:t>
            </w:r>
            <w:r>
              <w:rPr>
                <w:rFonts w:hint="default" w:ascii="Times New Roman" w:hAnsi="Times New Roman" w:cs="Times New Roman"/>
                <w:snapToGrid w:val="0"/>
                <w:color w:val="auto"/>
                <w:kern w:val="2"/>
                <w:sz w:val="24"/>
                <w:szCs w:val="24"/>
                <w:vertAlign w:val="subscript"/>
                <w:lang w:val="en-US" w:eastAsia="zh-CN" w:bidi="ar-SA"/>
              </w:rPr>
              <w:t>X</w:t>
            </w:r>
            <w:r>
              <w:rPr>
                <w:rFonts w:hint="default" w:ascii="Times New Roman" w:hAnsi="Times New Roman" w:cs="Times New Roman"/>
                <w:snapToGrid w:val="0"/>
                <w:color w:val="auto"/>
                <w:kern w:val="2"/>
                <w:sz w:val="24"/>
                <w:szCs w:val="24"/>
                <w:lang w:val="en-US" w:eastAsia="zh-CN" w:bidi="ar-SA"/>
              </w:rPr>
              <w:t>、颗粒物）排放连续监测技术规范</w:t>
            </w:r>
            <w:r>
              <w:rPr>
                <w:rFonts w:hint="default" w:ascii="Times New Roman" w:hAnsi="Times New Roman" w:eastAsia="宋体" w:cs="Times New Roman"/>
                <w:snapToGrid w:val="0"/>
                <w:color w:val="auto"/>
                <w:kern w:val="2"/>
                <w:sz w:val="24"/>
                <w:szCs w:val="24"/>
                <w:lang w:val="en-US" w:eastAsia="zh-CN" w:bidi="ar-SA"/>
              </w:rPr>
              <w:t>》（</w:t>
            </w:r>
            <w:r>
              <w:rPr>
                <w:rFonts w:hint="default" w:ascii="Times New Roman" w:hAnsi="Times New Roman" w:cs="Times New Roman"/>
                <w:snapToGrid w:val="0"/>
                <w:color w:val="auto"/>
                <w:kern w:val="2"/>
                <w:sz w:val="24"/>
                <w:szCs w:val="24"/>
                <w:lang w:val="en-US" w:eastAsia="zh-CN" w:bidi="ar-SA"/>
              </w:rPr>
              <w:t>HJ75-2017</w:t>
            </w:r>
            <w:r>
              <w:rPr>
                <w:rFonts w:hint="default" w:ascii="Times New Roman" w:hAnsi="Times New Roman" w:eastAsia="宋体" w:cs="Times New Roman"/>
                <w:snapToGrid w:val="0"/>
                <w:color w:val="auto"/>
                <w:kern w:val="2"/>
                <w:sz w:val="24"/>
                <w:szCs w:val="24"/>
                <w:lang w:val="en-US" w:eastAsia="zh-CN" w:bidi="ar-SA"/>
              </w:rPr>
              <w:t>）《</w:t>
            </w:r>
            <w:r>
              <w:rPr>
                <w:rFonts w:hint="default" w:ascii="Times New Roman" w:hAnsi="Times New Roman" w:cs="Times New Roman"/>
                <w:snapToGrid w:val="0"/>
                <w:color w:val="auto"/>
                <w:kern w:val="2"/>
                <w:sz w:val="24"/>
                <w:szCs w:val="24"/>
                <w:lang w:val="en-US" w:eastAsia="zh-CN" w:bidi="ar-SA"/>
              </w:rPr>
              <w:t>固定污染源烟气（SO</w:t>
            </w:r>
            <w:r>
              <w:rPr>
                <w:rFonts w:hint="default" w:ascii="Times New Roman" w:hAnsi="Times New Roman" w:cs="Times New Roman"/>
                <w:snapToGrid w:val="0"/>
                <w:color w:val="auto"/>
                <w:kern w:val="2"/>
                <w:sz w:val="24"/>
                <w:szCs w:val="24"/>
                <w:vertAlign w:val="subscript"/>
                <w:lang w:val="en-US" w:eastAsia="zh-CN" w:bidi="ar-SA"/>
              </w:rPr>
              <w:t>2</w:t>
            </w:r>
            <w:r>
              <w:rPr>
                <w:rFonts w:hint="default" w:ascii="Times New Roman" w:hAnsi="Times New Roman" w:cs="Times New Roman"/>
                <w:snapToGrid w:val="0"/>
                <w:color w:val="auto"/>
                <w:kern w:val="2"/>
                <w:sz w:val="24"/>
                <w:szCs w:val="24"/>
                <w:lang w:val="en-US" w:eastAsia="zh-CN" w:bidi="ar-SA"/>
              </w:rPr>
              <w:t>、NO</w:t>
            </w:r>
            <w:r>
              <w:rPr>
                <w:rFonts w:hint="default" w:ascii="Times New Roman" w:hAnsi="Times New Roman" w:cs="Times New Roman"/>
                <w:snapToGrid w:val="0"/>
                <w:color w:val="auto"/>
                <w:kern w:val="2"/>
                <w:sz w:val="24"/>
                <w:szCs w:val="24"/>
                <w:vertAlign w:val="subscript"/>
                <w:lang w:val="en-US" w:eastAsia="zh-CN" w:bidi="ar-SA"/>
              </w:rPr>
              <w:t>X</w:t>
            </w:r>
            <w:r>
              <w:rPr>
                <w:rFonts w:hint="default" w:ascii="Times New Roman" w:hAnsi="Times New Roman" w:cs="Times New Roman"/>
                <w:snapToGrid w:val="0"/>
                <w:color w:val="auto"/>
                <w:kern w:val="2"/>
                <w:sz w:val="24"/>
                <w:szCs w:val="24"/>
                <w:lang w:val="en-US" w:eastAsia="zh-CN" w:bidi="ar-SA"/>
              </w:rPr>
              <w:t>、颗粒物）排放连续监测系统技术要求及检测方法</w:t>
            </w:r>
            <w:r>
              <w:rPr>
                <w:rFonts w:hint="default" w:ascii="Times New Roman" w:hAnsi="Times New Roman" w:eastAsia="宋体" w:cs="Times New Roman"/>
                <w:snapToGrid w:val="0"/>
                <w:color w:val="auto"/>
                <w:kern w:val="2"/>
                <w:sz w:val="24"/>
                <w:szCs w:val="24"/>
                <w:lang w:val="en-US" w:eastAsia="zh-CN" w:bidi="ar-SA"/>
              </w:rPr>
              <w:t>》（</w:t>
            </w:r>
            <w:r>
              <w:rPr>
                <w:rFonts w:hint="default" w:ascii="Times New Roman" w:hAnsi="Times New Roman" w:cs="Times New Roman"/>
                <w:snapToGrid w:val="0"/>
                <w:color w:val="auto"/>
                <w:kern w:val="2"/>
                <w:sz w:val="24"/>
                <w:szCs w:val="24"/>
                <w:lang w:val="en-US" w:eastAsia="zh-CN" w:bidi="ar-SA"/>
              </w:rPr>
              <w:t>HJ76-2017</w:t>
            </w:r>
            <w:r>
              <w:rPr>
                <w:rFonts w:hint="default" w:ascii="Times New Roman" w:hAnsi="Times New Roman" w:eastAsia="宋体" w:cs="Times New Roman"/>
                <w:snapToGrid w:val="0"/>
                <w:color w:val="auto"/>
                <w:kern w:val="2"/>
                <w:sz w:val="24"/>
                <w:szCs w:val="24"/>
                <w:lang w:val="en-US" w:eastAsia="zh-CN" w:bidi="ar-SA"/>
              </w:rPr>
              <w:t>）执行。废气手工采样选择参照《</w:t>
            </w:r>
            <w:r>
              <w:rPr>
                <w:rFonts w:hint="default" w:ascii="Times New Roman" w:hAnsi="Times New Roman" w:cs="Times New Roman"/>
                <w:snapToGrid w:val="0"/>
                <w:color w:val="auto"/>
                <w:kern w:val="2"/>
                <w:sz w:val="24"/>
                <w:szCs w:val="24"/>
                <w:lang w:val="en-US" w:eastAsia="zh-CN" w:bidi="ar-SA"/>
              </w:rPr>
              <w:t>固定污染源排气中颗粒物测定与气态污染物采样方法</w:t>
            </w:r>
            <w:r>
              <w:rPr>
                <w:rFonts w:hint="default" w:ascii="Times New Roman" w:hAnsi="Times New Roman" w:eastAsia="宋体" w:cs="Times New Roman"/>
                <w:snapToGrid w:val="0"/>
                <w:color w:val="auto"/>
                <w:kern w:val="2"/>
                <w:sz w:val="24"/>
                <w:szCs w:val="24"/>
                <w:lang w:val="en-US" w:eastAsia="zh-CN" w:bidi="ar-SA"/>
              </w:rPr>
              <w:t>》（</w:t>
            </w:r>
            <w:r>
              <w:rPr>
                <w:rFonts w:hint="default" w:ascii="Times New Roman" w:hAnsi="Times New Roman" w:cs="Times New Roman"/>
                <w:snapToGrid w:val="0"/>
                <w:color w:val="auto"/>
                <w:kern w:val="2"/>
                <w:sz w:val="24"/>
                <w:szCs w:val="24"/>
                <w:lang w:val="en-US" w:eastAsia="zh-CN" w:bidi="ar-SA"/>
              </w:rPr>
              <w:t>GB/T16157-1996</w:t>
            </w:r>
            <w:r>
              <w:rPr>
                <w:rFonts w:hint="default" w:ascii="Times New Roman" w:hAnsi="Times New Roman" w:eastAsia="宋体" w:cs="Times New Roman"/>
                <w:snapToGrid w:val="0"/>
                <w:color w:val="auto"/>
                <w:kern w:val="2"/>
                <w:sz w:val="24"/>
                <w:szCs w:val="24"/>
                <w:lang w:val="en-US" w:eastAsia="zh-CN" w:bidi="ar-SA"/>
              </w:rPr>
              <w:t>）</w:t>
            </w:r>
            <w:r>
              <w:rPr>
                <w:rFonts w:hint="default" w:ascii="Times New Roman" w:hAnsi="Times New Roman" w:cs="Times New Roman"/>
                <w:snapToGrid w:val="0"/>
                <w:color w:val="auto"/>
                <w:kern w:val="2"/>
                <w:sz w:val="24"/>
                <w:szCs w:val="24"/>
                <w:lang w:val="en-US" w:eastAsia="zh-CN" w:bidi="ar-SA"/>
              </w:rPr>
              <w:t>和</w:t>
            </w:r>
            <w:r>
              <w:rPr>
                <w:rFonts w:hint="default" w:ascii="Times New Roman" w:hAnsi="Times New Roman" w:eastAsia="宋体" w:cs="Times New Roman"/>
                <w:snapToGrid w:val="0"/>
                <w:color w:val="auto"/>
                <w:kern w:val="2"/>
                <w:sz w:val="24"/>
                <w:szCs w:val="24"/>
                <w:lang w:val="en-US" w:eastAsia="zh-CN" w:bidi="ar-SA"/>
              </w:rPr>
              <w:t>《</w:t>
            </w:r>
            <w:r>
              <w:rPr>
                <w:rFonts w:hint="default" w:ascii="Times New Roman" w:hAnsi="Times New Roman" w:cs="Times New Roman"/>
                <w:snapToGrid w:val="0"/>
                <w:color w:val="auto"/>
                <w:kern w:val="2"/>
                <w:sz w:val="24"/>
                <w:szCs w:val="24"/>
                <w:lang w:val="en-US" w:eastAsia="zh-CN" w:bidi="ar-SA"/>
              </w:rPr>
              <w:t>固定源废气监测技术规范</w:t>
            </w:r>
            <w:r>
              <w:rPr>
                <w:rFonts w:hint="default" w:ascii="Times New Roman" w:hAnsi="Times New Roman" w:eastAsia="宋体" w:cs="Times New Roman"/>
                <w:snapToGrid w:val="0"/>
                <w:color w:val="auto"/>
                <w:kern w:val="2"/>
                <w:sz w:val="24"/>
                <w:szCs w:val="24"/>
                <w:lang w:val="en-US" w:eastAsia="zh-CN" w:bidi="ar-SA"/>
              </w:rPr>
              <w:t>》（</w:t>
            </w:r>
            <w:r>
              <w:rPr>
                <w:rFonts w:hint="default" w:ascii="Times New Roman" w:hAnsi="Times New Roman" w:cs="Times New Roman"/>
                <w:snapToGrid w:val="0"/>
                <w:color w:val="auto"/>
                <w:kern w:val="2"/>
                <w:sz w:val="24"/>
                <w:szCs w:val="24"/>
                <w:lang w:val="en-US" w:eastAsia="zh-CN" w:bidi="ar-SA"/>
              </w:rPr>
              <w:t>HJ/T397-2007</w:t>
            </w:r>
            <w:r>
              <w:rPr>
                <w:rFonts w:hint="default" w:ascii="Times New Roman" w:hAnsi="Times New Roman" w:eastAsia="宋体" w:cs="Times New Roman"/>
                <w:snapToGrid w:val="0"/>
                <w:color w:val="auto"/>
                <w:kern w:val="2"/>
                <w:sz w:val="24"/>
                <w:szCs w:val="24"/>
                <w:lang w:val="en-US" w:eastAsia="zh-CN" w:bidi="ar-SA"/>
              </w:rPr>
              <w:t>）执行。</w:t>
            </w:r>
          </w:p>
          <w:p w14:paraId="37D7585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napToGrid w:val="0"/>
                <w:color w:val="auto"/>
                <w:kern w:val="2"/>
                <w:sz w:val="24"/>
                <w:szCs w:val="24"/>
                <w:lang w:val="en-US" w:eastAsia="zh-CN" w:bidi="ar-SA"/>
              </w:rPr>
            </w:pPr>
            <w:r>
              <w:rPr>
                <w:rFonts w:hint="default" w:ascii="Times New Roman" w:hAnsi="Times New Roman" w:eastAsia="宋体" w:cs="Times New Roman"/>
                <w:snapToGrid w:val="0"/>
                <w:color w:val="auto"/>
                <w:kern w:val="2"/>
                <w:sz w:val="24"/>
                <w:szCs w:val="24"/>
                <w:lang w:val="en-US" w:eastAsia="zh-CN" w:bidi="ar-SA"/>
              </w:rPr>
              <w:t>（4）按照监测方案开展自行监测，做好质量保证和质量控制企业应根据自行监测方案及开展状况，梳理全过程监测质控要求</w:t>
            </w:r>
            <w:r>
              <w:rPr>
                <w:rFonts w:hint="default" w:ascii="Times New Roman" w:hAnsi="Times New Roman" w:cs="Times New Roman"/>
                <w:snapToGrid w:val="0"/>
                <w:color w:val="auto"/>
                <w:kern w:val="2"/>
                <w:sz w:val="24"/>
                <w:szCs w:val="24"/>
                <w:lang w:val="en-US" w:eastAsia="zh-CN" w:bidi="ar-SA"/>
              </w:rPr>
              <w:t>，</w:t>
            </w:r>
            <w:r>
              <w:rPr>
                <w:rFonts w:hint="default" w:ascii="Times New Roman" w:hAnsi="Times New Roman" w:eastAsia="宋体" w:cs="Times New Roman"/>
                <w:snapToGrid w:val="0"/>
                <w:color w:val="auto"/>
                <w:kern w:val="2"/>
                <w:sz w:val="24"/>
                <w:szCs w:val="24"/>
                <w:lang w:val="en-US" w:eastAsia="zh-CN" w:bidi="ar-SA"/>
              </w:rPr>
              <w:t>建立自行监测质量保证与质量控制体系。</w:t>
            </w:r>
          </w:p>
          <w:p w14:paraId="52E03586">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napToGrid w:val="0"/>
                <w:color w:val="auto"/>
                <w:kern w:val="2"/>
                <w:sz w:val="24"/>
                <w:szCs w:val="24"/>
                <w:lang w:val="en-US" w:eastAsia="zh-CN" w:bidi="ar-SA"/>
              </w:rPr>
            </w:pPr>
            <w:r>
              <w:rPr>
                <w:rFonts w:hint="default" w:ascii="Times New Roman" w:hAnsi="Times New Roman" w:eastAsia="宋体" w:cs="Times New Roman"/>
                <w:snapToGrid w:val="0"/>
                <w:color w:val="auto"/>
                <w:kern w:val="2"/>
                <w:sz w:val="24"/>
                <w:szCs w:val="24"/>
                <w:lang w:val="en-US" w:eastAsia="zh-CN" w:bidi="ar-SA"/>
              </w:rPr>
              <w:t>（5）记录和保存监测数据企业应做好与监测相关的数据记录，按照《排污单位自行监测技术指南总则》规定进行记录与保存，并依法向社会公开监测结果。</w:t>
            </w:r>
          </w:p>
          <w:p w14:paraId="39B9A4FE">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color w:val="auto"/>
                <w:spacing w:val="0"/>
                <w:sz w:val="24"/>
                <w:szCs w:val="24"/>
              </w:rPr>
            </w:pPr>
            <w:r>
              <w:rPr>
                <w:rFonts w:hint="default" w:ascii="Times New Roman" w:hAnsi="Times New Roman" w:cs="Times New Roman"/>
                <w:b/>
                <w:bCs/>
                <w:color w:val="auto"/>
                <w:spacing w:val="0"/>
                <w:sz w:val="24"/>
                <w:szCs w:val="24"/>
                <w:lang w:val="en-US" w:eastAsia="zh-CN"/>
              </w:rPr>
              <w:t>2.2</w:t>
            </w:r>
            <w:r>
              <w:rPr>
                <w:rFonts w:hint="default" w:ascii="Times New Roman" w:hAnsi="Times New Roman" w:eastAsia="宋体" w:cs="Times New Roman"/>
                <w:b/>
                <w:bCs/>
                <w:color w:val="auto"/>
                <w:spacing w:val="0"/>
                <w:sz w:val="24"/>
                <w:szCs w:val="24"/>
              </w:rPr>
              <w:t>水环境影响分析</w:t>
            </w:r>
            <w:r>
              <w:rPr>
                <w:rFonts w:hint="default" w:ascii="Times New Roman" w:hAnsi="Times New Roman" w:eastAsia="宋体" w:cs="Times New Roman"/>
                <w:b/>
                <w:bCs/>
                <w:color w:val="auto"/>
                <w:spacing w:val="0"/>
                <w:sz w:val="24"/>
                <w:szCs w:val="24"/>
                <w:lang w:eastAsia="zh-CN"/>
              </w:rPr>
              <w:t>和保护措施</w:t>
            </w:r>
          </w:p>
          <w:p w14:paraId="6BCAF5B2">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pacing w:val="0"/>
                <w:sz w:val="24"/>
                <w:szCs w:val="24"/>
                <w:lang w:eastAsia="zh-CN"/>
              </w:rPr>
            </w:pPr>
            <w:r>
              <w:rPr>
                <w:rFonts w:hint="default" w:ascii="Times New Roman" w:hAnsi="Times New Roman" w:cs="Times New Roman"/>
                <w:b/>
                <w:bCs/>
                <w:color w:val="auto"/>
                <w:spacing w:val="0"/>
                <w:sz w:val="24"/>
                <w:szCs w:val="24"/>
                <w:lang w:val="en-US" w:eastAsia="zh-CN"/>
              </w:rPr>
              <w:t>2.2.1</w:t>
            </w:r>
            <w:r>
              <w:rPr>
                <w:rFonts w:hint="default" w:ascii="Times New Roman" w:hAnsi="Times New Roman" w:eastAsia="宋体" w:cs="Times New Roman"/>
                <w:b/>
                <w:bCs/>
                <w:color w:val="auto"/>
                <w:spacing w:val="0"/>
                <w:sz w:val="24"/>
                <w:szCs w:val="24"/>
                <w:lang w:eastAsia="zh-CN"/>
              </w:rPr>
              <w:t>废水污染源源强核算</w:t>
            </w:r>
          </w:p>
          <w:p w14:paraId="1EE2FA97">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cs="Times New Roman"/>
                <w:snapToGrid w:val="0"/>
                <w:color w:val="auto"/>
                <w:kern w:val="2"/>
                <w:sz w:val="24"/>
                <w:szCs w:val="24"/>
                <w:lang w:val="en-US" w:eastAsia="zh-CN" w:bidi="ar-SA"/>
              </w:rPr>
            </w:pPr>
            <w:r>
              <w:rPr>
                <w:rFonts w:hint="default" w:ascii="Times New Roman" w:hAnsi="Times New Roman" w:cs="Times New Roman"/>
                <w:snapToGrid w:val="0"/>
                <w:color w:val="auto"/>
                <w:kern w:val="2"/>
                <w:sz w:val="24"/>
                <w:szCs w:val="24"/>
                <w:lang w:val="en-US" w:eastAsia="zh-CN" w:bidi="ar-SA"/>
              </w:rPr>
              <w:t>（1）生活污水</w:t>
            </w:r>
          </w:p>
          <w:p w14:paraId="3AC04753">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color w:val="auto"/>
                <w:spacing w:val="0"/>
                <w:position w:val="0"/>
                <w:sz w:val="24"/>
                <w:szCs w:val="24"/>
                <w:lang w:val="en-US" w:eastAsia="zh-CN"/>
              </w:rPr>
            </w:pPr>
            <w:r>
              <w:rPr>
                <w:rFonts w:hint="default" w:ascii="Times New Roman" w:hAnsi="Times New Roman" w:cs="Times New Roman"/>
                <w:snapToGrid w:val="0"/>
                <w:color w:val="auto"/>
                <w:kern w:val="2"/>
                <w:sz w:val="24"/>
                <w:szCs w:val="24"/>
                <w:lang w:val="en-US" w:eastAsia="zh-CN" w:bidi="ar-SA"/>
              </w:rPr>
              <w:t>本项目劳动定员46人，生活污水产污系数约为0.8，经计算废水产生量为3.68t/d（1229.12t/a），</w:t>
            </w:r>
            <w:r>
              <w:rPr>
                <w:rFonts w:hint="default" w:ascii="Times New Roman" w:hAnsi="Times New Roman" w:eastAsia="宋体" w:cs="Times New Roman"/>
                <w:color w:val="auto"/>
                <w:spacing w:val="0"/>
                <w:position w:val="0"/>
                <w:sz w:val="24"/>
                <w:szCs w:val="24"/>
                <w:lang w:val="en-US" w:eastAsia="zh-CN"/>
              </w:rPr>
              <w:t>项目食宿区依托吉木萨尔县恒信煤炭制品工贸有限公司120万吨煤制品深加工升级改造项目厂内食宿区；厂内办公区位于辅助车间综合楼，</w:t>
            </w:r>
            <w:r>
              <w:rPr>
                <w:rFonts w:hint="default" w:ascii="Times New Roman" w:hAnsi="Times New Roman" w:cs="Times New Roman"/>
                <w:color w:val="auto"/>
                <w:spacing w:val="0"/>
                <w:position w:val="0"/>
                <w:sz w:val="24"/>
                <w:szCs w:val="24"/>
                <w:lang w:val="en-US" w:eastAsia="zh-CN"/>
              </w:rPr>
              <w:t>厂</w:t>
            </w:r>
            <w:r>
              <w:rPr>
                <w:rFonts w:hint="default" w:ascii="Times New Roman" w:hAnsi="Times New Roman" w:cs="Times New Roman"/>
                <w:snapToGrid w:val="0"/>
                <w:color w:val="auto"/>
                <w:kern w:val="2"/>
                <w:sz w:val="24"/>
                <w:szCs w:val="24"/>
                <w:lang w:val="en-US" w:eastAsia="zh-CN" w:bidi="ar-SA"/>
              </w:rPr>
              <w:t>内仅为员工工作期间生活污水。</w:t>
            </w:r>
            <w:r>
              <w:rPr>
                <w:rFonts w:hint="default" w:ascii="Times New Roman" w:hAnsi="Times New Roman" w:eastAsia="宋体" w:cs="Times New Roman"/>
                <w:color w:val="auto"/>
                <w:spacing w:val="0"/>
                <w:sz w:val="24"/>
                <w:szCs w:val="24"/>
              </w:rPr>
              <w:t>废水中的污染物主要是CODcr、BOD</w:t>
            </w:r>
            <w:r>
              <w:rPr>
                <w:rFonts w:hint="default" w:ascii="Times New Roman" w:hAnsi="Times New Roman" w:eastAsia="宋体" w:cs="Times New Roman"/>
                <w:color w:val="auto"/>
                <w:spacing w:val="0"/>
                <w:sz w:val="24"/>
                <w:szCs w:val="24"/>
                <w:vertAlign w:val="subscript"/>
              </w:rPr>
              <w:t>5</w:t>
            </w:r>
            <w:r>
              <w:rPr>
                <w:rFonts w:hint="default" w:ascii="Times New Roman" w:hAnsi="Times New Roman" w:eastAsia="宋体" w:cs="Times New Roman"/>
                <w:color w:val="auto"/>
                <w:spacing w:val="0"/>
                <w:sz w:val="24"/>
                <w:szCs w:val="24"/>
              </w:rPr>
              <w:t>、SS</w:t>
            </w:r>
            <w:r>
              <w:rPr>
                <w:rFonts w:hint="default" w:ascii="Times New Roman" w:hAnsi="Times New Roman" w:eastAsia="宋体" w:cs="Times New Roman"/>
                <w:color w:val="auto"/>
                <w:spacing w:val="0"/>
                <w:sz w:val="24"/>
                <w:szCs w:val="24"/>
                <w:lang w:eastAsia="zh-CN"/>
              </w:rPr>
              <w:t>、</w:t>
            </w:r>
            <w:r>
              <w:rPr>
                <w:rFonts w:hint="default" w:ascii="Times New Roman" w:hAnsi="Times New Roman" w:eastAsia="宋体" w:cs="Times New Roman"/>
                <w:color w:val="auto"/>
                <w:spacing w:val="0"/>
                <w:sz w:val="24"/>
                <w:szCs w:val="24"/>
              </w:rPr>
              <w:t>NH</w:t>
            </w:r>
            <w:r>
              <w:rPr>
                <w:rFonts w:hint="default" w:ascii="Times New Roman" w:hAnsi="Times New Roman" w:eastAsia="宋体" w:cs="Times New Roman"/>
                <w:color w:val="auto"/>
                <w:spacing w:val="0"/>
                <w:sz w:val="24"/>
                <w:szCs w:val="24"/>
                <w:vertAlign w:val="subscript"/>
              </w:rPr>
              <w:t>3</w:t>
            </w:r>
            <w:r>
              <w:rPr>
                <w:rFonts w:hint="default" w:ascii="Times New Roman" w:hAnsi="Times New Roman" w:eastAsia="宋体" w:cs="Times New Roman"/>
                <w:color w:val="auto"/>
                <w:spacing w:val="0"/>
                <w:sz w:val="24"/>
                <w:szCs w:val="24"/>
              </w:rPr>
              <w:t>-N</w:t>
            </w:r>
            <w:r>
              <w:rPr>
                <w:rFonts w:hint="default" w:ascii="Times New Roman" w:hAnsi="Times New Roman" w:eastAsia="宋体" w:cs="Times New Roman"/>
                <w:color w:val="auto"/>
                <w:spacing w:val="0"/>
                <w:sz w:val="24"/>
                <w:szCs w:val="24"/>
                <w:lang w:val="en-US" w:eastAsia="zh-CN"/>
              </w:rPr>
              <w:t>以及动植物油</w:t>
            </w:r>
            <w:r>
              <w:rPr>
                <w:rFonts w:hint="default" w:ascii="Times New Roman" w:hAnsi="Times New Roman" w:eastAsia="宋体" w:cs="Times New Roman"/>
                <w:color w:val="auto"/>
                <w:spacing w:val="0"/>
                <w:sz w:val="24"/>
                <w:szCs w:val="24"/>
              </w:rPr>
              <w:t>等。</w:t>
            </w:r>
            <w:r>
              <w:rPr>
                <w:rFonts w:hint="default" w:ascii="Times New Roman" w:hAnsi="Times New Roman" w:eastAsia="宋体" w:cs="Times New Roman"/>
                <w:color w:val="auto"/>
                <w:spacing w:val="0"/>
                <w:position w:val="0"/>
                <w:sz w:val="24"/>
                <w:szCs w:val="24"/>
                <w:lang w:val="en-US" w:eastAsia="zh-CN"/>
              </w:rPr>
              <w:t>厂内建设排污管道排至吉木萨尔县恒信煤炭制品工贸有限公司120万吨煤制品深加工升级改造项目厂内食宿区生活区的地埋式一体化污水处理设备处理后，</w:t>
            </w:r>
            <w:r>
              <w:rPr>
                <w:rFonts w:hint="default" w:ascii="Times New Roman" w:hAnsi="Times New Roman" w:cs="Times New Roman"/>
                <w:color w:val="auto"/>
                <w:sz w:val="24"/>
                <w:szCs w:val="24"/>
                <w:lang w:val="en-US" w:eastAsia="zh-CN"/>
              </w:rPr>
              <w:t>《农村生活污水处理排放标准》（DB654275-2019）中表2农村生活污水处理设施出水用于生态恢复的污染物排放限值A级标准后，冬储夏灌。</w:t>
            </w:r>
          </w:p>
          <w:p w14:paraId="37068428">
            <w:pPr>
              <w:pStyle w:val="10"/>
              <w:keepNext w:val="0"/>
              <w:keepLines w:val="0"/>
              <w:pageBreakBefore w:val="0"/>
              <w:wordWrap/>
              <w:bidi w:val="0"/>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w:t>
            </w:r>
            <w:r>
              <w:rPr>
                <w:rFonts w:hint="default" w:ascii="Times New Roman" w:hAnsi="Times New Roman" w:cs="Times New Roman"/>
                <w:color w:val="auto"/>
                <w:kern w:val="2"/>
                <w:sz w:val="24"/>
                <w:szCs w:val="24"/>
                <w:lang w:val="en-US" w:eastAsia="zh-CN" w:bidi="ar-SA"/>
              </w:rPr>
              <w:t>2</w:t>
            </w:r>
            <w:r>
              <w:rPr>
                <w:rFonts w:hint="default" w:ascii="Times New Roman" w:hAnsi="Times New Roman" w:eastAsia="宋体" w:cs="Times New Roman"/>
                <w:color w:val="auto"/>
                <w:kern w:val="2"/>
                <w:sz w:val="24"/>
                <w:szCs w:val="24"/>
                <w:lang w:val="en-US" w:eastAsia="zh-CN" w:bidi="ar-SA"/>
              </w:rPr>
              <w:t>）</w:t>
            </w:r>
            <w:r>
              <w:rPr>
                <w:rFonts w:hint="default" w:ascii="Times New Roman" w:hAnsi="Times New Roman" w:cs="Times New Roman"/>
                <w:color w:val="auto"/>
                <w:kern w:val="2"/>
                <w:sz w:val="24"/>
                <w:szCs w:val="24"/>
                <w:lang w:val="en-US" w:eastAsia="zh-CN" w:bidi="ar-SA"/>
              </w:rPr>
              <w:t>生产废水</w:t>
            </w:r>
          </w:p>
          <w:p w14:paraId="187B70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①</w:t>
            </w:r>
            <w:r>
              <w:rPr>
                <w:rFonts w:hint="default" w:ascii="Times New Roman" w:hAnsi="Times New Roman" w:eastAsia="宋体" w:cs="Times New Roman"/>
                <w:color w:val="auto"/>
                <w:sz w:val="24"/>
                <w:szCs w:val="24"/>
                <w:lang w:val="en-US" w:eastAsia="zh-CN"/>
              </w:rPr>
              <w:t>锅炉定期排污水</w:t>
            </w:r>
          </w:p>
          <w:p w14:paraId="01B3029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本项目</w:t>
            </w:r>
            <w:r>
              <w:rPr>
                <w:rFonts w:hint="default" w:ascii="Times New Roman" w:hAnsi="Times New Roman" w:cs="Times New Roman"/>
                <w:color w:val="auto"/>
                <w:spacing w:val="-4"/>
                <w:sz w:val="24"/>
                <w:szCs w:val="24"/>
              </w:rPr>
              <w:t>锅炉</w:t>
            </w:r>
            <w:r>
              <w:rPr>
                <w:rFonts w:hint="default" w:ascii="Times New Roman" w:hAnsi="Times New Roman" w:cs="Times New Roman"/>
                <w:color w:val="auto"/>
                <w:spacing w:val="-4"/>
                <w:sz w:val="24"/>
                <w:szCs w:val="24"/>
                <w:lang w:val="en-US" w:eastAsia="zh-CN"/>
              </w:rPr>
              <w:t>为150t/h，</w:t>
            </w:r>
            <w:r>
              <w:rPr>
                <w:rFonts w:hint="default" w:ascii="Times New Roman" w:hAnsi="Times New Roman" w:eastAsia="宋体" w:cs="Times New Roman"/>
                <w:color w:val="auto"/>
                <w:sz w:val="24"/>
                <w:szCs w:val="24"/>
                <w:lang w:val="en-US" w:eastAsia="zh-CN"/>
              </w:rPr>
              <w:t>年运行</w:t>
            </w:r>
            <w:r>
              <w:rPr>
                <w:rFonts w:hint="default" w:ascii="Times New Roman" w:hAnsi="Times New Roman" w:cs="Times New Roman"/>
                <w:color w:val="auto"/>
                <w:sz w:val="24"/>
                <w:szCs w:val="24"/>
                <w:lang w:val="en-US" w:eastAsia="zh-CN"/>
              </w:rPr>
              <w:t>8000h/a。排污损失约</w:t>
            </w:r>
            <w:r>
              <w:rPr>
                <w:rFonts w:hint="default" w:ascii="Times New Roman" w:hAnsi="Times New Roman" w:eastAsia="宋体" w:cs="Times New Roman"/>
                <w:color w:val="auto"/>
                <w:sz w:val="24"/>
                <w:szCs w:val="24"/>
                <w:lang w:val="en-US" w:eastAsia="zh-CN"/>
              </w:rPr>
              <w:t>锅炉最大连续蒸发量的1%，</w:t>
            </w:r>
            <w:r>
              <w:rPr>
                <w:rFonts w:hint="default" w:ascii="Times New Roman" w:hAnsi="Times New Roman" w:cs="Times New Roman"/>
                <w:color w:val="auto"/>
                <w:sz w:val="24"/>
                <w:szCs w:val="24"/>
                <w:lang w:val="en-US" w:eastAsia="zh-CN"/>
              </w:rPr>
              <w:t>经计算</w:t>
            </w:r>
            <w:r>
              <w:rPr>
                <w:rFonts w:hint="default" w:ascii="Times New Roman" w:hAnsi="Times New Roman" w:eastAsia="宋体" w:cs="Times New Roman"/>
                <w:color w:val="auto"/>
                <w:sz w:val="24"/>
                <w:szCs w:val="24"/>
                <w:lang w:val="en-US" w:eastAsia="zh-CN"/>
              </w:rPr>
              <w:t>定期排污水量约为</w:t>
            </w:r>
            <w:r>
              <w:rPr>
                <w:rFonts w:hint="default" w:ascii="Times New Roman" w:hAnsi="Times New Roman" w:cs="Times New Roman"/>
                <w:color w:val="auto"/>
                <w:sz w:val="24"/>
                <w:szCs w:val="24"/>
                <w:lang w:val="en-US" w:eastAsia="zh-CN"/>
              </w:rPr>
              <w:t>1.5</w:t>
            </w:r>
            <w:r>
              <w:rPr>
                <w:rFonts w:hint="default" w:ascii="Times New Roman" w:hAnsi="Times New Roman" w:eastAsia="宋体" w:cs="Times New Roman"/>
                <w:color w:val="auto"/>
                <w:sz w:val="24"/>
                <w:szCs w:val="24"/>
                <w:lang w:val="en-US" w:eastAsia="zh-CN"/>
              </w:rPr>
              <w:t>t/</w:t>
            </w:r>
            <w:r>
              <w:rPr>
                <w:rFonts w:hint="default" w:ascii="Times New Roman" w:hAnsi="Times New Roman" w:cs="Times New Roman"/>
                <w:color w:val="auto"/>
                <w:sz w:val="24"/>
                <w:szCs w:val="24"/>
                <w:lang w:val="en-US" w:eastAsia="zh-CN"/>
              </w:rPr>
              <w:t>h</w:t>
            </w:r>
            <w:r>
              <w:rPr>
                <w:rFonts w:hint="default" w:ascii="Times New Roman" w:hAnsi="Times New Roman" w:eastAsia="宋体" w:cs="Times New Roman"/>
                <w:color w:val="auto"/>
                <w:sz w:val="24"/>
                <w:szCs w:val="24"/>
                <w:lang w:val="en-US" w:eastAsia="zh-CN"/>
              </w:rPr>
              <w:t>（</w:t>
            </w:r>
            <w:r>
              <w:rPr>
                <w:rFonts w:hint="default" w:ascii="Times New Roman" w:hAnsi="Times New Roman" w:cs="Times New Roman"/>
                <w:color w:val="auto"/>
                <w:sz w:val="24"/>
                <w:szCs w:val="24"/>
                <w:lang w:val="en-US" w:eastAsia="zh-CN"/>
              </w:rPr>
              <w:t>12000</w:t>
            </w:r>
            <w:r>
              <w:rPr>
                <w:rFonts w:hint="default" w:ascii="Times New Roman" w:hAnsi="Times New Roman" w:eastAsia="宋体" w:cs="Times New Roman"/>
                <w:color w:val="auto"/>
                <w:sz w:val="24"/>
                <w:szCs w:val="24"/>
                <w:lang w:val="en-US" w:eastAsia="zh-CN"/>
              </w:rPr>
              <w:t>t/a）</w:t>
            </w:r>
            <w:r>
              <w:rPr>
                <w:rFonts w:hint="default" w:ascii="Times New Roman" w:hAnsi="Times New Roman" w:cs="Times New Roman"/>
                <w:color w:val="auto"/>
                <w:sz w:val="24"/>
                <w:szCs w:val="24"/>
                <w:lang w:val="en-US" w:eastAsia="zh-CN"/>
              </w:rPr>
              <w:t>。锅炉定期排污水</w:t>
            </w:r>
            <w:r>
              <w:rPr>
                <w:rFonts w:hint="default" w:ascii="Times New Roman" w:hAnsi="Times New Roman" w:eastAsia="宋体" w:cs="Times New Roman"/>
                <w:color w:val="auto"/>
                <w:sz w:val="24"/>
                <w:szCs w:val="24"/>
                <w:lang w:val="en-US" w:eastAsia="zh-CN"/>
              </w:rPr>
              <w:t>通过排污扩容器减压后排至排污降温池，</w:t>
            </w:r>
            <w:r>
              <w:rPr>
                <w:rFonts w:hint="default" w:ascii="Times New Roman" w:hAnsi="Times New Roman" w:cs="Times New Roman"/>
                <w:color w:val="auto"/>
                <w:sz w:val="24"/>
                <w:szCs w:val="24"/>
                <w:lang w:val="en-US" w:eastAsia="zh-CN"/>
              </w:rPr>
              <w:t>与新鲜水10</w:t>
            </w:r>
            <w:r>
              <w:rPr>
                <w:rFonts w:hint="default" w:ascii="Times New Roman" w:hAnsi="Times New Roman" w:eastAsia="宋体" w:cs="Times New Roman"/>
                <w:color w:val="auto"/>
                <w:sz w:val="24"/>
                <w:szCs w:val="24"/>
                <w:lang w:val="en-US" w:eastAsia="zh-CN"/>
              </w:rPr>
              <w:t>t/</w:t>
            </w:r>
            <w:r>
              <w:rPr>
                <w:rFonts w:hint="default" w:ascii="Times New Roman" w:hAnsi="Times New Roman" w:cs="Times New Roman"/>
                <w:color w:val="auto"/>
                <w:sz w:val="24"/>
                <w:szCs w:val="24"/>
                <w:lang w:val="en-US" w:eastAsia="zh-CN"/>
              </w:rPr>
              <w:t>h</w:t>
            </w:r>
            <w:r>
              <w:rPr>
                <w:rFonts w:hint="default" w:ascii="Times New Roman" w:hAnsi="Times New Roman" w:eastAsia="宋体" w:cs="Times New Roman"/>
                <w:color w:val="auto"/>
                <w:sz w:val="24"/>
                <w:szCs w:val="24"/>
                <w:lang w:val="en-US" w:eastAsia="zh-CN"/>
              </w:rPr>
              <w:t>（80000t/a）</w:t>
            </w:r>
            <w:r>
              <w:rPr>
                <w:rFonts w:hint="default" w:ascii="Times New Roman" w:hAnsi="Times New Roman" w:cs="Times New Roman"/>
                <w:color w:val="auto"/>
                <w:sz w:val="24"/>
                <w:szCs w:val="24"/>
                <w:lang w:val="en-US" w:eastAsia="zh-CN"/>
              </w:rPr>
              <w:t>进行混合冷却，</w:t>
            </w:r>
            <w:r>
              <w:rPr>
                <w:rFonts w:hint="default" w:ascii="Times New Roman" w:hAnsi="Times New Roman" w:eastAsia="宋体" w:cs="Times New Roman"/>
                <w:color w:val="auto"/>
                <w:sz w:val="24"/>
                <w:szCs w:val="24"/>
                <w:lang w:val="en-US" w:eastAsia="zh-CN"/>
              </w:rPr>
              <w:t>降温至40℃以下</w:t>
            </w:r>
            <w:r>
              <w:rPr>
                <w:rFonts w:hint="default" w:ascii="Times New Roman" w:hAnsi="Times New Roman" w:cs="Times New Roman"/>
                <w:color w:val="auto"/>
                <w:sz w:val="24"/>
                <w:szCs w:val="24"/>
                <w:lang w:val="en-US" w:eastAsia="zh-CN"/>
              </w:rPr>
              <w:t>和降温用水量作为脱硫系统补充水。</w:t>
            </w:r>
          </w:p>
          <w:p w14:paraId="296F59D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cs="Times New Roman"/>
                <w:snapToGrid w:val="0"/>
                <w:color w:val="auto"/>
                <w:kern w:val="2"/>
                <w:sz w:val="24"/>
                <w:szCs w:val="24"/>
                <w:lang w:val="en-US" w:eastAsia="zh-CN" w:bidi="ar-SA"/>
              </w:rPr>
            </w:pPr>
            <w:r>
              <w:rPr>
                <w:rFonts w:hint="default" w:ascii="Times New Roman" w:hAnsi="Times New Roman" w:cs="Times New Roman"/>
                <w:snapToGrid w:val="0"/>
                <w:color w:val="auto"/>
                <w:kern w:val="2"/>
                <w:sz w:val="24"/>
                <w:szCs w:val="24"/>
                <w:lang w:val="en-US" w:eastAsia="zh-CN" w:bidi="ar-SA"/>
              </w:rPr>
              <w:t>②冷却系统废水</w:t>
            </w:r>
          </w:p>
          <w:p w14:paraId="4D4901EB">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cs="Times New Roman"/>
                <w:snapToGrid w:val="0"/>
                <w:color w:val="auto"/>
                <w:kern w:val="2"/>
                <w:sz w:val="24"/>
                <w:szCs w:val="24"/>
                <w:vertAlign w:val="baseline"/>
                <w:lang w:val="en-US" w:eastAsia="zh-CN" w:bidi="ar-SA"/>
              </w:rPr>
            </w:pPr>
            <w:r>
              <w:rPr>
                <w:rFonts w:hint="default" w:ascii="Times New Roman" w:hAnsi="Times New Roman" w:cs="Times New Roman"/>
                <w:snapToGrid w:val="0"/>
                <w:color w:val="auto"/>
                <w:kern w:val="2"/>
                <w:sz w:val="24"/>
                <w:szCs w:val="24"/>
                <w:lang w:val="en-US" w:eastAsia="zh-CN" w:bidi="ar-SA"/>
              </w:rPr>
              <w:t>冷却塔循环水量为667t/h，冷却塔在循环冷却水系统中，冷却塔排污损失P3为0.4%，2.67t/h（21360</w:t>
            </w:r>
            <w:r>
              <w:rPr>
                <w:rFonts w:hint="default" w:ascii="Times New Roman" w:hAnsi="Times New Roman" w:eastAsia="宋体" w:cs="Times New Roman"/>
                <w:color w:val="auto"/>
                <w:sz w:val="24"/>
                <w:szCs w:val="24"/>
                <w:lang w:val="en-US" w:eastAsia="zh-CN"/>
              </w:rPr>
              <w:t>t/a</w:t>
            </w:r>
            <w:r>
              <w:rPr>
                <w:rFonts w:hint="default" w:ascii="Times New Roman" w:hAnsi="Times New Roman" w:cs="Times New Roman"/>
                <w:snapToGrid w:val="0"/>
                <w:color w:val="auto"/>
                <w:kern w:val="2"/>
                <w:sz w:val="24"/>
                <w:szCs w:val="24"/>
                <w:lang w:val="en-US" w:eastAsia="zh-CN" w:bidi="ar-SA"/>
              </w:rPr>
              <w:t>），</w:t>
            </w:r>
            <w:r>
              <w:rPr>
                <w:rFonts w:hint="default" w:ascii="Times New Roman" w:hAnsi="Times New Roman" w:cs="Times New Roman"/>
                <w:color w:val="auto"/>
                <w:sz w:val="24"/>
                <w:szCs w:val="24"/>
                <w:lang w:val="en-US" w:eastAsia="zh-CN"/>
              </w:rPr>
              <w:t>循环系统排污水排入厂内回用水池，作为脱硫系统补充水。</w:t>
            </w:r>
          </w:p>
          <w:p w14:paraId="6F5125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③</w:t>
            </w:r>
            <w:r>
              <w:rPr>
                <w:rFonts w:hint="default" w:ascii="Times New Roman" w:hAnsi="Times New Roman" w:eastAsia="宋体" w:cs="Times New Roman"/>
                <w:color w:val="auto"/>
                <w:sz w:val="24"/>
                <w:szCs w:val="24"/>
                <w:lang w:val="en-US" w:eastAsia="zh-CN"/>
              </w:rPr>
              <w:t>软水制备</w:t>
            </w:r>
            <w:r>
              <w:rPr>
                <w:rFonts w:hint="default" w:ascii="Times New Roman" w:hAnsi="Times New Roman" w:cs="Times New Roman"/>
                <w:color w:val="auto"/>
                <w:sz w:val="24"/>
                <w:szCs w:val="24"/>
                <w:lang w:val="en-US" w:eastAsia="zh-CN"/>
              </w:rPr>
              <w:t>废</w:t>
            </w:r>
            <w:r>
              <w:rPr>
                <w:rFonts w:hint="default" w:ascii="Times New Roman" w:hAnsi="Times New Roman" w:eastAsia="宋体" w:cs="Times New Roman"/>
                <w:color w:val="auto"/>
                <w:sz w:val="24"/>
                <w:szCs w:val="24"/>
                <w:lang w:val="en-US" w:eastAsia="zh-CN"/>
              </w:rPr>
              <w:t>水</w:t>
            </w:r>
          </w:p>
          <w:p w14:paraId="25A9B1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本项目</w:t>
            </w:r>
            <w:r>
              <w:rPr>
                <w:rFonts w:hint="default" w:ascii="Times New Roman" w:hAnsi="Times New Roman" w:eastAsia="宋体" w:cs="Times New Roman"/>
                <w:color w:val="auto"/>
                <w:sz w:val="24"/>
                <w:szCs w:val="24"/>
                <w:lang w:val="en-US" w:eastAsia="zh-CN"/>
              </w:rPr>
              <w:t>软化水产水率</w:t>
            </w:r>
            <w:r>
              <w:rPr>
                <w:rFonts w:hint="default" w:ascii="Times New Roman" w:hAnsi="Times New Roman" w:cs="Times New Roman"/>
                <w:color w:val="auto"/>
                <w:sz w:val="24"/>
                <w:szCs w:val="24"/>
                <w:lang w:val="en-US" w:eastAsia="zh-CN"/>
              </w:rPr>
              <w:t>为66</w:t>
            </w:r>
            <w:r>
              <w:rPr>
                <w:rFonts w:hint="default" w:ascii="Times New Roman" w:hAnsi="Times New Roman" w:eastAsia="宋体" w:cs="Times New Roman"/>
                <w:color w:val="auto"/>
                <w:sz w:val="24"/>
                <w:szCs w:val="24"/>
                <w:lang w:val="en-US" w:eastAsia="zh-CN"/>
              </w:rPr>
              <w:t>%，软化水制备新鲜水用量为</w:t>
            </w:r>
            <w:r>
              <w:rPr>
                <w:rFonts w:hint="default" w:ascii="Times New Roman" w:hAnsi="Times New Roman" w:cs="Times New Roman"/>
                <w:color w:val="auto"/>
                <w:sz w:val="24"/>
                <w:szCs w:val="24"/>
                <w:lang w:val="en-US" w:eastAsia="zh-CN"/>
              </w:rPr>
              <w:t>25</w:t>
            </w:r>
            <w:r>
              <w:rPr>
                <w:rFonts w:hint="default" w:ascii="Times New Roman" w:hAnsi="Times New Roman" w:eastAsia="宋体" w:cs="Times New Roman"/>
                <w:color w:val="auto"/>
                <w:sz w:val="24"/>
                <w:szCs w:val="24"/>
                <w:lang w:val="en-US" w:eastAsia="zh-CN"/>
              </w:rPr>
              <w:t>t/</w:t>
            </w:r>
            <w:r>
              <w:rPr>
                <w:rFonts w:hint="default" w:ascii="Times New Roman" w:hAnsi="Times New Roman" w:cs="Times New Roman"/>
                <w:color w:val="auto"/>
                <w:sz w:val="24"/>
                <w:szCs w:val="24"/>
                <w:lang w:val="en-US" w:eastAsia="zh-CN"/>
              </w:rPr>
              <w:t>h</w:t>
            </w:r>
            <w:r>
              <w:rPr>
                <w:rFonts w:hint="default" w:ascii="Times New Roman" w:hAnsi="Times New Roman" w:eastAsia="宋体" w:cs="Times New Roman"/>
                <w:color w:val="auto"/>
                <w:sz w:val="24"/>
                <w:szCs w:val="24"/>
                <w:lang w:val="en-US" w:eastAsia="zh-CN"/>
              </w:rPr>
              <w:t>（</w:t>
            </w:r>
            <w:r>
              <w:rPr>
                <w:rFonts w:hint="default" w:ascii="Times New Roman" w:hAnsi="Times New Roman" w:cs="Times New Roman"/>
                <w:color w:val="auto"/>
                <w:sz w:val="24"/>
                <w:szCs w:val="24"/>
                <w:lang w:val="en-US" w:eastAsia="zh-CN"/>
              </w:rPr>
              <w:t>200000</w:t>
            </w:r>
            <w:r>
              <w:rPr>
                <w:rFonts w:hint="default" w:ascii="Times New Roman" w:hAnsi="Times New Roman" w:eastAsia="宋体" w:cs="Times New Roman"/>
                <w:color w:val="auto"/>
                <w:sz w:val="24"/>
                <w:szCs w:val="24"/>
                <w:lang w:val="en-US" w:eastAsia="zh-CN"/>
              </w:rPr>
              <w:t>t/a），则年废水产生量为</w:t>
            </w:r>
            <w:r>
              <w:rPr>
                <w:rFonts w:hint="default" w:ascii="Times New Roman" w:hAnsi="Times New Roman" w:cs="Times New Roman"/>
                <w:color w:val="auto"/>
                <w:sz w:val="24"/>
                <w:szCs w:val="24"/>
                <w:lang w:val="en-US" w:eastAsia="zh-CN"/>
              </w:rPr>
              <w:t>8.5</w:t>
            </w:r>
            <w:r>
              <w:rPr>
                <w:rFonts w:hint="default" w:ascii="Times New Roman" w:hAnsi="Times New Roman" w:eastAsia="宋体" w:cs="Times New Roman"/>
                <w:color w:val="auto"/>
                <w:sz w:val="24"/>
                <w:szCs w:val="24"/>
                <w:lang w:val="en-US" w:eastAsia="zh-CN"/>
              </w:rPr>
              <w:t>t/</w:t>
            </w:r>
            <w:r>
              <w:rPr>
                <w:rFonts w:hint="default" w:ascii="Times New Roman" w:hAnsi="Times New Roman" w:cs="Times New Roman"/>
                <w:color w:val="auto"/>
                <w:sz w:val="24"/>
                <w:szCs w:val="24"/>
                <w:lang w:val="en-US" w:eastAsia="zh-CN"/>
              </w:rPr>
              <w:t>h</w:t>
            </w:r>
            <w:r>
              <w:rPr>
                <w:rFonts w:hint="default" w:ascii="Times New Roman" w:hAnsi="Times New Roman" w:eastAsia="宋体" w:cs="Times New Roman"/>
                <w:color w:val="auto"/>
                <w:sz w:val="24"/>
                <w:szCs w:val="24"/>
                <w:lang w:val="en-US" w:eastAsia="zh-CN"/>
              </w:rPr>
              <w:t>（</w:t>
            </w:r>
            <w:r>
              <w:rPr>
                <w:rFonts w:hint="default" w:ascii="Times New Roman" w:hAnsi="Times New Roman" w:cs="Times New Roman"/>
                <w:color w:val="auto"/>
                <w:sz w:val="24"/>
                <w:szCs w:val="24"/>
                <w:lang w:val="en-US" w:eastAsia="zh-CN"/>
              </w:rPr>
              <w:t>68000</w:t>
            </w:r>
            <w:r>
              <w:rPr>
                <w:rFonts w:hint="default" w:ascii="Times New Roman" w:hAnsi="Times New Roman" w:eastAsia="宋体" w:cs="Times New Roman"/>
                <w:color w:val="auto"/>
                <w:sz w:val="24"/>
                <w:szCs w:val="24"/>
                <w:lang w:val="en-US" w:eastAsia="zh-CN"/>
              </w:rPr>
              <w:t>t/a），</w:t>
            </w:r>
            <w:r>
              <w:rPr>
                <w:rFonts w:hint="default" w:ascii="Times New Roman" w:hAnsi="Times New Roman" w:cs="Times New Roman"/>
                <w:color w:val="auto"/>
                <w:sz w:val="24"/>
                <w:szCs w:val="24"/>
                <w:lang w:val="en-US" w:eastAsia="zh-CN"/>
              </w:rPr>
              <w:t>浓盐水排入回用水池，用作脱硫系统补充用水。</w:t>
            </w:r>
          </w:p>
          <w:p w14:paraId="28A03D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FF0000"/>
                <w:spacing w:val="0"/>
                <w:sz w:val="24"/>
                <w:szCs w:val="24"/>
                <w:lang w:val="en-US" w:eastAsia="zh-CN" w:bidi="ar-SA"/>
              </w:rPr>
            </w:pPr>
            <w:r>
              <w:rPr>
                <w:rFonts w:hint="default" w:ascii="Times New Roman" w:hAnsi="Times New Roman" w:cs="Times New Roman"/>
                <w:color w:val="FF0000"/>
                <w:spacing w:val="0"/>
                <w:sz w:val="24"/>
                <w:szCs w:val="24"/>
                <w:lang w:val="en-US" w:eastAsia="zh-CN" w:bidi="ar-SA"/>
              </w:rPr>
              <w:t>④脱硫系统定期排污水</w:t>
            </w:r>
          </w:p>
          <w:p w14:paraId="263C7F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eastAsia="宋体" w:cs="Times New Roman"/>
                <w:color w:val="auto"/>
                <w:spacing w:val="-1"/>
                <w:sz w:val="24"/>
                <w:szCs w:val="24"/>
                <w:lang w:val="en-US" w:eastAsia="zh-CN"/>
              </w:rPr>
            </w:pPr>
            <w:r>
              <w:rPr>
                <w:rFonts w:hint="default" w:ascii="Times New Roman" w:hAnsi="Times New Roman" w:cs="Times New Roman"/>
                <w:color w:val="auto"/>
                <w:sz w:val="24"/>
                <w:szCs w:val="24"/>
                <w:lang w:val="en-US" w:eastAsia="zh-CN"/>
              </w:rPr>
              <w:t>根据设计文件，脱硫系统循环水量40t</w:t>
            </w:r>
            <w:r>
              <w:rPr>
                <w:rFonts w:hint="default" w:ascii="Times New Roman" w:hAnsi="Times New Roman" w:cs="Times New Roman"/>
                <w:color w:val="auto"/>
                <w:sz w:val="24"/>
                <w:szCs w:val="24"/>
                <w:vertAlign w:val="baseline"/>
                <w:lang w:val="en-US" w:eastAsia="zh-CN"/>
              </w:rPr>
              <w:t>/h，</w:t>
            </w:r>
            <w:r>
              <w:rPr>
                <w:rFonts w:hint="default" w:ascii="Times New Roman" w:hAnsi="Times New Roman" w:cs="Times New Roman"/>
                <w:color w:val="auto"/>
                <w:sz w:val="24"/>
                <w:szCs w:val="24"/>
                <w:lang w:val="en-US" w:eastAsia="zh-CN"/>
              </w:rPr>
              <w:t>为维持脱硫装置正常运行，补充因蒸发、排污、工艺消耗等损失，需要定期进行补水，脱硫系统补</w:t>
            </w:r>
            <w:r>
              <w:rPr>
                <w:rFonts w:hint="default" w:ascii="Times New Roman" w:hAnsi="Times New Roman" w:eastAsia="宋体" w:cs="Times New Roman"/>
                <w:color w:val="auto"/>
                <w:spacing w:val="-1"/>
                <w:sz w:val="24"/>
                <w:szCs w:val="24"/>
                <w:lang w:val="en-US" w:eastAsia="zh-CN"/>
              </w:rPr>
              <w:t>充水量为24t/h，其中</w:t>
            </w:r>
            <w:r>
              <w:rPr>
                <w:rFonts w:hint="default" w:ascii="Times New Roman" w:hAnsi="Times New Roman" w:cs="Times New Roman"/>
                <w:color w:val="auto"/>
                <w:spacing w:val="-1"/>
                <w:sz w:val="24"/>
                <w:szCs w:val="24"/>
                <w:lang w:val="en-US" w:eastAsia="zh-CN"/>
              </w:rPr>
              <w:t>11.31</w:t>
            </w:r>
            <w:r>
              <w:rPr>
                <w:rFonts w:hint="default" w:ascii="Times New Roman" w:hAnsi="Times New Roman" w:eastAsia="宋体" w:cs="Times New Roman"/>
                <w:color w:val="auto"/>
                <w:spacing w:val="-1"/>
                <w:sz w:val="24"/>
                <w:szCs w:val="24"/>
                <w:lang w:val="en-US" w:eastAsia="zh-CN"/>
              </w:rPr>
              <w:t>t/h为新鲜水，</w:t>
            </w:r>
            <w:r>
              <w:rPr>
                <w:rFonts w:hint="default" w:ascii="Times New Roman" w:hAnsi="Times New Roman" w:cs="Times New Roman"/>
                <w:color w:val="auto"/>
                <w:spacing w:val="-1"/>
                <w:sz w:val="24"/>
                <w:szCs w:val="24"/>
                <w:lang w:val="en-US" w:eastAsia="zh-CN"/>
              </w:rPr>
              <w:t>11.19</w:t>
            </w:r>
            <w:r>
              <w:rPr>
                <w:rFonts w:hint="default" w:ascii="Times New Roman" w:hAnsi="Times New Roman" w:eastAsia="宋体" w:cs="Times New Roman"/>
                <w:color w:val="auto"/>
                <w:spacing w:val="-1"/>
                <w:sz w:val="24"/>
                <w:szCs w:val="24"/>
                <w:lang w:val="en-US" w:eastAsia="zh-CN"/>
              </w:rPr>
              <w:t>t/h为回用水池水，</w:t>
            </w:r>
            <w:r>
              <w:rPr>
                <w:rFonts w:hint="default" w:ascii="Times New Roman" w:hAnsi="Times New Roman" w:cs="Times New Roman"/>
                <w:color w:val="auto"/>
                <w:spacing w:val="-1"/>
                <w:sz w:val="24"/>
                <w:szCs w:val="24"/>
                <w:lang w:val="en-US" w:eastAsia="zh-CN"/>
              </w:rPr>
              <w:t>1.50</w:t>
            </w:r>
            <w:r>
              <w:rPr>
                <w:rFonts w:hint="default" w:ascii="Times New Roman" w:hAnsi="Times New Roman" w:eastAsia="宋体" w:cs="Times New Roman"/>
                <w:color w:val="auto"/>
                <w:spacing w:val="-1"/>
                <w:sz w:val="24"/>
                <w:szCs w:val="24"/>
                <w:lang w:val="en-US" w:eastAsia="zh-CN"/>
              </w:rPr>
              <w:t>t/h为厂内定排坑水。石灰石-石膏湿法脱硫系统中，定期排污水</w:t>
            </w:r>
            <w:r>
              <w:rPr>
                <w:rFonts w:hint="default" w:ascii="Times New Roman" w:hAnsi="Times New Roman" w:cs="Times New Roman"/>
                <w:color w:val="auto"/>
                <w:spacing w:val="-1"/>
                <w:sz w:val="24"/>
                <w:szCs w:val="24"/>
                <w:lang w:val="en-US" w:eastAsia="zh-CN"/>
              </w:rPr>
              <w:t>的</w:t>
            </w:r>
            <w:r>
              <w:rPr>
                <w:rFonts w:hint="default" w:ascii="Times New Roman" w:hAnsi="Times New Roman" w:eastAsia="宋体" w:cs="Times New Roman"/>
                <w:color w:val="auto"/>
                <w:spacing w:val="-1"/>
                <w:sz w:val="24"/>
                <w:szCs w:val="24"/>
                <w:lang w:val="en-US" w:eastAsia="zh-CN"/>
              </w:rPr>
              <w:t>脱硫废水占系统总损失</w:t>
            </w:r>
            <w:r>
              <w:rPr>
                <w:rFonts w:hint="default" w:ascii="Times New Roman" w:hAnsi="Times New Roman" w:cs="Times New Roman"/>
                <w:color w:val="auto"/>
                <w:spacing w:val="-1"/>
                <w:sz w:val="24"/>
                <w:szCs w:val="24"/>
                <w:lang w:val="en-US" w:eastAsia="zh-CN"/>
              </w:rPr>
              <w:t>水</w:t>
            </w:r>
            <w:r>
              <w:rPr>
                <w:rFonts w:hint="default" w:ascii="Times New Roman" w:hAnsi="Times New Roman" w:eastAsia="宋体" w:cs="Times New Roman"/>
                <w:color w:val="auto"/>
                <w:spacing w:val="-1"/>
                <w:sz w:val="24"/>
                <w:szCs w:val="24"/>
                <w:lang w:val="en-US" w:eastAsia="zh-CN"/>
              </w:rPr>
              <w:t>的比例为5%</w:t>
            </w:r>
            <w:r>
              <w:rPr>
                <w:rFonts w:hint="default" w:ascii="Times New Roman" w:hAnsi="Times New Roman" w:cs="Times New Roman"/>
                <w:color w:val="auto"/>
                <w:spacing w:val="-1"/>
                <w:sz w:val="24"/>
                <w:szCs w:val="24"/>
                <w:lang w:val="en-US" w:eastAsia="zh-CN"/>
              </w:rPr>
              <w:t>（1.20t/h，9600</w:t>
            </w:r>
            <w:r>
              <w:rPr>
                <w:rFonts w:hint="default" w:ascii="Times New Roman" w:hAnsi="Times New Roman" w:eastAsia="宋体" w:cs="Times New Roman"/>
                <w:color w:val="auto"/>
                <w:sz w:val="24"/>
                <w:szCs w:val="24"/>
                <w:lang w:val="en-US" w:eastAsia="zh-CN"/>
              </w:rPr>
              <w:t>/a</w:t>
            </w:r>
            <w:r>
              <w:rPr>
                <w:rFonts w:hint="default" w:ascii="Times New Roman" w:hAnsi="Times New Roman" w:cs="Times New Roman"/>
                <w:color w:val="auto"/>
                <w:spacing w:val="-1"/>
                <w:sz w:val="24"/>
                <w:szCs w:val="24"/>
                <w:lang w:val="en-US" w:eastAsia="zh-CN"/>
              </w:rPr>
              <w:t>），用于石灰石粉卸料和运输过程抑尘。</w:t>
            </w:r>
          </w:p>
          <w:p w14:paraId="04226D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⑤化验室检验常规废水</w:t>
            </w:r>
          </w:p>
          <w:p w14:paraId="534383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若化验过程仅使用常规试剂（如pH缓冲液、电导校准液、普通显色剂等），且常规中不含有毒有害特征污染物（如重金属超标、有机毒物等），经中和处理后，可纳入企业废水处理系统，不属于危险废物。其中检验用水中约70%（0.53t/h，177.02t/a）为常规检验废水，经中和处理后排入回用水池，作为脱硫用水。</w:t>
            </w:r>
          </w:p>
          <w:p w14:paraId="19EAD9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pacing w:val="0"/>
                <w:position w:val="0"/>
                <w:sz w:val="24"/>
                <w:szCs w:val="24"/>
                <w:lang w:val="en-US" w:eastAsia="zh-CN"/>
              </w:rPr>
            </w:pPr>
            <w:r>
              <w:rPr>
                <w:rFonts w:hint="default" w:ascii="Times New Roman" w:hAnsi="Times New Roman" w:eastAsia="宋体" w:cs="Times New Roman"/>
                <w:color w:val="auto"/>
                <w:spacing w:val="0"/>
                <w:position w:val="0"/>
                <w:sz w:val="24"/>
                <w:szCs w:val="24"/>
                <w:lang w:val="en-US" w:eastAsia="zh-CN"/>
              </w:rPr>
              <w:t>综上，本项目生产废水回用于各生产工序，因此无外排生产废水。</w:t>
            </w:r>
          </w:p>
          <w:p w14:paraId="6FC27A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
                <w:color w:val="auto"/>
                <w:sz w:val="24"/>
                <w:szCs w:val="24"/>
              </w:rPr>
            </w:pPr>
            <w:r>
              <w:rPr>
                <w:rFonts w:hint="default" w:ascii="Times New Roman" w:hAnsi="Times New Roman" w:eastAsia="宋体" w:cs="Times New Roman"/>
                <w:snapToGrid w:val="0"/>
                <w:color w:val="auto"/>
                <w:kern w:val="0"/>
                <w:sz w:val="24"/>
                <w:szCs w:val="24"/>
              </w:rPr>
              <w:t>本项目</w:t>
            </w:r>
            <w:r>
              <w:rPr>
                <w:rFonts w:hint="default" w:ascii="Times New Roman" w:hAnsi="Times New Roman" w:cs="Times New Roman"/>
                <w:snapToGrid w:val="0"/>
                <w:color w:val="auto"/>
                <w:kern w:val="0"/>
                <w:sz w:val="24"/>
                <w:szCs w:val="24"/>
                <w:lang w:val="en-US" w:eastAsia="zh-CN"/>
              </w:rPr>
              <w:t>生活污水排放</w:t>
            </w:r>
            <w:r>
              <w:rPr>
                <w:rFonts w:hint="default" w:ascii="Times New Roman" w:hAnsi="Times New Roman" w:eastAsia="宋体" w:cs="Times New Roman"/>
                <w:color w:val="auto"/>
                <w:sz w:val="24"/>
                <w:szCs w:val="24"/>
              </w:rPr>
              <w:t>情况见表</w:t>
            </w:r>
            <w:r>
              <w:rPr>
                <w:rFonts w:hint="default" w:ascii="Times New Roman" w:hAnsi="Times New Roman" w:cs="Times New Roman"/>
                <w:color w:val="auto"/>
                <w:sz w:val="24"/>
                <w:szCs w:val="24"/>
                <w:lang w:val="en-US" w:eastAsia="zh-CN"/>
              </w:rPr>
              <w:t>4-8</w:t>
            </w:r>
            <w:r>
              <w:rPr>
                <w:rFonts w:hint="default" w:ascii="Times New Roman" w:hAnsi="Times New Roman" w:eastAsia="宋体" w:cs="Times New Roman"/>
                <w:color w:val="auto"/>
                <w:sz w:val="24"/>
                <w:szCs w:val="24"/>
                <w:lang w:eastAsia="zh-CN"/>
              </w:rPr>
              <w:t>。</w:t>
            </w:r>
          </w:p>
          <w:p w14:paraId="7197953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3"/>
                <w:sz w:val="21"/>
                <w:szCs w:val="21"/>
                <w:lang w:val="en-US" w:eastAsia="zh-CN"/>
              </w:rPr>
            </w:pPr>
            <w:r>
              <w:rPr>
                <w:rFonts w:hint="default" w:ascii="Times New Roman" w:hAnsi="Times New Roman" w:eastAsia="宋体" w:cs="Times New Roman"/>
                <w:b/>
                <w:bCs/>
                <w:color w:val="auto"/>
                <w:kern w:val="2"/>
                <w:sz w:val="21"/>
                <w:szCs w:val="21"/>
                <w:highlight w:val="none"/>
                <w:lang w:val="en-US" w:eastAsia="zh-CN" w:bidi="ar-SA"/>
              </w:rPr>
              <w:t>表4-</w:t>
            </w:r>
            <w:r>
              <w:rPr>
                <w:rFonts w:hint="default" w:ascii="Times New Roman" w:hAnsi="Times New Roman" w:cs="Times New Roman"/>
                <w:b/>
                <w:bCs/>
                <w:color w:val="auto"/>
                <w:kern w:val="2"/>
                <w:sz w:val="21"/>
                <w:szCs w:val="21"/>
                <w:highlight w:val="none"/>
                <w:lang w:val="en-US" w:eastAsia="zh-CN" w:bidi="ar-SA"/>
              </w:rPr>
              <w:t>8</w:t>
            </w:r>
            <w:r>
              <w:rPr>
                <w:rFonts w:hint="default" w:ascii="Times New Roman" w:hAnsi="Times New Roman" w:eastAsia="宋体" w:cs="Times New Roman"/>
                <w:b/>
                <w:bCs/>
                <w:color w:val="auto"/>
                <w:kern w:val="2"/>
                <w:sz w:val="21"/>
                <w:szCs w:val="21"/>
                <w:highlight w:val="none"/>
                <w:lang w:val="en-US" w:eastAsia="zh-CN" w:bidi="ar-SA"/>
              </w:rPr>
              <w:t>本项目</w:t>
            </w:r>
            <w:r>
              <w:rPr>
                <w:rFonts w:hint="default" w:ascii="Times New Roman" w:hAnsi="Times New Roman" w:cs="Times New Roman"/>
                <w:b/>
                <w:bCs/>
                <w:color w:val="auto"/>
                <w:kern w:val="2"/>
                <w:sz w:val="21"/>
                <w:szCs w:val="21"/>
                <w:highlight w:val="none"/>
                <w:lang w:val="en-US" w:eastAsia="zh-CN" w:bidi="ar-SA"/>
              </w:rPr>
              <w:t>生活污水</w:t>
            </w:r>
            <w:r>
              <w:rPr>
                <w:rFonts w:hint="default" w:ascii="Times New Roman" w:hAnsi="Times New Roman" w:eastAsia="宋体" w:cs="Times New Roman"/>
                <w:b/>
                <w:bCs/>
                <w:color w:val="auto"/>
                <w:kern w:val="2"/>
                <w:sz w:val="21"/>
                <w:szCs w:val="21"/>
                <w:highlight w:val="none"/>
                <w:lang w:val="en-US" w:eastAsia="zh-CN" w:bidi="ar-SA"/>
              </w:rPr>
              <w:t>污染物排放量</w:t>
            </w:r>
          </w:p>
          <w:tbl>
            <w:tblPr>
              <w:tblStyle w:val="32"/>
              <w:tblW w:w="8186" w:type="dxa"/>
              <w:tblInd w:w="-3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908"/>
              <w:gridCol w:w="938"/>
              <w:gridCol w:w="975"/>
              <w:gridCol w:w="813"/>
              <w:gridCol w:w="1139"/>
              <w:gridCol w:w="1186"/>
              <w:gridCol w:w="1227"/>
            </w:tblGrid>
            <w:tr w14:paraId="1CFDE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1908" w:type="dxa"/>
                  <w:tcBorders>
                    <w:top w:val="single" w:color="000000" w:sz="12" w:space="0"/>
                    <w:left w:val="single" w:color="000000" w:sz="12" w:space="0"/>
                    <w:bottom w:val="single" w:color="000000" w:sz="8" w:space="0"/>
                    <w:right w:val="single" w:color="000000" w:sz="8" w:space="0"/>
                  </w:tcBorders>
                  <w:shd w:val="clear" w:color="auto" w:fill="auto"/>
                  <w:vAlign w:val="center"/>
                </w:tcPr>
                <w:p w14:paraId="7A27EB4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项目</w:t>
                  </w:r>
                </w:p>
              </w:tc>
              <w:tc>
                <w:tcPr>
                  <w:tcW w:w="938" w:type="dxa"/>
                  <w:tcBorders>
                    <w:top w:val="single" w:color="000000" w:sz="12" w:space="0"/>
                    <w:left w:val="single" w:color="000000" w:sz="8" w:space="0"/>
                    <w:bottom w:val="single" w:color="000000" w:sz="8" w:space="0"/>
                    <w:right w:val="single" w:color="000000" w:sz="8" w:space="0"/>
                  </w:tcBorders>
                  <w:shd w:val="clear" w:color="auto" w:fill="auto"/>
                  <w:vAlign w:val="center"/>
                </w:tcPr>
                <w:p w14:paraId="70A7094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CODcr</w:t>
                  </w:r>
                </w:p>
              </w:tc>
              <w:tc>
                <w:tcPr>
                  <w:tcW w:w="975" w:type="dxa"/>
                  <w:tcBorders>
                    <w:top w:val="single" w:color="000000" w:sz="12" w:space="0"/>
                    <w:left w:val="single" w:color="000000" w:sz="8" w:space="0"/>
                    <w:bottom w:val="single" w:color="000000" w:sz="8" w:space="0"/>
                    <w:right w:val="single" w:color="000000" w:sz="8" w:space="0"/>
                  </w:tcBorders>
                  <w:shd w:val="clear" w:color="auto" w:fill="auto"/>
                  <w:vAlign w:val="center"/>
                </w:tcPr>
                <w:p w14:paraId="0C16200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BOD</w:t>
                  </w:r>
                  <w:r>
                    <w:rPr>
                      <w:rFonts w:hint="default" w:ascii="Times New Roman" w:hAnsi="Times New Roman" w:eastAsia="宋体" w:cs="Times New Roman"/>
                      <w:b/>
                      <w:bCs/>
                      <w:i w:val="0"/>
                      <w:iCs w:val="0"/>
                      <w:color w:val="auto"/>
                      <w:kern w:val="0"/>
                      <w:sz w:val="21"/>
                      <w:szCs w:val="21"/>
                      <w:u w:val="none"/>
                      <w:vertAlign w:val="subscript"/>
                      <w:lang w:val="en-US" w:eastAsia="zh-CN" w:bidi="ar"/>
                    </w:rPr>
                    <w:t>5</w:t>
                  </w:r>
                </w:p>
              </w:tc>
              <w:tc>
                <w:tcPr>
                  <w:tcW w:w="813" w:type="dxa"/>
                  <w:tcBorders>
                    <w:top w:val="single" w:color="000000" w:sz="12" w:space="0"/>
                    <w:left w:val="single" w:color="000000" w:sz="8" w:space="0"/>
                    <w:bottom w:val="single" w:color="000000" w:sz="8" w:space="0"/>
                    <w:right w:val="single" w:color="000000" w:sz="8" w:space="0"/>
                  </w:tcBorders>
                  <w:shd w:val="clear" w:color="auto" w:fill="auto"/>
                  <w:vAlign w:val="center"/>
                </w:tcPr>
                <w:p w14:paraId="1E764AA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SS</w:t>
                  </w:r>
                </w:p>
              </w:tc>
              <w:tc>
                <w:tcPr>
                  <w:tcW w:w="1139" w:type="dxa"/>
                  <w:tcBorders>
                    <w:top w:val="single" w:color="000000" w:sz="12" w:space="0"/>
                    <w:left w:val="single" w:color="000000" w:sz="8" w:space="0"/>
                    <w:bottom w:val="single" w:color="000000" w:sz="8" w:space="0"/>
                    <w:right w:val="single" w:color="000000" w:sz="8" w:space="0"/>
                  </w:tcBorders>
                  <w:shd w:val="clear" w:color="auto" w:fill="auto"/>
                  <w:vAlign w:val="center"/>
                </w:tcPr>
                <w:p w14:paraId="201EEF3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NH</w:t>
                  </w:r>
                  <w:r>
                    <w:rPr>
                      <w:rFonts w:hint="default" w:ascii="Times New Roman" w:hAnsi="Times New Roman" w:eastAsia="宋体" w:cs="Times New Roman"/>
                      <w:b/>
                      <w:bCs/>
                      <w:i w:val="0"/>
                      <w:iCs w:val="0"/>
                      <w:color w:val="auto"/>
                      <w:kern w:val="0"/>
                      <w:sz w:val="21"/>
                      <w:szCs w:val="21"/>
                      <w:u w:val="none"/>
                      <w:vertAlign w:val="subscript"/>
                      <w:lang w:val="en-US" w:eastAsia="zh-CN" w:bidi="ar"/>
                    </w:rPr>
                    <w:t>3</w:t>
                  </w:r>
                  <w:r>
                    <w:rPr>
                      <w:rFonts w:hint="default" w:ascii="Times New Roman" w:hAnsi="Times New Roman" w:eastAsia="宋体" w:cs="Times New Roman"/>
                      <w:b/>
                      <w:bCs/>
                      <w:i w:val="0"/>
                      <w:iCs w:val="0"/>
                      <w:color w:val="auto"/>
                      <w:kern w:val="0"/>
                      <w:sz w:val="21"/>
                      <w:szCs w:val="21"/>
                      <w:u w:val="none"/>
                      <w:lang w:val="en-US" w:eastAsia="zh-CN" w:bidi="ar"/>
                    </w:rPr>
                    <w:t>-N</w:t>
                  </w:r>
                </w:p>
              </w:tc>
              <w:tc>
                <w:tcPr>
                  <w:tcW w:w="1186" w:type="dxa"/>
                  <w:tcBorders>
                    <w:top w:val="single" w:color="000000" w:sz="12" w:space="0"/>
                    <w:left w:val="single" w:color="000000" w:sz="8" w:space="0"/>
                    <w:bottom w:val="single" w:color="000000" w:sz="8" w:space="0"/>
                    <w:right w:val="single" w:color="000000" w:sz="8" w:space="0"/>
                  </w:tcBorders>
                  <w:shd w:val="clear" w:color="auto" w:fill="auto"/>
                  <w:vAlign w:val="center"/>
                </w:tcPr>
                <w:p w14:paraId="1C1A907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动植物油</w:t>
                  </w:r>
                </w:p>
              </w:tc>
              <w:tc>
                <w:tcPr>
                  <w:tcW w:w="1227" w:type="dxa"/>
                  <w:tcBorders>
                    <w:top w:val="single" w:color="000000" w:sz="12" w:space="0"/>
                    <w:left w:val="single" w:color="000000" w:sz="8" w:space="0"/>
                    <w:bottom w:val="single" w:color="000000" w:sz="8" w:space="0"/>
                    <w:right w:val="single" w:color="000000" w:sz="12" w:space="0"/>
                  </w:tcBorders>
                  <w:shd w:val="clear" w:color="auto" w:fill="auto"/>
                  <w:noWrap/>
                  <w:vAlign w:val="center"/>
                </w:tcPr>
                <w:p w14:paraId="68A4C73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pH</w:t>
                  </w:r>
                </w:p>
              </w:tc>
            </w:tr>
            <w:tr w14:paraId="757F2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 w:hRule="atLeast"/>
              </w:trPr>
              <w:tc>
                <w:tcPr>
                  <w:tcW w:w="1908" w:type="dxa"/>
                  <w:tcBorders>
                    <w:top w:val="single" w:color="000000" w:sz="8" w:space="0"/>
                    <w:left w:val="single" w:color="000000" w:sz="12" w:space="0"/>
                    <w:bottom w:val="single" w:color="000000" w:sz="8" w:space="0"/>
                    <w:right w:val="single" w:color="000000" w:sz="8" w:space="0"/>
                  </w:tcBorders>
                  <w:shd w:val="clear" w:color="auto" w:fill="auto"/>
                  <w:vAlign w:val="center"/>
                </w:tcPr>
                <w:p w14:paraId="4EB819A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废水量（m</w:t>
                  </w:r>
                  <w:r>
                    <w:rPr>
                      <w:rFonts w:hint="default" w:ascii="Times New Roman" w:hAnsi="Times New Roman" w:eastAsia="宋体" w:cs="Times New Roman"/>
                      <w:i w:val="0"/>
                      <w:iCs w:val="0"/>
                      <w:color w:val="auto"/>
                      <w:kern w:val="0"/>
                      <w:sz w:val="21"/>
                      <w:szCs w:val="21"/>
                      <w:u w:val="none"/>
                      <w:vertAlign w:val="superscript"/>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/a）</w:t>
                  </w:r>
                </w:p>
              </w:tc>
              <w:tc>
                <w:tcPr>
                  <w:tcW w:w="6278" w:type="dxa"/>
                  <w:gridSpan w:val="6"/>
                  <w:tcBorders>
                    <w:top w:val="single" w:color="000000" w:sz="8" w:space="0"/>
                    <w:left w:val="single" w:color="000000" w:sz="8" w:space="0"/>
                    <w:bottom w:val="single" w:color="000000" w:sz="8" w:space="0"/>
                    <w:right w:val="single" w:color="000000" w:sz="12" w:space="0"/>
                  </w:tcBorders>
                  <w:shd w:val="clear" w:color="auto" w:fill="auto"/>
                  <w:vAlign w:val="center"/>
                </w:tcPr>
                <w:p w14:paraId="2DD6B48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1229.12</w:t>
                  </w:r>
                </w:p>
              </w:tc>
            </w:tr>
            <w:tr w14:paraId="515797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908" w:type="dxa"/>
                  <w:tcBorders>
                    <w:top w:val="single" w:color="000000" w:sz="8" w:space="0"/>
                    <w:left w:val="single" w:color="000000" w:sz="12" w:space="0"/>
                    <w:bottom w:val="single" w:color="000000" w:sz="8" w:space="0"/>
                    <w:right w:val="single" w:color="000000" w:sz="8" w:space="0"/>
                  </w:tcBorders>
                  <w:shd w:val="clear" w:color="auto" w:fill="auto"/>
                  <w:vAlign w:val="center"/>
                </w:tcPr>
                <w:p w14:paraId="7407E74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产生浓度（mg/L）</w:t>
                  </w:r>
                </w:p>
              </w:tc>
              <w:tc>
                <w:tcPr>
                  <w:tcW w:w="9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D6F29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380</w:t>
                  </w:r>
                </w:p>
              </w:tc>
              <w:tc>
                <w:tcPr>
                  <w:tcW w:w="97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FB60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250</w:t>
                  </w:r>
                </w:p>
              </w:tc>
              <w:tc>
                <w:tcPr>
                  <w:tcW w:w="81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135EE1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250</w:t>
                  </w:r>
                </w:p>
              </w:tc>
              <w:tc>
                <w:tcPr>
                  <w:tcW w:w="113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ADD68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w:t>
                  </w:r>
                </w:p>
              </w:tc>
              <w:tc>
                <w:tcPr>
                  <w:tcW w:w="118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7E09CA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c>
                <w:tcPr>
                  <w:tcW w:w="1227" w:type="dxa"/>
                  <w:tcBorders>
                    <w:top w:val="single" w:color="000000" w:sz="8" w:space="0"/>
                    <w:left w:val="single" w:color="000000" w:sz="8" w:space="0"/>
                    <w:bottom w:val="single" w:color="000000" w:sz="8" w:space="0"/>
                    <w:right w:val="single" w:color="000000" w:sz="12" w:space="0"/>
                  </w:tcBorders>
                  <w:shd w:val="clear" w:color="auto" w:fill="auto"/>
                  <w:noWrap/>
                  <w:vAlign w:val="center"/>
                </w:tcPr>
                <w:p w14:paraId="787A1E5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6~9</w:t>
                  </w:r>
                </w:p>
              </w:tc>
            </w:tr>
            <w:tr w14:paraId="21026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908" w:type="dxa"/>
                  <w:tcBorders>
                    <w:top w:val="single" w:color="000000" w:sz="8" w:space="0"/>
                    <w:left w:val="single" w:color="000000" w:sz="12" w:space="0"/>
                    <w:bottom w:val="single" w:color="000000" w:sz="8" w:space="0"/>
                    <w:right w:val="single" w:color="000000" w:sz="8" w:space="0"/>
                  </w:tcBorders>
                  <w:shd w:val="clear" w:color="auto" w:fill="auto"/>
                  <w:vAlign w:val="center"/>
                </w:tcPr>
                <w:p w14:paraId="505F93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产生量（t/a）</w:t>
                  </w:r>
                </w:p>
              </w:tc>
              <w:tc>
                <w:tcPr>
                  <w:tcW w:w="9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5772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0.467</w:t>
                  </w:r>
                </w:p>
              </w:tc>
              <w:tc>
                <w:tcPr>
                  <w:tcW w:w="97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2371E1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0.307</w:t>
                  </w:r>
                </w:p>
              </w:tc>
              <w:tc>
                <w:tcPr>
                  <w:tcW w:w="81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D868FD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0.307</w:t>
                  </w:r>
                </w:p>
              </w:tc>
              <w:tc>
                <w:tcPr>
                  <w:tcW w:w="113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529A9B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0.031</w:t>
                  </w:r>
                </w:p>
              </w:tc>
              <w:tc>
                <w:tcPr>
                  <w:tcW w:w="118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2439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0.012</w:t>
                  </w:r>
                </w:p>
              </w:tc>
              <w:tc>
                <w:tcPr>
                  <w:tcW w:w="1227" w:type="dxa"/>
                  <w:tcBorders>
                    <w:top w:val="single" w:color="000000" w:sz="8" w:space="0"/>
                    <w:left w:val="single" w:color="000000" w:sz="8" w:space="0"/>
                    <w:bottom w:val="single" w:color="000000" w:sz="8" w:space="0"/>
                    <w:right w:val="single" w:color="000000" w:sz="12" w:space="0"/>
                  </w:tcBorders>
                  <w:shd w:val="clear" w:color="auto" w:fill="auto"/>
                  <w:noWrap/>
                  <w:vAlign w:val="center"/>
                </w:tcPr>
                <w:p w14:paraId="0F899C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6FF1D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5" w:hRule="atLeast"/>
              </w:trPr>
              <w:tc>
                <w:tcPr>
                  <w:tcW w:w="1908" w:type="dxa"/>
                  <w:tcBorders>
                    <w:top w:val="single" w:color="000000" w:sz="8" w:space="0"/>
                    <w:left w:val="single" w:color="000000" w:sz="12" w:space="0"/>
                    <w:bottom w:val="single" w:color="000000" w:sz="8" w:space="0"/>
                    <w:right w:val="single" w:color="000000" w:sz="8" w:space="0"/>
                  </w:tcBorders>
                  <w:shd w:val="clear" w:color="auto" w:fill="auto"/>
                  <w:vAlign w:val="center"/>
                </w:tcPr>
                <w:p w14:paraId="5CEA369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处理装置</w:t>
                  </w:r>
                </w:p>
              </w:tc>
              <w:tc>
                <w:tcPr>
                  <w:tcW w:w="6278" w:type="dxa"/>
                  <w:gridSpan w:val="6"/>
                  <w:tcBorders>
                    <w:top w:val="single" w:color="000000" w:sz="8" w:space="0"/>
                    <w:left w:val="single" w:color="000000" w:sz="8" w:space="0"/>
                    <w:bottom w:val="single" w:color="000000" w:sz="8" w:space="0"/>
                    <w:right w:val="single" w:color="000000" w:sz="12" w:space="0"/>
                  </w:tcBorders>
                  <w:shd w:val="clear" w:color="auto" w:fill="auto"/>
                  <w:vAlign w:val="center"/>
                </w:tcPr>
                <w:p w14:paraId="42A9388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地埋式一体化污水处理设备</w:t>
                  </w:r>
                </w:p>
              </w:tc>
            </w:tr>
            <w:tr w14:paraId="3C4B7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5" w:hRule="atLeast"/>
              </w:trPr>
              <w:tc>
                <w:tcPr>
                  <w:tcW w:w="1908" w:type="dxa"/>
                  <w:tcBorders>
                    <w:top w:val="single" w:color="000000" w:sz="8" w:space="0"/>
                    <w:left w:val="single" w:color="000000" w:sz="12" w:space="0"/>
                    <w:bottom w:val="single" w:color="000000" w:sz="8" w:space="0"/>
                    <w:right w:val="single" w:color="000000" w:sz="8" w:space="0"/>
                  </w:tcBorders>
                  <w:shd w:val="clear" w:color="auto" w:fill="auto"/>
                  <w:vAlign w:val="center"/>
                </w:tcPr>
                <w:p w14:paraId="0421F79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处理效率</w:t>
                  </w:r>
                </w:p>
              </w:tc>
              <w:tc>
                <w:tcPr>
                  <w:tcW w:w="9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D74C9E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85%</w:t>
                  </w:r>
                </w:p>
              </w:tc>
              <w:tc>
                <w:tcPr>
                  <w:tcW w:w="97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7BA08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80%</w:t>
                  </w:r>
                </w:p>
              </w:tc>
              <w:tc>
                <w:tcPr>
                  <w:tcW w:w="81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F7AD4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90%</w:t>
                  </w:r>
                </w:p>
              </w:tc>
              <w:tc>
                <w:tcPr>
                  <w:tcW w:w="113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FA0A9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70%</w:t>
                  </w:r>
                </w:p>
              </w:tc>
              <w:tc>
                <w:tcPr>
                  <w:tcW w:w="118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37AB97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1227" w:type="dxa"/>
                  <w:tcBorders>
                    <w:top w:val="single" w:color="000000" w:sz="8" w:space="0"/>
                    <w:left w:val="single" w:color="000000" w:sz="8" w:space="0"/>
                    <w:bottom w:val="single" w:color="000000" w:sz="8" w:space="0"/>
                    <w:right w:val="single" w:color="000000" w:sz="12" w:space="0"/>
                  </w:tcBorders>
                  <w:shd w:val="clear" w:color="auto" w:fill="auto"/>
                  <w:noWrap/>
                  <w:vAlign w:val="center"/>
                </w:tcPr>
                <w:p w14:paraId="11FD882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7076C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908" w:type="dxa"/>
                  <w:tcBorders>
                    <w:top w:val="single" w:color="000000" w:sz="8" w:space="0"/>
                    <w:left w:val="single" w:color="000000" w:sz="12" w:space="0"/>
                    <w:bottom w:val="single" w:color="000000" w:sz="8" w:space="0"/>
                    <w:right w:val="single" w:color="000000" w:sz="8" w:space="0"/>
                  </w:tcBorders>
                  <w:shd w:val="clear" w:color="auto" w:fill="auto"/>
                  <w:vAlign w:val="center"/>
                </w:tcPr>
                <w:p w14:paraId="0E70B1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排放量（t/a）</w:t>
                  </w:r>
                </w:p>
              </w:tc>
              <w:tc>
                <w:tcPr>
                  <w:tcW w:w="9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76AEEF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0.070</w:t>
                  </w:r>
                </w:p>
              </w:tc>
              <w:tc>
                <w:tcPr>
                  <w:tcW w:w="97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DAE5A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0.06</w:t>
                  </w:r>
                  <w:r>
                    <w:rPr>
                      <w:rFonts w:hint="default" w:ascii="Times New Roman" w:hAnsi="Times New Roman" w:cs="Times New Roman"/>
                      <w:i w:val="0"/>
                      <w:iCs w:val="0"/>
                      <w:color w:val="auto"/>
                      <w:kern w:val="0"/>
                      <w:sz w:val="21"/>
                      <w:szCs w:val="21"/>
                      <w:u w:val="none"/>
                      <w:lang w:val="en-US" w:eastAsia="zh-CN" w:bidi="ar"/>
                    </w:rPr>
                    <w:t>1</w:t>
                  </w:r>
                </w:p>
              </w:tc>
              <w:tc>
                <w:tcPr>
                  <w:tcW w:w="81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4952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0.03</w:t>
                  </w:r>
                  <w:r>
                    <w:rPr>
                      <w:rFonts w:hint="default" w:ascii="Times New Roman" w:hAnsi="Times New Roman" w:cs="Times New Roman"/>
                      <w:i w:val="0"/>
                      <w:iCs w:val="0"/>
                      <w:color w:val="auto"/>
                      <w:kern w:val="0"/>
                      <w:sz w:val="21"/>
                      <w:szCs w:val="21"/>
                      <w:u w:val="none"/>
                      <w:lang w:val="en-US" w:eastAsia="zh-CN" w:bidi="ar"/>
                    </w:rPr>
                    <w:t>1</w:t>
                  </w:r>
                </w:p>
              </w:tc>
              <w:tc>
                <w:tcPr>
                  <w:tcW w:w="113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3DE901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0.009</w:t>
                  </w:r>
                </w:p>
              </w:tc>
              <w:tc>
                <w:tcPr>
                  <w:tcW w:w="118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37BE0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0.003</w:t>
                  </w:r>
                </w:p>
              </w:tc>
              <w:tc>
                <w:tcPr>
                  <w:tcW w:w="1227" w:type="dxa"/>
                  <w:tcBorders>
                    <w:top w:val="single" w:color="000000" w:sz="8" w:space="0"/>
                    <w:left w:val="single" w:color="000000" w:sz="8" w:space="0"/>
                    <w:bottom w:val="single" w:color="000000" w:sz="8" w:space="0"/>
                    <w:right w:val="single" w:color="000000" w:sz="12" w:space="0"/>
                  </w:tcBorders>
                  <w:shd w:val="clear" w:color="auto" w:fill="auto"/>
                  <w:noWrap/>
                  <w:vAlign w:val="center"/>
                </w:tcPr>
                <w:p w14:paraId="6F4540A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1BD6A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6" w:hRule="atLeast"/>
              </w:trPr>
              <w:tc>
                <w:tcPr>
                  <w:tcW w:w="1908" w:type="dxa"/>
                  <w:tcBorders>
                    <w:top w:val="single" w:color="000000" w:sz="8" w:space="0"/>
                    <w:left w:val="single" w:color="000000" w:sz="12" w:space="0"/>
                    <w:bottom w:val="single" w:color="000000" w:sz="8" w:space="0"/>
                    <w:right w:val="single" w:color="000000" w:sz="8" w:space="0"/>
                  </w:tcBorders>
                  <w:shd w:val="clear" w:color="auto" w:fill="auto"/>
                  <w:vAlign w:val="center"/>
                </w:tcPr>
                <w:p w14:paraId="5B63129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排放浓度（mg/L）</w:t>
                  </w:r>
                </w:p>
              </w:tc>
              <w:tc>
                <w:tcPr>
                  <w:tcW w:w="9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DE5848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57</w:t>
                  </w:r>
                </w:p>
              </w:tc>
              <w:tc>
                <w:tcPr>
                  <w:tcW w:w="97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26446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c>
                <w:tcPr>
                  <w:tcW w:w="81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06996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w:t>
                  </w:r>
                </w:p>
              </w:tc>
              <w:tc>
                <w:tcPr>
                  <w:tcW w:w="113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941511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7.5</w:t>
                  </w:r>
                </w:p>
              </w:tc>
              <w:tc>
                <w:tcPr>
                  <w:tcW w:w="118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C5186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w:t>
                  </w:r>
                </w:p>
              </w:tc>
              <w:tc>
                <w:tcPr>
                  <w:tcW w:w="1227" w:type="dxa"/>
                  <w:tcBorders>
                    <w:top w:val="single" w:color="000000" w:sz="8" w:space="0"/>
                    <w:left w:val="single" w:color="000000" w:sz="8" w:space="0"/>
                    <w:bottom w:val="single" w:color="000000" w:sz="8" w:space="0"/>
                    <w:right w:val="single" w:color="000000" w:sz="12" w:space="0"/>
                  </w:tcBorders>
                  <w:shd w:val="clear" w:color="auto" w:fill="auto"/>
                  <w:noWrap/>
                  <w:vAlign w:val="center"/>
                </w:tcPr>
                <w:p w14:paraId="5364914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6~9</w:t>
                  </w:r>
                </w:p>
              </w:tc>
            </w:tr>
            <w:tr w14:paraId="7FD5B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 w:hRule="atLeast"/>
              </w:trPr>
              <w:tc>
                <w:tcPr>
                  <w:tcW w:w="1908" w:type="dxa"/>
                  <w:tcBorders>
                    <w:top w:val="single" w:color="000000" w:sz="8" w:space="0"/>
                    <w:left w:val="single" w:color="000000" w:sz="12" w:space="0"/>
                    <w:bottom w:val="single" w:color="000000" w:sz="12" w:space="0"/>
                    <w:right w:val="single" w:color="000000" w:sz="8" w:space="0"/>
                  </w:tcBorders>
                  <w:shd w:val="clear" w:color="auto" w:fill="auto"/>
                  <w:vAlign w:val="center"/>
                </w:tcPr>
                <w:p w14:paraId="27BF4F7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《农村生活污水处理排放标准》（DB654275-2019）A级标准</w:t>
                  </w:r>
                </w:p>
              </w:tc>
              <w:tc>
                <w:tcPr>
                  <w:tcW w:w="938" w:type="dxa"/>
                  <w:tcBorders>
                    <w:top w:val="single" w:color="000000" w:sz="8" w:space="0"/>
                    <w:left w:val="single" w:color="000000" w:sz="8" w:space="0"/>
                    <w:bottom w:val="single" w:color="000000" w:sz="12" w:space="0"/>
                    <w:right w:val="single" w:color="000000" w:sz="8" w:space="0"/>
                  </w:tcBorders>
                  <w:shd w:val="clear" w:color="auto" w:fill="auto"/>
                  <w:vAlign w:val="center"/>
                </w:tcPr>
                <w:p w14:paraId="0EBE8E8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60</w:t>
                  </w:r>
                </w:p>
              </w:tc>
              <w:tc>
                <w:tcPr>
                  <w:tcW w:w="975" w:type="dxa"/>
                  <w:tcBorders>
                    <w:top w:val="single" w:color="000000" w:sz="8" w:space="0"/>
                    <w:left w:val="single" w:color="000000" w:sz="8" w:space="0"/>
                    <w:bottom w:val="single" w:color="000000" w:sz="12" w:space="0"/>
                    <w:right w:val="single" w:color="000000" w:sz="8" w:space="0"/>
                  </w:tcBorders>
                  <w:shd w:val="clear" w:color="auto" w:fill="auto"/>
                  <w:vAlign w:val="center"/>
                </w:tcPr>
                <w:p w14:paraId="3F97EA4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813" w:type="dxa"/>
                  <w:tcBorders>
                    <w:top w:val="single" w:color="000000" w:sz="8" w:space="0"/>
                    <w:left w:val="single" w:color="000000" w:sz="8" w:space="0"/>
                    <w:bottom w:val="single" w:color="000000" w:sz="12" w:space="0"/>
                    <w:right w:val="single" w:color="000000" w:sz="8" w:space="0"/>
                  </w:tcBorders>
                  <w:shd w:val="clear" w:color="auto" w:fill="auto"/>
                  <w:vAlign w:val="center"/>
                </w:tcPr>
                <w:p w14:paraId="6F2EBFD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30</w:t>
                  </w:r>
                </w:p>
              </w:tc>
              <w:tc>
                <w:tcPr>
                  <w:tcW w:w="1139" w:type="dxa"/>
                  <w:tcBorders>
                    <w:top w:val="single" w:color="000000" w:sz="8" w:space="0"/>
                    <w:left w:val="single" w:color="000000" w:sz="8" w:space="0"/>
                    <w:bottom w:val="single" w:color="000000" w:sz="12" w:space="0"/>
                    <w:right w:val="single" w:color="000000" w:sz="8" w:space="0"/>
                  </w:tcBorders>
                  <w:shd w:val="clear" w:color="auto" w:fill="auto"/>
                  <w:vAlign w:val="center"/>
                </w:tcPr>
                <w:p w14:paraId="0DD9340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1186" w:type="dxa"/>
                  <w:tcBorders>
                    <w:top w:val="single" w:color="000000" w:sz="8" w:space="0"/>
                    <w:left w:val="single" w:color="000000" w:sz="8" w:space="0"/>
                    <w:bottom w:val="single" w:color="000000" w:sz="12" w:space="0"/>
                    <w:right w:val="single" w:color="000000" w:sz="8" w:space="0"/>
                  </w:tcBorders>
                  <w:shd w:val="clear" w:color="auto" w:fill="auto"/>
                  <w:vAlign w:val="center"/>
                </w:tcPr>
                <w:p w14:paraId="74BF5B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1227" w:type="dxa"/>
                  <w:tcBorders>
                    <w:top w:val="single" w:color="000000" w:sz="8" w:space="0"/>
                    <w:left w:val="single" w:color="000000" w:sz="8" w:space="0"/>
                    <w:bottom w:val="single" w:color="000000" w:sz="12" w:space="0"/>
                    <w:right w:val="single" w:color="000000" w:sz="12" w:space="0"/>
                  </w:tcBorders>
                  <w:shd w:val="clear" w:color="auto" w:fill="auto"/>
                  <w:noWrap/>
                  <w:vAlign w:val="center"/>
                </w:tcPr>
                <w:p w14:paraId="6532966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6~9</w:t>
                  </w:r>
                </w:p>
              </w:tc>
            </w:tr>
          </w:tbl>
          <w:p w14:paraId="26E97F99">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color w:val="auto"/>
                <w:spacing w:val="0"/>
                <w:sz w:val="24"/>
                <w:szCs w:val="24"/>
                <w:lang w:eastAsia="zh-CN"/>
              </w:rPr>
            </w:pPr>
            <w:r>
              <w:rPr>
                <w:rFonts w:hint="default" w:ascii="Times New Roman" w:hAnsi="Times New Roman" w:cs="Times New Roman"/>
                <w:b/>
                <w:bCs/>
                <w:color w:val="auto"/>
                <w:spacing w:val="0"/>
                <w:sz w:val="24"/>
                <w:szCs w:val="24"/>
                <w:lang w:val="en-US" w:eastAsia="zh-CN"/>
              </w:rPr>
              <w:t>2.2.2</w:t>
            </w:r>
            <w:r>
              <w:rPr>
                <w:rFonts w:hint="default" w:ascii="Times New Roman" w:hAnsi="Times New Roman" w:eastAsia="宋体" w:cs="Times New Roman"/>
                <w:b/>
                <w:bCs/>
                <w:color w:val="auto"/>
                <w:spacing w:val="0"/>
                <w:sz w:val="24"/>
                <w:szCs w:val="24"/>
                <w:lang w:eastAsia="zh-CN"/>
              </w:rPr>
              <w:t>废水处理可行性分析</w:t>
            </w:r>
          </w:p>
          <w:p w14:paraId="540C5EE7">
            <w:pPr>
              <w:keepNext w:val="0"/>
              <w:pageBreakBefore w:val="0"/>
              <w:kinsoku/>
              <w:wordWrap/>
              <w:overflowPunct/>
              <w:bidi w:val="0"/>
              <w:adjustRightInd/>
              <w:snapToGrid/>
              <w:spacing w:afterAutospacing="0" w:line="360" w:lineRule="auto"/>
              <w:ind w:left="0" w:leftChars="0" w:right="0" w:rightChars="0" w:firstLine="480" w:firstLineChars="200"/>
              <w:rPr>
                <w:rFonts w:hint="default" w:ascii="Times New Roman" w:hAnsi="Times New Roman" w:eastAsia="宋体" w:cs="Times New Roman"/>
                <w:color w:val="auto"/>
                <w:spacing w:val="0"/>
                <w:sz w:val="24"/>
                <w:szCs w:val="24"/>
                <w:lang w:val="en-US" w:eastAsia="zh-CN"/>
              </w:rPr>
            </w:pPr>
            <w:r>
              <w:rPr>
                <w:rFonts w:hint="default" w:ascii="Times New Roman" w:hAnsi="Times New Roman" w:cs="Times New Roman"/>
                <w:color w:val="auto"/>
                <w:spacing w:val="0"/>
                <w:sz w:val="24"/>
                <w:szCs w:val="24"/>
                <w:lang w:val="en-US" w:eastAsia="zh-CN"/>
              </w:rPr>
              <w:t>（1）生活污水</w:t>
            </w:r>
          </w:p>
          <w:p w14:paraId="6ED47B9B">
            <w:pPr>
              <w:pStyle w:val="109"/>
              <w:spacing w:before="1" w:line="359" w:lineRule="auto"/>
              <w:ind w:left="109" w:right="101" w:firstLine="483"/>
              <w:jc w:val="both"/>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本项目依托吉木萨尔县恒信煤炭制品工贸有限公司120万吨煤制品深加工升级改造项目</w:t>
            </w:r>
            <w:r>
              <w:rPr>
                <w:rFonts w:hint="default" w:ascii="Times New Roman" w:hAnsi="Times New Roman" w:cs="Times New Roman"/>
                <w:color w:val="auto"/>
                <w:kern w:val="2"/>
                <w:sz w:val="24"/>
                <w:szCs w:val="24"/>
                <w:lang w:val="en-US" w:eastAsia="zh-CN" w:bidi="ar-SA"/>
              </w:rPr>
              <w:t>生活污水地埋式一体化污水</w:t>
            </w:r>
            <w:r>
              <w:rPr>
                <w:rFonts w:hint="default" w:ascii="Times New Roman" w:hAnsi="Times New Roman" w:eastAsia="宋体" w:cs="Times New Roman"/>
                <w:color w:val="auto"/>
                <w:kern w:val="2"/>
                <w:sz w:val="24"/>
                <w:szCs w:val="24"/>
                <w:lang w:val="en-US" w:eastAsia="zh-CN" w:bidi="ar-SA"/>
              </w:rPr>
              <w:t>处理设施。该设施</w:t>
            </w:r>
            <w:r>
              <w:rPr>
                <w:rFonts w:hint="default" w:ascii="Times New Roman" w:hAnsi="Times New Roman" w:cs="Times New Roman"/>
                <w:color w:val="auto"/>
                <w:kern w:val="2"/>
                <w:sz w:val="24"/>
                <w:szCs w:val="24"/>
                <w:lang w:val="en-US" w:eastAsia="zh-CN" w:bidi="ar-SA"/>
              </w:rPr>
              <w:t>处理</w:t>
            </w:r>
            <w:r>
              <w:rPr>
                <w:rFonts w:hint="default" w:ascii="Times New Roman" w:hAnsi="Times New Roman" w:eastAsia="宋体" w:cs="Times New Roman"/>
                <w:color w:val="auto"/>
                <w:kern w:val="2"/>
                <w:sz w:val="24"/>
                <w:szCs w:val="24"/>
                <w:lang w:val="en-US" w:eastAsia="zh-CN" w:bidi="ar-SA"/>
              </w:rPr>
              <w:t>规模为1.2t/h，经与建设单位核实，项目与吉木萨尔县恒信煤炭制品工贸有限公司120万吨煤制品深加工升级改造项目合计劳动定员为120人，废水产生量约为0.4t/h（3302.4t/a，以334d计），因此现有污水处理站能够处理本项目生活污水的处理。经处理后的生活污水冬储夏灌，项目所在区域冬季储藏时间约140天，存储量约为1384.23m</w:t>
            </w:r>
            <w:r>
              <w:rPr>
                <w:rFonts w:hint="default" w:ascii="Times New Roman" w:hAnsi="Times New Roman" w:eastAsia="宋体" w:cs="Times New Roman"/>
                <w:color w:val="auto"/>
                <w:kern w:val="2"/>
                <w:sz w:val="24"/>
                <w:szCs w:val="24"/>
                <w:vertAlign w:val="superscript"/>
                <w:lang w:val="en-US" w:eastAsia="zh-CN" w:bidi="ar-SA"/>
              </w:rPr>
              <w:t>3</w:t>
            </w:r>
            <w:r>
              <w:rPr>
                <w:rFonts w:hint="default" w:ascii="Times New Roman" w:hAnsi="Times New Roman" w:eastAsia="宋体" w:cs="Times New Roman"/>
                <w:color w:val="auto"/>
                <w:kern w:val="2"/>
                <w:sz w:val="24"/>
                <w:szCs w:val="24"/>
                <w:lang w:val="en-US" w:eastAsia="zh-CN" w:bidi="ar-SA"/>
              </w:rPr>
              <w:t>，因此需要设置存储池为1500m</w:t>
            </w:r>
            <w:r>
              <w:rPr>
                <w:rFonts w:hint="default" w:ascii="Times New Roman" w:hAnsi="Times New Roman" w:eastAsia="宋体" w:cs="Times New Roman"/>
                <w:color w:val="auto"/>
                <w:kern w:val="2"/>
                <w:sz w:val="24"/>
                <w:szCs w:val="24"/>
                <w:vertAlign w:val="superscript"/>
                <w:lang w:val="en-US" w:eastAsia="zh-CN" w:bidi="ar-SA"/>
              </w:rPr>
              <w:t>3</w:t>
            </w:r>
            <w:r>
              <w:rPr>
                <w:rFonts w:hint="default" w:ascii="Times New Roman" w:hAnsi="Times New Roman" w:eastAsia="宋体" w:cs="Times New Roman"/>
                <w:color w:val="auto"/>
                <w:kern w:val="2"/>
                <w:sz w:val="24"/>
                <w:szCs w:val="24"/>
                <w:lang w:val="en-US" w:eastAsia="zh-CN" w:bidi="ar-SA"/>
              </w:rPr>
              <w:t>的储水池，以保证冬季经处理达标回用水的正常储存。</w:t>
            </w:r>
          </w:p>
          <w:p w14:paraId="5499EB59">
            <w:pPr>
              <w:widowControl/>
              <w:wordWrap w:val="0"/>
              <w:spacing w:line="36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（2）生产废水</w:t>
            </w:r>
          </w:p>
          <w:p w14:paraId="67B60E80">
            <w:pPr>
              <w:widowControl/>
              <w:wordWrap w:val="0"/>
              <w:spacing w:line="36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本项目回用终点为脱硫系统补充水，</w:t>
            </w:r>
            <w:r>
              <w:rPr>
                <w:rFonts w:hint="default" w:ascii="Times New Roman" w:hAnsi="Times New Roman" w:cs="Times New Roman"/>
                <w:color w:val="auto"/>
                <w:sz w:val="24"/>
                <w:lang w:val="en-US" w:eastAsia="zh-CN"/>
              </w:rPr>
              <w:t>该</w:t>
            </w:r>
            <w:r>
              <w:rPr>
                <w:rFonts w:hint="default" w:ascii="Times New Roman" w:hAnsi="Times New Roman" w:eastAsia="宋体" w:cs="Times New Roman"/>
                <w:color w:val="auto"/>
                <w:sz w:val="24"/>
                <w:lang w:val="en-US" w:eastAsia="zh-CN"/>
              </w:rPr>
              <w:t>用水对水质的核心要求为：低毒无害、悬浮物含量可控、pH值在合理区间，各类废水经预处理后均能满足需求。</w:t>
            </w:r>
          </w:p>
          <w:p w14:paraId="7F2F77DE">
            <w:pPr>
              <w:widowControl/>
              <w:wordWrap w:val="0"/>
              <w:spacing w:line="360" w:lineRule="auto"/>
              <w:ind w:firstLine="480" w:firstLineChars="200"/>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锅炉定期排污水</w:t>
            </w:r>
            <w:r>
              <w:rPr>
                <w:rFonts w:hint="default" w:ascii="Times New Roman" w:hAnsi="Times New Roman" w:cs="Times New Roman"/>
                <w:color w:val="auto"/>
                <w:sz w:val="24"/>
                <w:lang w:val="en-US" w:eastAsia="zh-CN"/>
              </w:rPr>
              <w:t>和</w:t>
            </w:r>
            <w:r>
              <w:rPr>
                <w:rFonts w:hint="default" w:ascii="Times New Roman" w:hAnsi="Times New Roman" w:eastAsia="宋体" w:cs="Times New Roman"/>
                <w:color w:val="auto"/>
                <w:sz w:val="24"/>
                <w:szCs w:val="24"/>
                <w:lang w:val="en-US" w:eastAsia="zh-CN"/>
              </w:rPr>
              <w:t>软水制备</w:t>
            </w:r>
            <w:r>
              <w:rPr>
                <w:rFonts w:hint="default" w:ascii="Times New Roman" w:hAnsi="Times New Roman" w:cs="Times New Roman"/>
                <w:color w:val="auto"/>
                <w:sz w:val="24"/>
                <w:szCs w:val="24"/>
                <w:lang w:val="en-US" w:eastAsia="zh-CN"/>
              </w:rPr>
              <w:t>废</w:t>
            </w:r>
            <w:r>
              <w:rPr>
                <w:rFonts w:hint="default" w:ascii="Times New Roman" w:hAnsi="Times New Roman" w:eastAsia="宋体" w:cs="Times New Roman"/>
                <w:color w:val="auto"/>
                <w:sz w:val="24"/>
                <w:szCs w:val="24"/>
                <w:lang w:val="en-US" w:eastAsia="zh-CN"/>
              </w:rPr>
              <w:t>水</w:t>
            </w:r>
            <w:r>
              <w:rPr>
                <w:rFonts w:hint="default" w:ascii="Times New Roman" w:hAnsi="Times New Roman" w:eastAsia="宋体" w:cs="Times New Roman"/>
                <w:color w:val="auto"/>
                <w:sz w:val="24"/>
                <w:lang w:val="en-US" w:eastAsia="zh-CN"/>
              </w:rPr>
              <w:t>，水质特点为含盐量略高、无有毒有害污染物，主要成分为锅炉炉水中的少量钙镁离子盐类，与脱硫系统浆液水质兼容性好，直接回用可补充吸收塔水分蒸发损失，不会对脱硫反应产生不利影响；冷却塔排污水的污染物为循环水浓缩产生的无机盐、少量悬浮物，不含重金属、有机物等有害成分。回用于脱硫系统可替代新鲜水作为浆液补水，且盐类物质不会在脱硫系统内累积超标（通过石膏脱水过程随废渣带出）；软化水制备产生的浓盐水，污染物为钙、镁离子盐类，水质单一稳定。回用于脱硫系统，可补充浆液中的离子浓度，不影响脱硫效率和石膏品质。化验室常规检验废水经中和处理后，pH值调节至6.5~8.5，且不含重金属、有机溶剂等有毒污染物，回用于脱硫系统不会引入特征污染因子，也不会对脱硫催化剂、设备材质造成腐蚀或堵塞。脱硫系统不够的部分使用新鲜水。</w:t>
            </w:r>
          </w:p>
          <w:p w14:paraId="657FC0C3">
            <w:pPr>
              <w:pageBreakBefore w:val="0"/>
              <w:numPr>
                <w:ilvl w:val="2"/>
                <w:numId w:val="0"/>
              </w:numPr>
              <w:topLinePunct w:val="0"/>
              <w:bidi w:val="0"/>
              <w:spacing w:line="360" w:lineRule="auto"/>
              <w:ind w:firstLine="480" w:firstLineChars="200"/>
              <w:jc w:val="left"/>
              <w:outlineLvl w:val="9"/>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综上，本项目</w:t>
            </w:r>
            <w:r>
              <w:rPr>
                <w:rFonts w:hint="default" w:ascii="Times New Roman" w:hAnsi="Times New Roman" w:cs="Times New Roman"/>
                <w:color w:val="auto"/>
                <w:spacing w:val="0"/>
                <w:sz w:val="24"/>
                <w:szCs w:val="24"/>
                <w:lang w:val="en-US" w:eastAsia="zh-CN"/>
              </w:rPr>
              <w:t>生活污水和生产废水的</w:t>
            </w:r>
            <w:r>
              <w:rPr>
                <w:rFonts w:hint="default" w:ascii="Times New Roman" w:hAnsi="Times New Roman" w:eastAsia="宋体" w:cs="Times New Roman"/>
                <w:color w:val="auto"/>
                <w:spacing w:val="-3"/>
                <w:sz w:val="24"/>
                <w:szCs w:val="24"/>
                <w:lang w:val="en-US" w:eastAsia="zh-CN"/>
              </w:rPr>
              <w:t>处理</w:t>
            </w:r>
            <w:r>
              <w:rPr>
                <w:rFonts w:hint="default" w:ascii="Times New Roman" w:hAnsi="Times New Roman" w:cs="Times New Roman"/>
                <w:color w:val="auto"/>
                <w:spacing w:val="-3"/>
                <w:sz w:val="24"/>
                <w:szCs w:val="24"/>
                <w:lang w:val="en-US" w:eastAsia="zh-CN"/>
              </w:rPr>
              <w:t>措施</w:t>
            </w:r>
            <w:r>
              <w:rPr>
                <w:rFonts w:hint="default" w:ascii="Times New Roman" w:hAnsi="Times New Roman" w:eastAsia="宋体" w:cs="Times New Roman"/>
                <w:color w:val="auto"/>
                <w:spacing w:val="0"/>
                <w:sz w:val="24"/>
                <w:szCs w:val="24"/>
                <w:lang w:val="en-US" w:eastAsia="zh-CN"/>
              </w:rPr>
              <w:t>是可行的。</w:t>
            </w:r>
          </w:p>
          <w:p w14:paraId="4E5300E8">
            <w:pPr>
              <w:keepNext w:val="0"/>
              <w:pageBreakBefore w:val="0"/>
              <w:kinsoku/>
              <w:wordWrap/>
              <w:overflowPunct/>
              <w:bidi w:val="0"/>
              <w:adjustRightInd/>
              <w:snapToGrid/>
              <w:spacing w:line="360" w:lineRule="auto"/>
              <w:rPr>
                <w:rFonts w:hint="default" w:ascii="Times New Roman" w:hAnsi="Times New Roman" w:eastAsia="宋体" w:cs="Times New Roman"/>
                <w:b/>
                <w:bCs/>
                <w:color w:val="auto"/>
                <w:spacing w:val="0"/>
                <w:sz w:val="24"/>
                <w:szCs w:val="24"/>
                <w:lang w:val="en-US" w:eastAsia="zh-CN"/>
              </w:rPr>
            </w:pPr>
            <w:r>
              <w:rPr>
                <w:rFonts w:hint="default" w:ascii="Times New Roman" w:hAnsi="Times New Roman" w:cs="Times New Roman"/>
                <w:b/>
                <w:bCs/>
                <w:color w:val="auto"/>
                <w:spacing w:val="0"/>
                <w:sz w:val="24"/>
                <w:szCs w:val="24"/>
                <w:lang w:val="en-US" w:eastAsia="zh-CN"/>
              </w:rPr>
              <w:t>2.2.3</w:t>
            </w:r>
            <w:r>
              <w:rPr>
                <w:rFonts w:hint="default" w:ascii="Times New Roman" w:hAnsi="Times New Roman" w:eastAsia="宋体" w:cs="Times New Roman"/>
                <w:b/>
                <w:bCs/>
                <w:color w:val="auto"/>
                <w:spacing w:val="0"/>
                <w:sz w:val="24"/>
                <w:szCs w:val="24"/>
                <w:lang w:val="en-US" w:eastAsia="zh-CN"/>
              </w:rPr>
              <w:t>废水监测</w:t>
            </w:r>
          </w:p>
          <w:p w14:paraId="7863CE7B">
            <w:pPr>
              <w:keepNext w:val="0"/>
              <w:pageBreakBefore w:val="0"/>
              <w:kinsoku/>
              <w:wordWrap/>
              <w:overflowPunct/>
              <w:bidi w:val="0"/>
              <w:adjustRightInd/>
              <w:snapToGrid/>
              <w:spacing w:afterAutospacing="0" w:line="360" w:lineRule="auto"/>
              <w:ind w:left="0" w:leftChars="0" w:right="0" w:rightChars="0" w:firstLine="468" w:firstLineChars="200"/>
              <w:rPr>
                <w:rFonts w:hint="default" w:ascii="Times New Roman" w:hAnsi="Times New Roman" w:eastAsia="宋体" w:cs="Times New Roman"/>
                <w:color w:val="auto"/>
                <w:spacing w:val="-3"/>
                <w:sz w:val="24"/>
                <w:szCs w:val="24"/>
                <w:lang w:val="en-US" w:eastAsia="zh-CN"/>
              </w:rPr>
            </w:pPr>
            <w:r>
              <w:rPr>
                <w:rFonts w:hint="default" w:ascii="Times New Roman" w:hAnsi="Times New Roman" w:eastAsia="宋体" w:cs="Times New Roman"/>
                <w:color w:val="auto"/>
                <w:spacing w:val="-3"/>
                <w:sz w:val="24"/>
                <w:szCs w:val="24"/>
                <w:lang w:val="en-US" w:eastAsia="zh-CN"/>
              </w:rPr>
              <w:t>根据《排污单位自行监测技术指南总则》（HJ819-2017）和《排污单位自行监测技术指南火力发电及锅炉》（HJ820-2017）中表3监测要求，本项目</w:t>
            </w:r>
            <w:r>
              <w:rPr>
                <w:rFonts w:hint="default" w:ascii="Times New Roman" w:hAnsi="Times New Roman" w:cs="Times New Roman"/>
                <w:color w:val="auto"/>
                <w:spacing w:val="-3"/>
                <w:sz w:val="24"/>
                <w:szCs w:val="24"/>
                <w:lang w:val="en-US" w:eastAsia="zh-CN"/>
              </w:rPr>
              <w:t>脱硫废水循环使用不外排，</w:t>
            </w:r>
            <w:r>
              <w:rPr>
                <w:rFonts w:hint="default" w:ascii="Times New Roman" w:hAnsi="Times New Roman" w:eastAsia="宋体" w:cs="Times New Roman"/>
                <w:color w:val="auto"/>
                <w:spacing w:val="-3"/>
                <w:sz w:val="24"/>
                <w:szCs w:val="24"/>
                <w:lang w:val="en-US" w:eastAsia="zh-CN"/>
              </w:rPr>
              <w:t>废水监测计划见表4-9。</w:t>
            </w:r>
          </w:p>
          <w:p w14:paraId="3208071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kern w:val="2"/>
                <w:sz w:val="21"/>
                <w:szCs w:val="21"/>
                <w:highlight w:val="none"/>
                <w:lang w:val="en-US" w:eastAsia="zh-CN" w:bidi="ar-SA"/>
              </w:rPr>
              <w:t>表4-9废水监测计划一览表</w:t>
            </w:r>
          </w:p>
          <w:tbl>
            <w:tblPr>
              <w:tblStyle w:val="32"/>
              <w:tblW w:w="494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22"/>
              <w:gridCol w:w="1067"/>
              <w:gridCol w:w="2378"/>
              <w:gridCol w:w="1180"/>
              <w:gridCol w:w="2392"/>
            </w:tblGrid>
            <w:tr w14:paraId="4D49A8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90" w:hRule="atLeast"/>
                <w:jc w:val="center"/>
              </w:trPr>
              <w:tc>
                <w:tcPr>
                  <w:tcW w:w="635" w:type="pct"/>
                  <w:tcBorders>
                    <w:tl2br w:val="nil"/>
                    <w:tr2bl w:val="nil"/>
                  </w:tcBorders>
                  <w:noWrap w:val="0"/>
                  <w:vAlign w:val="center"/>
                </w:tcPr>
                <w:p w14:paraId="1D8CF27E">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rPr>
                    <w:t>监测点位</w:t>
                  </w:r>
                </w:p>
              </w:tc>
              <w:tc>
                <w:tcPr>
                  <w:tcW w:w="663" w:type="pct"/>
                  <w:tcBorders>
                    <w:tl2br w:val="nil"/>
                    <w:tr2bl w:val="nil"/>
                  </w:tcBorders>
                  <w:noWrap w:val="0"/>
                  <w:vAlign w:val="center"/>
                </w:tcPr>
                <w:p w14:paraId="34414F5F">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排口编号</w:t>
                  </w:r>
                </w:p>
              </w:tc>
              <w:tc>
                <w:tcPr>
                  <w:tcW w:w="1478" w:type="pct"/>
                  <w:tcBorders>
                    <w:tl2br w:val="nil"/>
                    <w:tr2bl w:val="nil"/>
                  </w:tcBorders>
                  <w:noWrap w:val="0"/>
                  <w:vAlign w:val="center"/>
                </w:tcPr>
                <w:p w14:paraId="7528EFAE">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rPr>
                    <w:t>监测</w:t>
                  </w:r>
                  <w:r>
                    <w:rPr>
                      <w:rFonts w:hint="default" w:ascii="Times New Roman" w:hAnsi="Times New Roman" w:eastAsia="宋体" w:cs="Times New Roman"/>
                      <w:b/>
                      <w:bCs/>
                      <w:color w:val="auto"/>
                      <w:sz w:val="21"/>
                      <w:szCs w:val="21"/>
                      <w:highlight w:val="none"/>
                      <w:lang w:val="en-US" w:eastAsia="zh-CN"/>
                    </w:rPr>
                    <w:t>项目</w:t>
                  </w:r>
                </w:p>
              </w:tc>
              <w:tc>
                <w:tcPr>
                  <w:tcW w:w="733" w:type="pct"/>
                  <w:tcBorders>
                    <w:tl2br w:val="nil"/>
                    <w:tr2bl w:val="nil"/>
                  </w:tcBorders>
                  <w:noWrap w:val="0"/>
                  <w:vAlign w:val="center"/>
                </w:tcPr>
                <w:p w14:paraId="0DA6C12A">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监测频次</w:t>
                  </w:r>
                </w:p>
              </w:tc>
              <w:tc>
                <w:tcPr>
                  <w:tcW w:w="1487" w:type="pct"/>
                  <w:tcBorders>
                    <w:tl2br w:val="nil"/>
                    <w:tr2bl w:val="nil"/>
                  </w:tcBorders>
                  <w:noWrap w:val="0"/>
                  <w:vAlign w:val="center"/>
                </w:tcPr>
                <w:p w14:paraId="123F151E">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执行标准</w:t>
                  </w:r>
                </w:p>
              </w:tc>
            </w:tr>
            <w:tr w14:paraId="28D3EC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635" w:type="pct"/>
                  <w:tcBorders>
                    <w:tl2br w:val="nil"/>
                    <w:tr2bl w:val="nil"/>
                  </w:tcBorders>
                  <w:noWrap w:val="0"/>
                  <w:vAlign w:val="center"/>
                </w:tcPr>
                <w:p w14:paraId="0C7BD7EF">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脱硫废水排放口</w:t>
                  </w:r>
                </w:p>
              </w:tc>
              <w:tc>
                <w:tcPr>
                  <w:tcW w:w="663" w:type="pct"/>
                  <w:tcBorders>
                    <w:tl2br w:val="nil"/>
                    <w:tr2bl w:val="nil"/>
                  </w:tcBorders>
                  <w:noWrap w:val="0"/>
                  <w:vAlign w:val="center"/>
                </w:tcPr>
                <w:p w14:paraId="15484808">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cs="Times New Roman"/>
                      <w:color w:val="auto"/>
                      <w:kern w:val="2"/>
                      <w:sz w:val="21"/>
                      <w:szCs w:val="21"/>
                      <w:highlight w:val="none"/>
                      <w:lang w:val="en-US" w:eastAsia="zh-CN" w:bidi="ar-SA"/>
                    </w:rPr>
                    <w:t>DW001</w:t>
                  </w:r>
                </w:p>
              </w:tc>
              <w:tc>
                <w:tcPr>
                  <w:tcW w:w="1478" w:type="pct"/>
                  <w:tcBorders>
                    <w:tl2br w:val="nil"/>
                    <w:tr2bl w:val="nil"/>
                  </w:tcBorders>
                  <w:noWrap w:val="0"/>
                  <w:vAlign w:val="center"/>
                </w:tcPr>
                <w:p w14:paraId="06E06DF2">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pH值、总砷、总铅、总汞、总镉、流量</w:t>
                  </w:r>
                </w:p>
              </w:tc>
              <w:tc>
                <w:tcPr>
                  <w:tcW w:w="733" w:type="pct"/>
                  <w:tcBorders>
                    <w:tl2br w:val="nil"/>
                    <w:tr2bl w:val="nil"/>
                  </w:tcBorders>
                  <w:noWrap w:val="0"/>
                  <w:vAlign w:val="center"/>
                </w:tcPr>
                <w:p w14:paraId="52A7C38D">
                  <w:pPr>
                    <w:keepNext w:val="0"/>
                    <w:keepLines w:val="0"/>
                    <w:pageBreakBefore w:val="0"/>
                    <w:widowControl w:val="0"/>
                    <w:kinsoku/>
                    <w:wordWrap/>
                    <w:overflowPunct/>
                    <w:topLinePunct/>
                    <w:autoSpaceDE/>
                    <w:autoSpaceDN/>
                    <w:bidi w:val="0"/>
                    <w:adjustRightInd w:val="0"/>
                    <w:snapToGrid w:val="0"/>
                    <w:spacing w:line="240" w:lineRule="auto"/>
                    <w:ind w:left="-105" w:leftChars="-50" w:right="-105" w:rightChars="-50"/>
                    <w:jc w:val="center"/>
                    <w:textAlignment w:val="auto"/>
                    <w:outlineLvl w:val="9"/>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1次/季度</w:t>
                  </w:r>
                </w:p>
              </w:tc>
              <w:tc>
                <w:tcPr>
                  <w:tcW w:w="1487" w:type="pct"/>
                  <w:tcBorders>
                    <w:tl2br w:val="nil"/>
                    <w:tr2bl w:val="nil"/>
                  </w:tcBorders>
                  <w:noWrap w:val="0"/>
                  <w:vAlign w:val="center"/>
                </w:tcPr>
                <w:p w14:paraId="3E575050">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jc w:val="center"/>
                    <w:textAlignment w:val="auto"/>
                    <w:outlineLvl w:val="9"/>
                    <w:rPr>
                      <w:rFonts w:hint="default" w:ascii="Times New Roman" w:hAnsi="Times New Roman" w:eastAsia="宋体" w:cs="Times New Roman"/>
                      <w:snapToGrid w:val="0"/>
                      <w:color w:val="auto"/>
                      <w:kern w:val="0"/>
                      <w:sz w:val="21"/>
                      <w:szCs w:val="21"/>
                      <w:highlight w:val="none"/>
                      <w:lang w:val="en-US" w:eastAsia="zh-CN"/>
                    </w:rPr>
                  </w:pPr>
                  <w:r>
                    <w:rPr>
                      <w:rFonts w:hint="default" w:ascii="Times New Roman" w:hAnsi="Times New Roman" w:cs="Times New Roman"/>
                      <w:snapToGrid w:val="0"/>
                      <w:color w:val="auto"/>
                      <w:kern w:val="0"/>
                      <w:sz w:val="21"/>
                      <w:szCs w:val="21"/>
                      <w:highlight w:val="none"/>
                      <w:lang w:val="en-US" w:eastAsia="zh-CN"/>
                    </w:rPr>
                    <w:t>/</w:t>
                  </w:r>
                </w:p>
              </w:tc>
            </w:tr>
          </w:tbl>
          <w:p w14:paraId="3734C23E">
            <w:pPr>
              <w:keepNext w:val="0"/>
              <w:pageBreakBefore w:val="0"/>
              <w:kinsoku/>
              <w:wordWrap/>
              <w:overflowPunct/>
              <w:bidi w:val="0"/>
              <w:adjustRightInd/>
              <w:snapToGrid/>
              <w:spacing w:line="360" w:lineRule="auto"/>
              <w:rPr>
                <w:rFonts w:hint="default" w:ascii="Times New Roman" w:hAnsi="Times New Roman" w:eastAsia="宋体" w:cs="Times New Roman"/>
                <w:b/>
                <w:bCs/>
                <w:color w:val="auto"/>
                <w:spacing w:val="0"/>
                <w:sz w:val="24"/>
                <w:szCs w:val="24"/>
              </w:rPr>
            </w:pPr>
            <w:r>
              <w:rPr>
                <w:rFonts w:hint="default" w:ascii="Times New Roman" w:hAnsi="Times New Roman" w:cs="Times New Roman"/>
                <w:b/>
                <w:bCs/>
                <w:color w:val="auto"/>
                <w:spacing w:val="0"/>
                <w:sz w:val="24"/>
                <w:szCs w:val="24"/>
                <w:lang w:val="en-US" w:eastAsia="zh-CN"/>
              </w:rPr>
              <w:t>2.3</w:t>
            </w:r>
            <w:r>
              <w:rPr>
                <w:rFonts w:hint="default" w:ascii="Times New Roman" w:hAnsi="Times New Roman" w:eastAsia="宋体" w:cs="Times New Roman"/>
                <w:b/>
                <w:bCs/>
                <w:color w:val="auto"/>
                <w:spacing w:val="0"/>
                <w:sz w:val="24"/>
                <w:szCs w:val="24"/>
              </w:rPr>
              <w:t>噪声影响分析</w:t>
            </w:r>
            <w:r>
              <w:rPr>
                <w:rFonts w:hint="default" w:ascii="Times New Roman" w:hAnsi="Times New Roman" w:eastAsia="宋体" w:cs="Times New Roman"/>
                <w:b/>
                <w:bCs/>
                <w:color w:val="auto"/>
                <w:spacing w:val="0"/>
                <w:sz w:val="24"/>
                <w:szCs w:val="24"/>
                <w:lang w:eastAsia="zh-CN"/>
              </w:rPr>
              <w:t>和保护措施</w:t>
            </w:r>
          </w:p>
          <w:p w14:paraId="0C522377">
            <w:pPr>
              <w:keepNext w:val="0"/>
              <w:keepLines w:val="0"/>
              <w:pageBreakBefore w:val="0"/>
              <w:widowControl w:val="0"/>
              <w:kinsoku/>
              <w:wordWrap/>
              <w:overflowPunct/>
              <w:topLinePunct w:val="0"/>
              <w:autoSpaceDE w:val="0"/>
              <w:autoSpaceDN w:val="0"/>
              <w:bidi w:val="0"/>
              <w:adjustRightInd/>
              <w:snapToGrid/>
              <w:spacing w:line="360" w:lineRule="auto"/>
              <w:ind w:firstLine="0" w:firstLineChars="0"/>
              <w:textAlignment w:val="auto"/>
              <w:rPr>
                <w:rFonts w:hint="default" w:ascii="Times New Roman" w:hAnsi="Times New Roman" w:eastAsia="宋体" w:cs="Times New Roman"/>
                <w:b/>
                <w:bCs/>
                <w:color w:val="auto"/>
                <w:spacing w:val="0"/>
                <w:kern w:val="0"/>
                <w:sz w:val="24"/>
                <w:szCs w:val="24"/>
                <w:lang w:val="en-US" w:eastAsia="zh-CN"/>
              </w:rPr>
            </w:pPr>
            <w:r>
              <w:rPr>
                <w:rFonts w:hint="default" w:ascii="Times New Roman" w:hAnsi="Times New Roman" w:cs="Times New Roman"/>
                <w:b/>
                <w:bCs/>
                <w:color w:val="auto"/>
                <w:spacing w:val="0"/>
                <w:sz w:val="24"/>
                <w:szCs w:val="24"/>
                <w:lang w:val="en-US" w:eastAsia="zh-CN"/>
              </w:rPr>
              <w:t>2.3.1</w:t>
            </w:r>
            <w:r>
              <w:rPr>
                <w:rFonts w:hint="default" w:ascii="Times New Roman" w:hAnsi="Times New Roman" w:eastAsia="宋体" w:cs="Times New Roman"/>
                <w:b/>
                <w:bCs/>
                <w:color w:val="auto"/>
                <w:spacing w:val="0"/>
                <w:kern w:val="0"/>
                <w:sz w:val="24"/>
                <w:szCs w:val="24"/>
                <w:lang w:val="en-US" w:eastAsia="zh-CN"/>
              </w:rPr>
              <w:t>噪声声源</w:t>
            </w:r>
          </w:p>
          <w:p w14:paraId="6228C314">
            <w:pPr>
              <w:pStyle w:val="28"/>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本项目运营期的噪声主要来源于生产设备，主要产噪设备噪声源强参考《火电厂污染防治可行技术指南》（HJ2301-2017）详见表4-1</w:t>
            </w:r>
            <w:r>
              <w:rPr>
                <w:rFonts w:hint="default" w:ascii="Times New Roman" w:hAnsi="Times New Roman" w:cs="Times New Roman"/>
                <w:color w:val="auto"/>
                <w:kern w:val="2"/>
                <w:sz w:val="24"/>
                <w:szCs w:val="24"/>
                <w:lang w:val="en-US" w:eastAsia="zh-CN" w:bidi="ar-SA"/>
              </w:rPr>
              <w:t>0和表4-12</w:t>
            </w:r>
            <w:r>
              <w:rPr>
                <w:rFonts w:hint="default" w:ascii="Times New Roman" w:hAnsi="Times New Roman" w:eastAsia="宋体" w:cs="Times New Roman"/>
                <w:color w:val="auto"/>
                <w:kern w:val="2"/>
                <w:sz w:val="24"/>
                <w:szCs w:val="24"/>
                <w:lang w:val="en-US" w:eastAsia="zh-CN" w:bidi="ar-SA"/>
              </w:rPr>
              <w:t>，其噪声值范围在</w:t>
            </w:r>
            <w:r>
              <w:rPr>
                <w:rFonts w:hint="default" w:ascii="Times New Roman" w:hAnsi="Times New Roman" w:cs="Times New Roman"/>
                <w:color w:val="auto"/>
                <w:kern w:val="2"/>
                <w:sz w:val="24"/>
                <w:szCs w:val="24"/>
                <w:lang w:val="en-US" w:eastAsia="zh-CN" w:bidi="ar-SA"/>
              </w:rPr>
              <w:t>85</w:t>
            </w:r>
            <w:r>
              <w:rPr>
                <w:rFonts w:hint="default" w:ascii="Times New Roman" w:hAnsi="Times New Roman" w:eastAsia="宋体" w:cs="Times New Roman"/>
                <w:color w:val="auto"/>
                <w:kern w:val="2"/>
                <w:sz w:val="24"/>
                <w:szCs w:val="24"/>
                <w:lang w:val="en-US" w:eastAsia="zh-CN" w:bidi="ar-SA"/>
              </w:rPr>
              <w:t>～</w:t>
            </w:r>
            <w:r>
              <w:rPr>
                <w:rFonts w:hint="default" w:ascii="Times New Roman" w:hAnsi="Times New Roman" w:cs="Times New Roman"/>
                <w:color w:val="auto"/>
                <w:kern w:val="2"/>
                <w:sz w:val="24"/>
                <w:szCs w:val="24"/>
                <w:lang w:val="en-US" w:eastAsia="zh-CN" w:bidi="ar-SA"/>
              </w:rPr>
              <w:t>115</w:t>
            </w:r>
            <w:r>
              <w:rPr>
                <w:rFonts w:hint="default" w:ascii="Times New Roman" w:hAnsi="Times New Roman" w:eastAsia="宋体" w:cs="Times New Roman"/>
                <w:color w:val="auto"/>
                <w:kern w:val="2"/>
                <w:sz w:val="24"/>
                <w:szCs w:val="24"/>
                <w:lang w:val="en-US" w:eastAsia="zh-CN" w:bidi="ar-SA"/>
              </w:rPr>
              <w:t>dB（A），为保障稳定运行，本项目设备需全天运转，噪声持续时间为24h。</w:t>
            </w:r>
          </w:p>
          <w:p w14:paraId="6096DE51">
            <w:pPr>
              <w:jc w:val="center"/>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表</w:t>
            </w:r>
            <w:r>
              <w:rPr>
                <w:rFonts w:hint="default" w:ascii="Times New Roman" w:hAnsi="Times New Roman" w:eastAsia="宋体" w:cs="Times New Roman"/>
                <w:b/>
                <w:bCs/>
                <w:color w:val="auto"/>
                <w:kern w:val="0"/>
                <w:sz w:val="21"/>
                <w:szCs w:val="21"/>
                <w:highlight w:val="none"/>
                <w:lang w:val="en-US" w:eastAsia="zh-CN"/>
              </w:rPr>
              <w:t>4-</w:t>
            </w:r>
            <w:r>
              <w:rPr>
                <w:rFonts w:hint="default" w:ascii="Times New Roman" w:hAnsi="Times New Roman" w:cs="Times New Roman"/>
                <w:b/>
                <w:bCs/>
                <w:color w:val="auto"/>
                <w:kern w:val="0"/>
                <w:sz w:val="21"/>
                <w:szCs w:val="21"/>
                <w:highlight w:val="none"/>
                <w:lang w:val="en-US" w:eastAsia="zh-CN"/>
              </w:rPr>
              <w:t>10</w:t>
            </w:r>
            <w:r>
              <w:rPr>
                <w:rFonts w:hint="default" w:ascii="Times New Roman" w:hAnsi="Times New Roman" w:eastAsia="宋体" w:cs="Times New Roman"/>
                <w:b/>
                <w:bCs/>
                <w:color w:val="auto"/>
                <w:kern w:val="0"/>
                <w:sz w:val="21"/>
                <w:szCs w:val="21"/>
                <w:highlight w:val="none"/>
              </w:rPr>
              <w:t>项目</w:t>
            </w:r>
            <w:r>
              <w:rPr>
                <w:rFonts w:hint="default" w:ascii="Times New Roman" w:hAnsi="Times New Roman" w:cs="Times New Roman"/>
                <w:b/>
                <w:bCs/>
                <w:color w:val="auto"/>
                <w:kern w:val="0"/>
                <w:sz w:val="21"/>
                <w:szCs w:val="21"/>
                <w:highlight w:val="none"/>
                <w:lang w:val="en-US" w:eastAsia="zh-CN"/>
              </w:rPr>
              <w:t>室内</w:t>
            </w:r>
            <w:r>
              <w:rPr>
                <w:rFonts w:hint="default" w:ascii="Times New Roman" w:hAnsi="Times New Roman" w:eastAsia="宋体" w:cs="Times New Roman"/>
                <w:b/>
                <w:bCs/>
                <w:color w:val="auto"/>
                <w:kern w:val="0"/>
                <w:sz w:val="21"/>
                <w:szCs w:val="21"/>
                <w:highlight w:val="none"/>
                <w:lang w:val="en-US" w:eastAsia="zh-CN"/>
              </w:rPr>
              <w:t>产噪</w:t>
            </w:r>
            <w:r>
              <w:rPr>
                <w:rFonts w:hint="default" w:ascii="Times New Roman" w:hAnsi="Times New Roman" w:eastAsia="宋体" w:cs="Times New Roman"/>
                <w:b/>
                <w:bCs/>
                <w:color w:val="auto"/>
                <w:kern w:val="0"/>
                <w:sz w:val="21"/>
                <w:szCs w:val="21"/>
                <w:highlight w:val="none"/>
              </w:rPr>
              <w:t>设备噪声源强</w:t>
            </w:r>
          </w:p>
          <w:tbl>
            <w:tblPr>
              <w:tblStyle w:val="32"/>
              <w:tblW w:w="8095" w:type="dxa"/>
              <w:tblInd w:w="-3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511"/>
              <w:gridCol w:w="1020"/>
              <w:gridCol w:w="828"/>
              <w:gridCol w:w="807"/>
              <w:gridCol w:w="600"/>
              <w:gridCol w:w="615"/>
              <w:gridCol w:w="613"/>
              <w:gridCol w:w="620"/>
              <w:gridCol w:w="620"/>
              <w:gridCol w:w="682"/>
              <w:gridCol w:w="558"/>
              <w:gridCol w:w="615"/>
              <w:gridCol w:w="6"/>
            </w:tblGrid>
            <w:tr w14:paraId="57D83F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511" w:type="dxa"/>
                  <w:vMerge w:val="restart"/>
                  <w:tcBorders>
                    <w:tl2br w:val="nil"/>
                    <w:tr2bl w:val="nil"/>
                  </w:tcBorders>
                  <w:shd w:val="clear" w:color="auto" w:fill="auto"/>
                  <w:vAlign w:val="center"/>
                </w:tcPr>
                <w:p w14:paraId="0CDCF7B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建筑物名称</w:t>
                  </w:r>
                </w:p>
              </w:tc>
              <w:tc>
                <w:tcPr>
                  <w:tcW w:w="1020" w:type="dxa"/>
                  <w:vMerge w:val="restart"/>
                  <w:tcBorders>
                    <w:tl2br w:val="nil"/>
                    <w:tr2bl w:val="nil"/>
                  </w:tcBorders>
                  <w:shd w:val="clear" w:color="auto" w:fill="auto"/>
                  <w:vAlign w:val="center"/>
                </w:tcPr>
                <w:p w14:paraId="2388C35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声源名称</w:t>
                  </w:r>
                </w:p>
              </w:tc>
              <w:tc>
                <w:tcPr>
                  <w:tcW w:w="828" w:type="dxa"/>
                  <w:vMerge w:val="restart"/>
                  <w:tcBorders>
                    <w:tl2br w:val="nil"/>
                    <w:tr2bl w:val="nil"/>
                  </w:tcBorders>
                  <w:shd w:val="clear" w:color="auto" w:fill="auto"/>
                  <w:vAlign w:val="center"/>
                </w:tcPr>
                <w:p w14:paraId="11C3BAC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（声压级/距声源距离）/（dB（A）/1m）</w:t>
                  </w:r>
                </w:p>
              </w:tc>
              <w:tc>
                <w:tcPr>
                  <w:tcW w:w="807" w:type="dxa"/>
                  <w:vMerge w:val="restart"/>
                  <w:tcBorders>
                    <w:tl2br w:val="nil"/>
                    <w:tr2bl w:val="nil"/>
                  </w:tcBorders>
                  <w:shd w:val="clear" w:color="auto" w:fill="auto"/>
                  <w:vAlign w:val="center"/>
                </w:tcPr>
                <w:p w14:paraId="49FE989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声源控制措施</w:t>
                  </w:r>
                </w:p>
              </w:tc>
              <w:tc>
                <w:tcPr>
                  <w:tcW w:w="1828" w:type="dxa"/>
                  <w:gridSpan w:val="3"/>
                  <w:tcBorders>
                    <w:tl2br w:val="nil"/>
                    <w:tr2bl w:val="nil"/>
                  </w:tcBorders>
                  <w:shd w:val="clear" w:color="auto" w:fill="auto"/>
                  <w:vAlign w:val="center"/>
                </w:tcPr>
                <w:p w14:paraId="0800815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空间相对位置/m</w:t>
                  </w:r>
                </w:p>
              </w:tc>
              <w:tc>
                <w:tcPr>
                  <w:tcW w:w="620" w:type="dxa"/>
                  <w:vMerge w:val="restart"/>
                  <w:tcBorders>
                    <w:tl2br w:val="nil"/>
                    <w:tr2bl w:val="nil"/>
                  </w:tcBorders>
                  <w:shd w:val="clear" w:color="auto" w:fill="auto"/>
                  <w:vAlign w:val="center"/>
                </w:tcPr>
                <w:p w14:paraId="3257496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距室内边界距离/m</w:t>
                  </w:r>
                </w:p>
              </w:tc>
              <w:tc>
                <w:tcPr>
                  <w:tcW w:w="620" w:type="dxa"/>
                  <w:vMerge w:val="restart"/>
                  <w:tcBorders>
                    <w:tl2br w:val="nil"/>
                    <w:tr2bl w:val="nil"/>
                  </w:tcBorders>
                  <w:shd w:val="clear" w:color="auto" w:fill="auto"/>
                  <w:vAlign w:val="center"/>
                </w:tcPr>
                <w:p w14:paraId="1DC003E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室内边界声级/dB（A）</w:t>
                  </w:r>
                </w:p>
              </w:tc>
              <w:tc>
                <w:tcPr>
                  <w:tcW w:w="682" w:type="dxa"/>
                  <w:vMerge w:val="restart"/>
                  <w:tcBorders>
                    <w:tl2br w:val="nil"/>
                    <w:tr2bl w:val="nil"/>
                  </w:tcBorders>
                  <w:shd w:val="clear" w:color="auto" w:fill="auto"/>
                  <w:vAlign w:val="center"/>
                </w:tcPr>
                <w:p w14:paraId="331C278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建筑物插入损失/dB（A）</w:t>
                  </w:r>
                </w:p>
              </w:tc>
              <w:tc>
                <w:tcPr>
                  <w:tcW w:w="1179" w:type="dxa"/>
                  <w:gridSpan w:val="3"/>
                  <w:tcBorders>
                    <w:tl2br w:val="nil"/>
                    <w:tr2bl w:val="nil"/>
                  </w:tcBorders>
                  <w:shd w:val="clear" w:color="auto" w:fill="auto"/>
                  <w:vAlign w:val="center"/>
                </w:tcPr>
                <w:p w14:paraId="1E824AC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建筑物外噪声</w:t>
                  </w:r>
                </w:p>
              </w:tc>
            </w:tr>
            <w:tr w14:paraId="7411A1B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511" w:type="dxa"/>
                  <w:vMerge w:val="continue"/>
                  <w:tcBorders>
                    <w:tl2br w:val="nil"/>
                    <w:tr2bl w:val="nil"/>
                  </w:tcBorders>
                  <w:shd w:val="clear" w:color="auto" w:fill="auto"/>
                  <w:vAlign w:val="center"/>
                </w:tcPr>
                <w:p w14:paraId="79C4DBCA">
                  <w:pPr>
                    <w:jc w:val="center"/>
                    <w:rPr>
                      <w:rFonts w:hint="default" w:ascii="Times New Roman" w:hAnsi="Times New Roman" w:eastAsia="宋体" w:cs="Times New Roman"/>
                      <w:b/>
                      <w:bCs/>
                      <w:i w:val="0"/>
                      <w:iCs w:val="0"/>
                      <w:color w:val="auto"/>
                      <w:sz w:val="21"/>
                      <w:szCs w:val="21"/>
                      <w:u w:val="none"/>
                    </w:rPr>
                  </w:pPr>
                </w:p>
              </w:tc>
              <w:tc>
                <w:tcPr>
                  <w:tcW w:w="1020" w:type="dxa"/>
                  <w:vMerge w:val="continue"/>
                  <w:tcBorders>
                    <w:tl2br w:val="nil"/>
                    <w:tr2bl w:val="nil"/>
                  </w:tcBorders>
                  <w:shd w:val="clear" w:color="auto" w:fill="auto"/>
                  <w:vAlign w:val="center"/>
                </w:tcPr>
                <w:p w14:paraId="6D4BD3E2">
                  <w:pPr>
                    <w:jc w:val="center"/>
                    <w:rPr>
                      <w:rFonts w:hint="default" w:ascii="Times New Roman" w:hAnsi="Times New Roman" w:eastAsia="宋体" w:cs="Times New Roman"/>
                      <w:b/>
                      <w:bCs/>
                      <w:i w:val="0"/>
                      <w:iCs w:val="0"/>
                      <w:color w:val="auto"/>
                      <w:sz w:val="21"/>
                      <w:szCs w:val="21"/>
                      <w:u w:val="none"/>
                    </w:rPr>
                  </w:pPr>
                </w:p>
              </w:tc>
              <w:tc>
                <w:tcPr>
                  <w:tcW w:w="828" w:type="dxa"/>
                  <w:vMerge w:val="continue"/>
                  <w:tcBorders>
                    <w:tl2br w:val="nil"/>
                    <w:tr2bl w:val="nil"/>
                  </w:tcBorders>
                  <w:shd w:val="clear" w:color="auto" w:fill="auto"/>
                  <w:vAlign w:val="center"/>
                </w:tcPr>
                <w:p w14:paraId="12D7D0A9">
                  <w:pPr>
                    <w:jc w:val="center"/>
                    <w:rPr>
                      <w:rFonts w:hint="default" w:ascii="Times New Roman" w:hAnsi="Times New Roman" w:eastAsia="宋体" w:cs="Times New Roman"/>
                      <w:b/>
                      <w:bCs/>
                      <w:i w:val="0"/>
                      <w:iCs w:val="0"/>
                      <w:color w:val="auto"/>
                      <w:sz w:val="21"/>
                      <w:szCs w:val="21"/>
                      <w:u w:val="none"/>
                    </w:rPr>
                  </w:pPr>
                </w:p>
              </w:tc>
              <w:tc>
                <w:tcPr>
                  <w:tcW w:w="807" w:type="dxa"/>
                  <w:vMerge w:val="continue"/>
                  <w:tcBorders>
                    <w:tl2br w:val="nil"/>
                    <w:tr2bl w:val="nil"/>
                  </w:tcBorders>
                  <w:shd w:val="clear" w:color="auto" w:fill="auto"/>
                  <w:vAlign w:val="center"/>
                </w:tcPr>
                <w:p w14:paraId="3BB9645C">
                  <w:pPr>
                    <w:jc w:val="center"/>
                    <w:rPr>
                      <w:rFonts w:hint="default" w:ascii="Times New Roman" w:hAnsi="Times New Roman" w:eastAsia="宋体" w:cs="Times New Roman"/>
                      <w:b/>
                      <w:bCs/>
                      <w:i w:val="0"/>
                      <w:iCs w:val="0"/>
                      <w:color w:val="auto"/>
                      <w:sz w:val="21"/>
                      <w:szCs w:val="21"/>
                      <w:u w:val="none"/>
                    </w:rPr>
                  </w:pPr>
                </w:p>
              </w:tc>
              <w:tc>
                <w:tcPr>
                  <w:tcW w:w="1828" w:type="dxa"/>
                  <w:gridSpan w:val="3"/>
                  <w:tcBorders>
                    <w:tl2br w:val="nil"/>
                    <w:tr2bl w:val="nil"/>
                  </w:tcBorders>
                  <w:shd w:val="clear" w:color="auto" w:fill="auto"/>
                  <w:vAlign w:val="center"/>
                </w:tcPr>
                <w:p w14:paraId="0B074EA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中心坐标（X,Y,Z）</w:t>
                  </w:r>
                </w:p>
              </w:tc>
              <w:tc>
                <w:tcPr>
                  <w:tcW w:w="620" w:type="dxa"/>
                  <w:vMerge w:val="continue"/>
                  <w:tcBorders>
                    <w:tl2br w:val="nil"/>
                    <w:tr2bl w:val="nil"/>
                  </w:tcBorders>
                  <w:shd w:val="clear" w:color="auto" w:fill="auto"/>
                  <w:vAlign w:val="center"/>
                </w:tcPr>
                <w:p w14:paraId="5BEB7264">
                  <w:pPr>
                    <w:jc w:val="center"/>
                    <w:rPr>
                      <w:rFonts w:hint="default" w:ascii="Times New Roman" w:hAnsi="Times New Roman" w:eastAsia="宋体" w:cs="Times New Roman"/>
                      <w:b/>
                      <w:bCs/>
                      <w:i w:val="0"/>
                      <w:iCs w:val="0"/>
                      <w:color w:val="auto"/>
                      <w:sz w:val="21"/>
                      <w:szCs w:val="21"/>
                      <w:u w:val="none"/>
                    </w:rPr>
                  </w:pPr>
                </w:p>
              </w:tc>
              <w:tc>
                <w:tcPr>
                  <w:tcW w:w="620" w:type="dxa"/>
                  <w:vMerge w:val="continue"/>
                  <w:tcBorders>
                    <w:tl2br w:val="nil"/>
                    <w:tr2bl w:val="nil"/>
                  </w:tcBorders>
                  <w:shd w:val="clear" w:color="auto" w:fill="auto"/>
                  <w:vAlign w:val="center"/>
                </w:tcPr>
                <w:p w14:paraId="1062BC19">
                  <w:pPr>
                    <w:jc w:val="center"/>
                    <w:rPr>
                      <w:rFonts w:hint="default" w:ascii="Times New Roman" w:hAnsi="Times New Roman" w:eastAsia="宋体" w:cs="Times New Roman"/>
                      <w:b/>
                      <w:bCs/>
                      <w:i w:val="0"/>
                      <w:iCs w:val="0"/>
                      <w:color w:val="auto"/>
                      <w:sz w:val="21"/>
                      <w:szCs w:val="21"/>
                      <w:u w:val="none"/>
                    </w:rPr>
                  </w:pPr>
                </w:p>
              </w:tc>
              <w:tc>
                <w:tcPr>
                  <w:tcW w:w="682" w:type="dxa"/>
                  <w:vMerge w:val="continue"/>
                  <w:tcBorders>
                    <w:tl2br w:val="nil"/>
                    <w:tr2bl w:val="nil"/>
                  </w:tcBorders>
                  <w:shd w:val="clear" w:color="auto" w:fill="auto"/>
                  <w:vAlign w:val="center"/>
                </w:tcPr>
                <w:p w14:paraId="4E8D3D58">
                  <w:pPr>
                    <w:jc w:val="center"/>
                    <w:rPr>
                      <w:rFonts w:hint="default" w:ascii="Times New Roman" w:hAnsi="Times New Roman" w:eastAsia="宋体" w:cs="Times New Roman"/>
                      <w:b/>
                      <w:bCs/>
                      <w:i w:val="0"/>
                      <w:iCs w:val="0"/>
                      <w:color w:val="auto"/>
                      <w:sz w:val="21"/>
                      <w:szCs w:val="21"/>
                      <w:u w:val="none"/>
                    </w:rPr>
                  </w:pPr>
                </w:p>
              </w:tc>
              <w:tc>
                <w:tcPr>
                  <w:tcW w:w="558" w:type="dxa"/>
                  <w:tcBorders>
                    <w:tl2br w:val="nil"/>
                    <w:tr2bl w:val="nil"/>
                  </w:tcBorders>
                  <w:shd w:val="clear" w:color="auto" w:fill="auto"/>
                  <w:vAlign w:val="center"/>
                </w:tcPr>
                <w:p w14:paraId="3C31DDC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声压级/dB（A）</w:t>
                  </w:r>
                </w:p>
              </w:tc>
              <w:tc>
                <w:tcPr>
                  <w:tcW w:w="621" w:type="dxa"/>
                  <w:gridSpan w:val="2"/>
                  <w:tcBorders>
                    <w:tl2br w:val="nil"/>
                    <w:tr2bl w:val="nil"/>
                  </w:tcBorders>
                  <w:shd w:val="clear" w:color="auto" w:fill="auto"/>
                  <w:vAlign w:val="center"/>
                </w:tcPr>
                <w:p w14:paraId="2B30C161">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建筑物外距离/m</w:t>
                  </w:r>
                </w:p>
              </w:tc>
            </w:tr>
            <w:tr w14:paraId="714EC86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511" w:type="dxa"/>
                  <w:vMerge w:val="restart"/>
                  <w:tcBorders>
                    <w:tl2br w:val="nil"/>
                    <w:tr2bl w:val="nil"/>
                  </w:tcBorders>
                  <w:shd w:val="clear" w:color="auto" w:fill="auto"/>
                  <w:noWrap/>
                  <w:vAlign w:val="center"/>
                </w:tcPr>
                <w:p w14:paraId="46A418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综合水泵房</w:t>
                  </w:r>
                </w:p>
              </w:tc>
              <w:tc>
                <w:tcPr>
                  <w:tcW w:w="1020" w:type="dxa"/>
                  <w:tcBorders>
                    <w:tl2br w:val="nil"/>
                    <w:tr2bl w:val="nil"/>
                  </w:tcBorders>
                  <w:shd w:val="clear" w:color="auto" w:fill="auto"/>
                  <w:noWrap/>
                  <w:vAlign w:val="center"/>
                </w:tcPr>
                <w:p w14:paraId="162D3E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软化水制备设备</w:t>
                  </w:r>
                </w:p>
              </w:tc>
              <w:tc>
                <w:tcPr>
                  <w:tcW w:w="828" w:type="dxa"/>
                  <w:tcBorders>
                    <w:tl2br w:val="nil"/>
                    <w:tr2bl w:val="nil"/>
                  </w:tcBorders>
                  <w:shd w:val="clear" w:color="auto" w:fill="auto"/>
                  <w:noWrap/>
                  <w:vAlign w:val="center"/>
                </w:tcPr>
                <w:p w14:paraId="34819A8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807" w:type="dxa"/>
                  <w:vMerge w:val="restart"/>
                  <w:tcBorders>
                    <w:tl2br w:val="nil"/>
                    <w:tr2bl w:val="nil"/>
                  </w:tcBorders>
                  <w:shd w:val="clear" w:color="auto" w:fill="auto"/>
                  <w:vAlign w:val="center"/>
                </w:tcPr>
                <w:p w14:paraId="0EE65AF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选用低噪声设备，对高噪音设备减振弹性垫层铺设，在设备底座与基础之间加装减振垫</w:t>
                  </w:r>
                </w:p>
              </w:tc>
              <w:tc>
                <w:tcPr>
                  <w:tcW w:w="600" w:type="dxa"/>
                  <w:tcBorders>
                    <w:tl2br w:val="nil"/>
                    <w:tr2bl w:val="nil"/>
                  </w:tcBorders>
                  <w:shd w:val="clear" w:color="auto" w:fill="auto"/>
                  <w:noWrap/>
                  <w:vAlign w:val="center"/>
                </w:tcPr>
                <w:p w14:paraId="324DB82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615" w:type="dxa"/>
                  <w:tcBorders>
                    <w:tl2br w:val="nil"/>
                    <w:tr2bl w:val="nil"/>
                  </w:tcBorders>
                  <w:shd w:val="clear" w:color="auto" w:fill="auto"/>
                  <w:noWrap/>
                  <w:vAlign w:val="center"/>
                </w:tcPr>
                <w:p w14:paraId="2F4667E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-38</w:t>
                  </w:r>
                </w:p>
              </w:tc>
              <w:tc>
                <w:tcPr>
                  <w:tcW w:w="613" w:type="dxa"/>
                  <w:tcBorders>
                    <w:tl2br w:val="nil"/>
                    <w:tr2bl w:val="nil"/>
                  </w:tcBorders>
                  <w:shd w:val="clear" w:color="auto" w:fill="auto"/>
                  <w:noWrap/>
                  <w:vAlign w:val="center"/>
                </w:tcPr>
                <w:p w14:paraId="76FE9C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620" w:type="dxa"/>
                  <w:tcBorders>
                    <w:tl2br w:val="nil"/>
                    <w:tr2bl w:val="nil"/>
                  </w:tcBorders>
                  <w:shd w:val="clear" w:color="auto" w:fill="auto"/>
                  <w:noWrap/>
                  <w:vAlign w:val="center"/>
                </w:tcPr>
                <w:p w14:paraId="26A5DF9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620" w:type="dxa"/>
                  <w:tcBorders>
                    <w:tl2br w:val="nil"/>
                    <w:tr2bl w:val="nil"/>
                  </w:tcBorders>
                  <w:shd w:val="clear" w:color="auto" w:fill="auto"/>
                  <w:noWrap/>
                  <w:vAlign w:val="center"/>
                </w:tcPr>
                <w:p w14:paraId="0BAD84C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92</w:t>
                  </w:r>
                </w:p>
              </w:tc>
              <w:tc>
                <w:tcPr>
                  <w:tcW w:w="682" w:type="dxa"/>
                  <w:tcBorders>
                    <w:tl2br w:val="nil"/>
                    <w:tr2bl w:val="nil"/>
                  </w:tcBorders>
                  <w:shd w:val="clear" w:color="auto" w:fill="auto"/>
                  <w:noWrap/>
                  <w:vAlign w:val="center"/>
                </w:tcPr>
                <w:p w14:paraId="57CAC54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558" w:type="dxa"/>
                  <w:tcBorders>
                    <w:tl2br w:val="nil"/>
                    <w:tr2bl w:val="nil"/>
                  </w:tcBorders>
                  <w:shd w:val="clear" w:color="auto" w:fill="auto"/>
                  <w:noWrap/>
                  <w:vAlign w:val="center"/>
                </w:tcPr>
                <w:p w14:paraId="03AE746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72</w:t>
                  </w:r>
                </w:p>
              </w:tc>
              <w:tc>
                <w:tcPr>
                  <w:tcW w:w="621" w:type="dxa"/>
                  <w:gridSpan w:val="2"/>
                  <w:tcBorders>
                    <w:tl2br w:val="nil"/>
                    <w:tr2bl w:val="nil"/>
                  </w:tcBorders>
                  <w:shd w:val="clear" w:color="auto" w:fill="auto"/>
                  <w:noWrap/>
                  <w:vAlign w:val="center"/>
                </w:tcPr>
                <w:p w14:paraId="1181D84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5A0A78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511" w:type="dxa"/>
                  <w:vMerge w:val="continue"/>
                  <w:tcBorders>
                    <w:tl2br w:val="nil"/>
                    <w:tr2bl w:val="nil"/>
                  </w:tcBorders>
                  <w:shd w:val="clear" w:color="auto" w:fill="auto"/>
                  <w:noWrap/>
                  <w:vAlign w:val="center"/>
                </w:tcPr>
                <w:p w14:paraId="6CFC1D93">
                  <w:pPr>
                    <w:jc w:val="center"/>
                    <w:rPr>
                      <w:rFonts w:hint="default" w:ascii="Times New Roman" w:hAnsi="Times New Roman" w:eastAsia="宋体" w:cs="Times New Roman"/>
                      <w:i w:val="0"/>
                      <w:iCs w:val="0"/>
                      <w:color w:val="auto"/>
                      <w:sz w:val="21"/>
                      <w:szCs w:val="21"/>
                      <w:u w:val="none"/>
                    </w:rPr>
                  </w:pPr>
                </w:p>
              </w:tc>
              <w:tc>
                <w:tcPr>
                  <w:tcW w:w="1020" w:type="dxa"/>
                  <w:tcBorders>
                    <w:tl2br w:val="nil"/>
                    <w:tr2bl w:val="nil"/>
                  </w:tcBorders>
                  <w:shd w:val="clear" w:color="auto" w:fill="auto"/>
                  <w:noWrap/>
                  <w:vAlign w:val="center"/>
                </w:tcPr>
                <w:p w14:paraId="3D115B5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水泵</w:t>
                  </w:r>
                </w:p>
              </w:tc>
              <w:tc>
                <w:tcPr>
                  <w:tcW w:w="828" w:type="dxa"/>
                  <w:tcBorders>
                    <w:tl2br w:val="nil"/>
                    <w:tr2bl w:val="nil"/>
                  </w:tcBorders>
                  <w:shd w:val="clear" w:color="auto" w:fill="auto"/>
                  <w:noWrap/>
                  <w:vAlign w:val="center"/>
                </w:tcPr>
                <w:p w14:paraId="49A117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w:t>
                  </w:r>
                </w:p>
              </w:tc>
              <w:tc>
                <w:tcPr>
                  <w:tcW w:w="807" w:type="dxa"/>
                  <w:vMerge w:val="continue"/>
                  <w:tcBorders>
                    <w:tl2br w:val="nil"/>
                    <w:tr2bl w:val="nil"/>
                  </w:tcBorders>
                  <w:shd w:val="clear" w:color="auto" w:fill="auto"/>
                  <w:vAlign w:val="center"/>
                </w:tcPr>
                <w:p w14:paraId="0A60FAF4">
                  <w:pPr>
                    <w:jc w:val="center"/>
                    <w:rPr>
                      <w:rFonts w:hint="default" w:ascii="Times New Roman" w:hAnsi="Times New Roman" w:eastAsia="宋体" w:cs="Times New Roman"/>
                      <w:i w:val="0"/>
                      <w:iCs w:val="0"/>
                      <w:color w:val="auto"/>
                      <w:sz w:val="21"/>
                      <w:szCs w:val="21"/>
                      <w:u w:val="none"/>
                    </w:rPr>
                  </w:pPr>
                </w:p>
              </w:tc>
              <w:tc>
                <w:tcPr>
                  <w:tcW w:w="600" w:type="dxa"/>
                  <w:tcBorders>
                    <w:tl2br w:val="nil"/>
                    <w:tr2bl w:val="nil"/>
                  </w:tcBorders>
                  <w:shd w:val="clear" w:color="auto" w:fill="auto"/>
                  <w:noWrap/>
                  <w:vAlign w:val="center"/>
                </w:tcPr>
                <w:p w14:paraId="7330655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w:t>
                  </w:r>
                </w:p>
              </w:tc>
              <w:tc>
                <w:tcPr>
                  <w:tcW w:w="615" w:type="dxa"/>
                  <w:tcBorders>
                    <w:tl2br w:val="nil"/>
                    <w:tr2bl w:val="nil"/>
                  </w:tcBorders>
                  <w:shd w:val="clear" w:color="auto" w:fill="auto"/>
                  <w:noWrap/>
                  <w:vAlign w:val="center"/>
                </w:tcPr>
                <w:p w14:paraId="441843D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w:t>
                  </w:r>
                </w:p>
              </w:tc>
              <w:tc>
                <w:tcPr>
                  <w:tcW w:w="613" w:type="dxa"/>
                  <w:tcBorders>
                    <w:tl2br w:val="nil"/>
                    <w:tr2bl w:val="nil"/>
                  </w:tcBorders>
                  <w:shd w:val="clear" w:color="auto" w:fill="auto"/>
                  <w:noWrap/>
                  <w:vAlign w:val="center"/>
                </w:tcPr>
                <w:p w14:paraId="48B906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620" w:type="dxa"/>
                  <w:tcBorders>
                    <w:tl2br w:val="nil"/>
                    <w:tr2bl w:val="nil"/>
                  </w:tcBorders>
                  <w:shd w:val="clear" w:color="auto" w:fill="auto"/>
                  <w:noWrap/>
                  <w:vAlign w:val="center"/>
                </w:tcPr>
                <w:p w14:paraId="2E6CEC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w:t>
                  </w:r>
                </w:p>
              </w:tc>
              <w:tc>
                <w:tcPr>
                  <w:tcW w:w="620" w:type="dxa"/>
                  <w:tcBorders>
                    <w:tl2br w:val="nil"/>
                    <w:tr2bl w:val="nil"/>
                  </w:tcBorders>
                  <w:shd w:val="clear" w:color="auto" w:fill="auto"/>
                  <w:noWrap/>
                  <w:vAlign w:val="center"/>
                </w:tcPr>
                <w:p w14:paraId="0B252B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92</w:t>
                  </w:r>
                </w:p>
              </w:tc>
              <w:tc>
                <w:tcPr>
                  <w:tcW w:w="682" w:type="dxa"/>
                  <w:tcBorders>
                    <w:tl2br w:val="nil"/>
                    <w:tr2bl w:val="nil"/>
                  </w:tcBorders>
                  <w:shd w:val="clear" w:color="auto" w:fill="auto"/>
                  <w:noWrap/>
                  <w:vAlign w:val="center"/>
                </w:tcPr>
                <w:p w14:paraId="21580A5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558" w:type="dxa"/>
                  <w:tcBorders>
                    <w:tl2br w:val="nil"/>
                    <w:tr2bl w:val="nil"/>
                  </w:tcBorders>
                  <w:shd w:val="clear" w:color="auto" w:fill="auto"/>
                  <w:noWrap/>
                  <w:vAlign w:val="center"/>
                </w:tcPr>
                <w:p w14:paraId="525EADE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72</w:t>
                  </w:r>
                </w:p>
              </w:tc>
              <w:tc>
                <w:tcPr>
                  <w:tcW w:w="621" w:type="dxa"/>
                  <w:gridSpan w:val="2"/>
                  <w:tcBorders>
                    <w:tl2br w:val="nil"/>
                    <w:tr2bl w:val="nil"/>
                  </w:tcBorders>
                  <w:shd w:val="clear" w:color="auto" w:fill="auto"/>
                  <w:noWrap/>
                  <w:vAlign w:val="center"/>
                </w:tcPr>
                <w:p w14:paraId="344154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23A03A1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511" w:type="dxa"/>
                  <w:vMerge w:val="restart"/>
                  <w:tcBorders>
                    <w:tl2br w:val="nil"/>
                    <w:tr2bl w:val="nil"/>
                  </w:tcBorders>
                  <w:shd w:val="clear" w:color="auto" w:fill="auto"/>
                  <w:noWrap/>
                  <w:vAlign w:val="center"/>
                </w:tcPr>
                <w:p w14:paraId="0F1896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锅炉房</w:t>
                  </w:r>
                </w:p>
              </w:tc>
              <w:tc>
                <w:tcPr>
                  <w:tcW w:w="1020" w:type="dxa"/>
                  <w:tcBorders>
                    <w:tl2br w:val="nil"/>
                    <w:tr2bl w:val="nil"/>
                  </w:tcBorders>
                  <w:shd w:val="clear" w:color="auto" w:fill="auto"/>
                  <w:vAlign w:val="center"/>
                </w:tcPr>
                <w:p w14:paraId="5CAFF13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锅炉排汽</w:t>
                  </w:r>
                </w:p>
              </w:tc>
              <w:tc>
                <w:tcPr>
                  <w:tcW w:w="828" w:type="dxa"/>
                  <w:tcBorders>
                    <w:tl2br w:val="nil"/>
                    <w:tr2bl w:val="nil"/>
                  </w:tcBorders>
                  <w:shd w:val="clear" w:color="auto" w:fill="auto"/>
                  <w:noWrap/>
                  <w:vAlign w:val="center"/>
                </w:tcPr>
                <w:p w14:paraId="23866C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115</w:t>
                  </w:r>
                </w:p>
              </w:tc>
              <w:tc>
                <w:tcPr>
                  <w:tcW w:w="807" w:type="dxa"/>
                  <w:vMerge w:val="continue"/>
                  <w:tcBorders>
                    <w:tl2br w:val="nil"/>
                    <w:tr2bl w:val="nil"/>
                  </w:tcBorders>
                  <w:shd w:val="clear" w:color="auto" w:fill="auto"/>
                  <w:vAlign w:val="center"/>
                </w:tcPr>
                <w:p w14:paraId="076E7CF5">
                  <w:pPr>
                    <w:jc w:val="center"/>
                    <w:rPr>
                      <w:rFonts w:hint="default" w:ascii="Times New Roman" w:hAnsi="Times New Roman" w:eastAsia="宋体" w:cs="Times New Roman"/>
                      <w:i w:val="0"/>
                      <w:iCs w:val="0"/>
                      <w:color w:val="auto"/>
                      <w:sz w:val="21"/>
                      <w:szCs w:val="21"/>
                      <w:u w:val="none"/>
                    </w:rPr>
                  </w:pPr>
                </w:p>
              </w:tc>
              <w:tc>
                <w:tcPr>
                  <w:tcW w:w="600" w:type="dxa"/>
                  <w:tcBorders>
                    <w:tl2br w:val="nil"/>
                    <w:tr2bl w:val="nil"/>
                  </w:tcBorders>
                  <w:shd w:val="clear" w:color="auto" w:fill="auto"/>
                  <w:noWrap/>
                  <w:vAlign w:val="center"/>
                </w:tcPr>
                <w:p w14:paraId="773F0C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w:t>
                  </w:r>
                </w:p>
              </w:tc>
              <w:tc>
                <w:tcPr>
                  <w:tcW w:w="615" w:type="dxa"/>
                  <w:tcBorders>
                    <w:tl2br w:val="nil"/>
                    <w:tr2bl w:val="nil"/>
                  </w:tcBorders>
                  <w:shd w:val="clear" w:color="auto" w:fill="auto"/>
                  <w:noWrap/>
                  <w:vAlign w:val="center"/>
                </w:tcPr>
                <w:p w14:paraId="659E3A4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67</w:t>
                  </w:r>
                </w:p>
              </w:tc>
              <w:tc>
                <w:tcPr>
                  <w:tcW w:w="613" w:type="dxa"/>
                  <w:tcBorders>
                    <w:tl2br w:val="nil"/>
                    <w:tr2bl w:val="nil"/>
                  </w:tcBorders>
                  <w:shd w:val="clear" w:color="auto" w:fill="auto"/>
                  <w:noWrap/>
                  <w:vAlign w:val="center"/>
                </w:tcPr>
                <w:p w14:paraId="56B76D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620" w:type="dxa"/>
                  <w:tcBorders>
                    <w:tl2br w:val="nil"/>
                    <w:tr2bl w:val="nil"/>
                  </w:tcBorders>
                  <w:shd w:val="clear" w:color="auto" w:fill="auto"/>
                  <w:noWrap/>
                  <w:vAlign w:val="center"/>
                </w:tcPr>
                <w:p w14:paraId="61A45C3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620" w:type="dxa"/>
                  <w:tcBorders>
                    <w:tl2br w:val="nil"/>
                    <w:tr2bl w:val="nil"/>
                  </w:tcBorders>
                  <w:shd w:val="clear" w:color="auto" w:fill="auto"/>
                  <w:noWrap/>
                  <w:vAlign w:val="center"/>
                </w:tcPr>
                <w:p w14:paraId="224FDA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96</w:t>
                  </w:r>
                </w:p>
              </w:tc>
              <w:tc>
                <w:tcPr>
                  <w:tcW w:w="682" w:type="dxa"/>
                  <w:tcBorders>
                    <w:tl2br w:val="nil"/>
                    <w:tr2bl w:val="nil"/>
                  </w:tcBorders>
                  <w:shd w:val="clear" w:color="auto" w:fill="auto"/>
                  <w:noWrap/>
                  <w:vAlign w:val="center"/>
                </w:tcPr>
                <w:p w14:paraId="0C7D9A1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558" w:type="dxa"/>
                  <w:tcBorders>
                    <w:tl2br w:val="nil"/>
                    <w:tr2bl w:val="nil"/>
                  </w:tcBorders>
                  <w:shd w:val="clear" w:color="auto" w:fill="auto"/>
                  <w:noWrap/>
                  <w:vAlign w:val="center"/>
                </w:tcPr>
                <w:p w14:paraId="79797D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76</w:t>
                  </w:r>
                </w:p>
              </w:tc>
              <w:tc>
                <w:tcPr>
                  <w:tcW w:w="621" w:type="dxa"/>
                  <w:gridSpan w:val="2"/>
                  <w:tcBorders>
                    <w:tl2br w:val="nil"/>
                    <w:tr2bl w:val="nil"/>
                  </w:tcBorders>
                  <w:shd w:val="clear" w:color="auto" w:fill="auto"/>
                  <w:noWrap/>
                  <w:vAlign w:val="center"/>
                </w:tcPr>
                <w:p w14:paraId="31E7564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788EC42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511" w:type="dxa"/>
                  <w:vMerge w:val="continue"/>
                  <w:tcBorders>
                    <w:tl2br w:val="nil"/>
                    <w:tr2bl w:val="nil"/>
                  </w:tcBorders>
                  <w:shd w:val="clear" w:color="auto" w:fill="auto"/>
                  <w:noWrap/>
                  <w:vAlign w:val="center"/>
                </w:tcPr>
                <w:p w14:paraId="06AA515B">
                  <w:pPr>
                    <w:jc w:val="center"/>
                    <w:rPr>
                      <w:rFonts w:hint="default" w:ascii="Times New Roman" w:hAnsi="Times New Roman" w:eastAsia="宋体" w:cs="Times New Roman"/>
                      <w:i w:val="0"/>
                      <w:iCs w:val="0"/>
                      <w:color w:val="auto"/>
                      <w:sz w:val="21"/>
                      <w:szCs w:val="21"/>
                      <w:u w:val="none"/>
                    </w:rPr>
                  </w:pPr>
                </w:p>
              </w:tc>
              <w:tc>
                <w:tcPr>
                  <w:tcW w:w="1020" w:type="dxa"/>
                  <w:tcBorders>
                    <w:tl2br w:val="nil"/>
                    <w:tr2bl w:val="nil"/>
                  </w:tcBorders>
                  <w:shd w:val="clear" w:color="auto" w:fill="auto"/>
                  <w:noWrap/>
                  <w:vAlign w:val="center"/>
                </w:tcPr>
                <w:p w14:paraId="5BF15D2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引风机、送风机</w:t>
                  </w:r>
                </w:p>
              </w:tc>
              <w:tc>
                <w:tcPr>
                  <w:tcW w:w="828" w:type="dxa"/>
                  <w:tcBorders>
                    <w:tl2br w:val="nil"/>
                    <w:tr2bl w:val="nil"/>
                  </w:tcBorders>
                  <w:shd w:val="clear" w:color="auto" w:fill="auto"/>
                  <w:noWrap/>
                  <w:vAlign w:val="center"/>
                </w:tcPr>
                <w:p w14:paraId="43F54FD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115</w:t>
                  </w:r>
                </w:p>
              </w:tc>
              <w:tc>
                <w:tcPr>
                  <w:tcW w:w="807" w:type="dxa"/>
                  <w:vMerge w:val="continue"/>
                  <w:tcBorders>
                    <w:tl2br w:val="nil"/>
                    <w:tr2bl w:val="nil"/>
                  </w:tcBorders>
                  <w:shd w:val="clear" w:color="auto" w:fill="auto"/>
                  <w:vAlign w:val="center"/>
                </w:tcPr>
                <w:p w14:paraId="0ED0E67A">
                  <w:pPr>
                    <w:jc w:val="center"/>
                    <w:rPr>
                      <w:rFonts w:hint="default" w:ascii="Times New Roman" w:hAnsi="Times New Roman" w:eastAsia="宋体" w:cs="Times New Roman"/>
                      <w:i w:val="0"/>
                      <w:iCs w:val="0"/>
                      <w:color w:val="auto"/>
                      <w:sz w:val="21"/>
                      <w:szCs w:val="21"/>
                      <w:u w:val="none"/>
                    </w:rPr>
                  </w:pPr>
                </w:p>
              </w:tc>
              <w:tc>
                <w:tcPr>
                  <w:tcW w:w="600" w:type="dxa"/>
                  <w:tcBorders>
                    <w:tl2br w:val="nil"/>
                    <w:tr2bl w:val="nil"/>
                  </w:tcBorders>
                  <w:shd w:val="clear" w:color="auto" w:fill="auto"/>
                  <w:noWrap/>
                  <w:vAlign w:val="center"/>
                </w:tcPr>
                <w:p w14:paraId="0562EE7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615" w:type="dxa"/>
                  <w:tcBorders>
                    <w:tl2br w:val="nil"/>
                    <w:tr2bl w:val="nil"/>
                  </w:tcBorders>
                  <w:shd w:val="clear" w:color="auto" w:fill="auto"/>
                  <w:noWrap/>
                  <w:vAlign w:val="center"/>
                </w:tcPr>
                <w:p w14:paraId="64B2D11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68</w:t>
                  </w:r>
                </w:p>
              </w:tc>
              <w:tc>
                <w:tcPr>
                  <w:tcW w:w="613" w:type="dxa"/>
                  <w:tcBorders>
                    <w:tl2br w:val="nil"/>
                    <w:tr2bl w:val="nil"/>
                  </w:tcBorders>
                  <w:shd w:val="clear" w:color="auto" w:fill="auto"/>
                  <w:noWrap/>
                  <w:vAlign w:val="center"/>
                </w:tcPr>
                <w:p w14:paraId="59DEAB0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620" w:type="dxa"/>
                  <w:tcBorders>
                    <w:tl2br w:val="nil"/>
                    <w:tr2bl w:val="nil"/>
                  </w:tcBorders>
                  <w:shd w:val="clear" w:color="auto" w:fill="auto"/>
                  <w:noWrap/>
                  <w:vAlign w:val="center"/>
                </w:tcPr>
                <w:p w14:paraId="200ACE1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620" w:type="dxa"/>
                  <w:tcBorders>
                    <w:tl2br w:val="nil"/>
                    <w:tr2bl w:val="nil"/>
                  </w:tcBorders>
                  <w:shd w:val="clear" w:color="auto" w:fill="auto"/>
                  <w:noWrap/>
                  <w:vAlign w:val="center"/>
                </w:tcPr>
                <w:p w14:paraId="7B63A6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96</w:t>
                  </w:r>
                </w:p>
              </w:tc>
              <w:tc>
                <w:tcPr>
                  <w:tcW w:w="682" w:type="dxa"/>
                  <w:tcBorders>
                    <w:tl2br w:val="nil"/>
                    <w:tr2bl w:val="nil"/>
                  </w:tcBorders>
                  <w:shd w:val="clear" w:color="auto" w:fill="auto"/>
                  <w:noWrap/>
                  <w:vAlign w:val="center"/>
                </w:tcPr>
                <w:p w14:paraId="050AA11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558" w:type="dxa"/>
                  <w:tcBorders>
                    <w:tl2br w:val="nil"/>
                    <w:tr2bl w:val="nil"/>
                  </w:tcBorders>
                  <w:shd w:val="clear" w:color="auto" w:fill="auto"/>
                  <w:noWrap/>
                  <w:vAlign w:val="center"/>
                </w:tcPr>
                <w:p w14:paraId="4108F28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76</w:t>
                  </w:r>
                </w:p>
              </w:tc>
              <w:tc>
                <w:tcPr>
                  <w:tcW w:w="621" w:type="dxa"/>
                  <w:gridSpan w:val="2"/>
                  <w:tcBorders>
                    <w:tl2br w:val="nil"/>
                    <w:tr2bl w:val="nil"/>
                  </w:tcBorders>
                  <w:shd w:val="clear" w:color="auto" w:fill="auto"/>
                  <w:noWrap/>
                  <w:vAlign w:val="center"/>
                </w:tcPr>
                <w:p w14:paraId="2A2800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20F1830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511" w:type="dxa"/>
                  <w:vMerge w:val="restart"/>
                  <w:tcBorders>
                    <w:tl2br w:val="nil"/>
                    <w:tr2bl w:val="nil"/>
                  </w:tcBorders>
                  <w:shd w:val="clear" w:color="auto" w:fill="auto"/>
                  <w:noWrap/>
                  <w:vAlign w:val="center"/>
                </w:tcPr>
                <w:p w14:paraId="25E0F9A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汽机间</w:t>
                  </w:r>
                </w:p>
              </w:tc>
              <w:tc>
                <w:tcPr>
                  <w:tcW w:w="1020" w:type="dxa"/>
                  <w:tcBorders>
                    <w:tl2br w:val="nil"/>
                    <w:tr2bl w:val="nil"/>
                  </w:tcBorders>
                  <w:shd w:val="clear" w:color="auto" w:fill="auto"/>
                  <w:noWrap/>
                  <w:vAlign w:val="center"/>
                </w:tcPr>
                <w:p w14:paraId="4F3F953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汽轮机</w:t>
                  </w:r>
                </w:p>
              </w:tc>
              <w:tc>
                <w:tcPr>
                  <w:tcW w:w="828" w:type="dxa"/>
                  <w:tcBorders>
                    <w:tl2br w:val="nil"/>
                    <w:tr2bl w:val="nil"/>
                  </w:tcBorders>
                  <w:shd w:val="clear" w:color="auto" w:fill="auto"/>
                  <w:noWrap/>
                  <w:vAlign w:val="center"/>
                </w:tcPr>
                <w:p w14:paraId="2A3A66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108</w:t>
                  </w:r>
                </w:p>
              </w:tc>
              <w:tc>
                <w:tcPr>
                  <w:tcW w:w="807" w:type="dxa"/>
                  <w:vMerge w:val="continue"/>
                  <w:tcBorders>
                    <w:tl2br w:val="nil"/>
                    <w:tr2bl w:val="nil"/>
                  </w:tcBorders>
                  <w:shd w:val="clear" w:color="auto" w:fill="auto"/>
                  <w:vAlign w:val="center"/>
                </w:tcPr>
                <w:p w14:paraId="12B92480">
                  <w:pPr>
                    <w:jc w:val="center"/>
                    <w:rPr>
                      <w:rFonts w:hint="default" w:ascii="Times New Roman" w:hAnsi="Times New Roman" w:eastAsia="宋体" w:cs="Times New Roman"/>
                      <w:i w:val="0"/>
                      <w:iCs w:val="0"/>
                      <w:color w:val="auto"/>
                      <w:sz w:val="21"/>
                      <w:szCs w:val="21"/>
                      <w:u w:val="none"/>
                    </w:rPr>
                  </w:pPr>
                </w:p>
              </w:tc>
              <w:tc>
                <w:tcPr>
                  <w:tcW w:w="600" w:type="dxa"/>
                  <w:tcBorders>
                    <w:tl2br w:val="nil"/>
                    <w:tr2bl w:val="nil"/>
                  </w:tcBorders>
                  <w:shd w:val="clear" w:color="auto" w:fill="auto"/>
                  <w:noWrap/>
                  <w:vAlign w:val="center"/>
                </w:tcPr>
                <w:p w14:paraId="15CDD96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615" w:type="dxa"/>
                  <w:tcBorders>
                    <w:tl2br w:val="nil"/>
                    <w:tr2bl w:val="nil"/>
                  </w:tcBorders>
                  <w:shd w:val="clear" w:color="auto" w:fill="auto"/>
                  <w:noWrap/>
                  <w:vAlign w:val="center"/>
                </w:tcPr>
                <w:p w14:paraId="7C06F31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22</w:t>
                  </w:r>
                </w:p>
              </w:tc>
              <w:tc>
                <w:tcPr>
                  <w:tcW w:w="613" w:type="dxa"/>
                  <w:tcBorders>
                    <w:tl2br w:val="nil"/>
                    <w:tr2bl w:val="nil"/>
                  </w:tcBorders>
                  <w:shd w:val="clear" w:color="auto" w:fill="auto"/>
                  <w:noWrap/>
                  <w:vAlign w:val="center"/>
                </w:tcPr>
                <w:p w14:paraId="13F7B49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620" w:type="dxa"/>
                  <w:tcBorders>
                    <w:tl2br w:val="nil"/>
                    <w:tr2bl w:val="nil"/>
                  </w:tcBorders>
                  <w:shd w:val="clear" w:color="auto" w:fill="auto"/>
                  <w:noWrap/>
                  <w:vAlign w:val="center"/>
                </w:tcPr>
                <w:p w14:paraId="39D2173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620" w:type="dxa"/>
                  <w:tcBorders>
                    <w:tl2br w:val="nil"/>
                    <w:tr2bl w:val="nil"/>
                  </w:tcBorders>
                  <w:shd w:val="clear" w:color="auto" w:fill="auto"/>
                  <w:noWrap/>
                  <w:vAlign w:val="center"/>
                </w:tcPr>
                <w:p w14:paraId="1868B99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94</w:t>
                  </w:r>
                </w:p>
              </w:tc>
              <w:tc>
                <w:tcPr>
                  <w:tcW w:w="682" w:type="dxa"/>
                  <w:tcBorders>
                    <w:tl2br w:val="nil"/>
                    <w:tr2bl w:val="nil"/>
                  </w:tcBorders>
                  <w:shd w:val="clear" w:color="auto" w:fill="auto"/>
                  <w:noWrap/>
                  <w:vAlign w:val="center"/>
                </w:tcPr>
                <w:p w14:paraId="64358F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558" w:type="dxa"/>
                  <w:tcBorders>
                    <w:tl2br w:val="nil"/>
                    <w:tr2bl w:val="nil"/>
                  </w:tcBorders>
                  <w:shd w:val="clear" w:color="auto" w:fill="auto"/>
                  <w:noWrap/>
                  <w:vAlign w:val="center"/>
                </w:tcPr>
                <w:p w14:paraId="016D0F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74</w:t>
                  </w:r>
                </w:p>
              </w:tc>
              <w:tc>
                <w:tcPr>
                  <w:tcW w:w="621" w:type="dxa"/>
                  <w:gridSpan w:val="2"/>
                  <w:tcBorders>
                    <w:tl2br w:val="nil"/>
                    <w:tr2bl w:val="nil"/>
                  </w:tcBorders>
                  <w:shd w:val="clear" w:color="auto" w:fill="auto"/>
                  <w:noWrap/>
                  <w:vAlign w:val="center"/>
                </w:tcPr>
                <w:p w14:paraId="1F347E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5D3D7C2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511" w:type="dxa"/>
                  <w:vMerge w:val="continue"/>
                  <w:tcBorders>
                    <w:tl2br w:val="nil"/>
                    <w:tr2bl w:val="nil"/>
                  </w:tcBorders>
                  <w:shd w:val="clear" w:color="auto" w:fill="auto"/>
                  <w:noWrap/>
                  <w:vAlign w:val="center"/>
                </w:tcPr>
                <w:p w14:paraId="65EC3BC2">
                  <w:pPr>
                    <w:jc w:val="center"/>
                    <w:rPr>
                      <w:rFonts w:hint="default" w:ascii="Times New Roman" w:hAnsi="Times New Roman" w:eastAsia="宋体" w:cs="Times New Roman"/>
                      <w:i w:val="0"/>
                      <w:iCs w:val="0"/>
                      <w:color w:val="auto"/>
                      <w:sz w:val="21"/>
                      <w:szCs w:val="21"/>
                      <w:u w:val="none"/>
                    </w:rPr>
                  </w:pPr>
                </w:p>
              </w:tc>
              <w:tc>
                <w:tcPr>
                  <w:tcW w:w="1020" w:type="dxa"/>
                  <w:tcBorders>
                    <w:tl2br w:val="nil"/>
                    <w:tr2bl w:val="nil"/>
                  </w:tcBorders>
                  <w:shd w:val="clear" w:color="auto" w:fill="auto"/>
                  <w:noWrap/>
                  <w:vAlign w:val="center"/>
                </w:tcPr>
                <w:p w14:paraId="5076DB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发电机</w:t>
                  </w:r>
                </w:p>
              </w:tc>
              <w:tc>
                <w:tcPr>
                  <w:tcW w:w="828" w:type="dxa"/>
                  <w:tcBorders>
                    <w:tl2br w:val="nil"/>
                    <w:tr2bl w:val="nil"/>
                  </w:tcBorders>
                  <w:shd w:val="clear" w:color="auto" w:fill="auto"/>
                  <w:noWrap/>
                  <w:vAlign w:val="center"/>
                </w:tcPr>
                <w:p w14:paraId="6336C6B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108</w:t>
                  </w:r>
                </w:p>
              </w:tc>
              <w:tc>
                <w:tcPr>
                  <w:tcW w:w="807" w:type="dxa"/>
                  <w:vMerge w:val="continue"/>
                  <w:tcBorders>
                    <w:tl2br w:val="nil"/>
                    <w:tr2bl w:val="nil"/>
                  </w:tcBorders>
                  <w:shd w:val="clear" w:color="auto" w:fill="auto"/>
                  <w:vAlign w:val="center"/>
                </w:tcPr>
                <w:p w14:paraId="0F06691F">
                  <w:pPr>
                    <w:jc w:val="center"/>
                    <w:rPr>
                      <w:rFonts w:hint="default" w:ascii="Times New Roman" w:hAnsi="Times New Roman" w:eastAsia="宋体" w:cs="Times New Roman"/>
                      <w:i w:val="0"/>
                      <w:iCs w:val="0"/>
                      <w:color w:val="auto"/>
                      <w:sz w:val="21"/>
                      <w:szCs w:val="21"/>
                      <w:u w:val="none"/>
                    </w:rPr>
                  </w:pPr>
                </w:p>
              </w:tc>
              <w:tc>
                <w:tcPr>
                  <w:tcW w:w="600" w:type="dxa"/>
                  <w:tcBorders>
                    <w:tl2br w:val="nil"/>
                    <w:tr2bl w:val="nil"/>
                  </w:tcBorders>
                  <w:shd w:val="clear" w:color="auto" w:fill="auto"/>
                  <w:noWrap/>
                  <w:vAlign w:val="center"/>
                </w:tcPr>
                <w:p w14:paraId="51B26C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c>
                <w:tcPr>
                  <w:tcW w:w="615" w:type="dxa"/>
                  <w:tcBorders>
                    <w:tl2br w:val="nil"/>
                    <w:tr2bl w:val="nil"/>
                  </w:tcBorders>
                  <w:shd w:val="clear" w:color="auto" w:fill="auto"/>
                  <w:noWrap/>
                  <w:vAlign w:val="center"/>
                </w:tcPr>
                <w:p w14:paraId="52FF92C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w:t>
                  </w:r>
                </w:p>
              </w:tc>
              <w:tc>
                <w:tcPr>
                  <w:tcW w:w="613" w:type="dxa"/>
                  <w:tcBorders>
                    <w:tl2br w:val="nil"/>
                    <w:tr2bl w:val="nil"/>
                  </w:tcBorders>
                  <w:shd w:val="clear" w:color="auto" w:fill="auto"/>
                  <w:noWrap/>
                  <w:vAlign w:val="center"/>
                </w:tcPr>
                <w:p w14:paraId="39EBBB6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620" w:type="dxa"/>
                  <w:tcBorders>
                    <w:tl2br w:val="nil"/>
                    <w:tr2bl w:val="nil"/>
                  </w:tcBorders>
                  <w:shd w:val="clear" w:color="auto" w:fill="auto"/>
                  <w:noWrap/>
                  <w:vAlign w:val="center"/>
                </w:tcPr>
                <w:p w14:paraId="2C45EC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620" w:type="dxa"/>
                  <w:tcBorders>
                    <w:tl2br w:val="nil"/>
                    <w:tr2bl w:val="nil"/>
                  </w:tcBorders>
                  <w:shd w:val="clear" w:color="auto" w:fill="auto"/>
                  <w:noWrap/>
                  <w:vAlign w:val="center"/>
                </w:tcPr>
                <w:p w14:paraId="630E24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94</w:t>
                  </w:r>
                </w:p>
              </w:tc>
              <w:tc>
                <w:tcPr>
                  <w:tcW w:w="682" w:type="dxa"/>
                  <w:tcBorders>
                    <w:tl2br w:val="nil"/>
                    <w:tr2bl w:val="nil"/>
                  </w:tcBorders>
                  <w:shd w:val="clear" w:color="auto" w:fill="auto"/>
                  <w:noWrap/>
                  <w:vAlign w:val="center"/>
                </w:tcPr>
                <w:p w14:paraId="393A8E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558" w:type="dxa"/>
                  <w:tcBorders>
                    <w:tl2br w:val="nil"/>
                    <w:tr2bl w:val="nil"/>
                  </w:tcBorders>
                  <w:shd w:val="clear" w:color="auto" w:fill="auto"/>
                  <w:noWrap/>
                  <w:vAlign w:val="center"/>
                </w:tcPr>
                <w:p w14:paraId="41FA695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74</w:t>
                  </w:r>
                </w:p>
              </w:tc>
              <w:tc>
                <w:tcPr>
                  <w:tcW w:w="621" w:type="dxa"/>
                  <w:gridSpan w:val="2"/>
                  <w:tcBorders>
                    <w:tl2br w:val="nil"/>
                    <w:tr2bl w:val="nil"/>
                  </w:tcBorders>
                  <w:shd w:val="clear" w:color="auto" w:fill="auto"/>
                  <w:noWrap/>
                  <w:vAlign w:val="center"/>
                </w:tcPr>
                <w:p w14:paraId="3DD69F8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578BAAD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511" w:type="dxa"/>
                  <w:vMerge w:val="restart"/>
                  <w:tcBorders>
                    <w:tl2br w:val="nil"/>
                    <w:tr2bl w:val="nil"/>
                  </w:tcBorders>
                  <w:shd w:val="clear" w:color="auto" w:fill="auto"/>
                  <w:noWrap/>
                  <w:vAlign w:val="center"/>
                </w:tcPr>
                <w:p w14:paraId="5E8A1F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辅助车间</w:t>
                  </w:r>
                </w:p>
              </w:tc>
              <w:tc>
                <w:tcPr>
                  <w:tcW w:w="1020" w:type="dxa"/>
                  <w:tcBorders>
                    <w:tl2br w:val="nil"/>
                    <w:tr2bl w:val="nil"/>
                  </w:tcBorders>
                  <w:shd w:val="clear" w:color="auto" w:fill="auto"/>
                  <w:noWrap/>
                  <w:vAlign w:val="center"/>
                </w:tcPr>
                <w:p w14:paraId="09C161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尿素热解炉</w:t>
                  </w:r>
                </w:p>
              </w:tc>
              <w:tc>
                <w:tcPr>
                  <w:tcW w:w="828" w:type="dxa"/>
                  <w:tcBorders>
                    <w:tl2br w:val="nil"/>
                    <w:tr2bl w:val="nil"/>
                  </w:tcBorders>
                  <w:shd w:val="clear" w:color="auto" w:fill="auto"/>
                  <w:noWrap/>
                  <w:vAlign w:val="center"/>
                </w:tcPr>
                <w:p w14:paraId="5E9596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90</w:t>
                  </w:r>
                </w:p>
              </w:tc>
              <w:tc>
                <w:tcPr>
                  <w:tcW w:w="807" w:type="dxa"/>
                  <w:vMerge w:val="continue"/>
                  <w:tcBorders>
                    <w:tl2br w:val="nil"/>
                    <w:tr2bl w:val="nil"/>
                  </w:tcBorders>
                  <w:shd w:val="clear" w:color="auto" w:fill="auto"/>
                  <w:vAlign w:val="center"/>
                </w:tcPr>
                <w:p w14:paraId="540E5521">
                  <w:pPr>
                    <w:jc w:val="center"/>
                    <w:rPr>
                      <w:rFonts w:hint="default" w:ascii="Times New Roman" w:hAnsi="Times New Roman" w:eastAsia="宋体" w:cs="Times New Roman"/>
                      <w:i w:val="0"/>
                      <w:iCs w:val="0"/>
                      <w:color w:val="auto"/>
                      <w:sz w:val="21"/>
                      <w:szCs w:val="21"/>
                      <w:u w:val="none"/>
                    </w:rPr>
                  </w:pPr>
                </w:p>
              </w:tc>
              <w:tc>
                <w:tcPr>
                  <w:tcW w:w="600" w:type="dxa"/>
                  <w:tcBorders>
                    <w:tl2br w:val="nil"/>
                    <w:tr2bl w:val="nil"/>
                  </w:tcBorders>
                  <w:shd w:val="clear" w:color="auto" w:fill="auto"/>
                  <w:noWrap/>
                  <w:vAlign w:val="center"/>
                </w:tcPr>
                <w:p w14:paraId="1069B21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19</w:t>
                  </w:r>
                </w:p>
              </w:tc>
              <w:tc>
                <w:tcPr>
                  <w:tcW w:w="615" w:type="dxa"/>
                  <w:tcBorders>
                    <w:tl2br w:val="nil"/>
                    <w:tr2bl w:val="nil"/>
                  </w:tcBorders>
                  <w:shd w:val="clear" w:color="auto" w:fill="auto"/>
                  <w:noWrap/>
                  <w:vAlign w:val="center"/>
                </w:tcPr>
                <w:p w14:paraId="7BF63D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74</w:t>
                  </w:r>
                </w:p>
              </w:tc>
              <w:tc>
                <w:tcPr>
                  <w:tcW w:w="613" w:type="dxa"/>
                  <w:tcBorders>
                    <w:tl2br w:val="nil"/>
                    <w:tr2bl w:val="nil"/>
                  </w:tcBorders>
                  <w:shd w:val="clear" w:color="auto" w:fill="auto"/>
                  <w:noWrap/>
                  <w:vAlign w:val="center"/>
                </w:tcPr>
                <w:p w14:paraId="1DA4EB8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620" w:type="dxa"/>
                  <w:tcBorders>
                    <w:tl2br w:val="nil"/>
                    <w:tr2bl w:val="nil"/>
                  </w:tcBorders>
                  <w:shd w:val="clear" w:color="auto" w:fill="auto"/>
                  <w:noWrap/>
                  <w:vAlign w:val="center"/>
                </w:tcPr>
                <w:p w14:paraId="3986834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620" w:type="dxa"/>
                  <w:tcBorders>
                    <w:tl2br w:val="nil"/>
                    <w:tr2bl w:val="nil"/>
                  </w:tcBorders>
                  <w:shd w:val="clear" w:color="auto" w:fill="auto"/>
                  <w:noWrap/>
                  <w:vAlign w:val="center"/>
                </w:tcPr>
                <w:p w14:paraId="0D23CCC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76</w:t>
                  </w:r>
                </w:p>
              </w:tc>
              <w:tc>
                <w:tcPr>
                  <w:tcW w:w="682" w:type="dxa"/>
                  <w:tcBorders>
                    <w:tl2br w:val="nil"/>
                    <w:tr2bl w:val="nil"/>
                  </w:tcBorders>
                  <w:shd w:val="clear" w:color="auto" w:fill="auto"/>
                  <w:noWrap/>
                  <w:vAlign w:val="center"/>
                </w:tcPr>
                <w:p w14:paraId="1DF749A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558" w:type="dxa"/>
                  <w:tcBorders>
                    <w:tl2br w:val="nil"/>
                    <w:tr2bl w:val="nil"/>
                  </w:tcBorders>
                  <w:shd w:val="clear" w:color="auto" w:fill="auto"/>
                  <w:noWrap/>
                  <w:vAlign w:val="center"/>
                </w:tcPr>
                <w:p w14:paraId="2C86D67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56</w:t>
                  </w:r>
                </w:p>
              </w:tc>
              <w:tc>
                <w:tcPr>
                  <w:tcW w:w="621" w:type="dxa"/>
                  <w:gridSpan w:val="2"/>
                  <w:tcBorders>
                    <w:tl2br w:val="nil"/>
                    <w:tr2bl w:val="nil"/>
                  </w:tcBorders>
                  <w:shd w:val="clear" w:color="auto" w:fill="auto"/>
                  <w:noWrap/>
                  <w:vAlign w:val="center"/>
                </w:tcPr>
                <w:p w14:paraId="24C6FA2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3BD4465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511" w:type="dxa"/>
                  <w:vMerge w:val="continue"/>
                  <w:tcBorders>
                    <w:tl2br w:val="nil"/>
                    <w:tr2bl w:val="nil"/>
                  </w:tcBorders>
                  <w:shd w:val="clear" w:color="auto" w:fill="auto"/>
                  <w:noWrap/>
                  <w:vAlign w:val="center"/>
                </w:tcPr>
                <w:p w14:paraId="3E81BC75">
                  <w:pPr>
                    <w:jc w:val="center"/>
                    <w:rPr>
                      <w:rFonts w:hint="default" w:ascii="Times New Roman" w:hAnsi="Times New Roman" w:eastAsia="宋体" w:cs="Times New Roman"/>
                      <w:i w:val="0"/>
                      <w:iCs w:val="0"/>
                      <w:color w:val="auto"/>
                      <w:sz w:val="21"/>
                      <w:szCs w:val="21"/>
                      <w:u w:val="none"/>
                    </w:rPr>
                  </w:pPr>
                </w:p>
              </w:tc>
              <w:tc>
                <w:tcPr>
                  <w:tcW w:w="1020" w:type="dxa"/>
                  <w:tcBorders>
                    <w:tl2br w:val="nil"/>
                    <w:tr2bl w:val="nil"/>
                  </w:tcBorders>
                  <w:shd w:val="clear" w:color="auto" w:fill="auto"/>
                  <w:noWrap/>
                  <w:vAlign w:val="center"/>
                </w:tcPr>
                <w:p w14:paraId="714C751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输送泵</w:t>
                  </w:r>
                </w:p>
              </w:tc>
              <w:tc>
                <w:tcPr>
                  <w:tcW w:w="828" w:type="dxa"/>
                  <w:tcBorders>
                    <w:tl2br w:val="nil"/>
                    <w:tr2bl w:val="nil"/>
                  </w:tcBorders>
                  <w:shd w:val="clear" w:color="auto" w:fill="auto"/>
                  <w:noWrap/>
                  <w:vAlign w:val="center"/>
                </w:tcPr>
                <w:p w14:paraId="00350CB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108</w:t>
                  </w:r>
                </w:p>
              </w:tc>
              <w:tc>
                <w:tcPr>
                  <w:tcW w:w="807" w:type="dxa"/>
                  <w:vMerge w:val="continue"/>
                  <w:tcBorders>
                    <w:tl2br w:val="nil"/>
                    <w:tr2bl w:val="nil"/>
                  </w:tcBorders>
                  <w:shd w:val="clear" w:color="auto" w:fill="auto"/>
                  <w:vAlign w:val="center"/>
                </w:tcPr>
                <w:p w14:paraId="4AD7957A">
                  <w:pPr>
                    <w:jc w:val="center"/>
                    <w:rPr>
                      <w:rFonts w:hint="default" w:ascii="Times New Roman" w:hAnsi="Times New Roman" w:eastAsia="宋体" w:cs="Times New Roman"/>
                      <w:i w:val="0"/>
                      <w:iCs w:val="0"/>
                      <w:color w:val="auto"/>
                      <w:sz w:val="21"/>
                      <w:szCs w:val="21"/>
                      <w:u w:val="none"/>
                    </w:rPr>
                  </w:pPr>
                </w:p>
              </w:tc>
              <w:tc>
                <w:tcPr>
                  <w:tcW w:w="600" w:type="dxa"/>
                  <w:tcBorders>
                    <w:tl2br w:val="nil"/>
                    <w:tr2bl w:val="nil"/>
                  </w:tcBorders>
                  <w:shd w:val="clear" w:color="auto" w:fill="auto"/>
                  <w:noWrap/>
                  <w:vAlign w:val="center"/>
                </w:tcPr>
                <w:p w14:paraId="1C5A030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w:t>
                  </w:r>
                </w:p>
              </w:tc>
              <w:tc>
                <w:tcPr>
                  <w:tcW w:w="615" w:type="dxa"/>
                  <w:tcBorders>
                    <w:tl2br w:val="nil"/>
                    <w:tr2bl w:val="nil"/>
                  </w:tcBorders>
                  <w:shd w:val="clear" w:color="auto" w:fill="auto"/>
                  <w:noWrap/>
                  <w:vAlign w:val="center"/>
                </w:tcPr>
                <w:p w14:paraId="29FC3B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73</w:t>
                  </w:r>
                </w:p>
              </w:tc>
              <w:tc>
                <w:tcPr>
                  <w:tcW w:w="613" w:type="dxa"/>
                  <w:tcBorders>
                    <w:tl2br w:val="nil"/>
                    <w:tr2bl w:val="nil"/>
                  </w:tcBorders>
                  <w:shd w:val="clear" w:color="auto" w:fill="auto"/>
                  <w:noWrap/>
                  <w:vAlign w:val="center"/>
                </w:tcPr>
                <w:p w14:paraId="6BF220F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620" w:type="dxa"/>
                  <w:tcBorders>
                    <w:tl2br w:val="nil"/>
                    <w:tr2bl w:val="nil"/>
                  </w:tcBorders>
                  <w:shd w:val="clear" w:color="auto" w:fill="auto"/>
                  <w:noWrap/>
                  <w:vAlign w:val="center"/>
                </w:tcPr>
                <w:p w14:paraId="18F47E2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620" w:type="dxa"/>
                  <w:tcBorders>
                    <w:tl2br w:val="nil"/>
                    <w:tr2bl w:val="nil"/>
                  </w:tcBorders>
                  <w:shd w:val="clear" w:color="auto" w:fill="auto"/>
                  <w:noWrap/>
                  <w:vAlign w:val="center"/>
                </w:tcPr>
                <w:p w14:paraId="466B51E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94</w:t>
                  </w:r>
                </w:p>
              </w:tc>
              <w:tc>
                <w:tcPr>
                  <w:tcW w:w="682" w:type="dxa"/>
                  <w:tcBorders>
                    <w:tl2br w:val="nil"/>
                    <w:tr2bl w:val="nil"/>
                  </w:tcBorders>
                  <w:shd w:val="clear" w:color="auto" w:fill="auto"/>
                  <w:noWrap/>
                  <w:vAlign w:val="center"/>
                </w:tcPr>
                <w:p w14:paraId="43D721E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558" w:type="dxa"/>
                  <w:tcBorders>
                    <w:tl2br w:val="nil"/>
                    <w:tr2bl w:val="nil"/>
                  </w:tcBorders>
                  <w:shd w:val="clear" w:color="auto" w:fill="auto"/>
                  <w:noWrap/>
                  <w:vAlign w:val="center"/>
                </w:tcPr>
                <w:p w14:paraId="6882A0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74</w:t>
                  </w:r>
                </w:p>
              </w:tc>
              <w:tc>
                <w:tcPr>
                  <w:tcW w:w="621" w:type="dxa"/>
                  <w:gridSpan w:val="2"/>
                  <w:tcBorders>
                    <w:tl2br w:val="nil"/>
                    <w:tr2bl w:val="nil"/>
                  </w:tcBorders>
                  <w:shd w:val="clear" w:color="auto" w:fill="auto"/>
                  <w:noWrap/>
                  <w:vAlign w:val="center"/>
                </w:tcPr>
                <w:p w14:paraId="1CCDFF1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22DC49C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511" w:type="dxa"/>
                  <w:vMerge w:val="continue"/>
                  <w:tcBorders>
                    <w:tl2br w:val="nil"/>
                    <w:tr2bl w:val="nil"/>
                  </w:tcBorders>
                  <w:shd w:val="clear" w:color="auto" w:fill="auto"/>
                  <w:noWrap/>
                  <w:vAlign w:val="center"/>
                </w:tcPr>
                <w:p w14:paraId="35A352AF">
                  <w:pPr>
                    <w:jc w:val="center"/>
                    <w:rPr>
                      <w:rFonts w:hint="default" w:ascii="Times New Roman" w:hAnsi="Times New Roman" w:eastAsia="宋体" w:cs="Times New Roman"/>
                      <w:i w:val="0"/>
                      <w:iCs w:val="0"/>
                      <w:color w:val="auto"/>
                      <w:sz w:val="21"/>
                      <w:szCs w:val="21"/>
                      <w:u w:val="none"/>
                    </w:rPr>
                  </w:pPr>
                </w:p>
              </w:tc>
              <w:tc>
                <w:tcPr>
                  <w:tcW w:w="1020" w:type="dxa"/>
                  <w:tcBorders>
                    <w:tl2br w:val="nil"/>
                    <w:tr2bl w:val="nil"/>
                  </w:tcBorders>
                  <w:shd w:val="clear" w:color="auto" w:fill="auto"/>
                  <w:noWrap/>
                  <w:vAlign w:val="center"/>
                </w:tcPr>
                <w:p w14:paraId="18EA9FF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轴流风机</w:t>
                  </w:r>
                </w:p>
              </w:tc>
              <w:tc>
                <w:tcPr>
                  <w:tcW w:w="828" w:type="dxa"/>
                  <w:tcBorders>
                    <w:tl2br w:val="nil"/>
                    <w:tr2bl w:val="nil"/>
                  </w:tcBorders>
                  <w:shd w:val="clear" w:color="auto" w:fill="auto"/>
                  <w:noWrap/>
                  <w:vAlign w:val="center"/>
                </w:tcPr>
                <w:p w14:paraId="1BAA8C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108</w:t>
                  </w:r>
                </w:p>
              </w:tc>
              <w:tc>
                <w:tcPr>
                  <w:tcW w:w="807" w:type="dxa"/>
                  <w:vMerge w:val="continue"/>
                  <w:tcBorders>
                    <w:tl2br w:val="nil"/>
                    <w:tr2bl w:val="nil"/>
                  </w:tcBorders>
                  <w:shd w:val="clear" w:color="auto" w:fill="auto"/>
                  <w:vAlign w:val="center"/>
                </w:tcPr>
                <w:p w14:paraId="5CE91976">
                  <w:pPr>
                    <w:jc w:val="center"/>
                    <w:rPr>
                      <w:rFonts w:hint="default" w:ascii="Times New Roman" w:hAnsi="Times New Roman" w:eastAsia="宋体" w:cs="Times New Roman"/>
                      <w:i w:val="0"/>
                      <w:iCs w:val="0"/>
                      <w:color w:val="auto"/>
                      <w:sz w:val="21"/>
                      <w:szCs w:val="21"/>
                      <w:u w:val="none"/>
                    </w:rPr>
                  </w:pPr>
                </w:p>
              </w:tc>
              <w:tc>
                <w:tcPr>
                  <w:tcW w:w="600" w:type="dxa"/>
                  <w:tcBorders>
                    <w:tl2br w:val="nil"/>
                    <w:tr2bl w:val="nil"/>
                  </w:tcBorders>
                  <w:shd w:val="clear" w:color="auto" w:fill="auto"/>
                  <w:noWrap/>
                  <w:vAlign w:val="center"/>
                </w:tcPr>
                <w:p w14:paraId="1CA537C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w:t>
                  </w:r>
                </w:p>
              </w:tc>
              <w:tc>
                <w:tcPr>
                  <w:tcW w:w="615" w:type="dxa"/>
                  <w:tcBorders>
                    <w:tl2br w:val="nil"/>
                    <w:tr2bl w:val="nil"/>
                  </w:tcBorders>
                  <w:shd w:val="clear" w:color="auto" w:fill="auto"/>
                  <w:noWrap/>
                  <w:vAlign w:val="center"/>
                </w:tcPr>
                <w:p w14:paraId="04BF205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76</w:t>
                  </w:r>
                </w:p>
              </w:tc>
              <w:tc>
                <w:tcPr>
                  <w:tcW w:w="613" w:type="dxa"/>
                  <w:tcBorders>
                    <w:tl2br w:val="nil"/>
                    <w:tr2bl w:val="nil"/>
                  </w:tcBorders>
                  <w:shd w:val="clear" w:color="auto" w:fill="auto"/>
                  <w:noWrap/>
                  <w:vAlign w:val="center"/>
                </w:tcPr>
                <w:p w14:paraId="7BC97C9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620" w:type="dxa"/>
                  <w:tcBorders>
                    <w:tl2br w:val="nil"/>
                    <w:tr2bl w:val="nil"/>
                  </w:tcBorders>
                  <w:shd w:val="clear" w:color="auto" w:fill="auto"/>
                  <w:noWrap/>
                  <w:vAlign w:val="center"/>
                </w:tcPr>
                <w:p w14:paraId="0F12E5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620" w:type="dxa"/>
                  <w:tcBorders>
                    <w:tl2br w:val="nil"/>
                    <w:tr2bl w:val="nil"/>
                  </w:tcBorders>
                  <w:shd w:val="clear" w:color="auto" w:fill="auto"/>
                  <w:noWrap/>
                  <w:vAlign w:val="center"/>
                </w:tcPr>
                <w:p w14:paraId="6E35B34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94</w:t>
                  </w:r>
                </w:p>
              </w:tc>
              <w:tc>
                <w:tcPr>
                  <w:tcW w:w="682" w:type="dxa"/>
                  <w:tcBorders>
                    <w:tl2br w:val="nil"/>
                    <w:tr2bl w:val="nil"/>
                  </w:tcBorders>
                  <w:shd w:val="clear" w:color="auto" w:fill="auto"/>
                  <w:noWrap/>
                  <w:vAlign w:val="center"/>
                </w:tcPr>
                <w:p w14:paraId="4F0EF65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558" w:type="dxa"/>
                  <w:tcBorders>
                    <w:tl2br w:val="nil"/>
                    <w:tr2bl w:val="nil"/>
                  </w:tcBorders>
                  <w:shd w:val="clear" w:color="auto" w:fill="auto"/>
                  <w:noWrap/>
                  <w:vAlign w:val="center"/>
                </w:tcPr>
                <w:p w14:paraId="1EAD41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74</w:t>
                  </w:r>
                </w:p>
              </w:tc>
              <w:tc>
                <w:tcPr>
                  <w:tcW w:w="621" w:type="dxa"/>
                  <w:gridSpan w:val="2"/>
                  <w:tcBorders>
                    <w:tl2br w:val="nil"/>
                    <w:tr2bl w:val="nil"/>
                  </w:tcBorders>
                  <w:shd w:val="clear" w:color="auto" w:fill="auto"/>
                  <w:noWrap/>
                  <w:vAlign w:val="center"/>
                </w:tcPr>
                <w:p w14:paraId="60AAE35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1FB900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1"/>
                <w:wAfter w:w="6" w:type="dxa"/>
                <w:trHeight w:val="57" w:hRule="atLeast"/>
              </w:trPr>
              <w:tc>
                <w:tcPr>
                  <w:tcW w:w="511" w:type="dxa"/>
                  <w:vMerge w:val="restart"/>
                  <w:tcBorders>
                    <w:tl2br w:val="nil"/>
                    <w:tr2bl w:val="nil"/>
                  </w:tcBorders>
                  <w:shd w:val="clear" w:color="auto" w:fill="auto"/>
                  <w:noWrap/>
                  <w:vAlign w:val="center"/>
                </w:tcPr>
                <w:p w14:paraId="453DF0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脱硫综合楼</w:t>
                  </w:r>
                </w:p>
              </w:tc>
              <w:tc>
                <w:tcPr>
                  <w:tcW w:w="1020" w:type="dxa"/>
                  <w:tcBorders>
                    <w:tl2br w:val="nil"/>
                    <w:tr2bl w:val="nil"/>
                  </w:tcBorders>
                  <w:shd w:val="clear" w:color="auto" w:fill="auto"/>
                  <w:noWrap/>
                  <w:vAlign w:val="center"/>
                </w:tcPr>
                <w:p w14:paraId="1CD184F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真空皮带脱水机</w:t>
                  </w:r>
                </w:p>
              </w:tc>
              <w:tc>
                <w:tcPr>
                  <w:tcW w:w="828" w:type="dxa"/>
                  <w:tcBorders>
                    <w:tl2br w:val="nil"/>
                    <w:tr2bl w:val="nil"/>
                  </w:tcBorders>
                  <w:shd w:val="clear" w:color="auto" w:fill="auto"/>
                  <w:noWrap/>
                  <w:vAlign w:val="center"/>
                </w:tcPr>
                <w:p w14:paraId="0612464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85</w:t>
                  </w:r>
                </w:p>
              </w:tc>
              <w:tc>
                <w:tcPr>
                  <w:tcW w:w="807" w:type="dxa"/>
                  <w:vMerge w:val="continue"/>
                  <w:tcBorders>
                    <w:tl2br w:val="nil"/>
                    <w:tr2bl w:val="nil"/>
                  </w:tcBorders>
                  <w:shd w:val="clear" w:color="auto" w:fill="auto"/>
                  <w:vAlign w:val="center"/>
                </w:tcPr>
                <w:p w14:paraId="5A700AC2">
                  <w:pPr>
                    <w:jc w:val="center"/>
                    <w:rPr>
                      <w:rFonts w:hint="default" w:ascii="Times New Roman" w:hAnsi="Times New Roman" w:eastAsia="宋体" w:cs="Times New Roman"/>
                      <w:i w:val="0"/>
                      <w:iCs w:val="0"/>
                      <w:color w:val="auto"/>
                      <w:sz w:val="21"/>
                      <w:szCs w:val="21"/>
                      <w:u w:val="none"/>
                    </w:rPr>
                  </w:pPr>
                </w:p>
              </w:tc>
              <w:tc>
                <w:tcPr>
                  <w:tcW w:w="600" w:type="dxa"/>
                  <w:tcBorders>
                    <w:tl2br w:val="nil"/>
                    <w:tr2bl w:val="nil"/>
                  </w:tcBorders>
                  <w:shd w:val="clear" w:color="auto" w:fill="auto"/>
                  <w:noWrap/>
                  <w:vAlign w:val="center"/>
                </w:tcPr>
                <w:p w14:paraId="4014EE1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w:t>
                  </w:r>
                </w:p>
              </w:tc>
              <w:tc>
                <w:tcPr>
                  <w:tcW w:w="615" w:type="dxa"/>
                  <w:tcBorders>
                    <w:tl2br w:val="nil"/>
                    <w:tr2bl w:val="nil"/>
                  </w:tcBorders>
                  <w:shd w:val="clear" w:color="auto" w:fill="auto"/>
                  <w:noWrap/>
                  <w:vAlign w:val="center"/>
                </w:tcPr>
                <w:p w14:paraId="6FD75DE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161</w:t>
                  </w:r>
                </w:p>
              </w:tc>
              <w:tc>
                <w:tcPr>
                  <w:tcW w:w="613" w:type="dxa"/>
                  <w:tcBorders>
                    <w:tl2br w:val="nil"/>
                    <w:tr2bl w:val="nil"/>
                  </w:tcBorders>
                  <w:shd w:val="clear" w:color="auto" w:fill="auto"/>
                  <w:noWrap/>
                  <w:vAlign w:val="center"/>
                </w:tcPr>
                <w:p w14:paraId="3F0CECB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620" w:type="dxa"/>
                  <w:tcBorders>
                    <w:tl2br w:val="nil"/>
                    <w:tr2bl w:val="nil"/>
                  </w:tcBorders>
                  <w:shd w:val="clear" w:color="auto" w:fill="auto"/>
                  <w:noWrap/>
                  <w:vAlign w:val="center"/>
                </w:tcPr>
                <w:p w14:paraId="3DA8030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620" w:type="dxa"/>
                  <w:tcBorders>
                    <w:tl2br w:val="nil"/>
                    <w:tr2bl w:val="nil"/>
                  </w:tcBorders>
                  <w:shd w:val="clear" w:color="auto" w:fill="auto"/>
                  <w:noWrap/>
                  <w:vAlign w:val="center"/>
                </w:tcPr>
                <w:p w14:paraId="0FBCC5D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71</w:t>
                  </w:r>
                </w:p>
              </w:tc>
              <w:tc>
                <w:tcPr>
                  <w:tcW w:w="682" w:type="dxa"/>
                  <w:tcBorders>
                    <w:tl2br w:val="nil"/>
                    <w:tr2bl w:val="nil"/>
                  </w:tcBorders>
                  <w:shd w:val="clear" w:color="auto" w:fill="auto"/>
                  <w:noWrap/>
                  <w:vAlign w:val="center"/>
                </w:tcPr>
                <w:p w14:paraId="4C6D176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558" w:type="dxa"/>
                  <w:tcBorders>
                    <w:tl2br w:val="nil"/>
                    <w:tr2bl w:val="nil"/>
                  </w:tcBorders>
                  <w:shd w:val="clear" w:color="auto" w:fill="auto"/>
                  <w:noWrap/>
                  <w:vAlign w:val="center"/>
                </w:tcPr>
                <w:p w14:paraId="144412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51</w:t>
                  </w:r>
                </w:p>
              </w:tc>
              <w:tc>
                <w:tcPr>
                  <w:tcW w:w="615" w:type="dxa"/>
                  <w:tcBorders>
                    <w:tl2br w:val="nil"/>
                    <w:tr2bl w:val="nil"/>
                  </w:tcBorders>
                  <w:shd w:val="clear" w:color="auto" w:fill="auto"/>
                  <w:noWrap/>
                  <w:vAlign w:val="center"/>
                </w:tcPr>
                <w:p w14:paraId="0EAA511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7714F46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1"/>
                <w:wAfter w:w="6" w:type="dxa"/>
                <w:trHeight w:val="57" w:hRule="atLeast"/>
              </w:trPr>
              <w:tc>
                <w:tcPr>
                  <w:tcW w:w="511" w:type="dxa"/>
                  <w:vMerge w:val="continue"/>
                  <w:tcBorders>
                    <w:tl2br w:val="nil"/>
                    <w:tr2bl w:val="nil"/>
                  </w:tcBorders>
                  <w:shd w:val="clear" w:color="auto" w:fill="auto"/>
                  <w:noWrap/>
                  <w:vAlign w:val="center"/>
                </w:tcPr>
                <w:p w14:paraId="35179A57">
                  <w:pPr>
                    <w:jc w:val="center"/>
                    <w:rPr>
                      <w:rFonts w:hint="default" w:ascii="Times New Roman" w:hAnsi="Times New Roman" w:eastAsia="宋体" w:cs="Times New Roman"/>
                      <w:i w:val="0"/>
                      <w:iCs w:val="0"/>
                      <w:color w:val="auto"/>
                      <w:sz w:val="21"/>
                      <w:szCs w:val="21"/>
                      <w:u w:val="none"/>
                    </w:rPr>
                  </w:pPr>
                </w:p>
              </w:tc>
              <w:tc>
                <w:tcPr>
                  <w:tcW w:w="1020" w:type="dxa"/>
                  <w:tcBorders>
                    <w:tl2br w:val="nil"/>
                    <w:tr2bl w:val="nil"/>
                  </w:tcBorders>
                  <w:shd w:val="clear" w:color="auto" w:fill="auto"/>
                  <w:noWrap/>
                  <w:vAlign w:val="center"/>
                </w:tcPr>
                <w:p w14:paraId="1C9250A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风机</w:t>
                  </w:r>
                </w:p>
              </w:tc>
              <w:tc>
                <w:tcPr>
                  <w:tcW w:w="828" w:type="dxa"/>
                  <w:tcBorders>
                    <w:tl2br w:val="nil"/>
                    <w:tr2bl w:val="nil"/>
                  </w:tcBorders>
                  <w:shd w:val="clear" w:color="auto" w:fill="auto"/>
                  <w:noWrap/>
                  <w:vAlign w:val="center"/>
                </w:tcPr>
                <w:p w14:paraId="387864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110</w:t>
                  </w:r>
                </w:p>
              </w:tc>
              <w:tc>
                <w:tcPr>
                  <w:tcW w:w="807" w:type="dxa"/>
                  <w:vMerge w:val="continue"/>
                  <w:tcBorders>
                    <w:tl2br w:val="nil"/>
                    <w:tr2bl w:val="nil"/>
                  </w:tcBorders>
                  <w:shd w:val="clear" w:color="auto" w:fill="auto"/>
                  <w:vAlign w:val="center"/>
                </w:tcPr>
                <w:p w14:paraId="183AF1A7">
                  <w:pPr>
                    <w:jc w:val="center"/>
                    <w:rPr>
                      <w:rFonts w:hint="default" w:ascii="Times New Roman" w:hAnsi="Times New Roman" w:eastAsia="宋体" w:cs="Times New Roman"/>
                      <w:i w:val="0"/>
                      <w:iCs w:val="0"/>
                      <w:color w:val="auto"/>
                      <w:sz w:val="21"/>
                      <w:szCs w:val="21"/>
                      <w:u w:val="none"/>
                    </w:rPr>
                  </w:pPr>
                </w:p>
              </w:tc>
              <w:tc>
                <w:tcPr>
                  <w:tcW w:w="600" w:type="dxa"/>
                  <w:tcBorders>
                    <w:tl2br w:val="nil"/>
                    <w:tr2bl w:val="nil"/>
                  </w:tcBorders>
                  <w:shd w:val="clear" w:color="auto" w:fill="auto"/>
                  <w:noWrap/>
                  <w:vAlign w:val="center"/>
                </w:tcPr>
                <w:p w14:paraId="6469557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w:t>
                  </w:r>
                </w:p>
              </w:tc>
              <w:tc>
                <w:tcPr>
                  <w:tcW w:w="615" w:type="dxa"/>
                  <w:tcBorders>
                    <w:tl2br w:val="nil"/>
                    <w:tr2bl w:val="nil"/>
                  </w:tcBorders>
                  <w:shd w:val="clear" w:color="auto" w:fill="auto"/>
                  <w:noWrap/>
                  <w:vAlign w:val="center"/>
                </w:tcPr>
                <w:p w14:paraId="126F6F4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167</w:t>
                  </w:r>
                </w:p>
              </w:tc>
              <w:tc>
                <w:tcPr>
                  <w:tcW w:w="613" w:type="dxa"/>
                  <w:tcBorders>
                    <w:tl2br w:val="nil"/>
                    <w:tr2bl w:val="nil"/>
                  </w:tcBorders>
                  <w:shd w:val="clear" w:color="auto" w:fill="auto"/>
                  <w:noWrap/>
                  <w:vAlign w:val="center"/>
                </w:tcPr>
                <w:p w14:paraId="303294A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620" w:type="dxa"/>
                  <w:tcBorders>
                    <w:tl2br w:val="nil"/>
                    <w:tr2bl w:val="nil"/>
                  </w:tcBorders>
                  <w:shd w:val="clear" w:color="auto" w:fill="auto"/>
                  <w:noWrap/>
                  <w:vAlign w:val="center"/>
                </w:tcPr>
                <w:p w14:paraId="1877DA3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620" w:type="dxa"/>
                  <w:tcBorders>
                    <w:tl2br w:val="nil"/>
                    <w:tr2bl w:val="nil"/>
                  </w:tcBorders>
                  <w:shd w:val="clear" w:color="auto" w:fill="auto"/>
                  <w:noWrap/>
                  <w:vAlign w:val="center"/>
                </w:tcPr>
                <w:p w14:paraId="4BD5474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96</w:t>
                  </w:r>
                </w:p>
              </w:tc>
              <w:tc>
                <w:tcPr>
                  <w:tcW w:w="682" w:type="dxa"/>
                  <w:tcBorders>
                    <w:tl2br w:val="nil"/>
                    <w:tr2bl w:val="nil"/>
                  </w:tcBorders>
                  <w:shd w:val="clear" w:color="auto" w:fill="auto"/>
                  <w:noWrap/>
                  <w:vAlign w:val="center"/>
                </w:tcPr>
                <w:p w14:paraId="753BFA8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558" w:type="dxa"/>
                  <w:tcBorders>
                    <w:tl2br w:val="nil"/>
                    <w:tr2bl w:val="nil"/>
                  </w:tcBorders>
                  <w:shd w:val="clear" w:color="auto" w:fill="auto"/>
                  <w:noWrap/>
                  <w:vAlign w:val="center"/>
                </w:tcPr>
                <w:p w14:paraId="5AD80C8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76</w:t>
                  </w:r>
                </w:p>
              </w:tc>
              <w:tc>
                <w:tcPr>
                  <w:tcW w:w="615" w:type="dxa"/>
                  <w:tcBorders>
                    <w:tl2br w:val="nil"/>
                    <w:tr2bl w:val="nil"/>
                  </w:tcBorders>
                  <w:shd w:val="clear" w:color="auto" w:fill="auto"/>
                  <w:noWrap/>
                  <w:vAlign w:val="center"/>
                </w:tcPr>
                <w:p w14:paraId="208F38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72B0951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gridAfter w:val="1"/>
                <w:wAfter w:w="6" w:type="dxa"/>
                <w:trHeight w:val="57" w:hRule="atLeast"/>
              </w:trPr>
              <w:tc>
                <w:tcPr>
                  <w:tcW w:w="511" w:type="dxa"/>
                  <w:vMerge w:val="continue"/>
                  <w:tcBorders>
                    <w:tl2br w:val="nil"/>
                    <w:tr2bl w:val="nil"/>
                  </w:tcBorders>
                  <w:shd w:val="clear" w:color="auto" w:fill="auto"/>
                  <w:noWrap/>
                  <w:vAlign w:val="center"/>
                </w:tcPr>
                <w:p w14:paraId="628C7F46">
                  <w:pPr>
                    <w:jc w:val="center"/>
                    <w:rPr>
                      <w:rFonts w:hint="default" w:ascii="Times New Roman" w:hAnsi="Times New Roman" w:eastAsia="宋体" w:cs="Times New Roman"/>
                      <w:i w:val="0"/>
                      <w:iCs w:val="0"/>
                      <w:color w:val="auto"/>
                      <w:sz w:val="21"/>
                      <w:szCs w:val="21"/>
                      <w:u w:val="none"/>
                    </w:rPr>
                  </w:pPr>
                </w:p>
              </w:tc>
              <w:tc>
                <w:tcPr>
                  <w:tcW w:w="1020" w:type="dxa"/>
                  <w:tcBorders>
                    <w:tl2br w:val="nil"/>
                    <w:tr2bl w:val="nil"/>
                  </w:tcBorders>
                  <w:shd w:val="clear" w:color="auto" w:fill="auto"/>
                  <w:noWrap/>
                  <w:vAlign w:val="center"/>
                </w:tcPr>
                <w:p w14:paraId="11DE1E1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泵类设备</w:t>
                  </w:r>
                </w:p>
              </w:tc>
              <w:tc>
                <w:tcPr>
                  <w:tcW w:w="828" w:type="dxa"/>
                  <w:tcBorders>
                    <w:tl2br w:val="nil"/>
                    <w:tr2bl w:val="nil"/>
                  </w:tcBorders>
                  <w:shd w:val="clear" w:color="auto" w:fill="auto"/>
                  <w:noWrap/>
                  <w:vAlign w:val="center"/>
                </w:tcPr>
                <w:p w14:paraId="1F6328B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108</w:t>
                  </w:r>
                </w:p>
              </w:tc>
              <w:tc>
                <w:tcPr>
                  <w:tcW w:w="807" w:type="dxa"/>
                  <w:vMerge w:val="continue"/>
                  <w:tcBorders>
                    <w:tl2br w:val="nil"/>
                    <w:tr2bl w:val="nil"/>
                  </w:tcBorders>
                  <w:shd w:val="clear" w:color="auto" w:fill="auto"/>
                  <w:vAlign w:val="center"/>
                </w:tcPr>
                <w:p w14:paraId="29B170CE">
                  <w:pPr>
                    <w:jc w:val="center"/>
                    <w:rPr>
                      <w:rFonts w:hint="default" w:ascii="Times New Roman" w:hAnsi="Times New Roman" w:eastAsia="宋体" w:cs="Times New Roman"/>
                      <w:i w:val="0"/>
                      <w:iCs w:val="0"/>
                      <w:color w:val="auto"/>
                      <w:sz w:val="21"/>
                      <w:szCs w:val="21"/>
                      <w:u w:val="none"/>
                    </w:rPr>
                  </w:pPr>
                </w:p>
              </w:tc>
              <w:tc>
                <w:tcPr>
                  <w:tcW w:w="600" w:type="dxa"/>
                  <w:tcBorders>
                    <w:tl2br w:val="nil"/>
                    <w:tr2bl w:val="nil"/>
                  </w:tcBorders>
                  <w:shd w:val="clear" w:color="auto" w:fill="auto"/>
                  <w:noWrap/>
                  <w:vAlign w:val="center"/>
                </w:tcPr>
                <w:p w14:paraId="7680D6B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615" w:type="dxa"/>
                  <w:tcBorders>
                    <w:tl2br w:val="nil"/>
                    <w:tr2bl w:val="nil"/>
                  </w:tcBorders>
                  <w:shd w:val="clear" w:color="auto" w:fill="auto"/>
                  <w:noWrap/>
                  <w:vAlign w:val="center"/>
                </w:tcPr>
                <w:p w14:paraId="0921807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168</w:t>
                  </w:r>
                </w:p>
              </w:tc>
              <w:tc>
                <w:tcPr>
                  <w:tcW w:w="613" w:type="dxa"/>
                  <w:tcBorders>
                    <w:tl2br w:val="nil"/>
                    <w:tr2bl w:val="nil"/>
                  </w:tcBorders>
                  <w:shd w:val="clear" w:color="auto" w:fill="auto"/>
                  <w:noWrap/>
                  <w:vAlign w:val="center"/>
                </w:tcPr>
                <w:p w14:paraId="42109D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620" w:type="dxa"/>
                  <w:tcBorders>
                    <w:tl2br w:val="nil"/>
                    <w:tr2bl w:val="nil"/>
                  </w:tcBorders>
                  <w:shd w:val="clear" w:color="auto" w:fill="auto"/>
                  <w:noWrap/>
                  <w:vAlign w:val="center"/>
                </w:tcPr>
                <w:p w14:paraId="2D46D12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620" w:type="dxa"/>
                  <w:tcBorders>
                    <w:tl2br w:val="nil"/>
                    <w:tr2bl w:val="nil"/>
                  </w:tcBorders>
                  <w:shd w:val="clear" w:color="auto" w:fill="auto"/>
                  <w:noWrap/>
                  <w:vAlign w:val="center"/>
                </w:tcPr>
                <w:p w14:paraId="27E3AC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94</w:t>
                  </w:r>
                </w:p>
              </w:tc>
              <w:tc>
                <w:tcPr>
                  <w:tcW w:w="682" w:type="dxa"/>
                  <w:tcBorders>
                    <w:tl2br w:val="nil"/>
                    <w:tr2bl w:val="nil"/>
                  </w:tcBorders>
                  <w:shd w:val="clear" w:color="auto" w:fill="auto"/>
                  <w:noWrap/>
                  <w:vAlign w:val="center"/>
                </w:tcPr>
                <w:p w14:paraId="41A07D0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20</w:t>
                  </w:r>
                </w:p>
              </w:tc>
              <w:tc>
                <w:tcPr>
                  <w:tcW w:w="558" w:type="dxa"/>
                  <w:tcBorders>
                    <w:tl2br w:val="nil"/>
                    <w:tr2bl w:val="nil"/>
                  </w:tcBorders>
                  <w:shd w:val="clear" w:color="auto" w:fill="auto"/>
                  <w:noWrap/>
                  <w:vAlign w:val="center"/>
                </w:tcPr>
                <w:p w14:paraId="2BC1BC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74</w:t>
                  </w:r>
                </w:p>
              </w:tc>
              <w:tc>
                <w:tcPr>
                  <w:tcW w:w="615" w:type="dxa"/>
                  <w:tcBorders>
                    <w:tl2br w:val="nil"/>
                    <w:tr2bl w:val="nil"/>
                  </w:tcBorders>
                  <w:shd w:val="clear" w:color="auto" w:fill="auto"/>
                  <w:noWrap/>
                  <w:vAlign w:val="center"/>
                </w:tcPr>
                <w:p w14:paraId="2ED691E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bl>
          <w:p w14:paraId="157F9468">
            <w:pPr>
              <w:pStyle w:val="130"/>
              <w:bidi w:val="0"/>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表</w:t>
            </w:r>
            <w:r>
              <w:rPr>
                <w:rFonts w:hint="default" w:ascii="Times New Roman" w:hAnsi="Times New Roman" w:cs="Times New Roman"/>
                <w:b/>
                <w:bCs/>
                <w:color w:val="auto"/>
                <w:sz w:val="21"/>
                <w:szCs w:val="21"/>
                <w:lang w:val="en-US" w:eastAsia="zh-CN"/>
              </w:rPr>
              <w:t>4-12项目</w:t>
            </w:r>
            <w:r>
              <w:rPr>
                <w:rFonts w:hint="default" w:ascii="Times New Roman" w:hAnsi="Times New Roman" w:cs="Times New Roman"/>
                <w:b/>
                <w:bCs/>
                <w:color w:val="auto"/>
                <w:sz w:val="21"/>
                <w:szCs w:val="21"/>
              </w:rPr>
              <w:t>室外噪声源强调查清单</w:t>
            </w:r>
          </w:p>
          <w:tbl>
            <w:tblPr>
              <w:tblStyle w:val="32"/>
              <w:tblW w:w="8077" w:type="dxa"/>
              <w:tblInd w:w="-3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456"/>
              <w:gridCol w:w="1081"/>
              <w:gridCol w:w="1019"/>
              <w:gridCol w:w="630"/>
              <w:gridCol w:w="2205"/>
              <w:gridCol w:w="751"/>
              <w:gridCol w:w="935"/>
            </w:tblGrid>
            <w:tr w14:paraId="3192626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3" w:hRule="atLeast"/>
              </w:trPr>
              <w:tc>
                <w:tcPr>
                  <w:tcW w:w="1456" w:type="dxa"/>
                  <w:vMerge w:val="restart"/>
                  <w:tcBorders>
                    <w:tl2br w:val="nil"/>
                    <w:tr2bl w:val="nil"/>
                  </w:tcBorders>
                  <w:shd w:val="clear" w:color="auto" w:fill="auto"/>
                  <w:vAlign w:val="center"/>
                </w:tcPr>
                <w:p w14:paraId="459BB2D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声源名称</w:t>
                  </w:r>
                </w:p>
              </w:tc>
              <w:tc>
                <w:tcPr>
                  <w:tcW w:w="2730" w:type="dxa"/>
                  <w:gridSpan w:val="3"/>
                  <w:tcBorders>
                    <w:tl2br w:val="nil"/>
                    <w:tr2bl w:val="nil"/>
                  </w:tcBorders>
                  <w:shd w:val="clear" w:color="auto" w:fill="auto"/>
                  <w:vAlign w:val="center"/>
                </w:tcPr>
                <w:p w14:paraId="509CC13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空间相对位置/m</w:t>
                  </w:r>
                </w:p>
              </w:tc>
              <w:tc>
                <w:tcPr>
                  <w:tcW w:w="2205" w:type="dxa"/>
                  <w:tcBorders>
                    <w:tl2br w:val="nil"/>
                    <w:tr2bl w:val="nil"/>
                  </w:tcBorders>
                  <w:shd w:val="clear" w:color="auto" w:fill="auto"/>
                  <w:vAlign w:val="center"/>
                </w:tcPr>
                <w:p w14:paraId="7A87DFF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声源强</w:t>
                  </w:r>
                </w:p>
              </w:tc>
              <w:tc>
                <w:tcPr>
                  <w:tcW w:w="751" w:type="dxa"/>
                  <w:vMerge w:val="restart"/>
                  <w:tcBorders>
                    <w:tl2br w:val="nil"/>
                    <w:tr2bl w:val="nil"/>
                  </w:tcBorders>
                  <w:shd w:val="clear" w:color="auto" w:fill="auto"/>
                  <w:vAlign w:val="center"/>
                </w:tcPr>
                <w:p w14:paraId="68C05E4F">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声源控制措施</w:t>
                  </w:r>
                </w:p>
              </w:tc>
              <w:tc>
                <w:tcPr>
                  <w:tcW w:w="935" w:type="dxa"/>
                  <w:vMerge w:val="restart"/>
                  <w:tcBorders>
                    <w:tl2br w:val="nil"/>
                    <w:tr2bl w:val="nil"/>
                  </w:tcBorders>
                  <w:shd w:val="clear" w:color="auto" w:fill="auto"/>
                  <w:vAlign w:val="center"/>
                </w:tcPr>
                <w:p w14:paraId="351531B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运行时段</w:t>
                  </w:r>
                </w:p>
              </w:tc>
            </w:tr>
            <w:tr w14:paraId="0BAB3B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3" w:hRule="atLeast"/>
              </w:trPr>
              <w:tc>
                <w:tcPr>
                  <w:tcW w:w="1456" w:type="dxa"/>
                  <w:vMerge w:val="continue"/>
                  <w:tcBorders>
                    <w:tl2br w:val="nil"/>
                    <w:tr2bl w:val="nil"/>
                  </w:tcBorders>
                  <w:shd w:val="clear" w:color="auto" w:fill="auto"/>
                  <w:vAlign w:val="center"/>
                </w:tcPr>
                <w:p w14:paraId="0195A7E1">
                  <w:pPr>
                    <w:jc w:val="center"/>
                    <w:rPr>
                      <w:rFonts w:hint="default" w:ascii="Times New Roman" w:hAnsi="Times New Roman" w:eastAsia="宋体" w:cs="Times New Roman"/>
                      <w:b/>
                      <w:bCs/>
                      <w:i w:val="0"/>
                      <w:iCs w:val="0"/>
                      <w:color w:val="auto"/>
                      <w:sz w:val="21"/>
                      <w:szCs w:val="21"/>
                      <w:u w:val="none"/>
                    </w:rPr>
                  </w:pPr>
                </w:p>
              </w:tc>
              <w:tc>
                <w:tcPr>
                  <w:tcW w:w="2730" w:type="dxa"/>
                  <w:gridSpan w:val="3"/>
                  <w:tcBorders>
                    <w:tl2br w:val="nil"/>
                    <w:tr2bl w:val="nil"/>
                  </w:tcBorders>
                  <w:shd w:val="clear" w:color="auto" w:fill="auto"/>
                  <w:vAlign w:val="center"/>
                </w:tcPr>
                <w:p w14:paraId="32BA87A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中心坐标（X,Y,Z）</w:t>
                  </w:r>
                </w:p>
              </w:tc>
              <w:tc>
                <w:tcPr>
                  <w:tcW w:w="2205" w:type="dxa"/>
                  <w:tcBorders>
                    <w:tl2br w:val="nil"/>
                    <w:tr2bl w:val="nil"/>
                  </w:tcBorders>
                  <w:shd w:val="clear" w:color="auto" w:fill="auto"/>
                  <w:vAlign w:val="center"/>
                </w:tcPr>
                <w:p w14:paraId="57DE98D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（声压级/距声源距离）/（dB（A）/1m）</w:t>
                  </w:r>
                </w:p>
              </w:tc>
              <w:tc>
                <w:tcPr>
                  <w:tcW w:w="751" w:type="dxa"/>
                  <w:vMerge w:val="continue"/>
                  <w:tcBorders>
                    <w:tl2br w:val="nil"/>
                    <w:tr2bl w:val="nil"/>
                  </w:tcBorders>
                  <w:shd w:val="clear" w:color="auto" w:fill="auto"/>
                  <w:vAlign w:val="center"/>
                </w:tcPr>
                <w:p w14:paraId="606FC99B">
                  <w:pPr>
                    <w:jc w:val="center"/>
                    <w:rPr>
                      <w:rFonts w:hint="default" w:ascii="Times New Roman" w:hAnsi="Times New Roman" w:eastAsia="宋体" w:cs="Times New Roman"/>
                      <w:b/>
                      <w:bCs/>
                      <w:i w:val="0"/>
                      <w:iCs w:val="0"/>
                      <w:color w:val="auto"/>
                      <w:sz w:val="21"/>
                      <w:szCs w:val="21"/>
                      <w:u w:val="none"/>
                    </w:rPr>
                  </w:pPr>
                </w:p>
              </w:tc>
              <w:tc>
                <w:tcPr>
                  <w:tcW w:w="935" w:type="dxa"/>
                  <w:vMerge w:val="continue"/>
                  <w:tcBorders>
                    <w:tl2br w:val="nil"/>
                    <w:tr2bl w:val="nil"/>
                  </w:tcBorders>
                  <w:shd w:val="clear" w:color="auto" w:fill="auto"/>
                  <w:vAlign w:val="center"/>
                </w:tcPr>
                <w:p w14:paraId="2BCBBF3B">
                  <w:pPr>
                    <w:jc w:val="center"/>
                    <w:rPr>
                      <w:rFonts w:hint="default" w:ascii="Times New Roman" w:hAnsi="Times New Roman" w:eastAsia="宋体" w:cs="Times New Roman"/>
                      <w:b/>
                      <w:bCs/>
                      <w:i w:val="0"/>
                      <w:iCs w:val="0"/>
                      <w:color w:val="auto"/>
                      <w:sz w:val="21"/>
                      <w:szCs w:val="21"/>
                      <w:u w:val="none"/>
                    </w:rPr>
                  </w:pPr>
                </w:p>
              </w:tc>
            </w:tr>
            <w:tr w14:paraId="5FF877B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3" w:hRule="atLeast"/>
              </w:trPr>
              <w:tc>
                <w:tcPr>
                  <w:tcW w:w="1456" w:type="dxa"/>
                  <w:tcBorders>
                    <w:tl2br w:val="nil"/>
                    <w:tr2bl w:val="nil"/>
                  </w:tcBorders>
                  <w:shd w:val="clear" w:color="auto" w:fill="auto"/>
                  <w:noWrap/>
                  <w:vAlign w:val="center"/>
                </w:tcPr>
                <w:p w14:paraId="2F3BA7F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布袋除尘器风机</w:t>
                  </w:r>
                </w:p>
              </w:tc>
              <w:tc>
                <w:tcPr>
                  <w:tcW w:w="1081" w:type="dxa"/>
                  <w:tcBorders>
                    <w:tl2br w:val="nil"/>
                    <w:tr2bl w:val="nil"/>
                  </w:tcBorders>
                  <w:shd w:val="clear" w:color="auto" w:fill="auto"/>
                  <w:vAlign w:val="center"/>
                </w:tcPr>
                <w:p w14:paraId="2845C5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w:t>
                  </w:r>
                </w:p>
              </w:tc>
              <w:tc>
                <w:tcPr>
                  <w:tcW w:w="1019" w:type="dxa"/>
                  <w:tcBorders>
                    <w:tl2br w:val="nil"/>
                    <w:tr2bl w:val="nil"/>
                  </w:tcBorders>
                  <w:shd w:val="clear" w:color="auto" w:fill="auto"/>
                  <w:vAlign w:val="center"/>
                </w:tcPr>
                <w:p w14:paraId="305856C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64</w:t>
                  </w:r>
                </w:p>
              </w:tc>
              <w:tc>
                <w:tcPr>
                  <w:tcW w:w="630" w:type="dxa"/>
                  <w:tcBorders>
                    <w:tl2br w:val="nil"/>
                    <w:tr2bl w:val="nil"/>
                  </w:tcBorders>
                  <w:shd w:val="clear" w:color="auto" w:fill="auto"/>
                  <w:vAlign w:val="center"/>
                </w:tcPr>
                <w:p w14:paraId="21D2D66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c>
                <w:tcPr>
                  <w:tcW w:w="2205" w:type="dxa"/>
                  <w:tcBorders>
                    <w:tl2br w:val="nil"/>
                    <w:tr2bl w:val="nil"/>
                  </w:tcBorders>
                  <w:shd w:val="clear" w:color="auto" w:fill="auto"/>
                  <w:noWrap/>
                  <w:vAlign w:val="center"/>
                </w:tcPr>
                <w:p w14:paraId="674330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70</w:t>
                  </w:r>
                </w:p>
              </w:tc>
              <w:tc>
                <w:tcPr>
                  <w:tcW w:w="751" w:type="dxa"/>
                  <w:vMerge w:val="restart"/>
                  <w:tcBorders>
                    <w:tl2br w:val="nil"/>
                    <w:tr2bl w:val="nil"/>
                  </w:tcBorders>
                  <w:shd w:val="clear" w:color="auto" w:fill="auto"/>
                  <w:vAlign w:val="center"/>
                </w:tcPr>
                <w:p w14:paraId="0F781A3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选用低噪声设备、基础减振等</w:t>
                  </w:r>
                </w:p>
              </w:tc>
              <w:tc>
                <w:tcPr>
                  <w:tcW w:w="935" w:type="dxa"/>
                  <w:vMerge w:val="restart"/>
                  <w:tcBorders>
                    <w:tl2br w:val="nil"/>
                    <w:tr2bl w:val="nil"/>
                  </w:tcBorders>
                  <w:shd w:val="clear" w:color="auto" w:fill="auto"/>
                  <w:vAlign w:val="center"/>
                </w:tcPr>
                <w:p w14:paraId="21F2A2A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昼夜连续运行</w:t>
                  </w:r>
                </w:p>
              </w:tc>
            </w:tr>
            <w:tr w14:paraId="13D0C57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90" w:hRule="atLeast"/>
              </w:trPr>
              <w:tc>
                <w:tcPr>
                  <w:tcW w:w="1456" w:type="dxa"/>
                  <w:tcBorders>
                    <w:tl2br w:val="nil"/>
                    <w:tr2bl w:val="nil"/>
                  </w:tcBorders>
                  <w:shd w:val="clear" w:color="auto" w:fill="auto"/>
                  <w:noWrap/>
                  <w:vAlign w:val="center"/>
                </w:tcPr>
                <w:p w14:paraId="55802FD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冷却塔</w:t>
                  </w:r>
                </w:p>
              </w:tc>
              <w:tc>
                <w:tcPr>
                  <w:tcW w:w="1081" w:type="dxa"/>
                  <w:tcBorders>
                    <w:tl2br w:val="nil"/>
                    <w:tr2bl w:val="nil"/>
                  </w:tcBorders>
                  <w:shd w:val="clear" w:color="auto" w:fill="auto"/>
                  <w:vAlign w:val="center"/>
                </w:tcPr>
                <w:p w14:paraId="0384F61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37</w:t>
                  </w:r>
                </w:p>
              </w:tc>
              <w:tc>
                <w:tcPr>
                  <w:tcW w:w="1019" w:type="dxa"/>
                  <w:tcBorders>
                    <w:tl2br w:val="nil"/>
                    <w:tr2bl w:val="nil"/>
                  </w:tcBorders>
                  <w:shd w:val="clear" w:color="auto" w:fill="auto"/>
                  <w:vAlign w:val="center"/>
                </w:tcPr>
                <w:p w14:paraId="1244B5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-18</w:t>
                  </w:r>
                </w:p>
              </w:tc>
              <w:tc>
                <w:tcPr>
                  <w:tcW w:w="630" w:type="dxa"/>
                  <w:tcBorders>
                    <w:tl2br w:val="nil"/>
                    <w:tr2bl w:val="nil"/>
                  </w:tcBorders>
                  <w:shd w:val="clear" w:color="auto" w:fill="auto"/>
                  <w:vAlign w:val="center"/>
                </w:tcPr>
                <w:p w14:paraId="642DB35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2205" w:type="dxa"/>
                  <w:tcBorders>
                    <w:tl2br w:val="nil"/>
                    <w:tr2bl w:val="nil"/>
                  </w:tcBorders>
                  <w:shd w:val="clear" w:color="auto" w:fill="auto"/>
                  <w:noWrap/>
                  <w:vAlign w:val="center"/>
                </w:tcPr>
                <w:p w14:paraId="1D17E41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70</w:t>
                  </w:r>
                </w:p>
              </w:tc>
              <w:tc>
                <w:tcPr>
                  <w:tcW w:w="751" w:type="dxa"/>
                  <w:vMerge w:val="continue"/>
                  <w:tcBorders>
                    <w:tl2br w:val="nil"/>
                    <w:tr2bl w:val="nil"/>
                  </w:tcBorders>
                  <w:shd w:val="clear" w:color="auto" w:fill="auto"/>
                  <w:vAlign w:val="center"/>
                </w:tcPr>
                <w:p w14:paraId="6C85F460">
                  <w:pPr>
                    <w:jc w:val="center"/>
                    <w:rPr>
                      <w:rFonts w:hint="default" w:ascii="Times New Roman" w:hAnsi="Times New Roman" w:eastAsia="宋体" w:cs="Times New Roman"/>
                      <w:i w:val="0"/>
                      <w:iCs w:val="0"/>
                      <w:color w:val="auto"/>
                      <w:sz w:val="21"/>
                      <w:szCs w:val="21"/>
                      <w:u w:val="none"/>
                    </w:rPr>
                  </w:pPr>
                </w:p>
              </w:tc>
              <w:tc>
                <w:tcPr>
                  <w:tcW w:w="935" w:type="dxa"/>
                  <w:vMerge w:val="continue"/>
                  <w:tcBorders>
                    <w:tl2br w:val="nil"/>
                    <w:tr2bl w:val="nil"/>
                  </w:tcBorders>
                  <w:shd w:val="clear" w:color="auto" w:fill="auto"/>
                  <w:vAlign w:val="center"/>
                </w:tcPr>
                <w:p w14:paraId="715EA2CF">
                  <w:pPr>
                    <w:jc w:val="center"/>
                    <w:rPr>
                      <w:rFonts w:hint="default" w:ascii="Times New Roman" w:hAnsi="Times New Roman" w:eastAsia="宋体" w:cs="Times New Roman"/>
                      <w:i w:val="0"/>
                      <w:iCs w:val="0"/>
                      <w:color w:val="auto"/>
                      <w:sz w:val="21"/>
                      <w:szCs w:val="21"/>
                      <w:u w:val="none"/>
                    </w:rPr>
                  </w:pPr>
                </w:p>
              </w:tc>
            </w:tr>
            <w:tr w14:paraId="1585FEE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3" w:hRule="atLeast"/>
              </w:trPr>
              <w:tc>
                <w:tcPr>
                  <w:tcW w:w="1456" w:type="dxa"/>
                  <w:tcBorders>
                    <w:tl2br w:val="nil"/>
                    <w:tr2bl w:val="nil"/>
                  </w:tcBorders>
                  <w:shd w:val="clear" w:color="auto" w:fill="auto"/>
                  <w:noWrap/>
                  <w:vAlign w:val="center"/>
                </w:tcPr>
                <w:p w14:paraId="690DF27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空冷岛风机</w:t>
                  </w:r>
                </w:p>
              </w:tc>
              <w:tc>
                <w:tcPr>
                  <w:tcW w:w="1081" w:type="dxa"/>
                  <w:tcBorders>
                    <w:tl2br w:val="nil"/>
                    <w:tr2bl w:val="nil"/>
                  </w:tcBorders>
                  <w:shd w:val="clear" w:color="auto" w:fill="auto"/>
                  <w:vAlign w:val="center"/>
                </w:tcPr>
                <w:p w14:paraId="6BBE484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1019" w:type="dxa"/>
                  <w:tcBorders>
                    <w:tl2br w:val="nil"/>
                    <w:tr2bl w:val="nil"/>
                  </w:tcBorders>
                  <w:shd w:val="clear" w:color="auto" w:fill="auto"/>
                  <w:vAlign w:val="center"/>
                </w:tcPr>
                <w:p w14:paraId="1617B8B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w:t>
                  </w:r>
                </w:p>
              </w:tc>
              <w:tc>
                <w:tcPr>
                  <w:tcW w:w="630" w:type="dxa"/>
                  <w:tcBorders>
                    <w:tl2br w:val="nil"/>
                    <w:tr2bl w:val="nil"/>
                  </w:tcBorders>
                  <w:shd w:val="clear" w:color="auto" w:fill="auto"/>
                  <w:vAlign w:val="center"/>
                </w:tcPr>
                <w:p w14:paraId="2F529E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2205" w:type="dxa"/>
                  <w:tcBorders>
                    <w:tl2br w:val="nil"/>
                    <w:tr2bl w:val="nil"/>
                  </w:tcBorders>
                  <w:shd w:val="clear" w:color="auto" w:fill="auto"/>
                  <w:noWrap/>
                  <w:vAlign w:val="center"/>
                </w:tcPr>
                <w:p w14:paraId="78D59F7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70</w:t>
                  </w:r>
                </w:p>
              </w:tc>
              <w:tc>
                <w:tcPr>
                  <w:tcW w:w="751" w:type="dxa"/>
                  <w:vMerge w:val="continue"/>
                  <w:tcBorders>
                    <w:tl2br w:val="nil"/>
                    <w:tr2bl w:val="nil"/>
                  </w:tcBorders>
                  <w:shd w:val="clear" w:color="auto" w:fill="auto"/>
                  <w:vAlign w:val="center"/>
                </w:tcPr>
                <w:p w14:paraId="61E6B8F3">
                  <w:pPr>
                    <w:jc w:val="center"/>
                    <w:rPr>
                      <w:rFonts w:hint="default" w:ascii="Times New Roman" w:hAnsi="Times New Roman" w:eastAsia="宋体" w:cs="Times New Roman"/>
                      <w:i w:val="0"/>
                      <w:iCs w:val="0"/>
                      <w:color w:val="auto"/>
                      <w:sz w:val="21"/>
                      <w:szCs w:val="21"/>
                      <w:u w:val="none"/>
                    </w:rPr>
                  </w:pPr>
                </w:p>
              </w:tc>
              <w:tc>
                <w:tcPr>
                  <w:tcW w:w="935" w:type="dxa"/>
                  <w:vMerge w:val="continue"/>
                  <w:tcBorders>
                    <w:tl2br w:val="nil"/>
                    <w:tr2bl w:val="nil"/>
                  </w:tcBorders>
                  <w:shd w:val="clear" w:color="auto" w:fill="auto"/>
                  <w:vAlign w:val="center"/>
                </w:tcPr>
                <w:p w14:paraId="4540D919">
                  <w:pPr>
                    <w:jc w:val="center"/>
                    <w:rPr>
                      <w:rFonts w:hint="default" w:ascii="Times New Roman" w:hAnsi="Times New Roman" w:eastAsia="宋体" w:cs="Times New Roman"/>
                      <w:i w:val="0"/>
                      <w:iCs w:val="0"/>
                      <w:color w:val="auto"/>
                      <w:sz w:val="21"/>
                      <w:szCs w:val="21"/>
                      <w:u w:val="none"/>
                    </w:rPr>
                  </w:pPr>
                </w:p>
              </w:tc>
            </w:tr>
            <w:tr w14:paraId="5573C47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02" w:hRule="atLeast"/>
              </w:trPr>
              <w:tc>
                <w:tcPr>
                  <w:tcW w:w="1456" w:type="dxa"/>
                  <w:tcBorders>
                    <w:tl2br w:val="nil"/>
                    <w:tr2bl w:val="nil"/>
                  </w:tcBorders>
                  <w:shd w:val="clear" w:color="auto" w:fill="auto"/>
                  <w:noWrap/>
                  <w:vAlign w:val="center"/>
                </w:tcPr>
                <w:p w14:paraId="122FE0E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循环水泵</w:t>
                  </w:r>
                </w:p>
              </w:tc>
              <w:tc>
                <w:tcPr>
                  <w:tcW w:w="1081" w:type="dxa"/>
                  <w:tcBorders>
                    <w:tl2br w:val="nil"/>
                    <w:tr2bl w:val="nil"/>
                  </w:tcBorders>
                  <w:shd w:val="clear" w:color="auto" w:fill="auto"/>
                  <w:vAlign w:val="center"/>
                </w:tcPr>
                <w:p w14:paraId="2414AEE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w:t>
                  </w:r>
                </w:p>
              </w:tc>
              <w:tc>
                <w:tcPr>
                  <w:tcW w:w="1019" w:type="dxa"/>
                  <w:tcBorders>
                    <w:tl2br w:val="nil"/>
                    <w:tr2bl w:val="nil"/>
                  </w:tcBorders>
                  <w:shd w:val="clear" w:color="auto" w:fill="auto"/>
                  <w:vAlign w:val="center"/>
                </w:tcPr>
                <w:p w14:paraId="447C05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-17</w:t>
                  </w:r>
                </w:p>
              </w:tc>
              <w:tc>
                <w:tcPr>
                  <w:tcW w:w="630" w:type="dxa"/>
                  <w:tcBorders>
                    <w:tl2br w:val="nil"/>
                    <w:tr2bl w:val="nil"/>
                  </w:tcBorders>
                  <w:shd w:val="clear" w:color="auto" w:fill="auto"/>
                  <w:vAlign w:val="center"/>
                </w:tcPr>
                <w:p w14:paraId="77992B4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c>
                <w:tcPr>
                  <w:tcW w:w="2205" w:type="dxa"/>
                  <w:tcBorders>
                    <w:tl2br w:val="nil"/>
                    <w:tr2bl w:val="nil"/>
                  </w:tcBorders>
                  <w:shd w:val="clear" w:color="auto" w:fill="auto"/>
                  <w:noWrap/>
                  <w:vAlign w:val="center"/>
                </w:tcPr>
                <w:p w14:paraId="2B4F016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65</w:t>
                  </w:r>
                </w:p>
              </w:tc>
              <w:tc>
                <w:tcPr>
                  <w:tcW w:w="751" w:type="dxa"/>
                  <w:vMerge w:val="continue"/>
                  <w:tcBorders>
                    <w:tl2br w:val="nil"/>
                    <w:tr2bl w:val="nil"/>
                  </w:tcBorders>
                  <w:shd w:val="clear" w:color="auto" w:fill="auto"/>
                  <w:vAlign w:val="center"/>
                </w:tcPr>
                <w:p w14:paraId="4FA59817">
                  <w:pPr>
                    <w:jc w:val="center"/>
                    <w:rPr>
                      <w:rFonts w:hint="default" w:ascii="Times New Roman" w:hAnsi="Times New Roman" w:eastAsia="宋体" w:cs="Times New Roman"/>
                      <w:i w:val="0"/>
                      <w:iCs w:val="0"/>
                      <w:color w:val="auto"/>
                      <w:sz w:val="21"/>
                      <w:szCs w:val="21"/>
                      <w:u w:val="none"/>
                    </w:rPr>
                  </w:pPr>
                </w:p>
              </w:tc>
              <w:tc>
                <w:tcPr>
                  <w:tcW w:w="935" w:type="dxa"/>
                  <w:vMerge w:val="continue"/>
                  <w:tcBorders>
                    <w:tl2br w:val="nil"/>
                    <w:tr2bl w:val="nil"/>
                  </w:tcBorders>
                  <w:shd w:val="clear" w:color="auto" w:fill="auto"/>
                  <w:vAlign w:val="center"/>
                </w:tcPr>
                <w:p w14:paraId="7C5E32FD">
                  <w:pPr>
                    <w:jc w:val="center"/>
                    <w:rPr>
                      <w:rFonts w:hint="default" w:ascii="Times New Roman" w:hAnsi="Times New Roman" w:eastAsia="宋体" w:cs="Times New Roman"/>
                      <w:i w:val="0"/>
                      <w:iCs w:val="0"/>
                      <w:color w:val="auto"/>
                      <w:sz w:val="21"/>
                      <w:szCs w:val="21"/>
                      <w:u w:val="none"/>
                    </w:rPr>
                  </w:pPr>
                </w:p>
              </w:tc>
            </w:tr>
            <w:tr w14:paraId="0F44EDE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113" w:hRule="atLeast"/>
              </w:trPr>
              <w:tc>
                <w:tcPr>
                  <w:tcW w:w="8077" w:type="dxa"/>
                  <w:gridSpan w:val="7"/>
                  <w:tcBorders>
                    <w:tl2br w:val="nil"/>
                    <w:tr2bl w:val="nil"/>
                  </w:tcBorders>
                  <w:shd w:val="clear" w:color="auto" w:fill="auto"/>
                  <w:noWrap/>
                  <w:vAlign w:val="center"/>
                </w:tcPr>
                <w:p w14:paraId="5F79FB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以坐标点</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88.969438926E,43.933143128N）设为</w:t>
                  </w:r>
                  <w:r>
                    <w:rPr>
                      <w:rFonts w:hint="eastAsia"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X，Y-0，0）原点。</w:t>
                  </w:r>
                </w:p>
              </w:tc>
            </w:tr>
          </w:tbl>
          <w:p w14:paraId="1B9969B8">
            <w:pPr>
              <w:jc w:val="left"/>
              <w:rPr>
                <w:rFonts w:hint="default" w:ascii="Times New Roman" w:hAnsi="Times New Roman" w:eastAsia="宋体" w:cs="Times New Roman"/>
                <w:b/>
                <w:color w:val="auto"/>
                <w:spacing w:val="0"/>
                <w:sz w:val="24"/>
                <w:szCs w:val="24"/>
              </w:rPr>
            </w:pPr>
            <w:r>
              <w:rPr>
                <w:rFonts w:hint="default" w:ascii="Times New Roman" w:hAnsi="Times New Roman" w:cs="Times New Roman"/>
                <w:b/>
                <w:bCs/>
                <w:color w:val="auto"/>
                <w:spacing w:val="0"/>
                <w:sz w:val="24"/>
                <w:szCs w:val="24"/>
                <w:lang w:val="en-US" w:eastAsia="zh-CN"/>
              </w:rPr>
              <w:t>2.3.2</w:t>
            </w:r>
            <w:r>
              <w:rPr>
                <w:rFonts w:hint="default" w:ascii="Times New Roman" w:hAnsi="Times New Roman" w:eastAsia="宋体" w:cs="Times New Roman"/>
                <w:b/>
                <w:color w:val="auto"/>
                <w:spacing w:val="0"/>
                <w:sz w:val="24"/>
                <w:szCs w:val="24"/>
              </w:rPr>
              <w:t>预测方法</w:t>
            </w:r>
          </w:p>
          <w:p w14:paraId="2E25C7F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噪声源布置较为集中，其对声环境影响采取《环境影响评价技术导则声环境》（HJ2.4-2021）中的噪声预测模式</w:t>
            </w:r>
            <w:r>
              <w:rPr>
                <w:rFonts w:hint="default" w:ascii="Times New Roman" w:hAnsi="Times New Roman" w:eastAsia="宋体" w:cs="Times New Roman"/>
                <w:color w:val="auto"/>
                <w:spacing w:val="0"/>
                <w:sz w:val="24"/>
                <w:szCs w:val="24"/>
              </w:rPr>
              <w:t>。</w:t>
            </w:r>
            <w:r>
              <w:rPr>
                <w:rFonts w:hint="default" w:ascii="Times New Roman" w:hAnsi="Times New Roman" w:eastAsia="宋体" w:cs="Times New Roman"/>
                <w:color w:val="auto"/>
                <w:sz w:val="24"/>
                <w:szCs w:val="24"/>
                <w:lang w:val="en-US" w:eastAsia="zh-CN"/>
              </w:rPr>
              <w:t>本次噪声环境影响预测按照全部噪声源同时运转时产生噪声对项目区边界噪声环境产生影响的极端情况进行预测。</w:t>
            </w:r>
          </w:p>
          <w:p w14:paraId="1C1CA1AA">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（1）计算某个室内靠近围护结构处的倍频带声压级：</w:t>
            </w:r>
          </w:p>
          <w:p w14:paraId="7062C225">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auto"/>
              <w:rPr>
                <w:rFonts w:hint="default" w:ascii="Times New Roman" w:hAnsi="Times New Roman" w:eastAsia="宋体" w:cs="Times New Roman"/>
                <w:color w:val="auto"/>
                <w:sz w:val="24"/>
                <w:szCs w:val="24"/>
              </w:rPr>
            </w:pPr>
            <w:bookmarkStart w:id="45" w:name="_Toc91387362"/>
            <w:r>
              <w:rPr>
                <w:rFonts w:hint="default" w:ascii="Times New Roman" w:hAnsi="Times New Roman" w:eastAsia="宋体" w:cs="Times New Roman"/>
                <w:color w:val="auto"/>
                <w:sz w:val="24"/>
                <w:szCs w:val="24"/>
              </w:rPr>
              <w:object>
                <v:shape id="_x0000_i1025" o:spt="75" type="#_x0000_t75" style="height:18.3pt;width:154.35pt;" o:ole="t" filled="f" o:preferrelative="t" stroked="f" coordsize="21600,21600">
                  <v:path/>
                  <v:fill on="f" focussize="0,0"/>
                  <v:stroke on="f"/>
                  <v:imagedata r:id="rId26" o:title=""/>
                  <o:lock v:ext="edit" aspectratio="t"/>
                  <w10:wrap type="none"/>
                  <w10:anchorlock/>
                </v:shape>
                <o:OLEObject Type="Embed" ProgID="Equation.3" ShapeID="_x0000_i1025" DrawAspect="Content" ObjectID="_1468075725" r:id="rId25">
                  <o:LockedField>false</o:LockedField>
                </o:OLEObject>
              </w:object>
            </w:r>
            <w:bookmarkEnd w:id="45"/>
          </w:p>
          <w:p w14:paraId="440B3146">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left"/>
              <w:textAlignment w:val="auto"/>
              <w:rPr>
                <w:rFonts w:hint="default" w:ascii="Times New Roman" w:hAnsi="Times New Roman" w:eastAsia="宋体" w:cs="Times New Roman"/>
                <w:color w:val="auto"/>
                <w:sz w:val="24"/>
                <w:szCs w:val="24"/>
              </w:rPr>
            </w:pPr>
            <w:bookmarkStart w:id="46" w:name="_Toc91387363"/>
            <w:r>
              <w:rPr>
                <w:rFonts w:hint="default" w:ascii="Times New Roman" w:hAnsi="Times New Roman" w:eastAsia="宋体" w:cs="Times New Roman"/>
                <w:color w:val="auto"/>
                <w:sz w:val="24"/>
                <w:szCs w:val="24"/>
              </w:rPr>
              <w:t>式中：</w:t>
            </w:r>
            <w:bookmarkEnd w:id="46"/>
            <w:r>
              <w:rPr>
                <w:rFonts w:hint="default" w:ascii="Times New Roman" w:hAnsi="Times New Roman" w:eastAsia="宋体" w:cs="Times New Roman"/>
                <w:color w:val="auto"/>
                <w:sz w:val="24"/>
                <w:szCs w:val="24"/>
              </w:rPr>
              <w:t>L</w:t>
            </w:r>
            <w:r>
              <w:rPr>
                <w:rFonts w:hint="default" w:ascii="Times New Roman" w:hAnsi="Times New Roman" w:eastAsia="宋体" w:cs="Times New Roman"/>
                <w:color w:val="auto"/>
                <w:sz w:val="24"/>
                <w:szCs w:val="24"/>
                <w:vertAlign w:val="subscript"/>
              </w:rPr>
              <w:t>1</w:t>
            </w:r>
            <w:r>
              <w:rPr>
                <w:rFonts w:hint="default" w:ascii="Times New Roman" w:hAnsi="Times New Roman" w:eastAsia="宋体" w:cs="Times New Roman"/>
                <w:color w:val="auto"/>
                <w:sz w:val="24"/>
                <w:szCs w:val="24"/>
              </w:rPr>
              <w:t>——某个室内声源在靠近围护结构处产生的倍频带声压级，dB；</w:t>
            </w:r>
          </w:p>
          <w:p w14:paraId="088CB0EC">
            <w:pPr>
              <w:keepNext w:val="0"/>
              <w:keepLines w:val="0"/>
              <w:pageBreakBefore w:val="0"/>
              <w:widowControl w:val="0"/>
              <w:kinsoku/>
              <w:wordWrap/>
              <w:overflowPunct/>
              <w:topLinePunct w:val="0"/>
              <w:autoSpaceDE/>
              <w:autoSpaceDN/>
              <w:bidi w:val="0"/>
              <w:adjustRightInd w:val="0"/>
              <w:snapToGrid/>
              <w:spacing w:line="360" w:lineRule="auto"/>
              <w:ind w:firstLine="1200" w:firstLineChars="5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L</w:t>
            </w:r>
            <w:r>
              <w:rPr>
                <w:rFonts w:hint="default" w:ascii="Times New Roman" w:hAnsi="Times New Roman" w:eastAsia="宋体" w:cs="Times New Roman"/>
                <w:color w:val="auto"/>
                <w:sz w:val="24"/>
                <w:szCs w:val="24"/>
                <w:vertAlign w:val="subscript"/>
              </w:rPr>
              <w:t>w1</w:t>
            </w:r>
            <w:r>
              <w:rPr>
                <w:rFonts w:hint="default" w:ascii="Times New Roman" w:hAnsi="Times New Roman" w:eastAsia="宋体" w:cs="Times New Roman"/>
                <w:color w:val="auto"/>
                <w:sz w:val="24"/>
                <w:szCs w:val="24"/>
              </w:rPr>
              <w:t>——某个声源的倍频带声功率级，dB；</w:t>
            </w:r>
          </w:p>
          <w:p w14:paraId="552E922A">
            <w:pPr>
              <w:keepNext w:val="0"/>
              <w:keepLines w:val="0"/>
              <w:pageBreakBefore w:val="0"/>
              <w:widowControl w:val="0"/>
              <w:kinsoku/>
              <w:wordWrap/>
              <w:overflowPunct/>
              <w:topLinePunct w:val="0"/>
              <w:autoSpaceDE/>
              <w:autoSpaceDN/>
              <w:bidi w:val="0"/>
              <w:adjustRightInd w:val="0"/>
              <w:snapToGrid/>
              <w:spacing w:line="360" w:lineRule="auto"/>
              <w:ind w:firstLine="1200" w:firstLineChars="5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r</w:t>
            </w:r>
            <w:r>
              <w:rPr>
                <w:rFonts w:hint="default" w:ascii="Times New Roman" w:hAnsi="Times New Roman" w:eastAsia="宋体" w:cs="Times New Roman"/>
                <w:color w:val="auto"/>
                <w:sz w:val="24"/>
                <w:szCs w:val="24"/>
                <w:vertAlign w:val="subscript"/>
              </w:rPr>
              <w:t>1</w:t>
            </w:r>
            <w:r>
              <w:rPr>
                <w:rFonts w:hint="default" w:ascii="Times New Roman" w:hAnsi="Times New Roman" w:eastAsia="宋体" w:cs="Times New Roman"/>
                <w:color w:val="auto"/>
                <w:sz w:val="24"/>
                <w:szCs w:val="24"/>
              </w:rPr>
              <w:t>——室内某个声源与靠近围护结构处的距离，m；</w:t>
            </w:r>
          </w:p>
          <w:p w14:paraId="549D1F90">
            <w:pPr>
              <w:keepNext w:val="0"/>
              <w:keepLines w:val="0"/>
              <w:pageBreakBefore w:val="0"/>
              <w:widowControl w:val="0"/>
              <w:kinsoku/>
              <w:wordWrap/>
              <w:overflowPunct/>
              <w:topLinePunct w:val="0"/>
              <w:autoSpaceDE/>
              <w:autoSpaceDN/>
              <w:bidi w:val="0"/>
              <w:adjustRightInd w:val="0"/>
              <w:snapToGrid/>
              <w:spacing w:line="360" w:lineRule="auto"/>
              <w:ind w:firstLine="1200" w:firstLineChars="500"/>
              <w:jc w:val="left"/>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R——房间常数</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lang w:eastAsia="zh-CN"/>
              </w:rPr>
              <w:t>；</w:t>
            </w:r>
          </w:p>
          <w:p w14:paraId="4B1FE4DD">
            <w:pPr>
              <w:keepNext w:val="0"/>
              <w:keepLines w:val="0"/>
              <w:pageBreakBefore w:val="0"/>
              <w:widowControl w:val="0"/>
              <w:kinsoku/>
              <w:wordWrap/>
              <w:overflowPunct/>
              <w:topLinePunct w:val="0"/>
              <w:autoSpaceDE/>
              <w:autoSpaceDN/>
              <w:bidi w:val="0"/>
              <w:adjustRightInd w:val="0"/>
              <w:snapToGrid/>
              <w:spacing w:line="360" w:lineRule="auto"/>
              <w:ind w:firstLine="1200" w:firstLineChars="5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Q——方向因子，无量纲值。</w:t>
            </w:r>
          </w:p>
          <w:p w14:paraId="461C94A6">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（2）计算出所有室内声源在靠近围护结构处产生的总倍频带声压级：</w:t>
            </w:r>
          </w:p>
          <w:p w14:paraId="54E48082">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object>
                <v:shape id="_x0000_i1026" o:spt="75" type="#_x0000_t75" style="height:31.65pt;width:116.2pt;" o:ole="t" filled="f" o:preferrelative="t" stroked="f" coordsize="21600,21600">
                  <v:path/>
                  <v:fill on="f" focussize="0,0"/>
                  <v:stroke on="f"/>
                  <v:imagedata r:id="rId28" o:title=""/>
                  <o:lock v:ext="edit" aspectratio="t"/>
                  <w10:wrap type="none"/>
                  <w10:anchorlock/>
                </v:shape>
                <o:OLEObject Type="Embed" ProgID="Equation.3" ShapeID="_x0000_i1026" DrawAspect="Content" ObjectID="_1468075726" r:id="rId27">
                  <o:LockedField>false</o:LockedField>
                </o:OLEObject>
              </w:object>
            </w:r>
          </w:p>
          <w:p w14:paraId="0A380E5D">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（3）计算出室外靠近围护结构处的声压级：</w:t>
            </w:r>
          </w:p>
          <w:p w14:paraId="22E3CC44">
            <w:pPr>
              <w:pageBreakBefore w:val="0"/>
              <w:widowControl w:val="0"/>
              <w:kinsoku/>
              <w:wordWrap/>
              <w:overflowPunct/>
              <w:topLinePunct w:val="0"/>
              <w:autoSpaceDE/>
              <w:autoSpaceDN/>
              <w:bidi w:val="0"/>
              <w:spacing w:line="360" w:lineRule="auto"/>
              <w:ind w:firstLine="48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object>
                <v:shape id="_x0000_i1027" o:spt="75" type="#_x0000_t75" style="height:15.5pt;width:109.5pt;" o:ole="t" filled="f" o:preferrelative="t" stroked="f" coordsize="21600,21600">
                  <v:path/>
                  <v:fill on="f" focussize="0,0"/>
                  <v:stroke on="f"/>
                  <v:imagedata r:id="rId30" o:title=""/>
                  <o:lock v:ext="edit" aspectratio="t"/>
                  <w10:wrap type="none"/>
                  <w10:anchorlock/>
                </v:shape>
                <o:OLEObject Type="Embed" ProgID="Equation.3" ShapeID="_x0000_i1027" DrawAspect="Content" ObjectID="_1468075727" r:id="rId29">
                  <o:LockedField>false</o:LockedField>
                </o:OLEObject>
              </w:object>
            </w:r>
          </w:p>
          <w:p w14:paraId="4CEEC1B4">
            <w:pPr>
              <w:pageBreakBefore w:val="0"/>
              <w:widowControl w:val="0"/>
              <w:kinsoku/>
              <w:wordWrap/>
              <w:overflowPunct/>
              <w:topLinePunct w:val="0"/>
              <w:autoSpaceDE/>
              <w:autoSpaceDN/>
              <w:bidi w:val="0"/>
              <w:spacing w:line="360" w:lineRule="auto"/>
              <w:ind w:firstLine="480"/>
              <w:textAlignment w:val="auto"/>
              <w:rPr>
                <w:rFonts w:hint="default" w:ascii="Times New Roman" w:hAnsi="Times New Roman" w:eastAsia="宋体" w:cs="Times New Roman"/>
                <w:bCs w:val="0"/>
                <w:color w:val="auto"/>
                <w:kern w:val="2"/>
                <w:sz w:val="24"/>
                <w:szCs w:val="24"/>
                <w:lang w:val="en-US" w:eastAsia="zh-CN" w:bidi="ar-SA"/>
              </w:rPr>
            </w:pPr>
            <w:r>
              <w:rPr>
                <w:rFonts w:hint="default" w:ascii="Times New Roman" w:hAnsi="Times New Roman" w:eastAsia="宋体" w:cs="Times New Roman"/>
                <w:bCs w:val="0"/>
                <w:color w:val="auto"/>
                <w:kern w:val="2"/>
                <w:sz w:val="24"/>
                <w:szCs w:val="24"/>
                <w:lang w:val="en-US" w:eastAsia="zh-CN" w:bidi="ar-SA"/>
              </w:rPr>
              <w:t>式中：</w:t>
            </w:r>
          </w:p>
          <w:p w14:paraId="65803708">
            <w:pPr>
              <w:keepNext w:val="0"/>
              <w:keepLines w:val="0"/>
              <w:pageBreakBefore w:val="0"/>
              <w:widowControl w:val="0"/>
              <w:kinsoku/>
              <w:wordWrap/>
              <w:overflowPunct/>
              <w:topLinePunct w:val="0"/>
              <w:autoSpaceDE/>
              <w:autoSpaceDN/>
              <w:bidi w:val="0"/>
              <w:adjustRightInd w:val="0"/>
              <w:snapToGrid/>
              <w:spacing w:line="360" w:lineRule="auto"/>
              <w:ind w:firstLine="1200" w:firstLineChars="5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L</w:t>
            </w:r>
            <w:r>
              <w:rPr>
                <w:rFonts w:hint="default" w:ascii="Times New Roman" w:hAnsi="Times New Roman" w:eastAsia="宋体" w:cs="Times New Roman"/>
                <w:color w:val="auto"/>
                <w:sz w:val="24"/>
                <w:szCs w:val="24"/>
                <w:vertAlign w:val="subscript"/>
                <w:lang w:val="en-US" w:eastAsia="zh-CN"/>
              </w:rPr>
              <w:t>p1</w:t>
            </w:r>
            <w:r>
              <w:rPr>
                <w:rFonts w:hint="default" w:ascii="Times New Roman" w:hAnsi="Times New Roman" w:eastAsia="宋体" w:cs="Times New Roman"/>
                <w:color w:val="auto"/>
                <w:sz w:val="24"/>
                <w:szCs w:val="24"/>
                <w:lang w:val="en-US" w:eastAsia="zh-CN"/>
              </w:rPr>
              <w:t>—靠近开口处（或窗户）室内某倍频带的声压级或A声级，dB；</w:t>
            </w:r>
          </w:p>
          <w:p w14:paraId="3D922ACA">
            <w:pPr>
              <w:keepNext w:val="0"/>
              <w:keepLines w:val="0"/>
              <w:pageBreakBefore w:val="0"/>
              <w:widowControl w:val="0"/>
              <w:kinsoku/>
              <w:wordWrap/>
              <w:overflowPunct/>
              <w:topLinePunct w:val="0"/>
              <w:autoSpaceDE/>
              <w:autoSpaceDN/>
              <w:bidi w:val="0"/>
              <w:adjustRightInd w:val="0"/>
              <w:snapToGrid/>
              <w:spacing w:line="360" w:lineRule="auto"/>
              <w:ind w:firstLine="1200" w:firstLineChars="5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L</w:t>
            </w:r>
            <w:r>
              <w:rPr>
                <w:rFonts w:hint="default" w:ascii="Times New Roman" w:hAnsi="Times New Roman" w:eastAsia="宋体" w:cs="Times New Roman"/>
                <w:color w:val="auto"/>
                <w:sz w:val="24"/>
                <w:szCs w:val="24"/>
                <w:vertAlign w:val="subscript"/>
                <w:lang w:val="en-US" w:eastAsia="zh-CN"/>
              </w:rPr>
              <w:t>p2</w:t>
            </w:r>
            <w:r>
              <w:rPr>
                <w:rFonts w:hint="default" w:ascii="Times New Roman" w:hAnsi="Times New Roman" w:eastAsia="宋体" w:cs="Times New Roman"/>
                <w:color w:val="auto"/>
                <w:sz w:val="24"/>
                <w:szCs w:val="24"/>
                <w:lang w:val="en-US" w:eastAsia="zh-CN"/>
              </w:rPr>
              <w:t>—靠近开口处（或窗户）室外某倍频带的声压级或A声级，dB；</w:t>
            </w:r>
          </w:p>
          <w:p w14:paraId="51A7C969">
            <w:pPr>
              <w:keepNext w:val="0"/>
              <w:keepLines w:val="0"/>
              <w:pageBreakBefore w:val="0"/>
              <w:widowControl w:val="0"/>
              <w:kinsoku/>
              <w:wordWrap/>
              <w:overflowPunct/>
              <w:topLinePunct w:val="0"/>
              <w:autoSpaceDE/>
              <w:autoSpaceDN/>
              <w:bidi w:val="0"/>
              <w:adjustRightInd w:val="0"/>
              <w:snapToGrid/>
              <w:spacing w:line="360" w:lineRule="auto"/>
              <w:ind w:firstLine="1200" w:firstLineChars="5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T</w:t>
            </w:r>
            <w:r>
              <w:rPr>
                <w:rFonts w:hint="default" w:ascii="Times New Roman" w:hAnsi="Times New Roman" w:eastAsia="宋体" w:cs="Times New Roman"/>
                <w:color w:val="auto"/>
                <w:sz w:val="24"/>
                <w:szCs w:val="24"/>
                <w:vertAlign w:val="subscript"/>
                <w:lang w:val="en-US" w:eastAsia="zh-CN"/>
              </w:rPr>
              <w:t>L</w:t>
            </w:r>
            <w:r>
              <w:rPr>
                <w:rFonts w:hint="default" w:ascii="Times New Roman" w:hAnsi="Times New Roman" w:eastAsia="宋体" w:cs="Times New Roman"/>
                <w:color w:val="auto"/>
                <w:sz w:val="24"/>
                <w:szCs w:val="24"/>
                <w:lang w:val="en-US" w:eastAsia="zh-CN"/>
              </w:rPr>
              <w:t>—隔墙（或窗户）倍频带或A声级的隔声量，dB。</w:t>
            </w:r>
          </w:p>
          <w:p w14:paraId="60410DD4">
            <w:pPr>
              <w:pageBreakBefore w:val="0"/>
              <w:widowControl w:val="0"/>
              <w:kinsoku/>
              <w:wordWrap/>
              <w:overflowPunct/>
              <w:topLinePunct w:val="0"/>
              <w:autoSpaceDE/>
              <w:autoSpaceDN/>
              <w:bidi w:val="0"/>
              <w:spacing w:line="360" w:lineRule="auto"/>
              <w:ind w:firstLine="48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bCs w:val="0"/>
                <w:color w:val="auto"/>
                <w:kern w:val="2"/>
                <w:sz w:val="24"/>
                <w:szCs w:val="24"/>
                <w:lang w:val="en-US" w:eastAsia="zh-CN" w:bidi="ar-SA"/>
              </w:rPr>
              <w:t>然后按下列公式将室外声源的声压级和透过面积换算成等效的室外声源，计算出中心位置位于透声面积（S）处的等效声源的倍频带声功率级。</w:t>
            </w:r>
          </w:p>
          <w:p w14:paraId="3C7FDAFB">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（4）将室外声级L</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T</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和透声面积换算成等效的室外声源，计算出等效声源第i个倍频带的声功率级L</w:t>
            </w:r>
            <w:r>
              <w:rPr>
                <w:rFonts w:hint="default" w:ascii="Times New Roman" w:hAnsi="Times New Roman" w:eastAsia="宋体" w:cs="Times New Roman"/>
                <w:color w:val="auto"/>
                <w:sz w:val="24"/>
                <w:szCs w:val="24"/>
                <w:vertAlign w:val="subscript"/>
              </w:rPr>
              <w:t>w</w:t>
            </w:r>
            <w:r>
              <w:rPr>
                <w:rFonts w:hint="default" w:ascii="Times New Roman" w:hAnsi="Times New Roman" w:eastAsia="宋体" w:cs="Times New Roman"/>
                <w:color w:val="auto"/>
                <w:sz w:val="24"/>
                <w:szCs w:val="24"/>
                <w:vertAlign w:val="subscript"/>
              </w:rPr>
              <w:softHyphen/>
            </w:r>
            <w:r>
              <w:rPr>
                <w:rFonts w:hint="default" w:ascii="Times New Roman" w:hAnsi="Times New Roman" w:eastAsia="宋体" w:cs="Times New Roman"/>
                <w:color w:val="auto"/>
                <w:sz w:val="24"/>
                <w:szCs w:val="24"/>
                <w:vertAlign w:val="subscript"/>
              </w:rPr>
              <w:softHyphen/>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w:t>
            </w:r>
          </w:p>
          <w:p w14:paraId="0696DD21">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object>
                <v:shape id="_x0000_i1028" o:spt="75" type="#_x0000_t75" style="height:17.45pt;width:100.5pt;" o:ole="t" filled="f" o:preferrelative="t" stroked="f" coordsize="21600,21600">
                  <v:path/>
                  <v:fill on="f" focussize="0,0"/>
                  <v:stroke on="f"/>
                  <v:imagedata r:id="rId32" o:title=""/>
                  <o:lock v:ext="edit" aspectratio="t"/>
                  <w10:wrap type="none"/>
                  <w10:anchorlock/>
                </v:shape>
                <o:OLEObject Type="Embed" ProgID="Equation.3" ShapeID="_x0000_i1028" DrawAspect="Content" ObjectID="_1468075728" r:id="rId31">
                  <o:LockedField>false</o:LockedField>
                </o:OLEObject>
              </w:object>
            </w:r>
          </w:p>
          <w:p w14:paraId="278042EC">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式中：S为透声面积，m</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rPr>
              <w:t>。</w:t>
            </w:r>
          </w:p>
          <w:p w14:paraId="635982B4">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（5）等效室外声源的位置为围护结构的位置，其倍频带声功率级为L</w:t>
            </w:r>
            <w:r>
              <w:rPr>
                <w:rFonts w:hint="default" w:ascii="Times New Roman" w:hAnsi="Times New Roman" w:eastAsia="宋体" w:cs="Times New Roman"/>
                <w:color w:val="auto"/>
                <w:sz w:val="24"/>
                <w:szCs w:val="24"/>
                <w:vertAlign w:val="subscript"/>
              </w:rPr>
              <w:t>w</w:t>
            </w:r>
            <w:r>
              <w:rPr>
                <w:rFonts w:hint="default" w:ascii="Times New Roman" w:hAnsi="Times New Roman" w:eastAsia="宋体" w:cs="Times New Roman"/>
                <w:color w:val="auto"/>
                <w:sz w:val="24"/>
                <w:szCs w:val="24"/>
              </w:rPr>
              <w:t>，由此按室外声源方法计算等效室外声源在预测点产生的声级。</w:t>
            </w:r>
          </w:p>
          <w:p w14:paraId="14DF6149">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（6）计算某个声源在预测点的倍频带声压级：</w:t>
            </w:r>
          </w:p>
          <w:p w14:paraId="5C96D16C">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object>
                <v:shape id="_x0000_i1029" o:spt="75" type="#_x0000_t75" style="height:37.05pt;width:121.6pt;" o:ole="t" filled="f" o:preferrelative="t" stroked="f" coordsize="21600,21600">
                  <v:path/>
                  <v:fill on="f" focussize="0,0"/>
                  <v:stroke on="f"/>
                  <v:imagedata r:id="rId34" o:title=""/>
                  <o:lock v:ext="edit" aspectratio="t"/>
                  <w10:wrap type="none"/>
                  <w10:anchorlock/>
                </v:shape>
                <o:OLEObject Type="Embed" ProgID="Equation.3" ShapeID="_x0000_i1029" DrawAspect="Content" ObjectID="_1468075729" r:id="rId33">
                  <o:LockedField>false</o:LockedField>
                </o:OLEObject>
              </w:object>
            </w:r>
          </w:p>
          <w:p w14:paraId="4751BEDA">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式中：L</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r</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——点声源在预测点产生的倍频带声压级，dB；</w:t>
            </w:r>
          </w:p>
          <w:p w14:paraId="3D898DA5">
            <w:pPr>
              <w:keepNext w:val="0"/>
              <w:keepLines w:val="0"/>
              <w:pageBreakBefore w:val="0"/>
              <w:widowControl w:val="0"/>
              <w:kinsoku/>
              <w:wordWrap/>
              <w:overflowPunct/>
              <w:topLinePunct w:val="0"/>
              <w:autoSpaceDE/>
              <w:autoSpaceDN/>
              <w:bidi w:val="0"/>
              <w:adjustRightInd w:val="0"/>
              <w:snapToGrid/>
              <w:spacing w:line="360" w:lineRule="auto"/>
              <w:ind w:firstLine="1200" w:firstLineChars="5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L</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r</w:t>
            </w:r>
            <w:r>
              <w:rPr>
                <w:rFonts w:hint="default" w:ascii="Times New Roman" w:hAnsi="Times New Roman" w:eastAsia="宋体" w:cs="Times New Roman"/>
                <w:color w:val="auto"/>
                <w:sz w:val="24"/>
                <w:szCs w:val="24"/>
                <w:vertAlign w:val="subscript"/>
              </w:rPr>
              <w:t>0</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——参考位置r</w:t>
            </w:r>
            <w:r>
              <w:rPr>
                <w:rFonts w:hint="default" w:ascii="Times New Roman" w:hAnsi="Times New Roman" w:eastAsia="宋体" w:cs="Times New Roman"/>
                <w:color w:val="auto"/>
                <w:sz w:val="24"/>
                <w:szCs w:val="24"/>
                <w:vertAlign w:val="subscript"/>
              </w:rPr>
              <w:t>0</w:t>
            </w:r>
            <w:r>
              <w:rPr>
                <w:rFonts w:hint="default" w:ascii="Times New Roman" w:hAnsi="Times New Roman" w:eastAsia="宋体" w:cs="Times New Roman"/>
                <w:color w:val="auto"/>
                <w:sz w:val="24"/>
                <w:szCs w:val="24"/>
              </w:rPr>
              <w:t>处的倍频带声压级，dB；</w:t>
            </w:r>
          </w:p>
          <w:p w14:paraId="6F5B8D64">
            <w:pPr>
              <w:keepNext w:val="0"/>
              <w:keepLines w:val="0"/>
              <w:pageBreakBefore w:val="0"/>
              <w:widowControl w:val="0"/>
              <w:kinsoku/>
              <w:wordWrap/>
              <w:overflowPunct/>
              <w:topLinePunct w:val="0"/>
              <w:autoSpaceDE/>
              <w:autoSpaceDN/>
              <w:bidi w:val="0"/>
              <w:adjustRightInd w:val="0"/>
              <w:snapToGrid/>
              <w:spacing w:line="360" w:lineRule="auto"/>
              <w:ind w:firstLine="1200" w:firstLineChars="5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r——预测点距声源的距离，m；</w:t>
            </w:r>
          </w:p>
          <w:p w14:paraId="7A7DBABF">
            <w:pPr>
              <w:keepNext w:val="0"/>
              <w:keepLines w:val="0"/>
              <w:pageBreakBefore w:val="0"/>
              <w:widowControl w:val="0"/>
              <w:kinsoku/>
              <w:wordWrap/>
              <w:overflowPunct/>
              <w:topLinePunct w:val="0"/>
              <w:autoSpaceDE/>
              <w:autoSpaceDN/>
              <w:bidi w:val="0"/>
              <w:adjustRightInd w:val="0"/>
              <w:snapToGrid/>
              <w:spacing w:line="360" w:lineRule="auto"/>
              <w:ind w:firstLine="1200" w:firstLineChars="5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r</w:t>
            </w:r>
            <w:r>
              <w:rPr>
                <w:rFonts w:hint="default" w:ascii="Times New Roman" w:hAnsi="Times New Roman" w:eastAsia="宋体" w:cs="Times New Roman"/>
                <w:color w:val="auto"/>
                <w:sz w:val="24"/>
                <w:szCs w:val="24"/>
                <w:vertAlign w:val="subscript"/>
              </w:rPr>
              <w:t>0</w:t>
            </w:r>
            <w:r>
              <w:rPr>
                <w:rFonts w:hint="default" w:ascii="Times New Roman" w:hAnsi="Times New Roman" w:eastAsia="宋体" w:cs="Times New Roman"/>
                <w:color w:val="auto"/>
                <w:sz w:val="24"/>
                <w:szCs w:val="24"/>
              </w:rPr>
              <w:t>——参考位置距声源的距离，m；</w:t>
            </w:r>
          </w:p>
          <w:p w14:paraId="63961E4A">
            <w:pPr>
              <w:keepNext w:val="0"/>
              <w:keepLines w:val="0"/>
              <w:pageBreakBefore w:val="0"/>
              <w:widowControl w:val="0"/>
              <w:kinsoku/>
              <w:wordWrap/>
              <w:overflowPunct/>
              <w:topLinePunct w:val="0"/>
              <w:autoSpaceDE/>
              <w:autoSpaceDN/>
              <w:bidi w:val="0"/>
              <w:adjustRightInd w:val="0"/>
              <w:snapToGrid/>
              <w:spacing w:line="360" w:lineRule="auto"/>
              <w:ind w:firstLine="1200" w:firstLineChars="5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ΔL——各种因素引起的衰减量</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包括声屏障、遮挡物、空气吸收、地面效应等引起的衰减量）。</w:t>
            </w:r>
          </w:p>
          <w:p w14:paraId="364E648E">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如果已知声源的倍频带声功率级Lw，且声源可看作是位于地面上的，则</w:t>
            </w:r>
          </w:p>
          <w:p w14:paraId="567E154A">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object>
                <v:shape id="_x0000_i1030" o:spt="75" type="#_x0000_t75" style="height:17.55pt;width:107.5pt;" o:ole="t" filled="f" o:preferrelative="t" stroked="f" coordsize="21600,21600">
                  <v:path/>
                  <v:fill on="f" focussize="0,0"/>
                  <v:stroke on="f"/>
                  <v:imagedata r:id="rId36" o:title=""/>
                  <o:lock v:ext="edit" aspectratio="t"/>
                  <w10:wrap type="none"/>
                  <w10:anchorlock/>
                </v:shape>
                <o:OLEObject Type="Embed" ProgID="Equation.3" ShapeID="_x0000_i1030" DrawAspect="Content" ObjectID="_1468075730" r:id="rId35">
                  <o:LockedField>false</o:LockedField>
                </o:OLEObject>
              </w:object>
            </w:r>
          </w:p>
          <w:p w14:paraId="00494C71">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（7）由各倍频带声压级合成计算出该声源产生的A声级LA</w:t>
            </w:r>
            <w:r>
              <w:rPr>
                <w:rFonts w:hint="default" w:ascii="Times New Roman" w:hAnsi="Times New Roman" w:eastAsia="宋体" w:cs="Times New Roman"/>
                <w:color w:val="auto"/>
                <w:sz w:val="24"/>
                <w:szCs w:val="24"/>
                <w:lang w:eastAsia="zh-CN"/>
              </w:rPr>
              <w:t>。</w:t>
            </w:r>
          </w:p>
          <w:p w14:paraId="26B1BF58">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（8）计算总声压级</w:t>
            </w:r>
          </w:p>
          <w:p w14:paraId="4C05C4C0">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设第i个室外声源在预测点产生的A声级为LAin，i，在T时间内该声源工作时间为tin，i；第j个等效室外声源在预测点产生的A声级为LAout，j，在T时间内该声源工作时间为Tout，j，则预测点的总等效声级为：</w:t>
            </w:r>
          </w:p>
          <w:p w14:paraId="3A5C0851">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object>
                <v:shape id="_x0000_i1031" o:spt="75" type="#_x0000_t75" style="height:34.1pt;width:244.05pt;" o:ole="t" filled="f" o:preferrelative="t" stroked="f" coordsize="21600,21600">
                  <v:path/>
                  <v:fill on="f" focussize="0,0"/>
                  <v:stroke on="f"/>
                  <v:imagedata r:id="rId38" o:title=""/>
                  <o:lock v:ext="edit" aspectratio="t"/>
                  <w10:wrap type="none"/>
                  <w10:anchorlock/>
                </v:shape>
                <o:OLEObject Type="Embed" ProgID="Equation.3" ShapeID="_x0000_i1031" DrawAspect="Content" ObjectID="_1468075731" r:id="rId37">
                  <o:LockedField>false</o:LockedField>
                </o:OLEObject>
              </w:object>
            </w:r>
          </w:p>
          <w:p w14:paraId="6F18C3D5">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式中：T——计算等效声级的时间；</w:t>
            </w:r>
          </w:p>
          <w:p w14:paraId="3BD89D18">
            <w:pPr>
              <w:keepNext w:val="0"/>
              <w:keepLines w:val="0"/>
              <w:pageBreakBefore w:val="0"/>
              <w:widowControl w:val="0"/>
              <w:kinsoku/>
              <w:wordWrap/>
              <w:overflowPunct/>
              <w:topLinePunct w:val="0"/>
              <w:autoSpaceDE/>
              <w:autoSpaceDN/>
              <w:bidi w:val="0"/>
              <w:adjustRightInd w:val="0"/>
              <w:snapToGrid/>
              <w:spacing w:line="360" w:lineRule="auto"/>
              <w:ind w:firstLine="1200" w:firstLineChars="5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N——室外声源个数；</w:t>
            </w:r>
          </w:p>
          <w:p w14:paraId="2499206D">
            <w:pPr>
              <w:keepNext w:val="0"/>
              <w:keepLines w:val="0"/>
              <w:pageBreakBefore w:val="0"/>
              <w:widowControl w:val="0"/>
              <w:kinsoku/>
              <w:wordWrap/>
              <w:overflowPunct/>
              <w:topLinePunct w:val="0"/>
              <w:autoSpaceDE/>
              <w:autoSpaceDN/>
              <w:bidi w:val="0"/>
              <w:adjustRightInd w:val="0"/>
              <w:snapToGrid/>
              <w:spacing w:line="360" w:lineRule="auto"/>
              <w:ind w:firstLine="1200" w:firstLineChars="5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M——等效室外声源个数</w:t>
            </w:r>
            <w:r>
              <w:rPr>
                <w:rFonts w:hint="default" w:ascii="Times New Roman" w:hAnsi="Times New Roman" w:eastAsia="宋体" w:cs="Times New Roman"/>
                <w:color w:val="auto"/>
                <w:sz w:val="24"/>
                <w:szCs w:val="24"/>
                <w:lang w:eastAsia="zh-CN"/>
              </w:rPr>
              <w:t>。</w:t>
            </w:r>
          </w:p>
          <w:p w14:paraId="2F8DD625">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（9）多声源对某个受声点的理论估算方法，是将几个声源的A声级按能量叠加，等效为合声源对某个受声点上的理论声级，其公式为：</w:t>
            </w:r>
          </w:p>
          <w:p w14:paraId="743533E9">
            <w:pPr>
              <w:keepNext w:val="0"/>
              <w:keepLines w:val="0"/>
              <w:pageBreakBefore w:val="0"/>
              <w:widowControl w:val="0"/>
              <w:kinsoku/>
              <w:wordWrap/>
              <w:overflowPunct/>
              <w:topLinePunct w:val="0"/>
              <w:autoSpaceDE/>
              <w:autoSpaceDN/>
              <w:bidi w:val="0"/>
              <w:adjustRightInd w:val="0"/>
              <w:snapToGrid/>
              <w:spacing w:line="360" w:lineRule="auto"/>
              <w:ind w:firstLine="480" w:firstLineChars="20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object>
                <v:shape id="_x0000_i1032" o:spt="75" type="#_x0000_t75" style="height:30.9pt;width:91.65pt;" o:ole="t" filled="f" o:preferrelative="t" stroked="f" coordsize="21600,21600">
                  <v:path/>
                  <v:fill on="f" focussize="0,0"/>
                  <v:stroke on="f"/>
                  <v:imagedata r:id="rId40" o:title=""/>
                  <o:lock v:ext="edit" aspectratio="t"/>
                  <w10:wrap type="none"/>
                  <w10:anchorlock/>
                </v:shape>
                <o:OLEObject Type="Embed" ProgID="Equation.3" ShapeID="_x0000_i1032" DrawAspect="Content" ObjectID="_1468075732" r:id="rId39">
                  <o:LockedField>false</o:LockedField>
                </o:OLEObject>
              </w:object>
            </w:r>
          </w:p>
          <w:p w14:paraId="617EBE05">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式中：L</w:t>
            </w:r>
            <w:r>
              <w:rPr>
                <w:rFonts w:hint="default" w:ascii="Times New Roman" w:hAnsi="Times New Roman" w:eastAsia="宋体" w:cs="Times New Roman"/>
                <w:color w:val="auto"/>
                <w:sz w:val="24"/>
                <w:szCs w:val="24"/>
                <w:vertAlign w:val="subscript"/>
              </w:rPr>
              <w:t>合</w:t>
            </w:r>
            <w:r>
              <w:rPr>
                <w:rFonts w:hint="default" w:ascii="Times New Roman" w:hAnsi="Times New Roman" w:eastAsia="宋体" w:cs="Times New Roman"/>
                <w:color w:val="auto"/>
                <w:sz w:val="24"/>
                <w:szCs w:val="24"/>
              </w:rPr>
              <w:t>——受声点总等效声级，dB</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A</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w:t>
            </w:r>
          </w:p>
          <w:p w14:paraId="43C9550B">
            <w:pPr>
              <w:keepNext w:val="0"/>
              <w:keepLines w:val="0"/>
              <w:pageBreakBefore w:val="0"/>
              <w:widowControl w:val="0"/>
              <w:kinsoku/>
              <w:wordWrap/>
              <w:overflowPunct/>
              <w:topLinePunct w:val="0"/>
              <w:autoSpaceDE/>
              <w:autoSpaceDN/>
              <w:bidi w:val="0"/>
              <w:adjustRightInd w:val="0"/>
              <w:snapToGrid/>
              <w:spacing w:line="360" w:lineRule="auto"/>
              <w:ind w:firstLine="1200" w:firstLineChars="5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N——声源总数</w:t>
            </w:r>
            <w:r>
              <w:rPr>
                <w:rFonts w:hint="default" w:ascii="Times New Roman" w:hAnsi="Times New Roman" w:eastAsia="宋体" w:cs="Times New Roman"/>
                <w:color w:val="auto"/>
                <w:sz w:val="24"/>
                <w:szCs w:val="24"/>
                <w:lang w:eastAsia="zh-CN"/>
              </w:rPr>
              <w:t>；</w:t>
            </w:r>
          </w:p>
          <w:p w14:paraId="14A3BDE0">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Li——第i声源对某预测点的等效声级，dB</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A</w:t>
            </w:r>
            <w:r>
              <w:rPr>
                <w:rFonts w:hint="default" w:ascii="Times New Roman" w:hAnsi="Times New Roman" w:eastAsia="宋体" w:cs="Times New Roman"/>
                <w:color w:val="auto"/>
                <w:sz w:val="24"/>
                <w:szCs w:val="24"/>
                <w:lang w:eastAsia="zh-CN"/>
              </w:rPr>
              <w:t>）。</w:t>
            </w:r>
          </w:p>
          <w:p w14:paraId="3705FC19">
            <w:pPr>
              <w:pStyle w:val="6"/>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eastAsia="宋体" w:cs="Times New Roman"/>
                <w:b/>
                <w:color w:val="auto"/>
                <w:spacing w:val="0"/>
                <w:sz w:val="24"/>
                <w:szCs w:val="24"/>
                <w:lang w:val="en-US" w:eastAsia="zh-CN"/>
              </w:rPr>
            </w:pPr>
            <w:r>
              <w:rPr>
                <w:rFonts w:hint="default" w:ascii="Times New Roman" w:hAnsi="Times New Roman" w:cs="Times New Roman"/>
                <w:b/>
                <w:bCs/>
                <w:color w:val="auto"/>
                <w:spacing w:val="0"/>
                <w:sz w:val="24"/>
                <w:szCs w:val="24"/>
                <w:lang w:val="en-US" w:eastAsia="zh-CN"/>
              </w:rPr>
              <w:t>2.3.3</w:t>
            </w:r>
            <w:r>
              <w:rPr>
                <w:rFonts w:hint="default" w:ascii="Times New Roman" w:hAnsi="Times New Roman" w:eastAsia="宋体" w:cs="Times New Roman"/>
                <w:b/>
                <w:color w:val="auto"/>
                <w:spacing w:val="0"/>
                <w:sz w:val="24"/>
                <w:szCs w:val="24"/>
              </w:rPr>
              <w:t>噪声排放标准</w:t>
            </w:r>
            <w:r>
              <w:rPr>
                <w:rFonts w:hint="default" w:ascii="Times New Roman" w:hAnsi="Times New Roman" w:eastAsia="宋体" w:cs="Times New Roman"/>
                <w:b/>
                <w:color w:val="auto"/>
                <w:spacing w:val="0"/>
                <w:sz w:val="24"/>
                <w:szCs w:val="24"/>
                <w:lang w:val="en-US" w:eastAsia="zh-CN"/>
              </w:rPr>
              <w:t>及预测环境数据</w:t>
            </w:r>
          </w:p>
          <w:p w14:paraId="02696E78">
            <w:pPr>
              <w:pStyle w:val="103"/>
              <w:keepNext w:val="0"/>
              <w:keepLines w:val="0"/>
              <w:pageBreakBefore w:val="0"/>
              <w:widowControl w:val="0"/>
              <w:kinsoku/>
              <w:wordWrap/>
              <w:overflowPunct/>
              <w:topLinePunct w:val="0"/>
              <w:autoSpaceDE/>
              <w:autoSpaceDN/>
              <w:bidi w:val="0"/>
              <w:adjustRightInd/>
              <w:snapToGrid/>
              <w:spacing w:line="360" w:lineRule="auto"/>
              <w:ind w:firstLine="420"/>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color w:val="auto"/>
                <w:spacing w:val="0"/>
                <w:sz w:val="24"/>
                <w:szCs w:val="24"/>
              </w:rPr>
              <w:t>厂界噪声标准</w:t>
            </w:r>
            <w:r>
              <w:rPr>
                <w:rFonts w:hint="default" w:ascii="Times New Roman" w:hAnsi="Times New Roman" w:eastAsia="宋体" w:cs="Times New Roman"/>
                <w:color w:val="auto"/>
                <w:spacing w:val="0"/>
                <w:sz w:val="24"/>
                <w:szCs w:val="24"/>
                <w:lang w:val="en-US" w:eastAsia="zh-CN"/>
              </w:rPr>
              <w:t>执行</w:t>
            </w:r>
            <w:r>
              <w:rPr>
                <w:rFonts w:hint="default" w:ascii="Times New Roman" w:hAnsi="Times New Roman" w:eastAsia="宋体" w:cs="Times New Roman"/>
                <w:color w:val="auto"/>
                <w:kern w:val="0"/>
                <w:sz w:val="24"/>
                <w:szCs w:val="24"/>
                <w:lang w:val="en-US" w:eastAsia="zh-CN" w:bidi="ar-SA"/>
              </w:rPr>
              <w:t>《工业企业厂界环境噪声排放标准》（GB12348-2008）表1中</w:t>
            </w:r>
            <w:r>
              <w:rPr>
                <w:rFonts w:hint="default" w:ascii="Times New Roman" w:hAnsi="Times New Roman" w:cs="Times New Roman"/>
                <w:color w:val="auto"/>
                <w:kern w:val="0"/>
                <w:sz w:val="24"/>
                <w:szCs w:val="24"/>
                <w:lang w:val="en-US" w:eastAsia="zh-CN" w:bidi="ar-SA"/>
              </w:rPr>
              <w:t>3</w:t>
            </w:r>
            <w:r>
              <w:rPr>
                <w:rFonts w:hint="default" w:ascii="Times New Roman" w:hAnsi="Times New Roman" w:eastAsia="宋体" w:cs="Times New Roman"/>
                <w:color w:val="auto"/>
                <w:kern w:val="0"/>
                <w:sz w:val="24"/>
                <w:szCs w:val="24"/>
                <w:lang w:val="en-US" w:eastAsia="zh-CN" w:bidi="ar-SA"/>
              </w:rPr>
              <w:t>类声环境功能区标准限值。</w:t>
            </w:r>
            <w:r>
              <w:rPr>
                <w:rFonts w:hint="default" w:ascii="Times New Roman" w:hAnsi="Times New Roman" w:eastAsia="宋体" w:cs="Times New Roman"/>
                <w:color w:val="auto"/>
                <w:sz w:val="24"/>
                <w:szCs w:val="24"/>
              </w:rPr>
              <w:t>本项目声环境评价范围内无声环境保护目标，依据《环境影响评价技术导则声环境》（HJ2.4-2021），本环评预测建设项目在运营期厂界噪声预测值，评价其超标和达标情况。通过预测模型计算，项目厂界噪声预测值结果与达标分析见</w:t>
            </w:r>
            <w:r>
              <w:rPr>
                <w:rFonts w:hint="default" w:ascii="Times New Roman" w:hAnsi="Times New Roman" w:eastAsia="宋体" w:cs="Times New Roman"/>
                <w:color w:val="auto"/>
                <w:sz w:val="24"/>
                <w:szCs w:val="24"/>
                <w:lang w:val="en-US" w:eastAsia="zh-CN"/>
              </w:rPr>
              <w:t>表4-1</w:t>
            </w:r>
            <w:r>
              <w:rPr>
                <w:rFonts w:hint="default" w:ascii="Times New Roman" w:hAnsi="Times New Roman" w:cs="Times New Roman"/>
                <w:color w:val="auto"/>
                <w:sz w:val="24"/>
                <w:szCs w:val="24"/>
                <w:lang w:val="en-US" w:eastAsia="zh-CN"/>
              </w:rPr>
              <w:t>1</w:t>
            </w:r>
            <w:r>
              <w:rPr>
                <w:rFonts w:hint="default" w:ascii="Times New Roman" w:hAnsi="Times New Roman" w:eastAsia="宋体" w:cs="Times New Roman"/>
                <w:color w:val="auto"/>
                <w:sz w:val="24"/>
                <w:szCs w:val="24"/>
              </w:rPr>
              <w:t>。</w:t>
            </w:r>
          </w:p>
          <w:p w14:paraId="36D1765D">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表4-</w:t>
            </w:r>
            <w:r>
              <w:rPr>
                <w:rFonts w:hint="default" w:ascii="Times New Roman" w:hAnsi="Times New Roman" w:eastAsia="宋体" w:cs="Times New Roman"/>
                <w:b/>
                <w:color w:val="auto"/>
                <w:sz w:val="21"/>
                <w:szCs w:val="21"/>
                <w:lang w:val="en-US" w:eastAsia="zh-CN"/>
              </w:rPr>
              <w:t>1</w:t>
            </w:r>
            <w:r>
              <w:rPr>
                <w:rFonts w:hint="default" w:ascii="Times New Roman" w:hAnsi="Times New Roman" w:cs="Times New Roman"/>
                <w:b/>
                <w:color w:val="auto"/>
                <w:sz w:val="21"/>
                <w:szCs w:val="21"/>
                <w:lang w:val="en-US" w:eastAsia="zh-CN"/>
              </w:rPr>
              <w:t>1</w:t>
            </w:r>
            <w:r>
              <w:rPr>
                <w:rFonts w:hint="default" w:ascii="Times New Roman" w:hAnsi="Times New Roman" w:eastAsia="宋体" w:cs="Times New Roman"/>
                <w:b/>
                <w:color w:val="auto"/>
                <w:sz w:val="21"/>
                <w:szCs w:val="21"/>
              </w:rPr>
              <w:t>厂界噪声预测结果与达标分析表</w:t>
            </w:r>
          </w:p>
          <w:tbl>
            <w:tblPr>
              <w:tblStyle w:val="32"/>
              <w:tblW w:w="8077" w:type="dxa"/>
              <w:tblInd w:w="-3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49"/>
              <w:gridCol w:w="1725"/>
              <w:gridCol w:w="1149"/>
              <w:gridCol w:w="1149"/>
              <w:gridCol w:w="1756"/>
              <w:gridCol w:w="1149"/>
            </w:tblGrid>
            <w:tr w14:paraId="06CF0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trPr>
              <w:tc>
                <w:tcPr>
                  <w:tcW w:w="2874" w:type="dxa"/>
                  <w:gridSpan w:val="2"/>
                  <w:tcBorders>
                    <w:top w:val="single" w:color="000000" w:sz="12" w:space="0"/>
                    <w:left w:val="single" w:color="000000" w:sz="12" w:space="0"/>
                    <w:bottom w:val="single" w:color="000000" w:sz="8" w:space="0"/>
                    <w:right w:val="single" w:color="000000" w:sz="8" w:space="0"/>
                  </w:tcBorders>
                  <w:shd w:val="clear" w:color="auto" w:fill="auto"/>
                  <w:vAlign w:val="center"/>
                </w:tcPr>
                <w:p w14:paraId="7169D67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厂界线预测点</w:t>
                  </w:r>
                </w:p>
              </w:tc>
              <w:tc>
                <w:tcPr>
                  <w:tcW w:w="1149" w:type="dxa"/>
                  <w:tcBorders>
                    <w:top w:val="single" w:color="000000" w:sz="12" w:space="0"/>
                    <w:left w:val="single" w:color="000000" w:sz="8" w:space="0"/>
                    <w:bottom w:val="single" w:color="000000" w:sz="8" w:space="0"/>
                    <w:right w:val="single" w:color="000000" w:sz="8" w:space="0"/>
                  </w:tcBorders>
                  <w:shd w:val="clear" w:color="auto" w:fill="auto"/>
                  <w:vAlign w:val="center"/>
                </w:tcPr>
                <w:p w14:paraId="39799B7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厂界东侧</w:t>
                  </w:r>
                </w:p>
              </w:tc>
              <w:tc>
                <w:tcPr>
                  <w:tcW w:w="1149" w:type="dxa"/>
                  <w:tcBorders>
                    <w:top w:val="single" w:color="000000" w:sz="12" w:space="0"/>
                    <w:left w:val="single" w:color="000000" w:sz="8" w:space="0"/>
                    <w:bottom w:val="single" w:color="000000" w:sz="8" w:space="0"/>
                    <w:right w:val="single" w:color="000000" w:sz="8" w:space="0"/>
                  </w:tcBorders>
                  <w:shd w:val="clear" w:color="auto" w:fill="auto"/>
                  <w:vAlign w:val="center"/>
                </w:tcPr>
                <w:p w14:paraId="2A2D7B5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厂界南侧</w:t>
                  </w:r>
                </w:p>
              </w:tc>
              <w:tc>
                <w:tcPr>
                  <w:tcW w:w="1756" w:type="dxa"/>
                  <w:tcBorders>
                    <w:top w:val="single" w:color="000000" w:sz="12" w:space="0"/>
                    <w:left w:val="single" w:color="000000" w:sz="8" w:space="0"/>
                    <w:bottom w:val="single" w:color="000000" w:sz="8" w:space="0"/>
                    <w:right w:val="single" w:color="000000" w:sz="8" w:space="0"/>
                  </w:tcBorders>
                  <w:shd w:val="clear" w:color="auto" w:fill="auto"/>
                  <w:vAlign w:val="center"/>
                </w:tcPr>
                <w:p w14:paraId="6376041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厂界西侧</w:t>
                  </w:r>
                </w:p>
              </w:tc>
              <w:tc>
                <w:tcPr>
                  <w:tcW w:w="1149" w:type="dxa"/>
                  <w:tcBorders>
                    <w:top w:val="single" w:color="000000" w:sz="12" w:space="0"/>
                    <w:left w:val="single" w:color="000000" w:sz="8" w:space="0"/>
                    <w:bottom w:val="single" w:color="000000" w:sz="8" w:space="0"/>
                    <w:right w:val="single" w:color="000000" w:sz="12" w:space="0"/>
                  </w:tcBorders>
                  <w:shd w:val="clear" w:color="auto" w:fill="auto"/>
                  <w:vAlign w:val="center"/>
                </w:tcPr>
                <w:p w14:paraId="45C231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厂界北侧</w:t>
                  </w:r>
                </w:p>
              </w:tc>
            </w:tr>
            <w:tr w14:paraId="63790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1" w:hRule="atLeast"/>
              </w:trPr>
              <w:tc>
                <w:tcPr>
                  <w:tcW w:w="1149" w:type="dxa"/>
                  <w:vMerge w:val="restart"/>
                  <w:tcBorders>
                    <w:top w:val="single" w:color="000000" w:sz="8" w:space="0"/>
                    <w:left w:val="single" w:color="000000" w:sz="12" w:space="0"/>
                    <w:bottom w:val="single" w:color="000000" w:sz="8" w:space="0"/>
                    <w:right w:val="single" w:color="000000" w:sz="8" w:space="0"/>
                  </w:tcBorders>
                  <w:shd w:val="clear" w:color="auto" w:fill="auto"/>
                  <w:vAlign w:val="center"/>
                </w:tcPr>
                <w:p w14:paraId="1B5576D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昼间</w:t>
                  </w:r>
                </w:p>
              </w:tc>
              <w:tc>
                <w:tcPr>
                  <w:tcW w:w="17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45F3A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贡献值</w:t>
                  </w:r>
                </w:p>
              </w:tc>
              <w:tc>
                <w:tcPr>
                  <w:tcW w:w="11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D882D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49</w:t>
                  </w:r>
                </w:p>
              </w:tc>
              <w:tc>
                <w:tcPr>
                  <w:tcW w:w="11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3840C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48</w:t>
                  </w:r>
                </w:p>
              </w:tc>
              <w:tc>
                <w:tcPr>
                  <w:tcW w:w="175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359D13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51</w:t>
                  </w:r>
                </w:p>
              </w:tc>
              <w:tc>
                <w:tcPr>
                  <w:tcW w:w="1149" w:type="dxa"/>
                  <w:tcBorders>
                    <w:top w:val="single" w:color="000000" w:sz="8" w:space="0"/>
                    <w:left w:val="single" w:color="000000" w:sz="8" w:space="0"/>
                    <w:bottom w:val="single" w:color="000000" w:sz="8" w:space="0"/>
                    <w:right w:val="single" w:color="000000" w:sz="12" w:space="0"/>
                  </w:tcBorders>
                  <w:shd w:val="clear" w:color="auto" w:fill="auto"/>
                  <w:vAlign w:val="center"/>
                </w:tcPr>
                <w:p w14:paraId="787C59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47</w:t>
                  </w:r>
                </w:p>
              </w:tc>
            </w:tr>
            <w:tr w14:paraId="540A5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 w:hRule="atLeast"/>
              </w:trPr>
              <w:tc>
                <w:tcPr>
                  <w:tcW w:w="1149" w:type="dxa"/>
                  <w:vMerge w:val="continue"/>
                  <w:tcBorders>
                    <w:top w:val="single" w:color="000000" w:sz="8" w:space="0"/>
                    <w:left w:val="single" w:color="000000" w:sz="12" w:space="0"/>
                    <w:bottom w:val="single" w:color="000000" w:sz="8" w:space="0"/>
                    <w:right w:val="single" w:color="000000" w:sz="8" w:space="0"/>
                  </w:tcBorders>
                  <w:shd w:val="clear" w:color="auto" w:fill="auto"/>
                  <w:vAlign w:val="center"/>
                </w:tcPr>
                <w:p w14:paraId="30C43013">
                  <w:pPr>
                    <w:jc w:val="center"/>
                    <w:rPr>
                      <w:rFonts w:hint="default" w:ascii="Times New Roman" w:hAnsi="Times New Roman" w:eastAsia="宋体" w:cs="Times New Roman"/>
                      <w:i w:val="0"/>
                      <w:iCs w:val="0"/>
                      <w:color w:val="auto"/>
                      <w:sz w:val="21"/>
                      <w:szCs w:val="21"/>
                      <w:u w:val="none"/>
                    </w:rPr>
                  </w:pPr>
                </w:p>
              </w:tc>
              <w:tc>
                <w:tcPr>
                  <w:tcW w:w="17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6DC873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标准值</w:t>
                  </w:r>
                </w:p>
              </w:tc>
              <w:tc>
                <w:tcPr>
                  <w:tcW w:w="11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2601F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65</w:t>
                  </w:r>
                </w:p>
              </w:tc>
              <w:tc>
                <w:tcPr>
                  <w:tcW w:w="11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B6837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65</w:t>
                  </w:r>
                </w:p>
              </w:tc>
              <w:tc>
                <w:tcPr>
                  <w:tcW w:w="175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DFD050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65</w:t>
                  </w:r>
                </w:p>
              </w:tc>
              <w:tc>
                <w:tcPr>
                  <w:tcW w:w="1149" w:type="dxa"/>
                  <w:tcBorders>
                    <w:top w:val="single" w:color="000000" w:sz="8" w:space="0"/>
                    <w:left w:val="single" w:color="000000" w:sz="8" w:space="0"/>
                    <w:bottom w:val="single" w:color="000000" w:sz="8" w:space="0"/>
                    <w:right w:val="single" w:color="000000" w:sz="12" w:space="0"/>
                  </w:tcBorders>
                  <w:shd w:val="clear" w:color="auto" w:fill="auto"/>
                  <w:vAlign w:val="center"/>
                </w:tcPr>
                <w:p w14:paraId="2F83E03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65</w:t>
                  </w:r>
                </w:p>
              </w:tc>
            </w:tr>
            <w:tr w14:paraId="051FD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 w:hRule="atLeast"/>
              </w:trPr>
              <w:tc>
                <w:tcPr>
                  <w:tcW w:w="1149" w:type="dxa"/>
                  <w:vMerge w:val="continue"/>
                  <w:tcBorders>
                    <w:top w:val="single" w:color="000000" w:sz="8" w:space="0"/>
                    <w:left w:val="single" w:color="000000" w:sz="12" w:space="0"/>
                    <w:bottom w:val="single" w:color="000000" w:sz="8" w:space="0"/>
                    <w:right w:val="single" w:color="000000" w:sz="8" w:space="0"/>
                  </w:tcBorders>
                  <w:shd w:val="clear" w:color="auto" w:fill="auto"/>
                  <w:vAlign w:val="center"/>
                </w:tcPr>
                <w:p w14:paraId="4A7687F8">
                  <w:pPr>
                    <w:jc w:val="center"/>
                    <w:rPr>
                      <w:rFonts w:hint="default" w:ascii="Times New Roman" w:hAnsi="Times New Roman" w:eastAsia="宋体" w:cs="Times New Roman"/>
                      <w:i w:val="0"/>
                      <w:iCs w:val="0"/>
                      <w:color w:val="auto"/>
                      <w:sz w:val="21"/>
                      <w:szCs w:val="21"/>
                      <w:u w:val="none"/>
                    </w:rPr>
                  </w:pPr>
                </w:p>
              </w:tc>
              <w:tc>
                <w:tcPr>
                  <w:tcW w:w="17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D62F3A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达标情况</w:t>
                  </w:r>
                </w:p>
              </w:tc>
              <w:tc>
                <w:tcPr>
                  <w:tcW w:w="11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046F38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11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74FD92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175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B89A97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1149" w:type="dxa"/>
                  <w:tcBorders>
                    <w:top w:val="single" w:color="000000" w:sz="8" w:space="0"/>
                    <w:left w:val="single" w:color="000000" w:sz="8" w:space="0"/>
                    <w:bottom w:val="single" w:color="000000" w:sz="8" w:space="0"/>
                    <w:right w:val="single" w:color="000000" w:sz="12" w:space="0"/>
                  </w:tcBorders>
                  <w:shd w:val="clear" w:color="auto" w:fill="auto"/>
                  <w:vAlign w:val="center"/>
                </w:tcPr>
                <w:p w14:paraId="231057D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r>
            <w:tr w14:paraId="467E8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1" w:hRule="atLeast"/>
              </w:trPr>
              <w:tc>
                <w:tcPr>
                  <w:tcW w:w="1149" w:type="dxa"/>
                  <w:vMerge w:val="restart"/>
                  <w:tcBorders>
                    <w:top w:val="single" w:color="000000" w:sz="8" w:space="0"/>
                    <w:left w:val="single" w:color="000000" w:sz="12" w:space="0"/>
                    <w:bottom w:val="single" w:color="000000" w:sz="12" w:space="0"/>
                    <w:right w:val="single" w:color="000000" w:sz="8" w:space="0"/>
                  </w:tcBorders>
                  <w:shd w:val="clear" w:color="auto" w:fill="auto"/>
                  <w:vAlign w:val="center"/>
                </w:tcPr>
                <w:p w14:paraId="78FDB2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夜间</w:t>
                  </w:r>
                </w:p>
              </w:tc>
              <w:tc>
                <w:tcPr>
                  <w:tcW w:w="17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6400DB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贡献值</w:t>
                  </w:r>
                </w:p>
              </w:tc>
              <w:tc>
                <w:tcPr>
                  <w:tcW w:w="11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349C5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49</w:t>
                  </w:r>
                </w:p>
              </w:tc>
              <w:tc>
                <w:tcPr>
                  <w:tcW w:w="11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A5267A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48</w:t>
                  </w:r>
                </w:p>
              </w:tc>
              <w:tc>
                <w:tcPr>
                  <w:tcW w:w="175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489E89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51</w:t>
                  </w:r>
                </w:p>
              </w:tc>
              <w:tc>
                <w:tcPr>
                  <w:tcW w:w="1149" w:type="dxa"/>
                  <w:tcBorders>
                    <w:top w:val="single" w:color="000000" w:sz="8" w:space="0"/>
                    <w:left w:val="single" w:color="000000" w:sz="8" w:space="0"/>
                    <w:bottom w:val="single" w:color="000000" w:sz="8" w:space="0"/>
                    <w:right w:val="single" w:color="000000" w:sz="12" w:space="0"/>
                  </w:tcBorders>
                  <w:shd w:val="clear" w:color="auto" w:fill="auto"/>
                  <w:vAlign w:val="center"/>
                </w:tcPr>
                <w:p w14:paraId="79EF795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47</w:t>
                  </w:r>
                </w:p>
              </w:tc>
            </w:tr>
            <w:tr w14:paraId="41C54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1149" w:type="dxa"/>
                  <w:vMerge w:val="continue"/>
                  <w:tcBorders>
                    <w:top w:val="single" w:color="000000" w:sz="8" w:space="0"/>
                    <w:left w:val="single" w:color="000000" w:sz="12" w:space="0"/>
                    <w:bottom w:val="single" w:color="000000" w:sz="12" w:space="0"/>
                    <w:right w:val="single" w:color="000000" w:sz="8" w:space="0"/>
                  </w:tcBorders>
                  <w:shd w:val="clear" w:color="auto" w:fill="auto"/>
                  <w:vAlign w:val="center"/>
                </w:tcPr>
                <w:p w14:paraId="39BA5DCF">
                  <w:pPr>
                    <w:jc w:val="center"/>
                    <w:rPr>
                      <w:rFonts w:hint="default" w:ascii="Times New Roman" w:hAnsi="Times New Roman" w:eastAsia="宋体" w:cs="Times New Roman"/>
                      <w:i w:val="0"/>
                      <w:iCs w:val="0"/>
                      <w:color w:val="auto"/>
                      <w:sz w:val="21"/>
                      <w:szCs w:val="21"/>
                      <w:u w:val="none"/>
                    </w:rPr>
                  </w:pPr>
                </w:p>
              </w:tc>
              <w:tc>
                <w:tcPr>
                  <w:tcW w:w="172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0ECD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标准值</w:t>
                  </w:r>
                </w:p>
              </w:tc>
              <w:tc>
                <w:tcPr>
                  <w:tcW w:w="11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81094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55</w:t>
                  </w:r>
                </w:p>
              </w:tc>
              <w:tc>
                <w:tcPr>
                  <w:tcW w:w="114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BFD25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55</w:t>
                  </w:r>
                </w:p>
              </w:tc>
              <w:tc>
                <w:tcPr>
                  <w:tcW w:w="175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7CE679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55</w:t>
                  </w:r>
                </w:p>
              </w:tc>
              <w:tc>
                <w:tcPr>
                  <w:tcW w:w="1149" w:type="dxa"/>
                  <w:tcBorders>
                    <w:top w:val="single" w:color="000000" w:sz="8" w:space="0"/>
                    <w:left w:val="single" w:color="000000" w:sz="8" w:space="0"/>
                    <w:bottom w:val="single" w:color="000000" w:sz="8" w:space="0"/>
                    <w:right w:val="single" w:color="000000" w:sz="12" w:space="0"/>
                  </w:tcBorders>
                  <w:shd w:val="clear" w:color="auto" w:fill="auto"/>
                  <w:vAlign w:val="center"/>
                </w:tcPr>
                <w:p w14:paraId="3932CF3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55</w:t>
                  </w:r>
                </w:p>
              </w:tc>
            </w:tr>
            <w:tr w14:paraId="04C75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1" w:hRule="atLeast"/>
              </w:trPr>
              <w:tc>
                <w:tcPr>
                  <w:tcW w:w="1149" w:type="dxa"/>
                  <w:vMerge w:val="continue"/>
                  <w:tcBorders>
                    <w:top w:val="single" w:color="000000" w:sz="8" w:space="0"/>
                    <w:left w:val="single" w:color="000000" w:sz="12" w:space="0"/>
                    <w:bottom w:val="single" w:color="000000" w:sz="12" w:space="0"/>
                    <w:right w:val="single" w:color="000000" w:sz="8" w:space="0"/>
                  </w:tcBorders>
                  <w:shd w:val="clear" w:color="auto" w:fill="auto"/>
                  <w:vAlign w:val="center"/>
                </w:tcPr>
                <w:p w14:paraId="2C64676A">
                  <w:pPr>
                    <w:jc w:val="center"/>
                    <w:rPr>
                      <w:rFonts w:hint="default" w:ascii="Times New Roman" w:hAnsi="Times New Roman" w:eastAsia="宋体" w:cs="Times New Roman"/>
                      <w:i w:val="0"/>
                      <w:iCs w:val="0"/>
                      <w:color w:val="auto"/>
                      <w:sz w:val="21"/>
                      <w:szCs w:val="21"/>
                      <w:u w:val="none"/>
                    </w:rPr>
                  </w:pPr>
                </w:p>
              </w:tc>
              <w:tc>
                <w:tcPr>
                  <w:tcW w:w="1725" w:type="dxa"/>
                  <w:tcBorders>
                    <w:top w:val="single" w:color="000000" w:sz="8" w:space="0"/>
                    <w:left w:val="single" w:color="000000" w:sz="8" w:space="0"/>
                    <w:bottom w:val="single" w:color="000000" w:sz="12" w:space="0"/>
                    <w:right w:val="single" w:color="000000" w:sz="8" w:space="0"/>
                  </w:tcBorders>
                  <w:shd w:val="clear" w:color="auto" w:fill="auto"/>
                  <w:vAlign w:val="center"/>
                </w:tcPr>
                <w:p w14:paraId="7840518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达标情况</w:t>
                  </w:r>
                </w:p>
              </w:tc>
              <w:tc>
                <w:tcPr>
                  <w:tcW w:w="1149" w:type="dxa"/>
                  <w:tcBorders>
                    <w:top w:val="single" w:color="000000" w:sz="8" w:space="0"/>
                    <w:left w:val="single" w:color="000000" w:sz="8" w:space="0"/>
                    <w:bottom w:val="single" w:color="000000" w:sz="12" w:space="0"/>
                    <w:right w:val="single" w:color="000000" w:sz="8" w:space="0"/>
                  </w:tcBorders>
                  <w:shd w:val="clear" w:color="auto" w:fill="auto"/>
                  <w:vAlign w:val="center"/>
                </w:tcPr>
                <w:p w14:paraId="6D984F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1149" w:type="dxa"/>
                  <w:tcBorders>
                    <w:top w:val="single" w:color="000000" w:sz="8" w:space="0"/>
                    <w:left w:val="single" w:color="000000" w:sz="8" w:space="0"/>
                    <w:bottom w:val="single" w:color="000000" w:sz="12" w:space="0"/>
                    <w:right w:val="single" w:color="000000" w:sz="8" w:space="0"/>
                  </w:tcBorders>
                  <w:shd w:val="clear" w:color="auto" w:fill="auto"/>
                  <w:vAlign w:val="center"/>
                </w:tcPr>
                <w:p w14:paraId="363DA1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1756" w:type="dxa"/>
                  <w:tcBorders>
                    <w:top w:val="single" w:color="000000" w:sz="8" w:space="0"/>
                    <w:left w:val="single" w:color="000000" w:sz="8" w:space="0"/>
                    <w:bottom w:val="single" w:color="000000" w:sz="12" w:space="0"/>
                    <w:right w:val="single" w:color="000000" w:sz="8" w:space="0"/>
                  </w:tcBorders>
                  <w:shd w:val="clear" w:color="auto" w:fill="auto"/>
                  <w:vAlign w:val="center"/>
                </w:tcPr>
                <w:p w14:paraId="5463311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c>
                <w:tcPr>
                  <w:tcW w:w="1149" w:type="dxa"/>
                  <w:tcBorders>
                    <w:top w:val="single" w:color="000000" w:sz="8" w:space="0"/>
                    <w:left w:val="single" w:color="000000" w:sz="8" w:space="0"/>
                    <w:bottom w:val="single" w:color="000000" w:sz="12" w:space="0"/>
                    <w:right w:val="single" w:color="000000" w:sz="12" w:space="0"/>
                  </w:tcBorders>
                  <w:shd w:val="clear" w:color="auto" w:fill="auto"/>
                  <w:vAlign w:val="center"/>
                </w:tcPr>
                <w:p w14:paraId="7F7A5B7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达标</w:t>
                  </w:r>
                </w:p>
              </w:tc>
            </w:tr>
          </w:tbl>
          <w:p w14:paraId="2832421C">
            <w:pPr>
              <w:pStyle w:val="103"/>
              <w:keepNext w:val="0"/>
              <w:keepLines w:val="0"/>
              <w:pageBreakBefore w:val="0"/>
              <w:widowControl w:val="0"/>
              <w:kinsoku/>
              <w:wordWrap/>
              <w:overflowPunct/>
              <w:topLinePunct w:val="0"/>
              <w:autoSpaceDE/>
              <w:autoSpaceDN/>
              <w:bidi w:val="0"/>
              <w:adjustRightInd/>
              <w:snapToGrid/>
              <w:spacing w:before="156" w:beforeLines="50" w:line="360" w:lineRule="auto"/>
              <w:ind w:firstLine="42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由</w:t>
            </w:r>
            <w:r>
              <w:rPr>
                <w:rFonts w:hint="default" w:ascii="Times New Roman" w:hAnsi="Times New Roman" w:eastAsia="宋体" w:cs="Times New Roman"/>
                <w:color w:val="auto"/>
                <w:sz w:val="24"/>
                <w:szCs w:val="24"/>
                <w:lang w:val="en-US" w:eastAsia="zh-CN"/>
              </w:rPr>
              <w:t>上表</w:t>
            </w:r>
            <w:r>
              <w:rPr>
                <w:rFonts w:hint="default" w:ascii="Times New Roman" w:hAnsi="Times New Roman" w:eastAsia="宋体" w:cs="Times New Roman"/>
                <w:color w:val="auto"/>
                <w:sz w:val="24"/>
                <w:szCs w:val="24"/>
              </w:rPr>
              <w:t>可知，</w:t>
            </w:r>
            <w:r>
              <w:rPr>
                <w:rFonts w:hint="default" w:ascii="Times New Roman" w:hAnsi="Times New Roman" w:cs="Times New Roman"/>
                <w:color w:val="auto"/>
                <w:sz w:val="24"/>
                <w:szCs w:val="24"/>
                <w:lang w:val="en-US" w:eastAsia="zh-CN"/>
              </w:rPr>
              <w:t>本项目设备运行期间</w:t>
            </w:r>
            <w:r>
              <w:rPr>
                <w:rFonts w:hint="default" w:ascii="Times New Roman" w:hAnsi="Times New Roman" w:eastAsia="宋体" w:cs="Times New Roman"/>
                <w:color w:val="auto"/>
                <w:sz w:val="24"/>
                <w:szCs w:val="24"/>
              </w:rPr>
              <w:t>噪声</w:t>
            </w:r>
            <w:r>
              <w:rPr>
                <w:rFonts w:hint="default" w:ascii="Times New Roman" w:hAnsi="Times New Roman" w:eastAsia="宋体" w:cs="Times New Roman"/>
                <w:color w:val="auto"/>
                <w:sz w:val="24"/>
                <w:szCs w:val="24"/>
                <w:lang w:val="en-US" w:eastAsia="zh-CN"/>
              </w:rPr>
              <w:t>厂界</w:t>
            </w:r>
            <w:r>
              <w:rPr>
                <w:rFonts w:hint="default" w:ascii="Times New Roman" w:hAnsi="Times New Roman" w:eastAsia="宋体" w:cs="Times New Roman"/>
                <w:color w:val="auto"/>
                <w:sz w:val="24"/>
                <w:szCs w:val="24"/>
              </w:rPr>
              <w:t>预测值在</w:t>
            </w:r>
            <w:r>
              <w:rPr>
                <w:rFonts w:hint="default" w:ascii="Times New Roman" w:hAnsi="Times New Roman" w:cs="Times New Roman"/>
                <w:color w:val="auto"/>
                <w:sz w:val="24"/>
                <w:szCs w:val="24"/>
                <w:lang w:val="en-US" w:eastAsia="zh-CN"/>
              </w:rPr>
              <w:t>47</w:t>
            </w:r>
            <w:r>
              <w:rPr>
                <w:rFonts w:hint="default" w:ascii="Times New Roman" w:hAnsi="Times New Roman" w:eastAsia="宋体" w:cs="Times New Roman"/>
                <w:color w:val="auto"/>
                <w:sz w:val="24"/>
                <w:szCs w:val="24"/>
              </w:rPr>
              <w:t>dB（A）~</w:t>
            </w:r>
            <w:r>
              <w:rPr>
                <w:rFonts w:hint="default" w:ascii="Times New Roman" w:hAnsi="Times New Roman" w:cs="Times New Roman"/>
                <w:color w:val="auto"/>
                <w:sz w:val="24"/>
                <w:szCs w:val="24"/>
                <w:lang w:val="en-US" w:eastAsia="zh-CN"/>
              </w:rPr>
              <w:t>51</w:t>
            </w:r>
            <w:r>
              <w:rPr>
                <w:rFonts w:hint="default" w:ascii="Times New Roman" w:hAnsi="Times New Roman" w:eastAsia="宋体" w:cs="Times New Roman"/>
                <w:color w:val="auto"/>
                <w:sz w:val="24"/>
                <w:szCs w:val="24"/>
              </w:rPr>
              <w:t>B（A）之间，满足《工业企业厂界环境噪声排放标准》（GB12348-2008）</w:t>
            </w:r>
            <w:r>
              <w:rPr>
                <w:rFonts w:hint="default" w:ascii="Times New Roman" w:hAnsi="Times New Roman" w:cs="Times New Roman"/>
                <w:color w:val="auto"/>
                <w:sz w:val="24"/>
                <w:szCs w:val="24"/>
                <w:lang w:val="en-US" w:eastAsia="zh-CN"/>
              </w:rPr>
              <w:t>3</w:t>
            </w:r>
            <w:r>
              <w:rPr>
                <w:rFonts w:hint="default" w:ascii="Times New Roman" w:hAnsi="Times New Roman" w:eastAsia="宋体" w:cs="Times New Roman"/>
                <w:color w:val="auto"/>
                <w:sz w:val="24"/>
                <w:szCs w:val="24"/>
              </w:rPr>
              <w:t>类标准昼间要求</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lang w:val="en-US" w:eastAsia="zh-CN" w:bidi="ar-SA"/>
              </w:rPr>
              <w:t>昼间≤</w:t>
            </w:r>
            <w:r>
              <w:rPr>
                <w:rFonts w:hint="default" w:ascii="Times New Roman" w:hAnsi="Times New Roman" w:cs="Times New Roman"/>
                <w:color w:val="auto"/>
                <w:kern w:val="0"/>
                <w:sz w:val="24"/>
                <w:szCs w:val="24"/>
                <w:lang w:val="en-US" w:eastAsia="zh-CN" w:bidi="ar-SA"/>
              </w:rPr>
              <w:t>65</w:t>
            </w:r>
            <w:r>
              <w:rPr>
                <w:rFonts w:hint="default" w:ascii="Times New Roman" w:hAnsi="Times New Roman" w:eastAsia="宋体" w:cs="Times New Roman"/>
                <w:color w:val="auto"/>
                <w:kern w:val="0"/>
                <w:sz w:val="24"/>
                <w:szCs w:val="24"/>
                <w:lang w:val="en-US" w:eastAsia="zh-CN" w:bidi="ar-SA"/>
              </w:rPr>
              <w:t>dB（A）；夜间≤</w:t>
            </w:r>
            <w:r>
              <w:rPr>
                <w:rFonts w:hint="default" w:ascii="Times New Roman" w:hAnsi="Times New Roman" w:cs="Times New Roman"/>
                <w:color w:val="auto"/>
                <w:kern w:val="0"/>
                <w:sz w:val="24"/>
                <w:szCs w:val="24"/>
                <w:lang w:val="en-US" w:eastAsia="zh-CN" w:bidi="ar-SA"/>
              </w:rPr>
              <w:t>55</w:t>
            </w:r>
            <w:r>
              <w:rPr>
                <w:rFonts w:hint="default" w:ascii="Times New Roman" w:hAnsi="Times New Roman" w:eastAsia="宋体" w:cs="Times New Roman"/>
                <w:color w:val="auto"/>
                <w:kern w:val="0"/>
                <w:sz w:val="24"/>
                <w:szCs w:val="24"/>
                <w:lang w:val="en-US" w:eastAsia="zh-CN" w:bidi="ar-SA"/>
              </w:rPr>
              <w:t>dB（A）</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w:t>
            </w:r>
          </w:p>
          <w:p w14:paraId="0DE46BC2">
            <w:pPr>
              <w:topLinePunct/>
              <w:spacing w:line="360" w:lineRule="auto"/>
              <w:rPr>
                <w:rFonts w:hint="default" w:ascii="Times New Roman" w:hAnsi="Times New Roman" w:eastAsia="宋体" w:cs="Times New Roman"/>
                <w:b/>
                <w:color w:val="auto"/>
                <w:spacing w:val="0"/>
                <w:kern w:val="2"/>
                <w:sz w:val="24"/>
                <w:szCs w:val="24"/>
                <w:lang w:val="en-US" w:eastAsia="zh-CN" w:bidi="ar-SA"/>
              </w:rPr>
            </w:pPr>
            <w:r>
              <w:rPr>
                <w:rFonts w:hint="default" w:ascii="Times New Roman" w:hAnsi="Times New Roman" w:cs="Times New Roman"/>
                <w:b/>
                <w:bCs/>
                <w:color w:val="auto"/>
                <w:spacing w:val="0"/>
                <w:sz w:val="24"/>
                <w:szCs w:val="24"/>
                <w:lang w:val="en-US" w:eastAsia="zh-CN"/>
              </w:rPr>
              <w:t>2.3.4</w:t>
            </w:r>
            <w:r>
              <w:rPr>
                <w:rFonts w:hint="default" w:ascii="Times New Roman" w:hAnsi="Times New Roman" w:eastAsia="宋体" w:cs="Times New Roman"/>
                <w:b/>
                <w:color w:val="auto"/>
                <w:spacing w:val="0"/>
                <w:kern w:val="2"/>
                <w:sz w:val="24"/>
                <w:szCs w:val="24"/>
                <w:lang w:val="en-US" w:eastAsia="zh-CN" w:bidi="ar-SA"/>
              </w:rPr>
              <w:t>噪声防治措施</w:t>
            </w:r>
          </w:p>
          <w:p w14:paraId="70E89B65">
            <w:pPr>
              <w:keepNext w:val="0"/>
              <w:keepLines w:val="0"/>
              <w:pageBreakBefore w:val="0"/>
              <w:widowControl/>
              <w:suppressLineNumbers w:val="0"/>
              <w:kinsoku/>
              <w:wordWrap/>
              <w:overflowPunct/>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kern w:val="2"/>
                <w:sz w:val="24"/>
                <w:szCs w:val="24"/>
                <w:lang w:val="en-US" w:eastAsia="zh-CN" w:bidi="ar-SA"/>
              </w:rPr>
              <w:t>为进一步减小噪声对声环境和工作人员的影响，环评要求建设单位采取以下噪声防治措施：选用低噪声设备，对高噪音设备减振弹性垫层铺设，在设备底座与基础之间加装减振垫/减振器，利用墙体阻隔衰减，确保厂界噪声达标。通过采取上述措施后，本项目产生的噪声达标排放</w:t>
            </w:r>
            <w:r>
              <w:rPr>
                <w:rFonts w:hint="default" w:ascii="Times New Roman" w:hAnsi="Times New Roman" w:cs="Times New Roman"/>
                <w:color w:val="auto"/>
                <w:kern w:val="2"/>
                <w:sz w:val="24"/>
                <w:szCs w:val="24"/>
                <w:lang w:val="en-US" w:eastAsia="zh-CN" w:bidi="ar-SA"/>
              </w:rPr>
              <w:t>，</w:t>
            </w:r>
            <w:r>
              <w:rPr>
                <w:rFonts w:hint="default" w:ascii="Times New Roman" w:hAnsi="Times New Roman" w:eastAsia="宋体" w:cs="Times New Roman"/>
                <w:color w:val="auto"/>
                <w:kern w:val="2"/>
                <w:sz w:val="24"/>
                <w:szCs w:val="24"/>
                <w:lang w:val="en-US" w:eastAsia="zh-CN" w:bidi="ar-SA"/>
              </w:rPr>
              <w:t>对周边环境影响和工作人员较小。</w:t>
            </w:r>
          </w:p>
          <w:p w14:paraId="0EF6AAA2">
            <w:pPr>
              <w:spacing w:line="360" w:lineRule="auto"/>
              <w:rPr>
                <w:rFonts w:hint="default" w:ascii="Times New Roman" w:hAnsi="Times New Roman" w:eastAsia="宋体" w:cs="Times New Roman"/>
                <w:b/>
                <w:color w:val="auto"/>
                <w:spacing w:val="0"/>
                <w:kern w:val="2"/>
                <w:sz w:val="24"/>
                <w:szCs w:val="24"/>
                <w:lang w:val="en-US" w:eastAsia="zh-CN" w:bidi="ar-SA"/>
              </w:rPr>
            </w:pPr>
            <w:r>
              <w:rPr>
                <w:rFonts w:hint="default" w:ascii="Times New Roman" w:hAnsi="Times New Roman" w:cs="Times New Roman"/>
                <w:b/>
                <w:bCs/>
                <w:color w:val="auto"/>
                <w:spacing w:val="0"/>
                <w:sz w:val="24"/>
                <w:szCs w:val="24"/>
                <w:lang w:val="en-US" w:eastAsia="zh-CN"/>
              </w:rPr>
              <w:t>2.3.5</w:t>
            </w:r>
            <w:r>
              <w:rPr>
                <w:rFonts w:hint="default" w:ascii="Times New Roman" w:hAnsi="Times New Roman" w:eastAsia="宋体" w:cs="Times New Roman"/>
                <w:b/>
                <w:color w:val="auto"/>
                <w:spacing w:val="0"/>
                <w:kern w:val="2"/>
                <w:sz w:val="24"/>
                <w:szCs w:val="24"/>
                <w:lang w:val="en-US" w:eastAsia="zh-CN" w:bidi="ar-SA"/>
              </w:rPr>
              <w:t>噪声监测计划</w:t>
            </w:r>
          </w:p>
          <w:p w14:paraId="47BF37A6">
            <w:pPr>
              <w:pStyle w:val="109"/>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color w:val="auto"/>
                <w:kern w:val="2"/>
                <w:sz w:val="24"/>
                <w:szCs w:val="24"/>
                <w:lang w:val="en-US" w:eastAsia="zh-CN" w:bidi="ar-SA"/>
              </w:rPr>
              <w:t>根据《排污单位自行监测技术指南总则》（HJ819-2017）和《排污单位自行监测技术指南火力发电及锅炉》（HJ820-2017），本项目噪声监测要求见表4-1</w:t>
            </w:r>
            <w:r>
              <w:rPr>
                <w:rFonts w:hint="default" w:ascii="Times New Roman" w:hAnsi="Times New Roman" w:cs="Times New Roman"/>
                <w:color w:val="auto"/>
                <w:kern w:val="2"/>
                <w:sz w:val="24"/>
                <w:szCs w:val="24"/>
                <w:lang w:val="en-US" w:eastAsia="zh-CN" w:bidi="ar-SA"/>
              </w:rPr>
              <w:t>2</w:t>
            </w:r>
            <w:r>
              <w:rPr>
                <w:rFonts w:hint="default" w:ascii="Times New Roman" w:hAnsi="Times New Roman" w:eastAsia="宋体" w:cs="Times New Roman"/>
                <w:color w:val="auto"/>
                <w:kern w:val="2"/>
                <w:sz w:val="24"/>
                <w:szCs w:val="24"/>
                <w:lang w:val="en-US" w:eastAsia="zh-CN" w:bidi="ar-SA"/>
              </w:rPr>
              <w:t>。</w:t>
            </w:r>
          </w:p>
          <w:p w14:paraId="2DEF355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rPr>
              <w:t>表4-</w:t>
            </w:r>
            <w:r>
              <w:rPr>
                <w:rFonts w:hint="default" w:ascii="Times New Roman" w:hAnsi="Times New Roman" w:eastAsia="宋体" w:cs="Times New Roman"/>
                <w:b/>
                <w:color w:val="auto"/>
                <w:sz w:val="21"/>
                <w:szCs w:val="21"/>
                <w:lang w:val="en-US" w:eastAsia="zh-CN"/>
              </w:rPr>
              <w:t>1</w:t>
            </w:r>
            <w:r>
              <w:rPr>
                <w:rFonts w:hint="default" w:ascii="Times New Roman" w:hAnsi="Times New Roman" w:cs="Times New Roman"/>
                <w:b/>
                <w:color w:val="auto"/>
                <w:sz w:val="21"/>
                <w:szCs w:val="21"/>
                <w:lang w:val="en-US" w:eastAsia="zh-CN"/>
              </w:rPr>
              <w:t>2</w:t>
            </w:r>
            <w:r>
              <w:rPr>
                <w:rFonts w:hint="default" w:ascii="Times New Roman" w:hAnsi="Times New Roman" w:eastAsia="宋体" w:cs="Times New Roman"/>
                <w:b/>
                <w:color w:val="auto"/>
                <w:sz w:val="21"/>
                <w:szCs w:val="21"/>
              </w:rPr>
              <w:t>噪声监测要求一览表</w:t>
            </w:r>
          </w:p>
          <w:tbl>
            <w:tblPr>
              <w:tblStyle w:val="32"/>
              <w:tblW w:w="803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53"/>
              <w:gridCol w:w="1272"/>
              <w:gridCol w:w="1106"/>
              <w:gridCol w:w="4208"/>
            </w:tblGrid>
            <w:tr w14:paraId="49B6F1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92" w:hRule="atLeast"/>
                <w:jc w:val="center"/>
              </w:trPr>
              <w:tc>
                <w:tcPr>
                  <w:tcW w:w="903" w:type="pct"/>
                  <w:noWrap w:val="0"/>
                  <w:vAlign w:val="center"/>
                </w:tcPr>
                <w:p w14:paraId="58E9E184">
                  <w:pPr>
                    <w:topLinePunct/>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监测对象</w:t>
                  </w:r>
                </w:p>
              </w:tc>
              <w:tc>
                <w:tcPr>
                  <w:tcW w:w="791" w:type="pct"/>
                  <w:noWrap w:val="0"/>
                  <w:vAlign w:val="center"/>
                </w:tcPr>
                <w:p w14:paraId="5304478C">
                  <w:pPr>
                    <w:topLinePunct/>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监测因子</w:t>
                  </w:r>
                </w:p>
              </w:tc>
              <w:tc>
                <w:tcPr>
                  <w:tcW w:w="687" w:type="pct"/>
                  <w:noWrap w:val="0"/>
                  <w:vAlign w:val="center"/>
                </w:tcPr>
                <w:p w14:paraId="66FBCD0A">
                  <w:pPr>
                    <w:topLinePunct/>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监测频次</w:t>
                  </w:r>
                </w:p>
              </w:tc>
              <w:tc>
                <w:tcPr>
                  <w:tcW w:w="2617" w:type="pct"/>
                  <w:noWrap w:val="0"/>
                  <w:vAlign w:val="center"/>
                </w:tcPr>
                <w:p w14:paraId="7156F768">
                  <w:pPr>
                    <w:topLinePunct/>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执行标准</w:t>
                  </w:r>
                </w:p>
              </w:tc>
            </w:tr>
            <w:tr w14:paraId="129C4D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903" w:type="pct"/>
                  <w:noWrap w:val="0"/>
                  <w:vAlign w:val="center"/>
                </w:tcPr>
                <w:p w14:paraId="2A651470">
                  <w:pPr>
                    <w:topLinePun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厂区边界四周</w:t>
                  </w:r>
                  <w:r>
                    <w:rPr>
                      <w:rFonts w:hint="default" w:ascii="Times New Roman" w:hAnsi="Times New Roman" w:cs="Times New Roman"/>
                      <w:color w:val="auto"/>
                      <w:sz w:val="21"/>
                      <w:szCs w:val="21"/>
                      <w:lang w:val="en-US" w:eastAsia="zh-CN"/>
                    </w:rPr>
                    <w:t>1m处</w:t>
                  </w:r>
                </w:p>
              </w:tc>
              <w:tc>
                <w:tcPr>
                  <w:tcW w:w="791" w:type="pct"/>
                  <w:noWrap w:val="0"/>
                  <w:vAlign w:val="center"/>
                </w:tcPr>
                <w:p w14:paraId="21C57F77">
                  <w:pPr>
                    <w:topLinePun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等效连续A声级</w:t>
                  </w:r>
                </w:p>
              </w:tc>
              <w:tc>
                <w:tcPr>
                  <w:tcW w:w="687" w:type="pct"/>
                  <w:noWrap w:val="0"/>
                  <w:vAlign w:val="center"/>
                </w:tcPr>
                <w:p w14:paraId="37594946">
                  <w:pPr>
                    <w:topLinePun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1次/季度</w:t>
                  </w:r>
                </w:p>
              </w:tc>
              <w:tc>
                <w:tcPr>
                  <w:tcW w:w="2617" w:type="pct"/>
                  <w:noWrap w:val="0"/>
                  <w:vAlign w:val="center"/>
                </w:tcPr>
                <w:p w14:paraId="5E557129">
                  <w:pPr>
                    <w:topLinePunct/>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《工业企业厂界环境噪声排放标准》（GB12348-2008）</w:t>
                  </w:r>
                  <w:r>
                    <w:rPr>
                      <w:rFonts w:hint="default" w:ascii="Times New Roman" w:hAnsi="Times New Roman" w:cs="Times New Roman"/>
                      <w:color w:val="auto"/>
                      <w:sz w:val="21"/>
                      <w:szCs w:val="21"/>
                      <w:lang w:val="en-US" w:eastAsia="zh-CN"/>
                    </w:rPr>
                    <w:t>3</w:t>
                  </w:r>
                  <w:r>
                    <w:rPr>
                      <w:rFonts w:hint="default" w:ascii="Times New Roman" w:hAnsi="Times New Roman" w:eastAsia="宋体" w:cs="Times New Roman"/>
                      <w:color w:val="auto"/>
                      <w:sz w:val="21"/>
                      <w:szCs w:val="21"/>
                      <w:lang w:val="en-US" w:eastAsia="zh-CN"/>
                    </w:rPr>
                    <w:t>类标准昼间要求（昼间≤6</w:t>
                  </w:r>
                  <w:r>
                    <w:rPr>
                      <w:rFonts w:hint="default" w:ascii="Times New Roman" w:hAnsi="Times New Roman"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dB（A）；夜间≤5</w:t>
                  </w:r>
                  <w:r>
                    <w:rPr>
                      <w:rFonts w:hint="default" w:ascii="Times New Roman" w:hAnsi="Times New Roman" w:cs="Times New Roman"/>
                      <w:color w:val="auto"/>
                      <w:sz w:val="21"/>
                      <w:szCs w:val="21"/>
                      <w:lang w:val="en-US" w:eastAsia="zh-CN"/>
                    </w:rPr>
                    <w:t>5</w:t>
                  </w:r>
                  <w:r>
                    <w:rPr>
                      <w:rFonts w:hint="default" w:ascii="Times New Roman" w:hAnsi="Times New Roman" w:eastAsia="宋体" w:cs="Times New Roman"/>
                      <w:color w:val="auto"/>
                      <w:sz w:val="21"/>
                      <w:szCs w:val="21"/>
                      <w:lang w:val="en-US" w:eastAsia="zh-CN"/>
                    </w:rPr>
                    <w:t>dB（A））</w:t>
                  </w:r>
                </w:p>
              </w:tc>
            </w:tr>
          </w:tbl>
          <w:p w14:paraId="10EAAA0D">
            <w:pPr>
              <w:keepNext w:val="0"/>
              <w:keepLines w:val="0"/>
              <w:pageBreakBefore w:val="0"/>
              <w:widowControl w:val="0"/>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color w:val="auto"/>
                <w:spacing w:val="0"/>
                <w:sz w:val="24"/>
                <w:szCs w:val="24"/>
                <w:lang w:eastAsia="zh-CN"/>
              </w:rPr>
            </w:pPr>
            <w:r>
              <w:rPr>
                <w:rFonts w:hint="default" w:ascii="Times New Roman" w:hAnsi="Times New Roman" w:cs="Times New Roman"/>
                <w:b/>
                <w:bCs/>
                <w:color w:val="auto"/>
                <w:spacing w:val="0"/>
                <w:sz w:val="24"/>
                <w:szCs w:val="24"/>
                <w:lang w:val="en-US" w:eastAsia="zh-CN"/>
              </w:rPr>
              <w:t>2.5</w:t>
            </w:r>
            <w:r>
              <w:rPr>
                <w:rFonts w:hint="default" w:ascii="Times New Roman" w:hAnsi="Times New Roman" w:eastAsia="宋体" w:cs="Times New Roman"/>
                <w:b/>
                <w:bCs/>
                <w:color w:val="auto"/>
                <w:spacing w:val="0"/>
                <w:sz w:val="24"/>
                <w:szCs w:val="24"/>
              </w:rPr>
              <w:t>固体废物</w:t>
            </w:r>
            <w:r>
              <w:rPr>
                <w:rFonts w:hint="default" w:ascii="Times New Roman" w:hAnsi="Times New Roman" w:eastAsia="宋体" w:cs="Times New Roman"/>
                <w:b/>
                <w:bCs/>
                <w:color w:val="auto"/>
                <w:spacing w:val="0"/>
                <w:sz w:val="24"/>
                <w:szCs w:val="24"/>
                <w:lang w:eastAsia="zh-CN"/>
              </w:rPr>
              <w:t>环境影响和保护措施</w:t>
            </w:r>
          </w:p>
          <w:p w14:paraId="46D1C737">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2.</w:t>
            </w:r>
            <w:r>
              <w:rPr>
                <w:rFonts w:hint="default" w:ascii="Times New Roman" w:hAnsi="Times New Roman" w:eastAsia="宋体" w:cs="Times New Roman"/>
                <w:b/>
                <w:bCs/>
                <w:color w:val="auto"/>
                <w:sz w:val="24"/>
                <w:szCs w:val="24"/>
                <w:lang w:val="en-US" w:eastAsia="zh-CN"/>
              </w:rPr>
              <w:t>5.1生活垃圾</w:t>
            </w:r>
          </w:p>
          <w:p w14:paraId="3B058008">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本项目劳动定员</w:t>
            </w:r>
            <w:r>
              <w:rPr>
                <w:rFonts w:hint="default" w:ascii="Times New Roman" w:hAnsi="Times New Roman" w:cs="Times New Roman"/>
                <w:color w:val="auto"/>
                <w:spacing w:val="0"/>
                <w:sz w:val="24"/>
                <w:szCs w:val="24"/>
                <w:lang w:val="en-US" w:eastAsia="zh-CN"/>
              </w:rPr>
              <w:t>为46人</w:t>
            </w:r>
            <w:r>
              <w:rPr>
                <w:rFonts w:hint="default" w:ascii="Times New Roman" w:hAnsi="Times New Roman" w:eastAsia="宋体" w:cs="Times New Roman"/>
                <w:color w:val="auto"/>
                <w:spacing w:val="0"/>
                <w:sz w:val="24"/>
                <w:szCs w:val="24"/>
                <w:lang w:val="en-US" w:eastAsia="zh-CN"/>
              </w:rPr>
              <w:t>，员工日常生活</w:t>
            </w:r>
            <w:r>
              <w:rPr>
                <w:rFonts w:hint="default" w:ascii="Times New Roman" w:hAnsi="Times New Roman" w:cs="Times New Roman"/>
                <w:color w:val="auto"/>
                <w:spacing w:val="0"/>
                <w:sz w:val="24"/>
                <w:szCs w:val="24"/>
                <w:lang w:val="en-US" w:eastAsia="zh-CN"/>
              </w:rPr>
              <w:t>产生垃圾量</w:t>
            </w:r>
            <w:r>
              <w:rPr>
                <w:rFonts w:hint="default" w:ascii="Times New Roman" w:hAnsi="Times New Roman" w:eastAsia="宋体" w:cs="Times New Roman"/>
                <w:color w:val="auto"/>
                <w:spacing w:val="0"/>
                <w:sz w:val="24"/>
                <w:szCs w:val="24"/>
                <w:lang w:val="en-US" w:eastAsia="zh-CN"/>
              </w:rPr>
              <w:t>按0.5kg/人·d计算，则生活垃圾产生量为</w:t>
            </w:r>
            <w:r>
              <w:rPr>
                <w:rFonts w:hint="default" w:ascii="Times New Roman" w:hAnsi="Times New Roman" w:cs="Times New Roman"/>
                <w:color w:val="auto"/>
                <w:spacing w:val="0"/>
                <w:sz w:val="24"/>
                <w:szCs w:val="24"/>
                <w:lang w:val="en-US" w:eastAsia="zh-CN"/>
              </w:rPr>
              <w:t>7.682</w:t>
            </w:r>
            <w:r>
              <w:rPr>
                <w:rFonts w:hint="default" w:ascii="Times New Roman" w:hAnsi="Times New Roman" w:eastAsia="宋体" w:cs="Times New Roman"/>
                <w:color w:val="auto"/>
                <w:spacing w:val="0"/>
                <w:sz w:val="24"/>
                <w:szCs w:val="24"/>
                <w:lang w:val="en-US" w:eastAsia="zh-CN"/>
              </w:rPr>
              <w:t>t/a，根据《固体废物分类与代码目录》（2024年第4号）文件，属于SW61厨余垃圾，非特定行业，900-002-S61餐厨垃圾（相关企业和公共机构在食品加工、饮食服务、单位供餐等活动中，产生的食物残渣、食品加工废料和废弃食用油脂等），以及SW62可回收物，900-001-S62（废纸）、900-002-S62（废塑料）、900-003-S62（废金属）、900-004-S62（废玻璃）、900-005-S62（废纺织品）、900-006-S62（</w:t>
            </w:r>
            <w:r>
              <w:rPr>
                <w:rFonts w:hint="default" w:ascii="Times New Roman" w:hAnsi="Times New Roman" w:cs="Times New Roman"/>
                <w:color w:val="auto"/>
                <w:spacing w:val="0"/>
                <w:sz w:val="24"/>
                <w:szCs w:val="24"/>
                <w:lang w:val="en-US" w:eastAsia="zh-CN"/>
              </w:rPr>
              <w:t>废弃</w:t>
            </w:r>
            <w:r>
              <w:rPr>
                <w:rFonts w:hint="default" w:ascii="Times New Roman" w:hAnsi="Times New Roman" w:eastAsia="宋体" w:cs="Times New Roman"/>
                <w:color w:val="auto"/>
                <w:spacing w:val="0"/>
                <w:sz w:val="24"/>
                <w:szCs w:val="24"/>
                <w:lang w:val="en-US" w:eastAsia="zh-CN"/>
              </w:rPr>
              <w:t>电器电子产品）、900-007-S62（废电池）等，本项目产生的生活垃圾在厂区内</w:t>
            </w:r>
            <w:r>
              <w:rPr>
                <w:rFonts w:hint="default" w:ascii="Times New Roman" w:hAnsi="Times New Roman" w:cs="Times New Roman"/>
                <w:color w:val="auto"/>
                <w:spacing w:val="0"/>
                <w:sz w:val="24"/>
                <w:szCs w:val="24"/>
                <w:lang w:val="en-US" w:eastAsia="zh-CN"/>
              </w:rPr>
              <w:t>设置</w:t>
            </w:r>
            <w:r>
              <w:rPr>
                <w:rFonts w:hint="default" w:ascii="Times New Roman" w:hAnsi="Times New Roman" w:eastAsia="宋体" w:cs="Times New Roman"/>
                <w:color w:val="auto"/>
                <w:spacing w:val="0"/>
                <w:sz w:val="24"/>
                <w:szCs w:val="24"/>
                <w:lang w:val="en-US" w:eastAsia="zh-CN"/>
              </w:rPr>
              <w:t>垃圾箱，及时收集清理至周边</w:t>
            </w:r>
            <w:r>
              <w:rPr>
                <w:rFonts w:hint="default" w:ascii="Times New Roman" w:hAnsi="Times New Roman" w:cs="Times New Roman"/>
                <w:color w:val="auto"/>
                <w:spacing w:val="0"/>
                <w:sz w:val="24"/>
                <w:szCs w:val="24"/>
                <w:lang w:val="en-US" w:eastAsia="zh-CN"/>
              </w:rPr>
              <w:t>村镇</w:t>
            </w:r>
            <w:r>
              <w:rPr>
                <w:rFonts w:hint="default" w:ascii="Times New Roman" w:hAnsi="Times New Roman" w:eastAsia="宋体" w:cs="Times New Roman"/>
                <w:color w:val="auto"/>
                <w:spacing w:val="0"/>
                <w:sz w:val="24"/>
                <w:szCs w:val="24"/>
                <w:lang w:val="en-US" w:eastAsia="zh-CN"/>
              </w:rPr>
              <w:t>垃圾转运站，由环卫部门集中清运处置。</w:t>
            </w:r>
          </w:p>
          <w:p w14:paraId="094D2E3E">
            <w:pPr>
              <w:keepNext w:val="0"/>
              <w:keepLines w:val="0"/>
              <w:pageBreakBefore w:val="0"/>
              <w:widowControl w:val="0"/>
              <w:kinsoku/>
              <w:wordWrap/>
              <w:overflowPunct/>
              <w:topLinePunct/>
              <w:autoSpaceDE/>
              <w:autoSpaceDN/>
              <w:bidi w:val="0"/>
              <w:adjustRightInd w:val="0"/>
              <w:snapToGrid w:val="0"/>
              <w:spacing w:line="360" w:lineRule="auto"/>
              <w:textAlignment w:val="auto"/>
              <w:rPr>
                <w:rFonts w:hint="default" w:ascii="Times New Roman" w:hAnsi="Times New Roman" w:eastAsia="宋体" w:cs="Times New Roman"/>
                <w:b/>
                <w:bCs/>
                <w:color w:val="auto"/>
                <w:spacing w:val="0"/>
                <w:sz w:val="24"/>
                <w:szCs w:val="24"/>
                <w:lang w:val="en-US" w:eastAsia="zh-CN"/>
              </w:rPr>
            </w:pPr>
            <w:r>
              <w:rPr>
                <w:rFonts w:hint="default" w:ascii="Times New Roman" w:hAnsi="Times New Roman" w:cs="Times New Roman"/>
                <w:b/>
                <w:bCs/>
                <w:color w:val="auto"/>
                <w:spacing w:val="0"/>
                <w:sz w:val="24"/>
                <w:szCs w:val="24"/>
                <w:lang w:val="en-US" w:eastAsia="zh-CN"/>
              </w:rPr>
              <w:t>2.</w:t>
            </w:r>
            <w:r>
              <w:rPr>
                <w:rFonts w:hint="default" w:ascii="Times New Roman" w:hAnsi="Times New Roman" w:eastAsia="宋体" w:cs="Times New Roman"/>
                <w:b/>
                <w:bCs/>
                <w:color w:val="auto"/>
                <w:spacing w:val="0"/>
                <w:sz w:val="24"/>
                <w:szCs w:val="24"/>
                <w:lang w:val="en-US" w:eastAsia="zh-CN"/>
              </w:rPr>
              <w:t>5.2一般工业固体废物</w:t>
            </w:r>
          </w:p>
          <w:p w14:paraId="26C7A3AD">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w:t>
            </w:r>
            <w:r>
              <w:rPr>
                <w:rFonts w:hint="default" w:ascii="Times New Roman" w:hAnsi="Times New Roman" w:cs="Times New Roman"/>
                <w:color w:val="auto"/>
                <w:spacing w:val="0"/>
                <w:sz w:val="24"/>
                <w:szCs w:val="24"/>
                <w:lang w:val="en-US" w:eastAsia="zh-CN"/>
              </w:rPr>
              <w:t>1</w:t>
            </w:r>
            <w:r>
              <w:rPr>
                <w:rFonts w:hint="default" w:ascii="Times New Roman" w:hAnsi="Times New Roman" w:eastAsia="宋体" w:cs="Times New Roman"/>
                <w:color w:val="auto"/>
                <w:spacing w:val="0"/>
                <w:sz w:val="24"/>
                <w:szCs w:val="24"/>
                <w:lang w:val="en-US" w:eastAsia="zh-CN"/>
              </w:rPr>
              <w:t>）</w:t>
            </w:r>
            <w:r>
              <w:rPr>
                <w:rFonts w:hint="default" w:ascii="Times New Roman" w:hAnsi="Times New Roman" w:cs="Times New Roman"/>
                <w:color w:val="auto"/>
                <w:spacing w:val="0"/>
                <w:sz w:val="24"/>
                <w:szCs w:val="24"/>
                <w:lang w:val="en-US" w:eastAsia="zh-CN"/>
              </w:rPr>
              <w:t>废滤膜</w:t>
            </w:r>
          </w:p>
          <w:p w14:paraId="56CB31BD">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软水制备</w:t>
            </w:r>
            <w:r>
              <w:rPr>
                <w:rFonts w:hint="default" w:ascii="Times New Roman" w:hAnsi="Times New Roman" w:cs="Times New Roman"/>
                <w:b w:val="0"/>
                <w:bCs w:val="0"/>
                <w:color w:val="auto"/>
                <w:sz w:val="24"/>
                <w:szCs w:val="24"/>
                <w:lang w:val="en-US" w:eastAsia="zh-CN"/>
              </w:rPr>
              <w:t>工艺</w:t>
            </w:r>
            <w:r>
              <w:rPr>
                <w:rFonts w:hint="default" w:ascii="Times New Roman" w:hAnsi="Times New Roman" w:eastAsia="宋体" w:cs="Times New Roman"/>
                <w:b w:val="0"/>
                <w:bCs w:val="0"/>
                <w:color w:val="auto"/>
                <w:sz w:val="24"/>
                <w:szCs w:val="24"/>
                <w:lang w:val="en-US" w:eastAsia="zh-CN"/>
              </w:rPr>
              <w:t>采用“超滤+两级反渗透+EDI电除盐”，可满足锅炉补给水水质要求，为保证软水制备的效率，需定期更换</w:t>
            </w:r>
            <w:r>
              <w:rPr>
                <w:rFonts w:hint="default" w:ascii="Times New Roman" w:hAnsi="Times New Roman" w:cs="Times New Roman"/>
                <w:b w:val="0"/>
                <w:bCs w:val="0"/>
                <w:color w:val="auto"/>
                <w:sz w:val="24"/>
                <w:szCs w:val="24"/>
                <w:lang w:val="en-US" w:eastAsia="zh-CN"/>
              </w:rPr>
              <w:t>滤膜</w:t>
            </w:r>
            <w:r>
              <w:rPr>
                <w:rFonts w:hint="default" w:ascii="Times New Roman" w:hAnsi="Times New Roman" w:eastAsia="宋体" w:cs="Times New Roman"/>
                <w:b w:val="0"/>
                <w:bCs w:val="0"/>
                <w:color w:val="auto"/>
                <w:sz w:val="24"/>
                <w:szCs w:val="24"/>
                <w:lang w:val="en-US" w:eastAsia="zh-CN"/>
              </w:rPr>
              <w:t>，约为2个/年</w:t>
            </w:r>
            <w:r>
              <w:rPr>
                <w:rFonts w:hint="default" w:ascii="Times New Roman" w:hAnsi="Times New Roman" w:eastAsia="宋体" w:cs="Times New Roman"/>
                <w:color w:val="auto"/>
                <w:spacing w:val="0"/>
                <w:sz w:val="24"/>
                <w:szCs w:val="24"/>
                <w:lang w:val="en-US" w:eastAsia="zh-CN"/>
              </w:rPr>
              <w:t>，根据《固体废物分类与代码目录》（2024年版），该固废属于“SW59其他工业固体废物——非特定行业——900-008-S59——废吸附剂。工业生产活动中产生的活性炭、氧化铝、硅胶、树脂等废吸附剂”，更换时由更换厂家定期清运处置。</w:t>
            </w:r>
          </w:p>
          <w:p w14:paraId="60EC0E67">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w:t>
            </w:r>
            <w:r>
              <w:rPr>
                <w:rFonts w:hint="default" w:ascii="Times New Roman" w:hAnsi="Times New Roman" w:cs="Times New Roman"/>
                <w:color w:val="auto"/>
                <w:spacing w:val="0"/>
                <w:sz w:val="24"/>
                <w:szCs w:val="24"/>
                <w:lang w:val="en-US" w:eastAsia="zh-CN"/>
              </w:rPr>
              <w:t>2</w:t>
            </w:r>
            <w:r>
              <w:rPr>
                <w:rFonts w:hint="default" w:ascii="Times New Roman" w:hAnsi="Times New Roman" w:eastAsia="宋体" w:cs="Times New Roman"/>
                <w:color w:val="auto"/>
                <w:spacing w:val="0"/>
                <w:sz w:val="24"/>
                <w:szCs w:val="24"/>
                <w:lang w:val="en-US" w:eastAsia="zh-CN"/>
              </w:rPr>
              <w:t>）脱硫石膏</w:t>
            </w:r>
          </w:p>
          <w:p w14:paraId="6B2E5328">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cs="Times New Roman"/>
                <w:color w:val="auto"/>
                <w:spacing w:val="0"/>
                <w:sz w:val="24"/>
                <w:szCs w:val="24"/>
                <w:lang w:val="en-US" w:eastAsia="zh-CN"/>
              </w:rPr>
              <w:t>本项目脱硫石膏</w:t>
            </w:r>
            <w:r>
              <w:rPr>
                <w:rFonts w:hint="default" w:ascii="Times New Roman" w:hAnsi="Times New Roman" w:eastAsia="宋体" w:cs="Times New Roman"/>
                <w:color w:val="auto"/>
                <w:spacing w:val="0"/>
                <w:sz w:val="24"/>
                <w:szCs w:val="24"/>
                <w:lang w:val="en-US" w:eastAsia="zh-CN"/>
              </w:rPr>
              <w:t>产量可根据SO</w:t>
            </w:r>
            <w:r>
              <w:rPr>
                <w:rFonts w:hint="default" w:ascii="Times New Roman" w:hAnsi="Times New Roman" w:eastAsia="宋体" w:cs="Times New Roman"/>
                <w:color w:val="auto"/>
                <w:spacing w:val="0"/>
                <w:sz w:val="24"/>
                <w:szCs w:val="24"/>
                <w:vertAlign w:val="subscript"/>
                <w:lang w:val="en-US" w:eastAsia="zh-CN"/>
              </w:rPr>
              <w:t>2</w:t>
            </w:r>
            <w:r>
              <w:rPr>
                <w:rFonts w:hint="default" w:ascii="Times New Roman" w:hAnsi="Times New Roman" w:eastAsia="宋体" w:cs="Times New Roman"/>
                <w:color w:val="auto"/>
                <w:spacing w:val="0"/>
                <w:sz w:val="24"/>
                <w:szCs w:val="24"/>
                <w:lang w:val="en-US" w:eastAsia="zh-CN"/>
              </w:rPr>
              <w:t>脱除量及化学反应式计算，本项目SO</w:t>
            </w:r>
            <w:r>
              <w:rPr>
                <w:rFonts w:hint="default" w:ascii="Times New Roman" w:hAnsi="Times New Roman" w:eastAsia="宋体" w:cs="Times New Roman"/>
                <w:color w:val="auto"/>
                <w:spacing w:val="0"/>
                <w:sz w:val="24"/>
                <w:szCs w:val="24"/>
                <w:vertAlign w:val="subscript"/>
                <w:lang w:val="en-US" w:eastAsia="zh-CN"/>
              </w:rPr>
              <w:t>2</w:t>
            </w:r>
            <w:r>
              <w:rPr>
                <w:rFonts w:hint="default" w:ascii="Times New Roman" w:hAnsi="Times New Roman" w:eastAsia="宋体" w:cs="Times New Roman"/>
                <w:color w:val="auto"/>
                <w:spacing w:val="0"/>
                <w:sz w:val="24"/>
                <w:szCs w:val="24"/>
                <w:lang w:val="en-US" w:eastAsia="zh-CN"/>
              </w:rPr>
              <w:t>脱除量为</w:t>
            </w:r>
            <w:r>
              <w:rPr>
                <w:rFonts w:hint="default" w:ascii="Times New Roman" w:hAnsi="Times New Roman" w:cs="Times New Roman"/>
                <w:color w:val="auto"/>
                <w:spacing w:val="0"/>
                <w:sz w:val="24"/>
                <w:szCs w:val="24"/>
                <w:lang w:val="en-US" w:eastAsia="zh-CN"/>
              </w:rPr>
              <w:t>631.531</w:t>
            </w:r>
            <w:r>
              <w:rPr>
                <w:rFonts w:hint="default" w:ascii="Times New Roman" w:hAnsi="Times New Roman" w:eastAsia="宋体" w:cs="Times New Roman"/>
                <w:color w:val="auto"/>
                <w:spacing w:val="0"/>
                <w:sz w:val="24"/>
                <w:szCs w:val="24"/>
                <w:lang w:val="en-US" w:eastAsia="zh-CN"/>
              </w:rPr>
              <w:t>t/a，则脱水石膏的理论产量为</w:t>
            </w:r>
            <w:r>
              <w:rPr>
                <w:rFonts w:hint="default" w:ascii="Times New Roman" w:hAnsi="Times New Roman" w:cs="Times New Roman"/>
                <w:color w:val="auto"/>
                <w:spacing w:val="0"/>
                <w:sz w:val="24"/>
                <w:szCs w:val="24"/>
                <w:lang w:val="en-US" w:eastAsia="zh-CN"/>
              </w:rPr>
              <w:t>1698.42</w:t>
            </w:r>
            <w:r>
              <w:rPr>
                <w:rFonts w:hint="default" w:ascii="Times New Roman" w:hAnsi="Times New Roman" w:eastAsia="宋体" w:cs="Times New Roman"/>
                <w:color w:val="auto"/>
                <w:spacing w:val="0"/>
                <w:sz w:val="24"/>
                <w:szCs w:val="24"/>
                <w:lang w:val="en-US" w:eastAsia="zh-CN"/>
              </w:rPr>
              <w:t>t/a。根据《固体废物分类与代码目录》（2024年版），该固废属于“SW06脱硫石膏——电力生产——</w:t>
            </w:r>
            <w:r>
              <w:rPr>
                <w:rFonts w:hint="default" w:ascii="Times New Roman" w:hAnsi="Times New Roman" w:cs="Times New Roman"/>
                <w:color w:val="auto"/>
                <w:spacing w:val="0"/>
                <w:sz w:val="24"/>
                <w:szCs w:val="24"/>
                <w:lang w:val="en-US" w:eastAsia="zh-CN"/>
              </w:rPr>
              <w:t>441</w:t>
            </w:r>
            <w:r>
              <w:rPr>
                <w:rFonts w:hint="default" w:ascii="Times New Roman" w:hAnsi="Times New Roman" w:eastAsia="宋体" w:cs="Times New Roman"/>
                <w:color w:val="auto"/>
                <w:spacing w:val="0"/>
                <w:sz w:val="24"/>
                <w:szCs w:val="24"/>
                <w:lang w:val="en-US" w:eastAsia="zh-CN"/>
              </w:rPr>
              <w:t>-</w:t>
            </w:r>
            <w:r>
              <w:rPr>
                <w:rFonts w:hint="default" w:ascii="Times New Roman" w:hAnsi="Times New Roman" w:cs="Times New Roman"/>
                <w:color w:val="auto"/>
                <w:spacing w:val="0"/>
                <w:sz w:val="24"/>
                <w:szCs w:val="24"/>
                <w:lang w:val="en-US" w:eastAsia="zh-CN"/>
              </w:rPr>
              <w:t>001</w:t>
            </w:r>
            <w:r>
              <w:rPr>
                <w:rFonts w:hint="default" w:ascii="Times New Roman" w:hAnsi="Times New Roman" w:eastAsia="宋体" w:cs="Times New Roman"/>
                <w:color w:val="auto"/>
                <w:spacing w:val="0"/>
                <w:sz w:val="24"/>
                <w:szCs w:val="24"/>
                <w:lang w:val="en-US" w:eastAsia="zh-CN"/>
              </w:rPr>
              <w:t>-S</w:t>
            </w:r>
            <w:r>
              <w:rPr>
                <w:rFonts w:hint="default" w:ascii="Times New Roman" w:hAnsi="Times New Roman" w:cs="Times New Roman"/>
                <w:color w:val="auto"/>
                <w:spacing w:val="0"/>
                <w:sz w:val="24"/>
                <w:szCs w:val="24"/>
                <w:lang w:val="en-US" w:eastAsia="zh-CN"/>
              </w:rPr>
              <w:t>06</w:t>
            </w:r>
            <w:r>
              <w:rPr>
                <w:rFonts w:hint="default" w:ascii="Times New Roman" w:hAnsi="Times New Roman" w:eastAsia="宋体" w:cs="Times New Roman"/>
                <w:color w:val="auto"/>
                <w:spacing w:val="0"/>
                <w:sz w:val="24"/>
                <w:szCs w:val="24"/>
                <w:lang w:val="en-US" w:eastAsia="zh-CN"/>
              </w:rPr>
              <w:t>——电厂脱硫石膏。火力发电、热电联供行业烟气处理产生的脱硫石膏”，</w:t>
            </w:r>
            <w:r>
              <w:rPr>
                <w:rFonts w:hint="default" w:ascii="Times New Roman" w:hAnsi="Times New Roman" w:cs="Times New Roman"/>
                <w:color w:val="auto"/>
                <w:spacing w:val="0"/>
                <w:sz w:val="24"/>
                <w:szCs w:val="24"/>
                <w:lang w:val="en-US" w:eastAsia="zh-CN"/>
              </w:rPr>
              <w:t>集中</w:t>
            </w:r>
            <w:r>
              <w:rPr>
                <w:rFonts w:hint="default" w:ascii="Times New Roman" w:hAnsi="Times New Roman" w:eastAsia="宋体" w:cs="Times New Roman"/>
                <w:color w:val="auto"/>
                <w:spacing w:val="0"/>
                <w:sz w:val="24"/>
                <w:szCs w:val="24"/>
                <w:lang w:val="en-US" w:eastAsia="zh-CN"/>
              </w:rPr>
              <w:t>收集后定期外售至建筑材料制造企业进行综合利用。</w:t>
            </w:r>
          </w:p>
          <w:p w14:paraId="3B34959D">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脱硫石膏主要成分为二水石膏，无危险特性，属于一般工业固体废物。外售建筑材料企业综合利用，既替代了天然石膏资源，又实现了固体废物减量化、资源化，处置路径合理可行。</w:t>
            </w:r>
          </w:p>
          <w:p w14:paraId="04DB65D7">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w:t>
            </w:r>
            <w:r>
              <w:rPr>
                <w:rFonts w:hint="default" w:ascii="Times New Roman" w:hAnsi="Times New Roman" w:cs="Times New Roman"/>
                <w:color w:val="auto"/>
                <w:spacing w:val="0"/>
                <w:sz w:val="24"/>
                <w:szCs w:val="24"/>
                <w:lang w:val="en-US" w:eastAsia="zh-CN"/>
              </w:rPr>
              <w:t>3</w:t>
            </w:r>
            <w:r>
              <w:rPr>
                <w:rFonts w:hint="default" w:ascii="Times New Roman" w:hAnsi="Times New Roman" w:eastAsia="宋体" w:cs="Times New Roman"/>
                <w:color w:val="auto"/>
                <w:spacing w:val="0"/>
                <w:sz w:val="24"/>
                <w:szCs w:val="24"/>
                <w:lang w:val="en-US" w:eastAsia="zh-CN"/>
              </w:rPr>
              <w:t>）</w:t>
            </w:r>
            <w:r>
              <w:rPr>
                <w:rFonts w:hint="default" w:ascii="Times New Roman" w:hAnsi="Times New Roman" w:cs="Times New Roman"/>
                <w:color w:val="auto"/>
                <w:spacing w:val="0"/>
                <w:sz w:val="24"/>
                <w:szCs w:val="24"/>
                <w:lang w:val="en-US" w:eastAsia="zh-CN"/>
              </w:rPr>
              <w:t>凝结水过滤废物</w:t>
            </w:r>
          </w:p>
          <w:p w14:paraId="01D541CB">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本工程采用直接空冷系统。为保证机组安全稳定运行，凝结水系统设置一套100%的免反洗大流量除铁过滤器，以去除凝结水系统中可能产生的铁以及其它腐蚀产物。</w:t>
            </w:r>
            <w:r>
              <w:rPr>
                <w:rFonts w:hint="default" w:ascii="Times New Roman" w:hAnsi="Times New Roman" w:cs="Times New Roman"/>
                <w:color w:val="auto"/>
                <w:spacing w:val="0"/>
                <w:sz w:val="24"/>
                <w:szCs w:val="24"/>
                <w:lang w:val="en-US" w:eastAsia="zh-CN"/>
              </w:rPr>
              <w:t>该废物产生量约为5t/a。</w:t>
            </w:r>
            <w:r>
              <w:rPr>
                <w:rFonts w:hint="default" w:ascii="Times New Roman" w:hAnsi="Times New Roman" w:eastAsia="宋体" w:cs="Times New Roman"/>
                <w:color w:val="auto"/>
                <w:spacing w:val="0"/>
                <w:sz w:val="24"/>
                <w:szCs w:val="24"/>
                <w:lang w:val="en-US" w:eastAsia="zh-CN"/>
              </w:rPr>
              <w:t>根据《固体废物分类与代码目录》（2024年版），该固废属于“SW59其他工业固体废物——非特定行业——900-099-S59——其他工业生产过程中产生的固体废物”，定期外售至建筑材料制造企业进行综合利用。</w:t>
            </w:r>
          </w:p>
          <w:p w14:paraId="6B30D7CB">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该废物为除铁过滤器截留的铁氧化物及少量系统杂质，无有毒有害物质，外售至建材企业或再生资源企业利用，既解决了废物处置问题，又实现了资源回收，相较于无害化填埋，更符合资源化优先原则，处置方式合理。</w:t>
            </w:r>
          </w:p>
          <w:p w14:paraId="68342DF5">
            <w:pPr>
              <w:pStyle w:val="61"/>
              <w:keepNext w:val="0"/>
              <w:keepLines w:val="0"/>
              <w:pageBreakBefore w:val="0"/>
              <w:widowControl w:val="0"/>
              <w:kinsoku/>
              <w:wordWrap/>
              <w:overflowPunct/>
              <w:topLinePunct w:val="0"/>
              <w:autoSpaceDE/>
              <w:autoSpaceDN/>
              <w:bidi w:val="0"/>
              <w:adjustRightInd/>
              <w:snapToGrid/>
              <w:spacing w:before="0" w:beforeLines="0" w:line="360" w:lineRule="auto"/>
              <w:ind w:firstLine="0" w:firstLineChars="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2.5</w:t>
            </w:r>
            <w:r>
              <w:rPr>
                <w:rFonts w:hint="default" w:ascii="Times New Roman" w:hAnsi="Times New Roman" w:eastAsia="宋体" w:cs="Times New Roman"/>
                <w:b/>
                <w:bCs/>
                <w:color w:val="auto"/>
                <w:sz w:val="24"/>
                <w:szCs w:val="24"/>
              </w:rPr>
              <w:t>.</w:t>
            </w:r>
            <w:r>
              <w:rPr>
                <w:rFonts w:hint="default" w:ascii="Times New Roman" w:hAnsi="Times New Roman" w:cs="Times New Roman"/>
                <w:b/>
                <w:bCs/>
                <w:color w:val="auto"/>
                <w:sz w:val="24"/>
                <w:szCs w:val="24"/>
                <w:lang w:val="en-US" w:eastAsia="zh-CN"/>
              </w:rPr>
              <w:t>3</w:t>
            </w:r>
            <w:r>
              <w:rPr>
                <w:rFonts w:hint="default" w:ascii="Times New Roman" w:hAnsi="Times New Roman" w:eastAsia="宋体" w:cs="Times New Roman"/>
                <w:b/>
                <w:bCs/>
                <w:color w:val="auto"/>
                <w:sz w:val="24"/>
                <w:szCs w:val="24"/>
                <w:lang w:val="en-US" w:eastAsia="zh-CN"/>
              </w:rPr>
              <w:t>危险废物</w:t>
            </w:r>
          </w:p>
          <w:p w14:paraId="342E017D">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本项目运营期危险废物为</w:t>
            </w:r>
            <w:r>
              <w:rPr>
                <w:rFonts w:hint="default" w:ascii="Times New Roman" w:hAnsi="Times New Roman" w:eastAsia="宋体" w:cs="Times New Roman"/>
                <w:color w:val="auto"/>
                <w:spacing w:val="0"/>
                <w:sz w:val="24"/>
                <w:szCs w:val="24"/>
                <w:lang w:eastAsia="zh-CN"/>
              </w:rPr>
              <w:t>废机油</w:t>
            </w:r>
            <w:r>
              <w:rPr>
                <w:rFonts w:hint="default" w:ascii="Times New Roman" w:hAnsi="Times New Roman" w:cs="Times New Roman"/>
                <w:color w:val="auto"/>
                <w:spacing w:val="0"/>
                <w:sz w:val="24"/>
                <w:szCs w:val="24"/>
                <w:lang w:eastAsia="zh-CN"/>
              </w:rPr>
              <w:t>、</w:t>
            </w:r>
            <w:r>
              <w:rPr>
                <w:rFonts w:hint="default" w:ascii="Times New Roman" w:hAnsi="Times New Roman" w:cs="Times New Roman"/>
                <w:color w:val="auto"/>
                <w:spacing w:val="0"/>
                <w:sz w:val="24"/>
                <w:szCs w:val="24"/>
                <w:lang w:val="en-US" w:eastAsia="zh-CN"/>
              </w:rPr>
              <w:t>废油桶、废催化剂以及化验室废液</w:t>
            </w:r>
            <w:r>
              <w:rPr>
                <w:rFonts w:hint="default" w:ascii="Times New Roman" w:hAnsi="Times New Roman" w:eastAsia="宋体" w:cs="Times New Roman"/>
                <w:color w:val="auto"/>
                <w:spacing w:val="0"/>
                <w:sz w:val="24"/>
                <w:szCs w:val="24"/>
                <w:lang w:val="en-US" w:eastAsia="zh-CN"/>
              </w:rPr>
              <w:t>。</w:t>
            </w:r>
          </w:p>
          <w:p w14:paraId="508D69E6">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（1）废机油</w:t>
            </w:r>
          </w:p>
          <w:p w14:paraId="18F04A05">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根据建设单位提供的资料，维护保养更换下来的废机油约为0.2t/a，废机油属于《国家危险废物名录（2025年版）》中的HW08废矿物油与含矿物油废物，900-214-08车辆、轮船及其它机械维修过程中产生的废发动机油、制动器油、自动变速器油、齿轮油等废润滑油</w:t>
            </w:r>
            <w:r>
              <w:rPr>
                <w:rFonts w:hint="default" w:ascii="Times New Roman" w:hAnsi="Times New Roman"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采用专用容器</w:t>
            </w:r>
            <w:r>
              <w:rPr>
                <w:rFonts w:hint="default" w:ascii="Times New Roman" w:hAnsi="Times New Roman" w:eastAsia="宋体" w:cs="Times New Roman"/>
                <w:color w:val="auto"/>
                <w:spacing w:val="0"/>
                <w:sz w:val="24"/>
                <w:szCs w:val="24"/>
              </w:rPr>
              <w:t>收集后暂存</w:t>
            </w:r>
            <w:r>
              <w:rPr>
                <w:rFonts w:hint="default" w:ascii="Times New Roman" w:hAnsi="Times New Roman" w:eastAsia="宋体" w:cs="Times New Roman"/>
                <w:color w:val="auto"/>
                <w:spacing w:val="0"/>
                <w:sz w:val="24"/>
                <w:szCs w:val="24"/>
                <w:lang w:val="en-US" w:eastAsia="zh-CN"/>
              </w:rPr>
              <w:t>至</w:t>
            </w:r>
            <w:r>
              <w:rPr>
                <w:rFonts w:hint="default" w:ascii="Times New Roman" w:hAnsi="Times New Roman" w:eastAsia="宋体" w:cs="Times New Roman"/>
                <w:color w:val="auto"/>
                <w:sz w:val="24"/>
                <w:szCs w:val="24"/>
                <w:lang w:val="en-US" w:eastAsia="zh-CN"/>
              </w:rPr>
              <w:t>危废贮存点</w:t>
            </w:r>
            <w:r>
              <w:rPr>
                <w:rFonts w:hint="default" w:ascii="Times New Roman" w:hAnsi="Times New Roman" w:eastAsia="宋体" w:cs="Times New Roman"/>
                <w:color w:val="auto"/>
                <w:spacing w:val="0"/>
                <w:sz w:val="24"/>
                <w:szCs w:val="24"/>
              </w:rPr>
              <w:t>，定期委托有相关危废处理资质的单位进行处置。</w:t>
            </w:r>
          </w:p>
          <w:p w14:paraId="7A3C96E3">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（2）废催化剂</w:t>
            </w:r>
          </w:p>
          <w:p w14:paraId="739F848C">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本项目</w:t>
            </w:r>
            <w:r>
              <w:rPr>
                <w:rFonts w:hint="default" w:ascii="Times New Roman" w:hAnsi="Times New Roman" w:eastAsia="宋体" w:cs="Times New Roman"/>
                <w:color w:val="auto"/>
                <w:spacing w:val="0"/>
                <w:sz w:val="24"/>
                <w:szCs w:val="24"/>
                <w:lang w:eastAsia="zh-CN"/>
              </w:rPr>
              <w:t>SCR脱硝催化剂</w:t>
            </w:r>
            <w:r>
              <w:rPr>
                <w:rFonts w:hint="default" w:ascii="Times New Roman" w:hAnsi="Times New Roman" w:eastAsia="宋体" w:cs="Times New Roman"/>
                <w:color w:val="auto"/>
                <w:spacing w:val="0"/>
                <w:sz w:val="24"/>
                <w:szCs w:val="24"/>
                <w:lang w:val="en-US" w:eastAsia="zh-CN"/>
              </w:rPr>
              <w:t>使用钒钛系催化剂，根据设计文件，45MW机组的SCR反应器钒钛系催化剂装填体积通常为60～80m</w:t>
            </w:r>
            <w:r>
              <w:rPr>
                <w:rFonts w:hint="default" w:ascii="Times New Roman" w:hAnsi="Times New Roman" w:cs="Times New Roman"/>
                <w:color w:val="auto"/>
                <w:spacing w:val="0"/>
                <w:sz w:val="24"/>
                <w:szCs w:val="24"/>
                <w:vertAlign w:val="superscript"/>
                <w:lang w:val="en-US" w:eastAsia="zh-CN"/>
              </w:rPr>
              <w:t>3</w:t>
            </w:r>
            <w:r>
              <w:rPr>
                <w:rFonts w:hint="default" w:ascii="Times New Roman" w:hAnsi="Times New Roman" w:cs="Times New Roman"/>
                <w:color w:val="auto"/>
                <w:spacing w:val="0"/>
                <w:sz w:val="24"/>
                <w:szCs w:val="24"/>
                <w:lang w:val="en-US" w:eastAsia="zh-CN"/>
              </w:rPr>
              <w:t>，本项目以70m</w:t>
            </w:r>
            <w:r>
              <w:rPr>
                <w:rFonts w:hint="default" w:ascii="Times New Roman" w:hAnsi="Times New Roman" w:cs="Times New Roman"/>
                <w:color w:val="auto"/>
                <w:spacing w:val="0"/>
                <w:sz w:val="24"/>
                <w:szCs w:val="24"/>
                <w:vertAlign w:val="superscript"/>
                <w:lang w:val="en-US" w:eastAsia="zh-CN"/>
              </w:rPr>
              <w:t>3</w:t>
            </w:r>
            <w:r>
              <w:rPr>
                <w:rFonts w:hint="default" w:ascii="Times New Roman" w:hAnsi="Times New Roman" w:cs="Times New Roman"/>
                <w:color w:val="auto"/>
                <w:spacing w:val="0"/>
                <w:sz w:val="24"/>
                <w:szCs w:val="24"/>
                <w:lang w:val="en-US" w:eastAsia="zh-CN"/>
              </w:rPr>
              <w:t>计，</w:t>
            </w:r>
            <w:r>
              <w:rPr>
                <w:rFonts w:hint="default" w:ascii="Times New Roman" w:hAnsi="Times New Roman" w:eastAsia="宋体" w:cs="Times New Roman"/>
                <w:color w:val="auto"/>
                <w:spacing w:val="0"/>
                <w:sz w:val="24"/>
                <w:szCs w:val="24"/>
                <w:lang w:val="en-US" w:eastAsia="zh-CN"/>
              </w:rPr>
              <w:t>废弃催化剂每立方米可回收约800kg</w:t>
            </w:r>
            <w:r>
              <w:rPr>
                <w:rFonts w:hint="default" w:ascii="Times New Roman" w:hAnsi="Times New Roman"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TiO</w:t>
            </w:r>
            <w:r>
              <w:rPr>
                <w:rFonts w:hint="default" w:ascii="Times New Roman" w:hAnsi="Times New Roman" w:eastAsia="宋体" w:cs="Times New Roman"/>
                <w:color w:val="auto"/>
                <w:spacing w:val="0"/>
                <w:sz w:val="24"/>
                <w:szCs w:val="24"/>
                <w:vertAlign w:val="subscript"/>
                <w:lang w:val="en-US" w:eastAsia="zh-CN"/>
              </w:rPr>
              <w:t>2</w:t>
            </w:r>
            <w:r>
              <w:rPr>
                <w:rFonts w:hint="default" w:ascii="Times New Roman" w:hAnsi="Times New Roman" w:eastAsia="宋体" w:cs="Times New Roman"/>
                <w:color w:val="auto"/>
                <w:spacing w:val="0"/>
                <w:sz w:val="24"/>
                <w:szCs w:val="24"/>
                <w:lang w:val="en-US" w:eastAsia="zh-CN"/>
              </w:rPr>
              <w:t>,V</w:t>
            </w:r>
            <w:r>
              <w:rPr>
                <w:rFonts w:hint="default" w:ascii="Times New Roman" w:hAnsi="Times New Roman" w:eastAsia="宋体" w:cs="Times New Roman"/>
                <w:color w:val="auto"/>
                <w:spacing w:val="0"/>
                <w:sz w:val="24"/>
                <w:szCs w:val="24"/>
                <w:vertAlign w:val="subscript"/>
                <w:lang w:val="en-US" w:eastAsia="zh-CN"/>
              </w:rPr>
              <w:t>2</w:t>
            </w:r>
            <w:r>
              <w:rPr>
                <w:rFonts w:hint="default" w:ascii="Times New Roman" w:hAnsi="Times New Roman" w:eastAsia="宋体" w:cs="Times New Roman"/>
                <w:color w:val="auto"/>
                <w:spacing w:val="0"/>
                <w:sz w:val="24"/>
                <w:szCs w:val="24"/>
                <w:lang w:val="en-US" w:eastAsia="zh-CN"/>
              </w:rPr>
              <w:t>O</w:t>
            </w:r>
            <w:r>
              <w:rPr>
                <w:rFonts w:hint="default" w:ascii="Times New Roman" w:hAnsi="Times New Roman" w:eastAsia="宋体" w:cs="Times New Roman"/>
                <w:color w:val="auto"/>
                <w:spacing w:val="0"/>
                <w:sz w:val="24"/>
                <w:szCs w:val="24"/>
                <w:vertAlign w:val="subscript"/>
                <w:lang w:val="en-US" w:eastAsia="zh-CN"/>
              </w:rPr>
              <w:t>3</w:t>
            </w:r>
            <w:r>
              <w:rPr>
                <w:rFonts w:hint="default" w:ascii="Times New Roman" w:hAnsi="Times New Roman" w:eastAsia="宋体" w:cs="Times New Roman"/>
                <w:color w:val="auto"/>
                <w:spacing w:val="0"/>
                <w:sz w:val="24"/>
                <w:szCs w:val="24"/>
                <w:lang w:val="en-US" w:eastAsia="zh-CN"/>
              </w:rPr>
              <w:t>+WO</w:t>
            </w:r>
            <w:r>
              <w:rPr>
                <w:rFonts w:hint="default" w:ascii="Times New Roman" w:hAnsi="Times New Roman" w:eastAsia="宋体" w:cs="Times New Roman"/>
                <w:color w:val="auto"/>
                <w:spacing w:val="0"/>
                <w:sz w:val="24"/>
                <w:szCs w:val="24"/>
                <w:vertAlign w:val="subscript"/>
                <w:lang w:val="en-US" w:eastAsia="zh-CN"/>
              </w:rPr>
              <w:t>3</w:t>
            </w:r>
            <w:r>
              <w:rPr>
                <w:rFonts w:hint="default" w:ascii="Times New Roman" w:hAnsi="Times New Roman" w:eastAsia="宋体" w:cs="Times New Roman"/>
                <w:color w:val="auto"/>
                <w:spacing w:val="0"/>
                <w:sz w:val="24"/>
                <w:szCs w:val="24"/>
                <w:lang w:val="en-US" w:eastAsia="zh-CN"/>
              </w:rPr>
              <w:t>+MoO</w:t>
            </w:r>
            <w:r>
              <w:rPr>
                <w:rFonts w:hint="default" w:ascii="Times New Roman" w:hAnsi="Times New Roman" w:eastAsia="宋体" w:cs="Times New Roman"/>
                <w:color w:val="auto"/>
                <w:spacing w:val="0"/>
                <w:sz w:val="24"/>
                <w:szCs w:val="24"/>
                <w:vertAlign w:val="subscript"/>
                <w:lang w:val="en-US" w:eastAsia="zh-CN"/>
              </w:rPr>
              <w:t>3</w:t>
            </w:r>
            <w:r>
              <w:rPr>
                <w:rFonts w:hint="default" w:ascii="Times New Roman" w:hAnsi="Times New Roman" w:eastAsia="宋体" w:cs="Times New Roman"/>
                <w:color w:val="auto"/>
                <w:spacing w:val="0"/>
                <w:sz w:val="24"/>
                <w:szCs w:val="24"/>
                <w:lang w:val="en-US" w:eastAsia="zh-CN"/>
              </w:rPr>
              <w:t>约90kg，合计0.89t</w:t>
            </w:r>
            <w:r>
              <w:rPr>
                <w:rFonts w:hint="default" w:ascii="Times New Roman" w:hAnsi="Times New Roman" w:cs="Times New Roman"/>
                <w:color w:val="auto"/>
                <w:spacing w:val="0"/>
                <w:sz w:val="24"/>
                <w:szCs w:val="24"/>
                <w:lang w:val="en-US" w:eastAsia="zh-CN"/>
              </w:rPr>
              <w:t>/m</w:t>
            </w:r>
            <w:r>
              <w:rPr>
                <w:rFonts w:hint="default" w:ascii="Times New Roman" w:hAnsi="Times New Roman" w:cs="Times New Roman"/>
                <w:color w:val="auto"/>
                <w:spacing w:val="0"/>
                <w:sz w:val="24"/>
                <w:szCs w:val="24"/>
                <w:vertAlign w:val="superscript"/>
                <w:lang w:val="en-US" w:eastAsia="zh-CN"/>
              </w:rPr>
              <w:t>3</w:t>
            </w:r>
            <w:r>
              <w:rPr>
                <w:rFonts w:hint="default" w:ascii="Times New Roman" w:hAnsi="Times New Roman" w:eastAsia="宋体" w:cs="Times New Roman"/>
                <w:color w:val="auto"/>
                <w:spacing w:val="0"/>
                <w:sz w:val="24"/>
                <w:szCs w:val="24"/>
                <w:lang w:val="en-US" w:eastAsia="zh-CN"/>
              </w:rPr>
              <w:t>，约每3年更换一次</w:t>
            </w:r>
            <w:r>
              <w:rPr>
                <w:rFonts w:hint="default" w:ascii="Times New Roman" w:hAnsi="Times New Roman" w:cs="Times New Roman"/>
                <w:color w:val="auto"/>
                <w:spacing w:val="0"/>
                <w:sz w:val="24"/>
                <w:szCs w:val="24"/>
                <w:lang w:val="en-US" w:eastAsia="zh-CN"/>
              </w:rPr>
              <w:t>，则本项目废催化剂产生量为62.300t/3a</w:t>
            </w:r>
            <w:r>
              <w:rPr>
                <w:rFonts w:hint="default" w:ascii="Times New Roman" w:hAnsi="Times New Roman" w:eastAsia="宋体" w:cs="Times New Roman"/>
                <w:color w:val="auto"/>
                <w:spacing w:val="0"/>
                <w:sz w:val="24"/>
                <w:szCs w:val="24"/>
                <w:lang w:val="en-US" w:eastAsia="zh-CN"/>
              </w:rPr>
              <w:t>。该固废属于《国家危险废物名录（2025年版）》中的HW50非特定行业，废物代码为772-007-50烟气脱硝过程中产生的废钒钛系催化剂。采用专用容器</w:t>
            </w:r>
            <w:r>
              <w:rPr>
                <w:rFonts w:hint="default" w:ascii="Times New Roman" w:hAnsi="Times New Roman" w:eastAsia="宋体" w:cs="Times New Roman"/>
                <w:color w:val="auto"/>
                <w:spacing w:val="0"/>
                <w:sz w:val="24"/>
                <w:szCs w:val="24"/>
              </w:rPr>
              <w:t>收集后暂存</w:t>
            </w:r>
            <w:r>
              <w:rPr>
                <w:rFonts w:hint="default" w:ascii="Times New Roman" w:hAnsi="Times New Roman" w:eastAsia="宋体" w:cs="Times New Roman"/>
                <w:color w:val="auto"/>
                <w:spacing w:val="0"/>
                <w:sz w:val="24"/>
                <w:szCs w:val="24"/>
                <w:lang w:val="en-US" w:eastAsia="zh-CN"/>
              </w:rPr>
              <w:t>至</w:t>
            </w:r>
            <w:r>
              <w:rPr>
                <w:rFonts w:hint="default" w:ascii="Times New Roman" w:hAnsi="Times New Roman" w:eastAsia="宋体" w:cs="Times New Roman"/>
                <w:color w:val="auto"/>
                <w:sz w:val="24"/>
                <w:szCs w:val="24"/>
                <w:lang w:val="en-US" w:eastAsia="zh-CN"/>
              </w:rPr>
              <w:t>危废贮存点</w:t>
            </w:r>
            <w:r>
              <w:rPr>
                <w:rFonts w:hint="default" w:ascii="Times New Roman" w:hAnsi="Times New Roman" w:eastAsia="宋体" w:cs="Times New Roman"/>
                <w:color w:val="auto"/>
                <w:spacing w:val="0"/>
                <w:sz w:val="24"/>
                <w:szCs w:val="24"/>
              </w:rPr>
              <w:t>，定期委托有相关危废处理资质的单位进行处置。</w:t>
            </w:r>
          </w:p>
          <w:p w14:paraId="6FCED7DA">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（3）</w:t>
            </w:r>
            <w:r>
              <w:rPr>
                <w:rFonts w:hint="default" w:ascii="Times New Roman" w:hAnsi="Times New Roman" w:cs="Times New Roman"/>
                <w:color w:val="auto"/>
                <w:spacing w:val="0"/>
                <w:sz w:val="24"/>
                <w:szCs w:val="24"/>
                <w:lang w:val="en-US" w:eastAsia="zh-CN"/>
              </w:rPr>
              <w:t>实验室</w:t>
            </w:r>
            <w:r>
              <w:rPr>
                <w:rFonts w:hint="default" w:ascii="Times New Roman" w:hAnsi="Times New Roman" w:eastAsia="宋体" w:cs="Times New Roman"/>
                <w:color w:val="auto"/>
                <w:spacing w:val="0"/>
                <w:sz w:val="24"/>
                <w:szCs w:val="24"/>
                <w:lang w:val="en-US" w:eastAsia="zh-CN"/>
              </w:rPr>
              <w:t>化验废液</w:t>
            </w:r>
          </w:p>
          <w:p w14:paraId="4FF269AC">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cs="Times New Roman"/>
                <w:color w:val="auto"/>
                <w:sz w:val="24"/>
                <w:szCs w:val="24"/>
              </w:rPr>
            </w:pPr>
            <w:r>
              <w:rPr>
                <w:rFonts w:hint="default" w:ascii="Times New Roman" w:hAnsi="Times New Roman" w:eastAsia="宋体" w:cs="Times New Roman"/>
                <w:color w:val="auto"/>
                <w:spacing w:val="0"/>
                <w:sz w:val="24"/>
                <w:szCs w:val="24"/>
                <w:lang w:val="en-US" w:eastAsia="zh-CN"/>
              </w:rPr>
              <w:t>在</w:t>
            </w:r>
            <w:r>
              <w:rPr>
                <w:rFonts w:hint="default" w:ascii="Times New Roman" w:hAnsi="Times New Roman" w:cs="Times New Roman"/>
                <w:color w:val="auto"/>
                <w:spacing w:val="0"/>
                <w:sz w:val="24"/>
                <w:szCs w:val="24"/>
                <w:lang w:val="en-US" w:eastAsia="zh-CN"/>
              </w:rPr>
              <w:t>锅炉给水、炉水、饱和蒸汽、过热蒸汽和凝结水检验化验</w:t>
            </w:r>
            <w:r>
              <w:rPr>
                <w:rFonts w:hint="default" w:ascii="Times New Roman" w:hAnsi="Times New Roman" w:eastAsia="宋体" w:cs="Times New Roman"/>
                <w:color w:val="auto"/>
                <w:spacing w:val="0"/>
                <w:sz w:val="24"/>
                <w:szCs w:val="24"/>
                <w:lang w:val="en-US" w:eastAsia="zh-CN"/>
              </w:rPr>
              <w:t>过程中，因需使用各类化学试剂，产生的</w:t>
            </w:r>
            <w:r>
              <w:rPr>
                <w:rFonts w:hint="default" w:ascii="Times New Roman" w:hAnsi="Times New Roman" w:cs="Times New Roman"/>
                <w:color w:val="auto"/>
                <w:spacing w:val="0"/>
                <w:sz w:val="24"/>
                <w:szCs w:val="24"/>
                <w:lang w:val="en-US" w:eastAsia="zh-CN"/>
              </w:rPr>
              <w:t>废液</w:t>
            </w:r>
            <w:r>
              <w:rPr>
                <w:rFonts w:hint="default" w:ascii="Times New Roman" w:hAnsi="Times New Roman" w:eastAsia="宋体" w:cs="Times New Roman"/>
                <w:color w:val="auto"/>
                <w:spacing w:val="0"/>
                <w:sz w:val="24"/>
                <w:szCs w:val="24"/>
                <w:lang w:val="en-US" w:eastAsia="zh-CN"/>
              </w:rPr>
              <w:t>成分复杂，主要包含酸碱、金属离子、有机试剂及反应产物，且可能含有微量重金属或难降解有机物。</w:t>
            </w:r>
            <w:r>
              <w:rPr>
                <w:rFonts w:hint="default" w:ascii="Times New Roman" w:hAnsi="Times New Roman" w:cs="Times New Roman"/>
                <w:color w:val="auto"/>
                <w:spacing w:val="0"/>
                <w:sz w:val="24"/>
                <w:szCs w:val="24"/>
                <w:lang w:val="en-US" w:eastAsia="zh-CN"/>
              </w:rPr>
              <w:t>该</w:t>
            </w:r>
            <w:r>
              <w:rPr>
                <w:rFonts w:hint="default" w:ascii="Times New Roman" w:hAnsi="Times New Roman" w:eastAsia="宋体" w:cs="Times New Roman"/>
                <w:color w:val="auto"/>
                <w:spacing w:val="0"/>
                <w:sz w:val="24"/>
                <w:szCs w:val="24"/>
                <w:lang w:val="en-US" w:eastAsia="zh-CN"/>
              </w:rPr>
              <w:t>废液</w:t>
            </w:r>
            <w:r>
              <w:rPr>
                <w:rFonts w:hint="default" w:ascii="Times New Roman" w:hAnsi="Times New Roman" w:eastAsia="宋体" w:cs="Times New Roman"/>
                <w:color w:val="auto"/>
                <w:spacing w:val="0"/>
                <w:sz w:val="24"/>
                <w:szCs w:val="24"/>
              </w:rPr>
              <w:t>属于</w:t>
            </w:r>
            <w:r>
              <w:rPr>
                <w:rFonts w:hint="default" w:ascii="Times New Roman" w:hAnsi="Times New Roman" w:eastAsia="宋体" w:cs="Times New Roman"/>
                <w:color w:val="auto"/>
                <w:spacing w:val="0"/>
                <w:sz w:val="24"/>
                <w:szCs w:val="24"/>
                <w:lang w:eastAsia="zh-CN"/>
              </w:rPr>
              <w:t>《国家危险废物名录（2025年版）》</w:t>
            </w:r>
            <w:r>
              <w:rPr>
                <w:rFonts w:hint="default" w:ascii="Times New Roman" w:hAnsi="Times New Roman" w:eastAsia="宋体" w:cs="Times New Roman"/>
                <w:color w:val="auto"/>
                <w:spacing w:val="0"/>
                <w:sz w:val="24"/>
                <w:szCs w:val="24"/>
              </w:rPr>
              <w:t>中的HW</w:t>
            </w:r>
            <w:r>
              <w:rPr>
                <w:rFonts w:hint="default" w:ascii="Times New Roman" w:hAnsi="Times New Roman" w:eastAsia="宋体" w:cs="Times New Roman"/>
                <w:color w:val="auto"/>
                <w:spacing w:val="0"/>
                <w:sz w:val="24"/>
                <w:szCs w:val="24"/>
                <w:lang w:val="en-US" w:eastAsia="zh-CN"/>
              </w:rPr>
              <w:t>49其他废物非特定行业</w:t>
            </w:r>
            <w:r>
              <w:rPr>
                <w:rFonts w:hint="default" w:ascii="Times New Roman" w:hAnsi="Times New Roman" w:eastAsia="宋体" w:cs="Times New Roman"/>
                <w:color w:val="auto"/>
                <w:spacing w:val="0"/>
                <w:sz w:val="24"/>
                <w:szCs w:val="24"/>
                <w:lang w:eastAsia="zh-CN"/>
              </w:rPr>
              <w:t>，</w:t>
            </w:r>
            <w:r>
              <w:rPr>
                <w:rFonts w:hint="default" w:ascii="Times New Roman" w:hAnsi="Times New Roman" w:eastAsia="宋体" w:cs="Times New Roman"/>
                <w:color w:val="auto"/>
                <w:spacing w:val="0"/>
                <w:sz w:val="24"/>
                <w:szCs w:val="24"/>
              </w:rPr>
              <w:t>废物代码为</w:t>
            </w:r>
            <w:r>
              <w:rPr>
                <w:rFonts w:hint="default" w:ascii="Times New Roman" w:hAnsi="Times New Roman" w:eastAsia="宋体" w:cs="Times New Roman"/>
                <w:color w:val="auto"/>
                <w:spacing w:val="0"/>
                <w:sz w:val="24"/>
                <w:szCs w:val="24"/>
                <w:lang w:val="en-US" w:eastAsia="zh-CN"/>
              </w:rPr>
              <w:t>900-47-49生产、研究、开发、教学、环境检测（监测）活动中，化学和生物实验室（不包含感染性医学实验室及医疗机构化验室）产生的含氰、氟、重金属无机废液及无机废液处理产生的残渣、残液，含矿物油、有机溶剂、甲醛有机废液，废酸、废碱，具有危险特性的残留样品，以及沾染上述物质的一次性实验用品（不包括按实验室管理要求进行清洗后的废弃的烧杯、量器、漏斗等实验室用品）、包装物（不包括按实验室管理要求进行清洗后的试剂包装物、容器）、过滤吸附介质等。根据建设单位提供的资料，产生量约为</w:t>
            </w:r>
            <w:r>
              <w:rPr>
                <w:rFonts w:hint="default" w:ascii="Times New Roman" w:hAnsi="Times New Roman" w:cs="Times New Roman"/>
                <w:color w:val="auto"/>
                <w:spacing w:val="0"/>
                <w:sz w:val="24"/>
                <w:szCs w:val="24"/>
                <w:lang w:val="en-US" w:eastAsia="zh-CN"/>
              </w:rPr>
              <w:t>23.38</w:t>
            </w:r>
            <w:r>
              <w:rPr>
                <w:rFonts w:hint="default" w:ascii="Times New Roman" w:hAnsi="Times New Roman" w:eastAsia="宋体" w:cs="Times New Roman"/>
                <w:color w:val="auto"/>
                <w:spacing w:val="0"/>
                <w:sz w:val="24"/>
                <w:szCs w:val="24"/>
                <w:lang w:val="en-US" w:eastAsia="zh-CN"/>
              </w:rPr>
              <w:t>t/a。采用专用容器</w:t>
            </w:r>
            <w:r>
              <w:rPr>
                <w:rFonts w:hint="default" w:ascii="Times New Roman" w:hAnsi="Times New Roman" w:eastAsia="宋体" w:cs="Times New Roman"/>
                <w:color w:val="auto"/>
                <w:spacing w:val="0"/>
                <w:sz w:val="24"/>
                <w:szCs w:val="24"/>
              </w:rPr>
              <w:t>收集后暂存</w:t>
            </w:r>
            <w:r>
              <w:rPr>
                <w:rFonts w:hint="default" w:ascii="Times New Roman" w:hAnsi="Times New Roman" w:eastAsia="宋体" w:cs="Times New Roman"/>
                <w:color w:val="auto"/>
                <w:spacing w:val="0"/>
                <w:sz w:val="24"/>
                <w:szCs w:val="24"/>
                <w:lang w:val="en-US" w:eastAsia="zh-CN"/>
              </w:rPr>
              <w:t>至</w:t>
            </w:r>
            <w:r>
              <w:rPr>
                <w:rFonts w:hint="default" w:ascii="Times New Roman" w:hAnsi="Times New Roman" w:eastAsia="宋体" w:cs="Times New Roman"/>
                <w:color w:val="auto"/>
                <w:sz w:val="24"/>
                <w:szCs w:val="24"/>
                <w:lang w:val="en-US" w:eastAsia="zh-CN"/>
              </w:rPr>
              <w:t>危废贮存点</w:t>
            </w:r>
            <w:r>
              <w:rPr>
                <w:rFonts w:hint="default" w:ascii="Times New Roman" w:hAnsi="Times New Roman" w:eastAsia="宋体" w:cs="Times New Roman"/>
                <w:color w:val="auto"/>
                <w:spacing w:val="0"/>
                <w:sz w:val="24"/>
                <w:szCs w:val="24"/>
              </w:rPr>
              <w:t>，定期委托有相关危废处理资质的单位进行处置。</w:t>
            </w:r>
          </w:p>
          <w:p w14:paraId="62168270">
            <w:pPr>
              <w:keepNext w:val="0"/>
              <w:keepLines w:val="0"/>
              <w:pageBreakBefore w:val="0"/>
              <w:widowControl w:val="0"/>
              <w:suppressLineNumbers w:val="0"/>
              <w:kinsoku/>
              <w:wordWrap/>
              <w:overflowPunct/>
              <w:topLinePunct w:val="0"/>
              <w:autoSpaceDE w:val="0"/>
              <w:autoSpaceDN w:val="0"/>
              <w:bidi w:val="0"/>
              <w:adjustRightInd w:val="0"/>
              <w:snapToGrid w:val="0"/>
              <w:spacing w:before="0" w:beforeAutospacing="0" w:after="0" w:afterAutospacing="0" w:line="360" w:lineRule="auto"/>
              <w:ind w:left="0" w:leftChars="0" w:right="0" w:firstLine="480" w:firstLineChars="200"/>
              <w:jc w:val="both"/>
              <w:textAlignment w:val="auto"/>
              <w:rPr>
                <w:rFonts w:hint="default" w:ascii="Times New Roman" w:hAnsi="Times New Roman" w:eastAsia="宋体" w:cs="Times New Roman"/>
                <w:color w:val="auto"/>
                <w:spacing w:val="0"/>
                <w:sz w:val="24"/>
                <w:szCs w:val="24"/>
              </w:rPr>
            </w:pPr>
            <w:r>
              <w:rPr>
                <w:rFonts w:hint="default" w:ascii="Times New Roman" w:hAnsi="Times New Roman" w:eastAsia="宋体" w:cs="Times New Roman"/>
                <w:color w:val="auto"/>
                <w:spacing w:val="0"/>
                <w:sz w:val="24"/>
                <w:szCs w:val="24"/>
                <w:lang w:eastAsia="zh-CN"/>
              </w:rPr>
              <w:t>本</w:t>
            </w:r>
            <w:r>
              <w:rPr>
                <w:rFonts w:hint="default" w:ascii="Times New Roman" w:hAnsi="Times New Roman" w:eastAsia="宋体" w:cs="Times New Roman"/>
                <w:color w:val="auto"/>
                <w:spacing w:val="0"/>
                <w:sz w:val="24"/>
                <w:szCs w:val="24"/>
              </w:rPr>
              <w:t>项目固体废物</w:t>
            </w:r>
            <w:r>
              <w:rPr>
                <w:rFonts w:hint="default" w:ascii="Times New Roman" w:hAnsi="Times New Roman" w:eastAsia="宋体" w:cs="Times New Roman"/>
                <w:color w:val="auto"/>
                <w:spacing w:val="0"/>
                <w:sz w:val="24"/>
                <w:szCs w:val="24"/>
                <w:lang w:val="en-US" w:eastAsia="zh-CN"/>
              </w:rPr>
              <w:t>产生及处理方式</w:t>
            </w:r>
            <w:r>
              <w:rPr>
                <w:rFonts w:hint="default" w:ascii="Times New Roman" w:hAnsi="Times New Roman" w:eastAsia="宋体" w:cs="Times New Roman"/>
                <w:color w:val="auto"/>
                <w:spacing w:val="0"/>
                <w:sz w:val="24"/>
                <w:szCs w:val="24"/>
              </w:rPr>
              <w:t>情况详见表4-</w:t>
            </w:r>
            <w:r>
              <w:rPr>
                <w:rFonts w:hint="default" w:ascii="Times New Roman" w:hAnsi="Times New Roman" w:eastAsia="宋体" w:cs="Times New Roman"/>
                <w:color w:val="auto"/>
                <w:spacing w:val="0"/>
                <w:sz w:val="24"/>
                <w:szCs w:val="24"/>
                <w:lang w:val="en-US" w:eastAsia="zh-CN"/>
              </w:rPr>
              <w:t>1</w:t>
            </w:r>
            <w:r>
              <w:rPr>
                <w:rFonts w:hint="default" w:ascii="Times New Roman" w:hAnsi="Times New Roman" w:cs="Times New Roman"/>
                <w:color w:val="auto"/>
                <w:spacing w:val="0"/>
                <w:sz w:val="24"/>
                <w:szCs w:val="24"/>
                <w:lang w:val="en-US" w:eastAsia="zh-CN"/>
              </w:rPr>
              <w:t>3</w:t>
            </w:r>
            <w:r>
              <w:rPr>
                <w:rFonts w:hint="default" w:ascii="Times New Roman" w:hAnsi="Times New Roman" w:eastAsia="宋体" w:cs="Times New Roman"/>
                <w:color w:val="auto"/>
                <w:spacing w:val="0"/>
                <w:sz w:val="24"/>
                <w:szCs w:val="24"/>
              </w:rPr>
              <w:t>。</w:t>
            </w:r>
          </w:p>
          <w:p w14:paraId="217B7052">
            <w:pPr>
              <w:pStyle w:val="44"/>
              <w:pageBreakBefore w:val="0"/>
              <w:kinsoku/>
              <w:wordWrap/>
              <w:overflowPunct/>
              <w:bidi w:val="0"/>
              <w:adjustRightInd w:val="0"/>
              <w:snapToGrid w:val="0"/>
              <w:spacing w:before="0"/>
              <w:rPr>
                <w:rFonts w:hint="default" w:ascii="Times New Roman" w:hAnsi="Times New Roman" w:eastAsia="宋体" w:cs="Times New Roman"/>
                <w:b/>
                <w:color w:val="auto"/>
                <w:spacing w:val="0"/>
                <w:sz w:val="21"/>
                <w:szCs w:val="21"/>
                <w:lang w:val="en-US" w:eastAsia="zh-CN"/>
              </w:rPr>
            </w:pPr>
          </w:p>
          <w:p w14:paraId="59C6F317">
            <w:pPr>
              <w:pStyle w:val="44"/>
              <w:pageBreakBefore w:val="0"/>
              <w:kinsoku/>
              <w:wordWrap/>
              <w:overflowPunct/>
              <w:bidi w:val="0"/>
              <w:adjustRightInd w:val="0"/>
              <w:snapToGrid w:val="0"/>
              <w:spacing w:before="0"/>
              <w:rPr>
                <w:rFonts w:hint="default" w:ascii="Times New Roman" w:hAnsi="Times New Roman" w:eastAsia="宋体" w:cs="Times New Roman"/>
                <w:b/>
                <w:color w:val="auto"/>
                <w:spacing w:val="0"/>
                <w:sz w:val="21"/>
                <w:szCs w:val="21"/>
                <w:lang w:val="en-US" w:eastAsia="zh-CN"/>
              </w:rPr>
            </w:pPr>
          </w:p>
          <w:p w14:paraId="48D63267">
            <w:pPr>
              <w:pStyle w:val="44"/>
              <w:pageBreakBefore w:val="0"/>
              <w:kinsoku/>
              <w:wordWrap/>
              <w:overflowPunct/>
              <w:bidi w:val="0"/>
              <w:adjustRightInd w:val="0"/>
              <w:snapToGrid w:val="0"/>
              <w:spacing w:before="0"/>
              <w:rPr>
                <w:rFonts w:hint="default" w:ascii="Times New Roman" w:hAnsi="Times New Roman" w:eastAsia="宋体" w:cs="Times New Roman"/>
                <w:b/>
                <w:color w:val="auto"/>
                <w:spacing w:val="0"/>
                <w:sz w:val="21"/>
                <w:szCs w:val="21"/>
                <w:lang w:val="en-US" w:eastAsia="zh-CN"/>
              </w:rPr>
            </w:pPr>
            <w:r>
              <w:rPr>
                <w:rFonts w:hint="default" w:ascii="Times New Roman" w:hAnsi="Times New Roman" w:eastAsia="宋体" w:cs="Times New Roman"/>
                <w:b/>
                <w:color w:val="auto"/>
                <w:spacing w:val="0"/>
                <w:sz w:val="21"/>
                <w:szCs w:val="21"/>
                <w:lang w:val="en-US" w:eastAsia="zh-CN"/>
              </w:rPr>
              <w:t>表4-13固体废物产生及处置方式信息</w:t>
            </w:r>
          </w:p>
          <w:tbl>
            <w:tblPr>
              <w:tblStyle w:val="32"/>
              <w:tblW w:w="7994" w:type="dxa"/>
              <w:tblInd w:w="24"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766"/>
              <w:gridCol w:w="440"/>
              <w:gridCol w:w="786"/>
              <w:gridCol w:w="618"/>
              <w:gridCol w:w="894"/>
              <w:gridCol w:w="976"/>
              <w:gridCol w:w="442"/>
              <w:gridCol w:w="424"/>
              <w:gridCol w:w="672"/>
              <w:gridCol w:w="725"/>
              <w:gridCol w:w="1251"/>
            </w:tblGrid>
            <w:tr w14:paraId="7B2916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112" w:hRule="atLeast"/>
              </w:trPr>
              <w:tc>
                <w:tcPr>
                  <w:tcW w:w="766" w:type="dxa"/>
                  <w:tcBorders>
                    <w:tl2br w:val="nil"/>
                    <w:tr2bl w:val="nil"/>
                  </w:tcBorders>
                  <w:noWrap w:val="0"/>
                  <w:vAlign w:val="center"/>
                </w:tcPr>
                <w:p w14:paraId="4118AF9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产生环节</w:t>
                  </w:r>
                </w:p>
              </w:tc>
              <w:tc>
                <w:tcPr>
                  <w:tcW w:w="440" w:type="dxa"/>
                  <w:tcBorders>
                    <w:tl2br w:val="nil"/>
                    <w:tr2bl w:val="nil"/>
                  </w:tcBorders>
                  <w:noWrap w:val="0"/>
                  <w:vAlign w:val="center"/>
                </w:tcPr>
                <w:p w14:paraId="0E717A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属性</w:t>
                  </w:r>
                </w:p>
              </w:tc>
              <w:tc>
                <w:tcPr>
                  <w:tcW w:w="786" w:type="dxa"/>
                  <w:tcBorders>
                    <w:tl2br w:val="nil"/>
                    <w:tr2bl w:val="nil"/>
                  </w:tcBorders>
                  <w:noWrap w:val="0"/>
                  <w:vAlign w:val="center"/>
                </w:tcPr>
                <w:p w14:paraId="6470513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名称</w:t>
                  </w:r>
                </w:p>
              </w:tc>
              <w:tc>
                <w:tcPr>
                  <w:tcW w:w="618" w:type="dxa"/>
                  <w:tcBorders>
                    <w:tl2br w:val="nil"/>
                    <w:tr2bl w:val="nil"/>
                  </w:tcBorders>
                  <w:noWrap w:val="0"/>
                  <w:vAlign w:val="center"/>
                </w:tcPr>
                <w:p w14:paraId="2E55B2F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编号</w:t>
                  </w:r>
                </w:p>
              </w:tc>
              <w:tc>
                <w:tcPr>
                  <w:tcW w:w="894" w:type="dxa"/>
                  <w:tcBorders>
                    <w:tl2br w:val="nil"/>
                    <w:tr2bl w:val="nil"/>
                  </w:tcBorders>
                  <w:noWrap w:val="0"/>
                  <w:vAlign w:val="center"/>
                </w:tcPr>
                <w:p w14:paraId="35C8E1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废物代码</w:t>
                  </w:r>
                </w:p>
              </w:tc>
              <w:tc>
                <w:tcPr>
                  <w:tcW w:w="976" w:type="dxa"/>
                  <w:tcBorders>
                    <w:tl2br w:val="nil"/>
                    <w:tr2bl w:val="nil"/>
                  </w:tcBorders>
                  <w:noWrap w:val="0"/>
                  <w:vAlign w:val="center"/>
                </w:tcPr>
                <w:p w14:paraId="53B24D7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有毒有害物质</w:t>
                  </w:r>
                </w:p>
              </w:tc>
              <w:tc>
                <w:tcPr>
                  <w:tcW w:w="442" w:type="dxa"/>
                  <w:tcBorders>
                    <w:tl2br w:val="nil"/>
                    <w:tr2bl w:val="nil"/>
                  </w:tcBorders>
                  <w:noWrap w:val="0"/>
                  <w:vAlign w:val="center"/>
                </w:tcPr>
                <w:p w14:paraId="72B9CB3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物理性状</w:t>
                  </w:r>
                </w:p>
              </w:tc>
              <w:tc>
                <w:tcPr>
                  <w:tcW w:w="424" w:type="dxa"/>
                  <w:tcBorders>
                    <w:tl2br w:val="nil"/>
                    <w:tr2bl w:val="nil"/>
                  </w:tcBorders>
                  <w:noWrap w:val="0"/>
                  <w:vAlign w:val="center"/>
                </w:tcPr>
                <w:p w14:paraId="2E5C80A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危险特性</w:t>
                  </w:r>
                </w:p>
              </w:tc>
              <w:tc>
                <w:tcPr>
                  <w:tcW w:w="672" w:type="dxa"/>
                  <w:tcBorders>
                    <w:tl2br w:val="nil"/>
                    <w:tr2bl w:val="nil"/>
                  </w:tcBorders>
                  <w:noWrap w:val="0"/>
                  <w:vAlign w:val="center"/>
                </w:tcPr>
                <w:p w14:paraId="3091F84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highlight w:val="none"/>
                      <w:u w:val="none"/>
                      <w:lang w:val="en-US" w:eastAsia="zh-CN" w:bidi="ar"/>
                    </w:rPr>
                  </w:pPr>
                  <w:r>
                    <w:rPr>
                      <w:rFonts w:hint="default" w:ascii="Times New Roman" w:hAnsi="Times New Roman" w:eastAsia="宋体" w:cs="Times New Roman"/>
                      <w:b/>
                      <w:bCs/>
                      <w:i w:val="0"/>
                      <w:iCs w:val="0"/>
                      <w:color w:val="auto"/>
                      <w:kern w:val="0"/>
                      <w:sz w:val="21"/>
                      <w:szCs w:val="21"/>
                      <w:highlight w:val="none"/>
                      <w:u w:val="none"/>
                      <w:lang w:val="en-US" w:eastAsia="zh-CN" w:bidi="ar"/>
                    </w:rPr>
                    <w:t>产生量</w:t>
                  </w:r>
                </w:p>
                <w:p w14:paraId="415C03F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t/a</w:t>
                  </w:r>
                </w:p>
              </w:tc>
              <w:tc>
                <w:tcPr>
                  <w:tcW w:w="725" w:type="dxa"/>
                  <w:tcBorders>
                    <w:tl2br w:val="nil"/>
                    <w:tr2bl w:val="nil"/>
                  </w:tcBorders>
                  <w:noWrap w:val="0"/>
                  <w:vAlign w:val="center"/>
                </w:tcPr>
                <w:p w14:paraId="1A9FA40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贮存方式</w:t>
                  </w:r>
                </w:p>
              </w:tc>
              <w:tc>
                <w:tcPr>
                  <w:tcW w:w="1251" w:type="dxa"/>
                  <w:tcBorders>
                    <w:tl2br w:val="nil"/>
                    <w:tr2bl w:val="nil"/>
                  </w:tcBorders>
                  <w:noWrap w:val="0"/>
                  <w:vAlign w:val="center"/>
                </w:tcPr>
                <w:p w14:paraId="196CCB7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highlight w:val="none"/>
                      <w:u w:val="none"/>
                    </w:rPr>
                  </w:pPr>
                  <w:r>
                    <w:rPr>
                      <w:rFonts w:hint="default" w:ascii="Times New Roman" w:hAnsi="Times New Roman" w:eastAsia="宋体" w:cs="Times New Roman"/>
                      <w:b/>
                      <w:bCs/>
                      <w:i w:val="0"/>
                      <w:iCs w:val="0"/>
                      <w:color w:val="auto"/>
                      <w:kern w:val="0"/>
                      <w:sz w:val="21"/>
                      <w:szCs w:val="21"/>
                      <w:highlight w:val="none"/>
                      <w:u w:val="none"/>
                      <w:lang w:val="en-US" w:eastAsia="zh-CN" w:bidi="ar"/>
                    </w:rPr>
                    <w:t>最终去向</w:t>
                  </w:r>
                </w:p>
              </w:tc>
            </w:tr>
            <w:tr w14:paraId="473775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51" w:hRule="atLeast"/>
              </w:trPr>
              <w:tc>
                <w:tcPr>
                  <w:tcW w:w="766" w:type="dxa"/>
                  <w:vMerge w:val="restart"/>
                  <w:tcBorders>
                    <w:tl2br w:val="nil"/>
                    <w:tr2bl w:val="nil"/>
                  </w:tcBorders>
                  <w:noWrap w:val="0"/>
                  <w:vAlign w:val="center"/>
                </w:tcPr>
                <w:p w14:paraId="48B39DA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职工生活</w:t>
                  </w:r>
                </w:p>
              </w:tc>
              <w:tc>
                <w:tcPr>
                  <w:tcW w:w="440" w:type="dxa"/>
                  <w:vMerge w:val="restart"/>
                  <w:tcBorders>
                    <w:tl2br w:val="nil"/>
                    <w:tr2bl w:val="nil"/>
                  </w:tcBorders>
                  <w:noWrap w:val="0"/>
                  <w:vAlign w:val="center"/>
                </w:tcPr>
                <w:p w14:paraId="50081A7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生活垃圾</w:t>
                  </w:r>
                </w:p>
              </w:tc>
              <w:tc>
                <w:tcPr>
                  <w:tcW w:w="786" w:type="dxa"/>
                  <w:tcBorders>
                    <w:tl2br w:val="nil"/>
                    <w:tr2bl w:val="nil"/>
                  </w:tcBorders>
                  <w:noWrap w:val="0"/>
                  <w:vAlign w:val="center"/>
                </w:tcPr>
                <w:p w14:paraId="5288FF2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餐厨垃圾</w:t>
                  </w:r>
                </w:p>
              </w:tc>
              <w:tc>
                <w:tcPr>
                  <w:tcW w:w="618" w:type="dxa"/>
                  <w:tcBorders>
                    <w:tl2br w:val="nil"/>
                    <w:tr2bl w:val="nil"/>
                  </w:tcBorders>
                  <w:noWrap w:val="0"/>
                  <w:vAlign w:val="center"/>
                </w:tcPr>
                <w:p w14:paraId="0C44B56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SW61</w:t>
                  </w:r>
                </w:p>
              </w:tc>
              <w:tc>
                <w:tcPr>
                  <w:tcW w:w="894" w:type="dxa"/>
                  <w:tcBorders>
                    <w:tl2br w:val="nil"/>
                    <w:tr2bl w:val="nil"/>
                  </w:tcBorders>
                  <w:noWrap w:val="0"/>
                  <w:vAlign w:val="center"/>
                </w:tcPr>
                <w:p w14:paraId="456C42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900-002-S61</w:t>
                  </w:r>
                </w:p>
              </w:tc>
              <w:tc>
                <w:tcPr>
                  <w:tcW w:w="976" w:type="dxa"/>
                  <w:vMerge w:val="restart"/>
                  <w:tcBorders>
                    <w:tl2br w:val="nil"/>
                    <w:tr2bl w:val="nil"/>
                  </w:tcBorders>
                  <w:noWrap w:val="0"/>
                  <w:vAlign w:val="center"/>
                </w:tcPr>
                <w:p w14:paraId="52ED322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无</w:t>
                  </w:r>
                </w:p>
                <w:p w14:paraId="4D1C511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无</w:t>
                  </w:r>
                </w:p>
              </w:tc>
              <w:tc>
                <w:tcPr>
                  <w:tcW w:w="442" w:type="dxa"/>
                  <w:vMerge w:val="restart"/>
                  <w:tcBorders>
                    <w:tl2br w:val="nil"/>
                    <w:tr2bl w:val="nil"/>
                  </w:tcBorders>
                  <w:noWrap w:val="0"/>
                  <w:vAlign w:val="center"/>
                </w:tcPr>
                <w:p w14:paraId="35AED1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固态</w:t>
                  </w:r>
                </w:p>
              </w:tc>
              <w:tc>
                <w:tcPr>
                  <w:tcW w:w="424" w:type="dxa"/>
                  <w:vMerge w:val="restart"/>
                  <w:tcBorders>
                    <w:tl2br w:val="nil"/>
                    <w:tr2bl w:val="nil"/>
                  </w:tcBorders>
                  <w:noWrap w:val="0"/>
                  <w:vAlign w:val="center"/>
                </w:tcPr>
                <w:p w14:paraId="1B822EA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无</w:t>
                  </w:r>
                </w:p>
              </w:tc>
              <w:tc>
                <w:tcPr>
                  <w:tcW w:w="672" w:type="dxa"/>
                  <w:vMerge w:val="restart"/>
                  <w:tcBorders>
                    <w:tl2br w:val="nil"/>
                    <w:tr2bl w:val="nil"/>
                  </w:tcBorders>
                  <w:noWrap w:val="0"/>
                  <w:vAlign w:val="center"/>
                </w:tcPr>
                <w:p w14:paraId="099CBC9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7.682</w:t>
                  </w:r>
                </w:p>
              </w:tc>
              <w:tc>
                <w:tcPr>
                  <w:tcW w:w="725" w:type="dxa"/>
                  <w:vMerge w:val="restart"/>
                  <w:tcBorders>
                    <w:tl2br w:val="nil"/>
                    <w:tr2bl w:val="nil"/>
                  </w:tcBorders>
                  <w:noWrap w:val="0"/>
                  <w:vAlign w:val="center"/>
                </w:tcPr>
                <w:p w14:paraId="7151BEC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垃圾收集箱</w:t>
                  </w:r>
                </w:p>
              </w:tc>
              <w:tc>
                <w:tcPr>
                  <w:tcW w:w="1251" w:type="dxa"/>
                  <w:vMerge w:val="restart"/>
                  <w:tcBorders>
                    <w:tl2br w:val="nil"/>
                    <w:tr2bl w:val="nil"/>
                  </w:tcBorders>
                  <w:noWrap w:val="0"/>
                  <w:vAlign w:val="center"/>
                </w:tcPr>
                <w:p w14:paraId="2886AD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及时收集清理至周边垃圾转运站，由环卫部门统一进行处置。</w:t>
                  </w:r>
                </w:p>
              </w:tc>
            </w:tr>
            <w:tr w14:paraId="3F800D5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atLeast"/>
              </w:trPr>
              <w:tc>
                <w:tcPr>
                  <w:tcW w:w="766" w:type="dxa"/>
                  <w:vMerge w:val="continue"/>
                  <w:tcBorders>
                    <w:tl2br w:val="nil"/>
                    <w:tr2bl w:val="nil"/>
                  </w:tcBorders>
                  <w:noWrap w:val="0"/>
                  <w:vAlign w:val="center"/>
                </w:tcPr>
                <w:p w14:paraId="6F728663">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40" w:type="dxa"/>
                  <w:vMerge w:val="continue"/>
                  <w:tcBorders>
                    <w:tl2br w:val="nil"/>
                    <w:tr2bl w:val="nil"/>
                  </w:tcBorders>
                  <w:noWrap w:val="0"/>
                  <w:vAlign w:val="center"/>
                </w:tcPr>
                <w:p w14:paraId="01FE9A61">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786" w:type="dxa"/>
                  <w:vMerge w:val="restart"/>
                  <w:tcBorders>
                    <w:tl2br w:val="nil"/>
                    <w:tr2bl w:val="nil"/>
                  </w:tcBorders>
                  <w:noWrap/>
                  <w:vAlign w:val="center"/>
                </w:tcPr>
                <w:p w14:paraId="48E2E3A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可回收物</w:t>
                  </w:r>
                </w:p>
              </w:tc>
              <w:tc>
                <w:tcPr>
                  <w:tcW w:w="618" w:type="dxa"/>
                  <w:vMerge w:val="restart"/>
                  <w:tcBorders>
                    <w:tl2br w:val="nil"/>
                    <w:tr2bl w:val="nil"/>
                  </w:tcBorders>
                  <w:noWrap w:val="0"/>
                  <w:vAlign w:val="center"/>
                </w:tcPr>
                <w:p w14:paraId="0932564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SW62</w:t>
                  </w:r>
                </w:p>
              </w:tc>
              <w:tc>
                <w:tcPr>
                  <w:tcW w:w="894" w:type="dxa"/>
                  <w:tcBorders>
                    <w:tl2br w:val="nil"/>
                    <w:tr2bl w:val="nil"/>
                  </w:tcBorders>
                  <w:noWrap w:val="0"/>
                  <w:vAlign w:val="center"/>
                </w:tcPr>
                <w:p w14:paraId="7B9CD4B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900-001-S62</w:t>
                  </w:r>
                </w:p>
              </w:tc>
              <w:tc>
                <w:tcPr>
                  <w:tcW w:w="976" w:type="dxa"/>
                  <w:vMerge w:val="continue"/>
                  <w:tcBorders>
                    <w:tl2br w:val="nil"/>
                    <w:tr2bl w:val="nil"/>
                  </w:tcBorders>
                  <w:noWrap w:val="0"/>
                  <w:vAlign w:val="center"/>
                </w:tcPr>
                <w:p w14:paraId="71AA67EA">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42" w:type="dxa"/>
                  <w:vMerge w:val="continue"/>
                  <w:tcBorders>
                    <w:tl2br w:val="nil"/>
                    <w:tr2bl w:val="nil"/>
                  </w:tcBorders>
                  <w:noWrap w:val="0"/>
                  <w:vAlign w:val="center"/>
                </w:tcPr>
                <w:p w14:paraId="089E1608">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24" w:type="dxa"/>
                  <w:vMerge w:val="continue"/>
                  <w:tcBorders>
                    <w:tl2br w:val="nil"/>
                    <w:tr2bl w:val="nil"/>
                  </w:tcBorders>
                  <w:noWrap w:val="0"/>
                  <w:vAlign w:val="center"/>
                </w:tcPr>
                <w:p w14:paraId="45E281A1">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672" w:type="dxa"/>
                  <w:vMerge w:val="continue"/>
                  <w:tcBorders>
                    <w:tl2br w:val="nil"/>
                    <w:tr2bl w:val="nil"/>
                  </w:tcBorders>
                  <w:noWrap w:val="0"/>
                  <w:vAlign w:val="center"/>
                </w:tcPr>
                <w:p w14:paraId="21CBC2C8">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725" w:type="dxa"/>
                  <w:vMerge w:val="continue"/>
                  <w:tcBorders>
                    <w:tl2br w:val="nil"/>
                    <w:tr2bl w:val="nil"/>
                  </w:tcBorders>
                  <w:noWrap w:val="0"/>
                  <w:vAlign w:val="center"/>
                </w:tcPr>
                <w:p w14:paraId="462F1DB3">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1251" w:type="dxa"/>
                  <w:vMerge w:val="continue"/>
                  <w:tcBorders>
                    <w:tl2br w:val="nil"/>
                    <w:tr2bl w:val="nil"/>
                  </w:tcBorders>
                  <w:noWrap w:val="0"/>
                  <w:vAlign w:val="center"/>
                </w:tcPr>
                <w:p w14:paraId="2F3CAAC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r>
            <w:tr w14:paraId="069E31A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atLeast"/>
              </w:trPr>
              <w:tc>
                <w:tcPr>
                  <w:tcW w:w="766" w:type="dxa"/>
                  <w:vMerge w:val="continue"/>
                  <w:tcBorders>
                    <w:tl2br w:val="nil"/>
                    <w:tr2bl w:val="nil"/>
                  </w:tcBorders>
                  <w:noWrap w:val="0"/>
                  <w:vAlign w:val="center"/>
                </w:tcPr>
                <w:p w14:paraId="395B2B2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40" w:type="dxa"/>
                  <w:vMerge w:val="continue"/>
                  <w:tcBorders>
                    <w:tl2br w:val="nil"/>
                    <w:tr2bl w:val="nil"/>
                  </w:tcBorders>
                  <w:noWrap w:val="0"/>
                  <w:vAlign w:val="center"/>
                </w:tcPr>
                <w:p w14:paraId="3DB196C4">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786" w:type="dxa"/>
                  <w:vMerge w:val="continue"/>
                  <w:tcBorders>
                    <w:tl2br w:val="nil"/>
                    <w:tr2bl w:val="nil"/>
                  </w:tcBorders>
                  <w:noWrap/>
                  <w:vAlign w:val="center"/>
                </w:tcPr>
                <w:p w14:paraId="27EC5FA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618" w:type="dxa"/>
                  <w:vMerge w:val="continue"/>
                  <w:tcBorders>
                    <w:tl2br w:val="nil"/>
                    <w:tr2bl w:val="nil"/>
                  </w:tcBorders>
                  <w:noWrap w:val="0"/>
                  <w:vAlign w:val="center"/>
                </w:tcPr>
                <w:p w14:paraId="3FA86D08">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894" w:type="dxa"/>
                  <w:tcBorders>
                    <w:tl2br w:val="nil"/>
                    <w:tr2bl w:val="nil"/>
                  </w:tcBorders>
                  <w:noWrap w:val="0"/>
                  <w:vAlign w:val="center"/>
                </w:tcPr>
                <w:p w14:paraId="4637B2A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900-002-S62</w:t>
                  </w:r>
                </w:p>
              </w:tc>
              <w:tc>
                <w:tcPr>
                  <w:tcW w:w="976" w:type="dxa"/>
                  <w:vMerge w:val="continue"/>
                  <w:tcBorders>
                    <w:tl2br w:val="nil"/>
                    <w:tr2bl w:val="nil"/>
                  </w:tcBorders>
                  <w:noWrap w:val="0"/>
                  <w:vAlign w:val="center"/>
                </w:tcPr>
                <w:p w14:paraId="37853404">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42" w:type="dxa"/>
                  <w:vMerge w:val="continue"/>
                  <w:tcBorders>
                    <w:tl2br w:val="nil"/>
                    <w:tr2bl w:val="nil"/>
                  </w:tcBorders>
                  <w:noWrap w:val="0"/>
                  <w:vAlign w:val="center"/>
                </w:tcPr>
                <w:p w14:paraId="3566BD09">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24" w:type="dxa"/>
                  <w:vMerge w:val="continue"/>
                  <w:tcBorders>
                    <w:tl2br w:val="nil"/>
                    <w:tr2bl w:val="nil"/>
                  </w:tcBorders>
                  <w:noWrap w:val="0"/>
                  <w:vAlign w:val="center"/>
                </w:tcPr>
                <w:p w14:paraId="38FEC02A">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672" w:type="dxa"/>
                  <w:vMerge w:val="continue"/>
                  <w:tcBorders>
                    <w:tl2br w:val="nil"/>
                    <w:tr2bl w:val="nil"/>
                  </w:tcBorders>
                  <w:noWrap w:val="0"/>
                  <w:vAlign w:val="center"/>
                </w:tcPr>
                <w:p w14:paraId="6514B1CD">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725" w:type="dxa"/>
                  <w:vMerge w:val="continue"/>
                  <w:tcBorders>
                    <w:tl2br w:val="nil"/>
                    <w:tr2bl w:val="nil"/>
                  </w:tcBorders>
                  <w:noWrap w:val="0"/>
                  <w:vAlign w:val="center"/>
                </w:tcPr>
                <w:p w14:paraId="23FF7BFC">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1251" w:type="dxa"/>
                  <w:vMerge w:val="continue"/>
                  <w:tcBorders>
                    <w:tl2br w:val="nil"/>
                    <w:tr2bl w:val="nil"/>
                  </w:tcBorders>
                  <w:noWrap w:val="0"/>
                  <w:vAlign w:val="center"/>
                </w:tcPr>
                <w:p w14:paraId="02E40678">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r>
            <w:tr w14:paraId="203CB6D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atLeast"/>
              </w:trPr>
              <w:tc>
                <w:tcPr>
                  <w:tcW w:w="766" w:type="dxa"/>
                  <w:vMerge w:val="continue"/>
                  <w:tcBorders>
                    <w:tl2br w:val="nil"/>
                    <w:tr2bl w:val="nil"/>
                  </w:tcBorders>
                  <w:noWrap w:val="0"/>
                  <w:vAlign w:val="center"/>
                </w:tcPr>
                <w:p w14:paraId="781B9A01">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40" w:type="dxa"/>
                  <w:vMerge w:val="continue"/>
                  <w:tcBorders>
                    <w:tl2br w:val="nil"/>
                    <w:tr2bl w:val="nil"/>
                  </w:tcBorders>
                  <w:noWrap w:val="0"/>
                  <w:vAlign w:val="center"/>
                </w:tcPr>
                <w:p w14:paraId="1AEFB2D8">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786" w:type="dxa"/>
                  <w:vMerge w:val="continue"/>
                  <w:tcBorders>
                    <w:tl2br w:val="nil"/>
                    <w:tr2bl w:val="nil"/>
                  </w:tcBorders>
                  <w:noWrap/>
                  <w:vAlign w:val="center"/>
                </w:tcPr>
                <w:p w14:paraId="077B4E7E">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618" w:type="dxa"/>
                  <w:vMerge w:val="continue"/>
                  <w:tcBorders>
                    <w:tl2br w:val="nil"/>
                    <w:tr2bl w:val="nil"/>
                  </w:tcBorders>
                  <w:noWrap w:val="0"/>
                  <w:vAlign w:val="center"/>
                </w:tcPr>
                <w:p w14:paraId="6F84A256">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894" w:type="dxa"/>
                  <w:tcBorders>
                    <w:tl2br w:val="nil"/>
                    <w:tr2bl w:val="nil"/>
                  </w:tcBorders>
                  <w:noWrap w:val="0"/>
                  <w:vAlign w:val="center"/>
                </w:tcPr>
                <w:p w14:paraId="041AC8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900-003-S62</w:t>
                  </w:r>
                </w:p>
              </w:tc>
              <w:tc>
                <w:tcPr>
                  <w:tcW w:w="976" w:type="dxa"/>
                  <w:vMerge w:val="continue"/>
                  <w:tcBorders>
                    <w:tl2br w:val="nil"/>
                    <w:tr2bl w:val="nil"/>
                  </w:tcBorders>
                  <w:noWrap w:val="0"/>
                  <w:vAlign w:val="center"/>
                </w:tcPr>
                <w:p w14:paraId="70C40A19">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42" w:type="dxa"/>
                  <w:vMerge w:val="continue"/>
                  <w:tcBorders>
                    <w:tl2br w:val="nil"/>
                    <w:tr2bl w:val="nil"/>
                  </w:tcBorders>
                  <w:noWrap w:val="0"/>
                  <w:vAlign w:val="center"/>
                </w:tcPr>
                <w:p w14:paraId="49D49D9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24" w:type="dxa"/>
                  <w:vMerge w:val="continue"/>
                  <w:tcBorders>
                    <w:tl2br w:val="nil"/>
                    <w:tr2bl w:val="nil"/>
                  </w:tcBorders>
                  <w:noWrap w:val="0"/>
                  <w:vAlign w:val="center"/>
                </w:tcPr>
                <w:p w14:paraId="5100BFDE">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672" w:type="dxa"/>
                  <w:vMerge w:val="continue"/>
                  <w:tcBorders>
                    <w:tl2br w:val="nil"/>
                    <w:tr2bl w:val="nil"/>
                  </w:tcBorders>
                  <w:noWrap w:val="0"/>
                  <w:vAlign w:val="center"/>
                </w:tcPr>
                <w:p w14:paraId="019EC2F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725" w:type="dxa"/>
                  <w:vMerge w:val="continue"/>
                  <w:tcBorders>
                    <w:tl2br w:val="nil"/>
                    <w:tr2bl w:val="nil"/>
                  </w:tcBorders>
                  <w:noWrap w:val="0"/>
                  <w:vAlign w:val="center"/>
                </w:tcPr>
                <w:p w14:paraId="4C38CAB3">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1251" w:type="dxa"/>
                  <w:vMerge w:val="continue"/>
                  <w:tcBorders>
                    <w:tl2br w:val="nil"/>
                    <w:tr2bl w:val="nil"/>
                  </w:tcBorders>
                  <w:noWrap w:val="0"/>
                  <w:vAlign w:val="center"/>
                </w:tcPr>
                <w:p w14:paraId="3E8E7C7D">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r>
            <w:tr w14:paraId="567EA9F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atLeast"/>
              </w:trPr>
              <w:tc>
                <w:tcPr>
                  <w:tcW w:w="766" w:type="dxa"/>
                  <w:vMerge w:val="continue"/>
                  <w:tcBorders>
                    <w:tl2br w:val="nil"/>
                    <w:tr2bl w:val="nil"/>
                  </w:tcBorders>
                  <w:noWrap w:val="0"/>
                  <w:vAlign w:val="center"/>
                </w:tcPr>
                <w:p w14:paraId="6B9649B9">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40" w:type="dxa"/>
                  <w:vMerge w:val="continue"/>
                  <w:tcBorders>
                    <w:tl2br w:val="nil"/>
                    <w:tr2bl w:val="nil"/>
                  </w:tcBorders>
                  <w:noWrap w:val="0"/>
                  <w:vAlign w:val="center"/>
                </w:tcPr>
                <w:p w14:paraId="0C33811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786" w:type="dxa"/>
                  <w:vMerge w:val="continue"/>
                  <w:tcBorders>
                    <w:tl2br w:val="nil"/>
                    <w:tr2bl w:val="nil"/>
                  </w:tcBorders>
                  <w:noWrap/>
                  <w:vAlign w:val="center"/>
                </w:tcPr>
                <w:p w14:paraId="63AE60B4">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618" w:type="dxa"/>
                  <w:vMerge w:val="continue"/>
                  <w:tcBorders>
                    <w:tl2br w:val="nil"/>
                    <w:tr2bl w:val="nil"/>
                  </w:tcBorders>
                  <w:noWrap w:val="0"/>
                  <w:vAlign w:val="center"/>
                </w:tcPr>
                <w:p w14:paraId="646515C0">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894" w:type="dxa"/>
                  <w:tcBorders>
                    <w:tl2br w:val="nil"/>
                    <w:tr2bl w:val="nil"/>
                  </w:tcBorders>
                  <w:noWrap w:val="0"/>
                  <w:vAlign w:val="center"/>
                </w:tcPr>
                <w:p w14:paraId="67575C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900-004-S62</w:t>
                  </w:r>
                </w:p>
              </w:tc>
              <w:tc>
                <w:tcPr>
                  <w:tcW w:w="976" w:type="dxa"/>
                  <w:vMerge w:val="continue"/>
                  <w:tcBorders>
                    <w:tl2br w:val="nil"/>
                    <w:tr2bl w:val="nil"/>
                  </w:tcBorders>
                  <w:noWrap w:val="0"/>
                  <w:vAlign w:val="center"/>
                </w:tcPr>
                <w:p w14:paraId="67904513">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lang w:val="en-US" w:eastAsia="zh-CN"/>
                    </w:rPr>
                  </w:pPr>
                </w:p>
              </w:tc>
              <w:tc>
                <w:tcPr>
                  <w:tcW w:w="442" w:type="dxa"/>
                  <w:vMerge w:val="continue"/>
                  <w:tcBorders>
                    <w:tl2br w:val="nil"/>
                    <w:tr2bl w:val="nil"/>
                  </w:tcBorders>
                  <w:noWrap w:val="0"/>
                  <w:vAlign w:val="center"/>
                </w:tcPr>
                <w:p w14:paraId="6617532D">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24" w:type="dxa"/>
                  <w:vMerge w:val="continue"/>
                  <w:tcBorders>
                    <w:tl2br w:val="nil"/>
                    <w:tr2bl w:val="nil"/>
                  </w:tcBorders>
                  <w:noWrap w:val="0"/>
                  <w:vAlign w:val="center"/>
                </w:tcPr>
                <w:p w14:paraId="0C4B3E23">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672" w:type="dxa"/>
                  <w:vMerge w:val="continue"/>
                  <w:tcBorders>
                    <w:tl2br w:val="nil"/>
                    <w:tr2bl w:val="nil"/>
                  </w:tcBorders>
                  <w:noWrap w:val="0"/>
                  <w:vAlign w:val="center"/>
                </w:tcPr>
                <w:p w14:paraId="5B9A0629">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725" w:type="dxa"/>
                  <w:vMerge w:val="continue"/>
                  <w:tcBorders>
                    <w:tl2br w:val="nil"/>
                    <w:tr2bl w:val="nil"/>
                  </w:tcBorders>
                  <w:noWrap w:val="0"/>
                  <w:vAlign w:val="center"/>
                </w:tcPr>
                <w:p w14:paraId="425C1DC3">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1251" w:type="dxa"/>
                  <w:vMerge w:val="continue"/>
                  <w:tcBorders>
                    <w:tl2br w:val="nil"/>
                    <w:tr2bl w:val="nil"/>
                  </w:tcBorders>
                  <w:noWrap w:val="0"/>
                  <w:vAlign w:val="center"/>
                </w:tcPr>
                <w:p w14:paraId="7647EBC2">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r>
            <w:tr w14:paraId="0FF9F3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atLeast"/>
              </w:trPr>
              <w:tc>
                <w:tcPr>
                  <w:tcW w:w="766" w:type="dxa"/>
                  <w:vMerge w:val="continue"/>
                  <w:tcBorders>
                    <w:tl2br w:val="nil"/>
                    <w:tr2bl w:val="nil"/>
                  </w:tcBorders>
                  <w:noWrap w:val="0"/>
                  <w:vAlign w:val="center"/>
                </w:tcPr>
                <w:p w14:paraId="152D846D">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40" w:type="dxa"/>
                  <w:vMerge w:val="continue"/>
                  <w:tcBorders>
                    <w:tl2br w:val="nil"/>
                    <w:tr2bl w:val="nil"/>
                  </w:tcBorders>
                  <w:noWrap w:val="0"/>
                  <w:vAlign w:val="center"/>
                </w:tcPr>
                <w:p w14:paraId="5406EECD">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786" w:type="dxa"/>
                  <w:vMerge w:val="continue"/>
                  <w:tcBorders>
                    <w:tl2br w:val="nil"/>
                    <w:tr2bl w:val="nil"/>
                  </w:tcBorders>
                  <w:noWrap/>
                  <w:vAlign w:val="center"/>
                </w:tcPr>
                <w:p w14:paraId="7C4C60C5">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618" w:type="dxa"/>
                  <w:vMerge w:val="continue"/>
                  <w:tcBorders>
                    <w:tl2br w:val="nil"/>
                    <w:tr2bl w:val="nil"/>
                  </w:tcBorders>
                  <w:noWrap w:val="0"/>
                  <w:vAlign w:val="center"/>
                </w:tcPr>
                <w:p w14:paraId="733CAC5E">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894" w:type="dxa"/>
                  <w:tcBorders>
                    <w:tl2br w:val="nil"/>
                    <w:tr2bl w:val="nil"/>
                  </w:tcBorders>
                  <w:noWrap w:val="0"/>
                  <w:vAlign w:val="center"/>
                </w:tcPr>
                <w:p w14:paraId="2A991C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900-005-S62</w:t>
                  </w:r>
                </w:p>
              </w:tc>
              <w:tc>
                <w:tcPr>
                  <w:tcW w:w="976" w:type="dxa"/>
                  <w:vMerge w:val="continue"/>
                  <w:tcBorders>
                    <w:tl2br w:val="nil"/>
                    <w:tr2bl w:val="nil"/>
                  </w:tcBorders>
                  <w:noWrap w:val="0"/>
                  <w:vAlign w:val="center"/>
                </w:tcPr>
                <w:p w14:paraId="12E1B761">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42" w:type="dxa"/>
                  <w:vMerge w:val="continue"/>
                  <w:tcBorders>
                    <w:tl2br w:val="nil"/>
                    <w:tr2bl w:val="nil"/>
                  </w:tcBorders>
                  <w:noWrap w:val="0"/>
                  <w:vAlign w:val="center"/>
                </w:tcPr>
                <w:p w14:paraId="73A0A81C">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24" w:type="dxa"/>
                  <w:vMerge w:val="continue"/>
                  <w:tcBorders>
                    <w:tl2br w:val="nil"/>
                    <w:tr2bl w:val="nil"/>
                  </w:tcBorders>
                  <w:noWrap w:val="0"/>
                  <w:vAlign w:val="center"/>
                </w:tcPr>
                <w:p w14:paraId="37981B5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672" w:type="dxa"/>
                  <w:vMerge w:val="continue"/>
                  <w:tcBorders>
                    <w:tl2br w:val="nil"/>
                    <w:tr2bl w:val="nil"/>
                  </w:tcBorders>
                  <w:noWrap w:val="0"/>
                  <w:vAlign w:val="center"/>
                </w:tcPr>
                <w:p w14:paraId="6C6B187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725" w:type="dxa"/>
                  <w:vMerge w:val="continue"/>
                  <w:tcBorders>
                    <w:tl2br w:val="nil"/>
                    <w:tr2bl w:val="nil"/>
                  </w:tcBorders>
                  <w:noWrap w:val="0"/>
                  <w:vAlign w:val="center"/>
                </w:tcPr>
                <w:p w14:paraId="4B98A05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1251" w:type="dxa"/>
                  <w:vMerge w:val="continue"/>
                  <w:tcBorders>
                    <w:tl2br w:val="nil"/>
                    <w:tr2bl w:val="nil"/>
                  </w:tcBorders>
                  <w:noWrap w:val="0"/>
                  <w:vAlign w:val="center"/>
                </w:tcPr>
                <w:p w14:paraId="7A8EEB4E">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r>
            <w:tr w14:paraId="761524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atLeast"/>
              </w:trPr>
              <w:tc>
                <w:tcPr>
                  <w:tcW w:w="766" w:type="dxa"/>
                  <w:vMerge w:val="continue"/>
                  <w:tcBorders>
                    <w:tl2br w:val="nil"/>
                    <w:tr2bl w:val="nil"/>
                  </w:tcBorders>
                  <w:noWrap w:val="0"/>
                  <w:vAlign w:val="center"/>
                </w:tcPr>
                <w:p w14:paraId="70057114">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40" w:type="dxa"/>
                  <w:vMerge w:val="continue"/>
                  <w:tcBorders>
                    <w:tl2br w:val="nil"/>
                    <w:tr2bl w:val="nil"/>
                  </w:tcBorders>
                  <w:noWrap w:val="0"/>
                  <w:vAlign w:val="center"/>
                </w:tcPr>
                <w:p w14:paraId="3AD7F48A">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786" w:type="dxa"/>
                  <w:vMerge w:val="continue"/>
                  <w:tcBorders>
                    <w:tl2br w:val="nil"/>
                    <w:tr2bl w:val="nil"/>
                  </w:tcBorders>
                  <w:noWrap/>
                  <w:vAlign w:val="center"/>
                </w:tcPr>
                <w:p w14:paraId="33465368">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618" w:type="dxa"/>
                  <w:vMerge w:val="continue"/>
                  <w:tcBorders>
                    <w:tl2br w:val="nil"/>
                    <w:tr2bl w:val="nil"/>
                  </w:tcBorders>
                  <w:noWrap w:val="0"/>
                  <w:vAlign w:val="center"/>
                </w:tcPr>
                <w:p w14:paraId="3472364B">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894" w:type="dxa"/>
                  <w:tcBorders>
                    <w:tl2br w:val="nil"/>
                    <w:tr2bl w:val="nil"/>
                  </w:tcBorders>
                  <w:noWrap w:val="0"/>
                  <w:vAlign w:val="center"/>
                </w:tcPr>
                <w:p w14:paraId="5151B17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900-006-S62</w:t>
                  </w:r>
                </w:p>
              </w:tc>
              <w:tc>
                <w:tcPr>
                  <w:tcW w:w="976" w:type="dxa"/>
                  <w:vMerge w:val="continue"/>
                  <w:tcBorders>
                    <w:tl2br w:val="nil"/>
                    <w:tr2bl w:val="nil"/>
                  </w:tcBorders>
                  <w:noWrap w:val="0"/>
                  <w:vAlign w:val="center"/>
                </w:tcPr>
                <w:p w14:paraId="183B1E1E">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42" w:type="dxa"/>
                  <w:vMerge w:val="continue"/>
                  <w:tcBorders>
                    <w:tl2br w:val="nil"/>
                    <w:tr2bl w:val="nil"/>
                  </w:tcBorders>
                  <w:noWrap w:val="0"/>
                  <w:vAlign w:val="center"/>
                </w:tcPr>
                <w:p w14:paraId="4A902102">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24" w:type="dxa"/>
                  <w:vMerge w:val="continue"/>
                  <w:tcBorders>
                    <w:tl2br w:val="nil"/>
                    <w:tr2bl w:val="nil"/>
                  </w:tcBorders>
                  <w:noWrap w:val="0"/>
                  <w:vAlign w:val="center"/>
                </w:tcPr>
                <w:p w14:paraId="071EC213">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672" w:type="dxa"/>
                  <w:vMerge w:val="continue"/>
                  <w:tcBorders>
                    <w:tl2br w:val="nil"/>
                    <w:tr2bl w:val="nil"/>
                  </w:tcBorders>
                  <w:noWrap w:val="0"/>
                  <w:vAlign w:val="center"/>
                </w:tcPr>
                <w:p w14:paraId="58AC7D00">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725" w:type="dxa"/>
                  <w:vMerge w:val="continue"/>
                  <w:tcBorders>
                    <w:tl2br w:val="nil"/>
                    <w:tr2bl w:val="nil"/>
                  </w:tcBorders>
                  <w:noWrap w:val="0"/>
                  <w:vAlign w:val="center"/>
                </w:tcPr>
                <w:p w14:paraId="59804358">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1251" w:type="dxa"/>
                  <w:vMerge w:val="continue"/>
                  <w:tcBorders>
                    <w:tl2br w:val="nil"/>
                    <w:tr2bl w:val="nil"/>
                  </w:tcBorders>
                  <w:noWrap w:val="0"/>
                  <w:vAlign w:val="center"/>
                </w:tcPr>
                <w:p w14:paraId="7AAC663F">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r>
            <w:tr w14:paraId="54BFF3F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489" w:hRule="atLeast"/>
              </w:trPr>
              <w:tc>
                <w:tcPr>
                  <w:tcW w:w="766" w:type="dxa"/>
                  <w:vMerge w:val="continue"/>
                  <w:tcBorders>
                    <w:tl2br w:val="nil"/>
                    <w:tr2bl w:val="nil"/>
                  </w:tcBorders>
                  <w:noWrap w:val="0"/>
                  <w:vAlign w:val="center"/>
                </w:tcPr>
                <w:p w14:paraId="337F5E1C">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40" w:type="dxa"/>
                  <w:vMerge w:val="continue"/>
                  <w:tcBorders>
                    <w:tl2br w:val="nil"/>
                    <w:tr2bl w:val="nil"/>
                  </w:tcBorders>
                  <w:noWrap w:val="0"/>
                  <w:vAlign w:val="center"/>
                </w:tcPr>
                <w:p w14:paraId="7711A9E0">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786" w:type="dxa"/>
                  <w:vMerge w:val="continue"/>
                  <w:tcBorders>
                    <w:tl2br w:val="nil"/>
                    <w:tr2bl w:val="nil"/>
                  </w:tcBorders>
                  <w:noWrap/>
                  <w:vAlign w:val="center"/>
                </w:tcPr>
                <w:p w14:paraId="755923A8">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618" w:type="dxa"/>
                  <w:vMerge w:val="continue"/>
                  <w:tcBorders>
                    <w:tl2br w:val="nil"/>
                    <w:tr2bl w:val="nil"/>
                  </w:tcBorders>
                  <w:noWrap w:val="0"/>
                  <w:vAlign w:val="center"/>
                </w:tcPr>
                <w:p w14:paraId="3E3AB68E">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894" w:type="dxa"/>
                  <w:tcBorders>
                    <w:tl2br w:val="nil"/>
                    <w:tr2bl w:val="nil"/>
                  </w:tcBorders>
                  <w:noWrap w:val="0"/>
                  <w:vAlign w:val="center"/>
                </w:tcPr>
                <w:p w14:paraId="3BAA123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900-007-S62</w:t>
                  </w:r>
                </w:p>
              </w:tc>
              <w:tc>
                <w:tcPr>
                  <w:tcW w:w="976" w:type="dxa"/>
                  <w:vMerge w:val="continue"/>
                  <w:tcBorders>
                    <w:tl2br w:val="nil"/>
                    <w:tr2bl w:val="nil"/>
                  </w:tcBorders>
                  <w:noWrap w:val="0"/>
                  <w:vAlign w:val="center"/>
                </w:tcPr>
                <w:p w14:paraId="78D60B70">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42" w:type="dxa"/>
                  <w:vMerge w:val="continue"/>
                  <w:tcBorders>
                    <w:tl2br w:val="nil"/>
                    <w:tr2bl w:val="nil"/>
                  </w:tcBorders>
                  <w:noWrap w:val="0"/>
                  <w:vAlign w:val="center"/>
                </w:tcPr>
                <w:p w14:paraId="08AEB014">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24" w:type="dxa"/>
                  <w:vMerge w:val="continue"/>
                  <w:tcBorders>
                    <w:tl2br w:val="nil"/>
                    <w:tr2bl w:val="nil"/>
                  </w:tcBorders>
                  <w:noWrap w:val="0"/>
                  <w:vAlign w:val="center"/>
                </w:tcPr>
                <w:p w14:paraId="7FC32FF5">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672" w:type="dxa"/>
                  <w:vMerge w:val="continue"/>
                  <w:tcBorders>
                    <w:tl2br w:val="nil"/>
                    <w:tr2bl w:val="nil"/>
                  </w:tcBorders>
                  <w:noWrap w:val="0"/>
                  <w:vAlign w:val="center"/>
                </w:tcPr>
                <w:p w14:paraId="19D2C5BF">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725" w:type="dxa"/>
                  <w:vMerge w:val="continue"/>
                  <w:tcBorders>
                    <w:tl2br w:val="nil"/>
                    <w:tr2bl w:val="nil"/>
                  </w:tcBorders>
                  <w:noWrap w:val="0"/>
                  <w:vAlign w:val="center"/>
                </w:tcPr>
                <w:p w14:paraId="2FE29AF8">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1251" w:type="dxa"/>
                  <w:vMerge w:val="continue"/>
                  <w:tcBorders>
                    <w:bottom w:val="single" w:color="auto" w:sz="4" w:space="0"/>
                    <w:tl2br w:val="nil"/>
                    <w:tr2bl w:val="nil"/>
                  </w:tcBorders>
                  <w:noWrap w:val="0"/>
                  <w:vAlign w:val="center"/>
                </w:tcPr>
                <w:p w14:paraId="33C50712">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r>
            <w:tr w14:paraId="0D806B7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766" w:type="dxa"/>
                  <w:tcBorders>
                    <w:tl2br w:val="nil"/>
                    <w:tr2bl w:val="nil"/>
                  </w:tcBorders>
                  <w:noWrap/>
                  <w:vAlign w:val="center"/>
                </w:tcPr>
                <w:p w14:paraId="75CCBF0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脱硫系统</w:t>
                  </w:r>
                </w:p>
              </w:tc>
              <w:tc>
                <w:tcPr>
                  <w:tcW w:w="440" w:type="dxa"/>
                  <w:vMerge w:val="restart"/>
                  <w:tcBorders>
                    <w:tl2br w:val="nil"/>
                    <w:tr2bl w:val="nil"/>
                  </w:tcBorders>
                  <w:noWrap w:val="0"/>
                  <w:vAlign w:val="center"/>
                </w:tcPr>
                <w:p w14:paraId="25AC3F86">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一般固废</w:t>
                  </w:r>
                </w:p>
              </w:tc>
              <w:tc>
                <w:tcPr>
                  <w:tcW w:w="786" w:type="dxa"/>
                  <w:tcBorders>
                    <w:tl2br w:val="nil"/>
                    <w:tr2bl w:val="nil"/>
                  </w:tcBorders>
                  <w:noWrap/>
                  <w:vAlign w:val="center"/>
                </w:tcPr>
                <w:p w14:paraId="5444595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脱硫</w:t>
                  </w:r>
                  <w:r>
                    <w:rPr>
                      <w:rFonts w:hint="default" w:ascii="Times New Roman" w:hAnsi="Times New Roman" w:cs="Times New Roman"/>
                      <w:i w:val="0"/>
                      <w:iCs w:val="0"/>
                      <w:color w:val="auto"/>
                      <w:kern w:val="0"/>
                      <w:sz w:val="21"/>
                      <w:szCs w:val="21"/>
                      <w:highlight w:val="none"/>
                      <w:u w:val="none"/>
                      <w:lang w:val="en-US" w:eastAsia="zh-CN" w:bidi="ar"/>
                    </w:rPr>
                    <w:t>石膏</w:t>
                  </w:r>
                </w:p>
              </w:tc>
              <w:tc>
                <w:tcPr>
                  <w:tcW w:w="618" w:type="dxa"/>
                  <w:tcBorders>
                    <w:tl2br w:val="nil"/>
                    <w:tr2bl w:val="nil"/>
                  </w:tcBorders>
                  <w:noWrap/>
                  <w:vAlign w:val="center"/>
                </w:tcPr>
                <w:p w14:paraId="316B048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SW</w:t>
                  </w:r>
                  <w:r>
                    <w:rPr>
                      <w:rFonts w:hint="default" w:ascii="Times New Roman" w:hAnsi="Times New Roman" w:cs="Times New Roman"/>
                      <w:i w:val="0"/>
                      <w:iCs w:val="0"/>
                      <w:color w:val="auto"/>
                      <w:kern w:val="0"/>
                      <w:sz w:val="21"/>
                      <w:szCs w:val="21"/>
                      <w:highlight w:val="none"/>
                      <w:u w:val="none"/>
                      <w:lang w:val="en-US" w:eastAsia="zh-CN" w:bidi="ar"/>
                    </w:rPr>
                    <w:t>06</w:t>
                  </w:r>
                </w:p>
              </w:tc>
              <w:tc>
                <w:tcPr>
                  <w:tcW w:w="894" w:type="dxa"/>
                  <w:tcBorders>
                    <w:tl2br w:val="nil"/>
                    <w:tr2bl w:val="nil"/>
                  </w:tcBorders>
                  <w:noWrap/>
                  <w:vAlign w:val="center"/>
                </w:tcPr>
                <w:p w14:paraId="1F785E7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cs="Times New Roman"/>
                      <w:i w:val="0"/>
                      <w:iCs w:val="0"/>
                      <w:color w:val="auto"/>
                      <w:kern w:val="0"/>
                      <w:sz w:val="21"/>
                      <w:szCs w:val="21"/>
                      <w:highlight w:val="none"/>
                      <w:u w:val="none"/>
                      <w:lang w:val="en-US" w:eastAsia="zh-CN" w:bidi="ar"/>
                    </w:rPr>
                    <w:t>441-001-S06</w:t>
                  </w:r>
                </w:p>
              </w:tc>
              <w:tc>
                <w:tcPr>
                  <w:tcW w:w="976" w:type="dxa"/>
                  <w:vMerge w:val="continue"/>
                  <w:tcBorders>
                    <w:tl2br w:val="nil"/>
                    <w:tr2bl w:val="nil"/>
                  </w:tcBorders>
                  <w:noWrap w:val="0"/>
                  <w:vAlign w:val="center"/>
                </w:tcPr>
                <w:p w14:paraId="251A3356">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42" w:type="dxa"/>
                  <w:vMerge w:val="continue"/>
                  <w:tcBorders>
                    <w:tl2br w:val="nil"/>
                    <w:tr2bl w:val="nil"/>
                  </w:tcBorders>
                  <w:noWrap w:val="0"/>
                  <w:vAlign w:val="center"/>
                </w:tcPr>
                <w:p w14:paraId="35578161">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24" w:type="dxa"/>
                  <w:vMerge w:val="continue"/>
                  <w:tcBorders>
                    <w:tl2br w:val="nil"/>
                    <w:tr2bl w:val="nil"/>
                  </w:tcBorders>
                  <w:noWrap w:val="0"/>
                  <w:vAlign w:val="center"/>
                </w:tcPr>
                <w:p w14:paraId="071DB0F1">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672" w:type="dxa"/>
                  <w:tcBorders>
                    <w:tl2br w:val="nil"/>
                    <w:tr2bl w:val="nil"/>
                  </w:tcBorders>
                  <w:noWrap w:val="0"/>
                  <w:vAlign w:val="center"/>
                </w:tcPr>
                <w:p w14:paraId="41FD7C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1698.42</w:t>
                  </w:r>
                </w:p>
              </w:tc>
              <w:tc>
                <w:tcPr>
                  <w:tcW w:w="725" w:type="dxa"/>
                  <w:tcBorders>
                    <w:tl2br w:val="nil"/>
                    <w:tr2bl w:val="nil"/>
                  </w:tcBorders>
                  <w:noWrap w:val="0"/>
                  <w:vAlign w:val="center"/>
                </w:tcPr>
                <w:p w14:paraId="60989A4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cs="Times New Roman"/>
                      <w:i w:val="0"/>
                      <w:iCs w:val="0"/>
                      <w:color w:val="auto"/>
                      <w:kern w:val="0"/>
                      <w:sz w:val="21"/>
                      <w:szCs w:val="21"/>
                      <w:highlight w:val="none"/>
                      <w:u w:val="none"/>
                      <w:lang w:val="en-US" w:eastAsia="zh-CN" w:bidi="ar"/>
                    </w:rPr>
                    <w:t>石膏间</w:t>
                  </w:r>
                </w:p>
              </w:tc>
              <w:tc>
                <w:tcPr>
                  <w:tcW w:w="1251" w:type="dxa"/>
                  <w:tcBorders>
                    <w:top w:val="single" w:color="auto" w:sz="4" w:space="0"/>
                    <w:tl2br w:val="nil"/>
                    <w:tr2bl w:val="nil"/>
                  </w:tcBorders>
                  <w:noWrap w:val="0"/>
                  <w:vAlign w:val="center"/>
                </w:tcPr>
                <w:p w14:paraId="1B11D4D7">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pacing w:val="0"/>
                      <w:sz w:val="21"/>
                      <w:szCs w:val="21"/>
                      <w:highlight w:val="none"/>
                      <w:lang w:val="en-US" w:eastAsia="zh-CN"/>
                    </w:rPr>
                    <w:t>定期外售至建筑材料制造企业进行综合利用</w:t>
                  </w:r>
                </w:p>
              </w:tc>
            </w:tr>
            <w:tr w14:paraId="12F60B4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822" w:hRule="atLeast"/>
              </w:trPr>
              <w:tc>
                <w:tcPr>
                  <w:tcW w:w="766" w:type="dxa"/>
                  <w:tcBorders>
                    <w:tl2br w:val="nil"/>
                    <w:tr2bl w:val="nil"/>
                  </w:tcBorders>
                  <w:noWrap/>
                  <w:vAlign w:val="center"/>
                </w:tcPr>
                <w:p w14:paraId="0FE24E6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软水制备</w:t>
                  </w:r>
                </w:p>
              </w:tc>
              <w:tc>
                <w:tcPr>
                  <w:tcW w:w="440" w:type="dxa"/>
                  <w:vMerge w:val="continue"/>
                  <w:tcBorders>
                    <w:tl2br w:val="nil"/>
                    <w:tr2bl w:val="nil"/>
                  </w:tcBorders>
                  <w:noWrap w:val="0"/>
                  <w:vAlign w:val="center"/>
                </w:tcPr>
                <w:p w14:paraId="1C4F939F">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786" w:type="dxa"/>
                  <w:tcBorders>
                    <w:tl2br w:val="nil"/>
                    <w:tr2bl w:val="nil"/>
                  </w:tcBorders>
                  <w:noWrap w:val="0"/>
                  <w:vAlign w:val="center"/>
                </w:tcPr>
                <w:p w14:paraId="3B4FF7D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cs="Times New Roman"/>
                      <w:i w:val="0"/>
                      <w:iCs w:val="0"/>
                      <w:color w:val="auto"/>
                      <w:kern w:val="0"/>
                      <w:sz w:val="21"/>
                      <w:szCs w:val="21"/>
                      <w:highlight w:val="none"/>
                      <w:u w:val="none"/>
                      <w:lang w:val="en-US" w:eastAsia="zh-CN" w:bidi="ar"/>
                    </w:rPr>
                    <w:t>废滤膜</w:t>
                  </w:r>
                </w:p>
              </w:tc>
              <w:tc>
                <w:tcPr>
                  <w:tcW w:w="618" w:type="dxa"/>
                  <w:tcBorders>
                    <w:tl2br w:val="nil"/>
                    <w:tr2bl w:val="nil"/>
                  </w:tcBorders>
                  <w:noWrap w:val="0"/>
                  <w:vAlign w:val="center"/>
                </w:tcPr>
                <w:p w14:paraId="63598E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HW13</w:t>
                  </w:r>
                </w:p>
              </w:tc>
              <w:tc>
                <w:tcPr>
                  <w:tcW w:w="894" w:type="dxa"/>
                  <w:tcBorders>
                    <w:tl2br w:val="nil"/>
                    <w:tr2bl w:val="nil"/>
                  </w:tcBorders>
                  <w:noWrap/>
                  <w:vAlign w:val="center"/>
                </w:tcPr>
                <w:p w14:paraId="711B02D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900-008-S59</w:t>
                  </w:r>
                </w:p>
              </w:tc>
              <w:tc>
                <w:tcPr>
                  <w:tcW w:w="976" w:type="dxa"/>
                  <w:vMerge w:val="continue"/>
                  <w:tcBorders>
                    <w:tl2br w:val="nil"/>
                    <w:tr2bl w:val="nil"/>
                  </w:tcBorders>
                  <w:noWrap w:val="0"/>
                  <w:vAlign w:val="center"/>
                </w:tcPr>
                <w:p w14:paraId="3CDF3005">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42" w:type="dxa"/>
                  <w:vMerge w:val="continue"/>
                  <w:tcBorders>
                    <w:tl2br w:val="nil"/>
                    <w:tr2bl w:val="nil"/>
                  </w:tcBorders>
                  <w:noWrap w:val="0"/>
                  <w:vAlign w:val="center"/>
                </w:tcPr>
                <w:p w14:paraId="74569AA6">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24" w:type="dxa"/>
                  <w:vMerge w:val="continue"/>
                  <w:tcBorders>
                    <w:tl2br w:val="nil"/>
                    <w:tr2bl w:val="nil"/>
                  </w:tcBorders>
                  <w:noWrap w:val="0"/>
                  <w:vAlign w:val="center"/>
                </w:tcPr>
                <w:p w14:paraId="2EA01146">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672" w:type="dxa"/>
                  <w:tcBorders>
                    <w:tl2br w:val="nil"/>
                    <w:tr2bl w:val="nil"/>
                  </w:tcBorders>
                  <w:noWrap w:val="0"/>
                  <w:vAlign w:val="center"/>
                </w:tcPr>
                <w:p w14:paraId="440EA5E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cs="Times New Roman"/>
                      <w:i w:val="0"/>
                      <w:iCs w:val="0"/>
                      <w:color w:val="auto"/>
                      <w:kern w:val="0"/>
                      <w:sz w:val="21"/>
                      <w:szCs w:val="21"/>
                      <w:highlight w:val="none"/>
                      <w:u w:val="none"/>
                      <w:lang w:val="en-US" w:eastAsia="zh-CN" w:bidi="ar"/>
                    </w:rPr>
                    <w:t>2个</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cs="Times New Roman"/>
                      <w:i w:val="0"/>
                      <w:iCs w:val="0"/>
                      <w:color w:val="auto"/>
                      <w:kern w:val="0"/>
                      <w:sz w:val="21"/>
                      <w:szCs w:val="21"/>
                      <w:highlight w:val="none"/>
                      <w:u w:val="none"/>
                      <w:lang w:val="en-US" w:eastAsia="zh-CN" w:bidi="ar"/>
                    </w:rPr>
                    <w:t>a</w:t>
                  </w:r>
                </w:p>
              </w:tc>
              <w:tc>
                <w:tcPr>
                  <w:tcW w:w="725" w:type="dxa"/>
                  <w:tcBorders>
                    <w:tl2br w:val="nil"/>
                    <w:tr2bl w:val="nil"/>
                  </w:tcBorders>
                  <w:noWrap w:val="0"/>
                  <w:vAlign w:val="center"/>
                </w:tcPr>
                <w:p w14:paraId="3C45AF9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软化水站</w:t>
                  </w:r>
                </w:p>
              </w:tc>
              <w:tc>
                <w:tcPr>
                  <w:tcW w:w="1251" w:type="dxa"/>
                  <w:tcBorders>
                    <w:tl2br w:val="nil"/>
                    <w:tr2bl w:val="nil"/>
                  </w:tcBorders>
                  <w:noWrap w:val="0"/>
                  <w:vAlign w:val="center"/>
                </w:tcPr>
                <w:p w14:paraId="3793C06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更换时由更换厂家定期清运处置</w:t>
                  </w:r>
                </w:p>
              </w:tc>
            </w:tr>
            <w:tr w14:paraId="5FD1EF4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092" w:hRule="atLeast"/>
              </w:trPr>
              <w:tc>
                <w:tcPr>
                  <w:tcW w:w="766" w:type="dxa"/>
                  <w:tcBorders>
                    <w:tl2br w:val="nil"/>
                    <w:tr2bl w:val="nil"/>
                  </w:tcBorders>
                  <w:noWrap/>
                  <w:vAlign w:val="center"/>
                </w:tcPr>
                <w:p w14:paraId="6C0CEA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b w:val="0"/>
                      <w:bCs w:val="0"/>
                      <w:color w:val="auto"/>
                      <w:sz w:val="21"/>
                      <w:szCs w:val="21"/>
                      <w:lang w:val="en-US" w:eastAsia="zh-CN"/>
                    </w:rPr>
                    <w:t>凝结水收集</w:t>
                  </w:r>
                </w:p>
              </w:tc>
              <w:tc>
                <w:tcPr>
                  <w:tcW w:w="440" w:type="dxa"/>
                  <w:vMerge w:val="continue"/>
                  <w:tcBorders>
                    <w:tl2br w:val="nil"/>
                    <w:tr2bl w:val="nil"/>
                  </w:tcBorders>
                  <w:noWrap w:val="0"/>
                  <w:vAlign w:val="center"/>
                </w:tcPr>
                <w:p w14:paraId="12FD5730">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786" w:type="dxa"/>
                  <w:tcBorders>
                    <w:tl2br w:val="nil"/>
                    <w:tr2bl w:val="nil"/>
                  </w:tcBorders>
                  <w:noWrap w:val="0"/>
                  <w:vAlign w:val="center"/>
                </w:tcPr>
                <w:p w14:paraId="6B634FA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过滤废物</w:t>
                  </w:r>
                </w:p>
              </w:tc>
              <w:tc>
                <w:tcPr>
                  <w:tcW w:w="618" w:type="dxa"/>
                  <w:tcBorders>
                    <w:tl2br w:val="nil"/>
                    <w:tr2bl w:val="nil"/>
                  </w:tcBorders>
                  <w:noWrap w:val="0"/>
                  <w:vAlign w:val="center"/>
                </w:tcPr>
                <w:p w14:paraId="31007FF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SW59</w:t>
                  </w:r>
                </w:p>
              </w:tc>
              <w:tc>
                <w:tcPr>
                  <w:tcW w:w="894" w:type="dxa"/>
                  <w:tcBorders>
                    <w:tl2br w:val="nil"/>
                    <w:tr2bl w:val="nil"/>
                  </w:tcBorders>
                  <w:noWrap/>
                  <w:vAlign w:val="center"/>
                </w:tcPr>
                <w:p w14:paraId="6A74145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900-099-S59</w:t>
                  </w:r>
                </w:p>
              </w:tc>
              <w:tc>
                <w:tcPr>
                  <w:tcW w:w="976" w:type="dxa"/>
                  <w:vMerge w:val="continue"/>
                  <w:tcBorders>
                    <w:tl2br w:val="nil"/>
                    <w:tr2bl w:val="nil"/>
                  </w:tcBorders>
                  <w:noWrap w:val="0"/>
                  <w:vAlign w:val="center"/>
                </w:tcPr>
                <w:p w14:paraId="1E79271A">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42" w:type="dxa"/>
                  <w:vMerge w:val="continue"/>
                  <w:tcBorders>
                    <w:tl2br w:val="nil"/>
                    <w:tr2bl w:val="nil"/>
                  </w:tcBorders>
                  <w:noWrap w:val="0"/>
                  <w:vAlign w:val="center"/>
                </w:tcPr>
                <w:p w14:paraId="23B02B12">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424" w:type="dxa"/>
                  <w:vMerge w:val="continue"/>
                  <w:tcBorders>
                    <w:tl2br w:val="nil"/>
                    <w:tr2bl w:val="nil"/>
                  </w:tcBorders>
                  <w:noWrap w:val="0"/>
                  <w:vAlign w:val="center"/>
                </w:tcPr>
                <w:p w14:paraId="5C61E4A5">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672" w:type="dxa"/>
                  <w:tcBorders>
                    <w:tl2br w:val="nil"/>
                    <w:tr2bl w:val="nil"/>
                  </w:tcBorders>
                  <w:noWrap w:val="0"/>
                  <w:vAlign w:val="center"/>
                </w:tcPr>
                <w:p w14:paraId="16516AF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5</w:t>
                  </w:r>
                </w:p>
              </w:tc>
              <w:tc>
                <w:tcPr>
                  <w:tcW w:w="725" w:type="dxa"/>
                  <w:tcBorders>
                    <w:tl2br w:val="nil"/>
                    <w:tr2bl w:val="nil"/>
                  </w:tcBorders>
                  <w:noWrap w:val="0"/>
                  <w:vAlign w:val="center"/>
                </w:tcPr>
                <w:p w14:paraId="381A2AD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w:t>
                  </w:r>
                </w:p>
              </w:tc>
              <w:tc>
                <w:tcPr>
                  <w:tcW w:w="1251" w:type="dxa"/>
                  <w:tcBorders>
                    <w:tl2br w:val="nil"/>
                    <w:tr2bl w:val="nil"/>
                  </w:tcBorders>
                  <w:noWrap w:val="0"/>
                  <w:vAlign w:val="center"/>
                </w:tcPr>
                <w:p w14:paraId="683C22D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spacing w:val="0"/>
                      <w:sz w:val="21"/>
                      <w:szCs w:val="21"/>
                      <w:highlight w:val="none"/>
                      <w:lang w:val="en-US" w:eastAsia="zh-CN"/>
                    </w:rPr>
                    <w:t>定期外售至建筑材料制造企业进行综合利用</w:t>
                  </w:r>
                </w:p>
              </w:tc>
            </w:tr>
            <w:tr w14:paraId="0DF7FBE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1092" w:hRule="atLeast"/>
              </w:trPr>
              <w:tc>
                <w:tcPr>
                  <w:tcW w:w="766" w:type="dxa"/>
                  <w:tcBorders>
                    <w:tl2br w:val="nil"/>
                    <w:tr2bl w:val="nil"/>
                  </w:tcBorders>
                  <w:noWrap/>
                  <w:vAlign w:val="center"/>
                </w:tcPr>
                <w:p w14:paraId="56A4EA3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机械设备运行维修</w:t>
                  </w:r>
                </w:p>
              </w:tc>
              <w:tc>
                <w:tcPr>
                  <w:tcW w:w="440" w:type="dxa"/>
                  <w:vMerge w:val="restart"/>
                  <w:tcBorders>
                    <w:tl2br w:val="nil"/>
                    <w:tr2bl w:val="nil"/>
                  </w:tcBorders>
                  <w:noWrap w:val="0"/>
                  <w:vAlign w:val="center"/>
                </w:tcPr>
                <w:p w14:paraId="3FC1D68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危险废物</w:t>
                  </w:r>
                </w:p>
              </w:tc>
              <w:tc>
                <w:tcPr>
                  <w:tcW w:w="786" w:type="dxa"/>
                  <w:tcBorders>
                    <w:tl2br w:val="nil"/>
                    <w:tr2bl w:val="nil"/>
                  </w:tcBorders>
                  <w:noWrap w:val="0"/>
                  <w:vAlign w:val="center"/>
                </w:tcPr>
                <w:p w14:paraId="3BAE21D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废机油</w:t>
                  </w:r>
                </w:p>
              </w:tc>
              <w:tc>
                <w:tcPr>
                  <w:tcW w:w="618" w:type="dxa"/>
                  <w:tcBorders>
                    <w:tl2br w:val="nil"/>
                    <w:tr2bl w:val="nil"/>
                  </w:tcBorders>
                  <w:noWrap w:val="0"/>
                  <w:vAlign w:val="center"/>
                </w:tcPr>
                <w:p w14:paraId="178F90D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HW08</w:t>
                  </w:r>
                </w:p>
              </w:tc>
              <w:tc>
                <w:tcPr>
                  <w:tcW w:w="894" w:type="dxa"/>
                  <w:tcBorders>
                    <w:tl2br w:val="nil"/>
                    <w:tr2bl w:val="nil"/>
                  </w:tcBorders>
                  <w:noWrap/>
                  <w:vAlign w:val="center"/>
                </w:tcPr>
                <w:p w14:paraId="1331873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900-214-08</w:t>
                  </w:r>
                </w:p>
              </w:tc>
              <w:tc>
                <w:tcPr>
                  <w:tcW w:w="976" w:type="dxa"/>
                  <w:tcBorders>
                    <w:tl2br w:val="nil"/>
                    <w:tr2bl w:val="nil"/>
                  </w:tcBorders>
                  <w:noWrap w:val="0"/>
                  <w:vAlign w:val="center"/>
                </w:tcPr>
                <w:p w14:paraId="5671275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含矿物油废物</w:t>
                  </w:r>
                </w:p>
              </w:tc>
              <w:tc>
                <w:tcPr>
                  <w:tcW w:w="442" w:type="dxa"/>
                  <w:tcBorders>
                    <w:tl2br w:val="nil"/>
                    <w:tr2bl w:val="nil"/>
                  </w:tcBorders>
                  <w:noWrap w:val="0"/>
                  <w:vAlign w:val="center"/>
                </w:tcPr>
                <w:p w14:paraId="14E6C9E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424" w:type="dxa"/>
                  <w:tcBorders>
                    <w:tl2br w:val="nil"/>
                    <w:tr2bl w:val="nil"/>
                  </w:tcBorders>
                  <w:noWrap w:val="0"/>
                  <w:vAlign w:val="center"/>
                </w:tcPr>
                <w:p w14:paraId="6CAC807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T,I</w:t>
                  </w:r>
                </w:p>
              </w:tc>
              <w:tc>
                <w:tcPr>
                  <w:tcW w:w="672" w:type="dxa"/>
                  <w:tcBorders>
                    <w:tl2br w:val="nil"/>
                    <w:tr2bl w:val="nil"/>
                  </w:tcBorders>
                  <w:noWrap w:val="0"/>
                  <w:vAlign w:val="center"/>
                </w:tcPr>
                <w:p w14:paraId="33FCF88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cs="Times New Roman"/>
                      <w:i w:val="0"/>
                      <w:iCs w:val="0"/>
                      <w:color w:val="auto"/>
                      <w:kern w:val="0"/>
                      <w:sz w:val="21"/>
                      <w:szCs w:val="21"/>
                      <w:highlight w:val="none"/>
                      <w:u w:val="none"/>
                      <w:lang w:val="en-US" w:eastAsia="zh-CN" w:bidi="ar"/>
                    </w:rPr>
                    <w:t>0.2</w:t>
                  </w:r>
                </w:p>
              </w:tc>
              <w:tc>
                <w:tcPr>
                  <w:tcW w:w="725" w:type="dxa"/>
                  <w:vMerge w:val="restart"/>
                  <w:tcBorders>
                    <w:tl2br w:val="nil"/>
                    <w:tr2bl w:val="nil"/>
                  </w:tcBorders>
                  <w:noWrap w:val="0"/>
                  <w:vAlign w:val="center"/>
                </w:tcPr>
                <w:p w14:paraId="25B90BE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危废贮存点</w:t>
                  </w:r>
                </w:p>
              </w:tc>
              <w:tc>
                <w:tcPr>
                  <w:tcW w:w="1251" w:type="dxa"/>
                  <w:vMerge w:val="restart"/>
                  <w:tcBorders>
                    <w:tl2br w:val="nil"/>
                    <w:tr2bl w:val="nil"/>
                  </w:tcBorders>
                  <w:noWrap w:val="0"/>
                  <w:vAlign w:val="center"/>
                </w:tcPr>
                <w:p w14:paraId="52385F5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color w:val="auto"/>
                      <w:spacing w:val="0"/>
                      <w:sz w:val="21"/>
                      <w:szCs w:val="21"/>
                      <w:lang w:val="en-US" w:eastAsia="zh-CN"/>
                    </w:rPr>
                    <w:t>采用专用容器收集后，</w:t>
                  </w:r>
                  <w:r>
                    <w:rPr>
                      <w:rFonts w:hint="default" w:ascii="Times New Roman" w:hAnsi="Times New Roman" w:eastAsia="宋体" w:cs="Times New Roman"/>
                      <w:i w:val="0"/>
                      <w:iCs w:val="0"/>
                      <w:color w:val="auto"/>
                      <w:kern w:val="0"/>
                      <w:sz w:val="21"/>
                      <w:szCs w:val="21"/>
                      <w:highlight w:val="none"/>
                      <w:u w:val="none"/>
                      <w:lang w:val="en-US" w:eastAsia="zh-CN" w:bidi="ar"/>
                    </w:rPr>
                    <w:t>暂存至危废暂存点（</w:t>
                  </w:r>
                  <w:r>
                    <w:rPr>
                      <w:rFonts w:hint="default" w:ascii="Times New Roman" w:hAnsi="Times New Roman" w:cs="Times New Roman"/>
                      <w:i w:val="0"/>
                      <w:iCs w:val="0"/>
                      <w:color w:val="auto"/>
                      <w:kern w:val="0"/>
                      <w:sz w:val="21"/>
                      <w:szCs w:val="21"/>
                      <w:highlight w:val="none"/>
                      <w:u w:val="none"/>
                      <w:lang w:val="en-US" w:eastAsia="zh-CN" w:bidi="ar"/>
                    </w:rPr>
                    <w:t>20</w:t>
                  </w:r>
                  <w:r>
                    <w:rPr>
                      <w:rFonts w:hint="default" w:ascii="Times New Roman" w:hAnsi="Times New Roman" w:eastAsia="宋体" w:cs="Times New Roman"/>
                      <w:i w:val="0"/>
                      <w:iCs w:val="0"/>
                      <w:color w:val="auto"/>
                      <w:kern w:val="0"/>
                      <w:sz w:val="21"/>
                      <w:szCs w:val="21"/>
                      <w:highlight w:val="none"/>
                      <w:u w:val="none"/>
                      <w:lang w:val="en-US" w:eastAsia="zh-CN" w:bidi="ar"/>
                    </w:rPr>
                    <w:t>m</w:t>
                  </w:r>
                  <w:r>
                    <w:rPr>
                      <w:rFonts w:hint="default" w:ascii="Times New Roman" w:hAnsi="Times New Roman" w:eastAsia="宋体" w:cs="Times New Roman"/>
                      <w:i w:val="0"/>
                      <w:iCs w:val="0"/>
                      <w:color w:val="auto"/>
                      <w:kern w:val="0"/>
                      <w:sz w:val="21"/>
                      <w:szCs w:val="21"/>
                      <w:highlight w:val="none"/>
                      <w:u w:val="none"/>
                      <w:vertAlign w:val="superscript"/>
                      <w:lang w:val="en-US" w:eastAsia="zh-CN" w:bidi="ar"/>
                    </w:rPr>
                    <w:t>2</w:t>
                  </w:r>
                  <w:r>
                    <w:rPr>
                      <w:rFonts w:hint="default" w:ascii="Times New Roman" w:hAnsi="Times New Roman" w:eastAsia="宋体" w:cs="Times New Roman"/>
                      <w:i w:val="0"/>
                      <w:iCs w:val="0"/>
                      <w:color w:val="auto"/>
                      <w:kern w:val="0"/>
                      <w:sz w:val="21"/>
                      <w:szCs w:val="21"/>
                      <w:highlight w:val="none"/>
                      <w:u w:val="none"/>
                      <w:lang w:val="en-US" w:eastAsia="zh-CN" w:bidi="ar"/>
                    </w:rPr>
                    <w:t>），委托有资质的单位定期清运处置</w:t>
                  </w:r>
                </w:p>
              </w:tc>
            </w:tr>
            <w:tr w14:paraId="69FF5CF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729" w:hRule="atLeast"/>
              </w:trPr>
              <w:tc>
                <w:tcPr>
                  <w:tcW w:w="766" w:type="dxa"/>
                  <w:tcBorders>
                    <w:tl2br w:val="nil"/>
                    <w:tr2bl w:val="nil"/>
                  </w:tcBorders>
                  <w:noWrap/>
                  <w:vAlign w:val="center"/>
                </w:tcPr>
                <w:p w14:paraId="2F9D12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脱硝系统</w:t>
                  </w:r>
                </w:p>
              </w:tc>
              <w:tc>
                <w:tcPr>
                  <w:tcW w:w="440" w:type="dxa"/>
                  <w:vMerge w:val="continue"/>
                  <w:tcBorders>
                    <w:tl2br w:val="nil"/>
                    <w:tr2bl w:val="nil"/>
                  </w:tcBorders>
                  <w:noWrap w:val="0"/>
                  <w:vAlign w:val="center"/>
                </w:tcPr>
                <w:p w14:paraId="4A140861">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786" w:type="dxa"/>
                  <w:tcBorders>
                    <w:tl2br w:val="nil"/>
                    <w:tr2bl w:val="nil"/>
                  </w:tcBorders>
                  <w:noWrap w:val="0"/>
                  <w:vAlign w:val="center"/>
                </w:tcPr>
                <w:p w14:paraId="498B2B4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废催化剂</w:t>
                  </w:r>
                </w:p>
              </w:tc>
              <w:tc>
                <w:tcPr>
                  <w:tcW w:w="618" w:type="dxa"/>
                  <w:tcBorders>
                    <w:tl2br w:val="nil"/>
                    <w:tr2bl w:val="nil"/>
                  </w:tcBorders>
                  <w:noWrap w:val="0"/>
                  <w:vAlign w:val="center"/>
                </w:tcPr>
                <w:p w14:paraId="0D47C83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HW50</w:t>
                  </w:r>
                </w:p>
              </w:tc>
              <w:tc>
                <w:tcPr>
                  <w:tcW w:w="894" w:type="dxa"/>
                  <w:tcBorders>
                    <w:tl2br w:val="nil"/>
                    <w:tr2bl w:val="nil"/>
                  </w:tcBorders>
                  <w:noWrap/>
                  <w:vAlign w:val="center"/>
                </w:tcPr>
                <w:p w14:paraId="3A319B7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772-007-50</w:t>
                  </w:r>
                </w:p>
              </w:tc>
              <w:tc>
                <w:tcPr>
                  <w:tcW w:w="976" w:type="dxa"/>
                  <w:tcBorders>
                    <w:tl2br w:val="nil"/>
                    <w:tr2bl w:val="nil"/>
                  </w:tcBorders>
                  <w:noWrap w:val="0"/>
                  <w:vAlign w:val="center"/>
                </w:tcPr>
                <w:p w14:paraId="723644BE">
                  <w:pPr>
                    <w:keepNext w:val="0"/>
                    <w:keepLines w:val="0"/>
                    <w:widowControl/>
                    <w:suppressLineNumbers w:val="0"/>
                    <w:jc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lang w:val="en-US" w:eastAsia="zh-CN" w:bidi="ar"/>
                    </w:rPr>
                    <w:t>含废钒钛</w:t>
                  </w:r>
                </w:p>
              </w:tc>
              <w:tc>
                <w:tcPr>
                  <w:tcW w:w="442" w:type="dxa"/>
                  <w:tcBorders>
                    <w:tl2br w:val="nil"/>
                    <w:tr2bl w:val="nil"/>
                  </w:tcBorders>
                  <w:noWrap w:val="0"/>
                  <w:vAlign w:val="center"/>
                </w:tcPr>
                <w:p w14:paraId="592F359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固态</w:t>
                  </w:r>
                </w:p>
              </w:tc>
              <w:tc>
                <w:tcPr>
                  <w:tcW w:w="424" w:type="dxa"/>
                  <w:tcBorders>
                    <w:tl2br w:val="nil"/>
                    <w:tr2bl w:val="nil"/>
                  </w:tcBorders>
                  <w:noWrap w:val="0"/>
                  <w:vAlign w:val="center"/>
                </w:tcPr>
                <w:p w14:paraId="0938310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T</w:t>
                  </w:r>
                </w:p>
              </w:tc>
              <w:tc>
                <w:tcPr>
                  <w:tcW w:w="672" w:type="dxa"/>
                  <w:tcBorders>
                    <w:tl2br w:val="nil"/>
                    <w:tr2bl w:val="nil"/>
                  </w:tcBorders>
                  <w:noWrap w:val="0"/>
                  <w:vAlign w:val="center"/>
                </w:tcPr>
                <w:p w14:paraId="02B551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62.300t/3a</w:t>
                  </w:r>
                </w:p>
              </w:tc>
              <w:tc>
                <w:tcPr>
                  <w:tcW w:w="725" w:type="dxa"/>
                  <w:vMerge w:val="continue"/>
                  <w:tcBorders>
                    <w:tl2br w:val="nil"/>
                    <w:tr2bl w:val="nil"/>
                  </w:tcBorders>
                  <w:noWrap w:val="0"/>
                  <w:vAlign w:val="center"/>
                </w:tcPr>
                <w:p w14:paraId="71C62C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c>
                <w:tcPr>
                  <w:tcW w:w="1251" w:type="dxa"/>
                  <w:vMerge w:val="continue"/>
                  <w:tcBorders>
                    <w:tl2br w:val="nil"/>
                    <w:tr2bl w:val="nil"/>
                  </w:tcBorders>
                  <w:noWrap w:val="0"/>
                  <w:vAlign w:val="center"/>
                </w:tcPr>
                <w:p w14:paraId="171928D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p>
              </w:tc>
            </w:tr>
            <w:tr w14:paraId="3BC5009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014" w:hRule="atLeast"/>
              </w:trPr>
              <w:tc>
                <w:tcPr>
                  <w:tcW w:w="766" w:type="dxa"/>
                  <w:tcBorders>
                    <w:tl2br w:val="nil"/>
                    <w:tr2bl w:val="nil"/>
                  </w:tcBorders>
                  <w:noWrap/>
                  <w:vAlign w:val="center"/>
                </w:tcPr>
                <w:p w14:paraId="0E8ED00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cs="Times New Roman"/>
                      <w:i w:val="0"/>
                      <w:iCs w:val="0"/>
                      <w:color w:val="auto"/>
                      <w:kern w:val="0"/>
                      <w:sz w:val="21"/>
                      <w:szCs w:val="21"/>
                      <w:highlight w:val="none"/>
                      <w:u w:val="none"/>
                      <w:lang w:val="en-US" w:eastAsia="zh-CN" w:bidi="ar"/>
                    </w:rPr>
                    <w:t>水、汽检验</w:t>
                  </w:r>
                </w:p>
              </w:tc>
              <w:tc>
                <w:tcPr>
                  <w:tcW w:w="440" w:type="dxa"/>
                  <w:vMerge w:val="continue"/>
                  <w:tcBorders>
                    <w:tl2br w:val="nil"/>
                    <w:tr2bl w:val="nil"/>
                  </w:tcBorders>
                  <w:noWrap w:val="0"/>
                  <w:vAlign w:val="center"/>
                </w:tcPr>
                <w:p w14:paraId="071EF432">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786" w:type="dxa"/>
                  <w:tcBorders>
                    <w:tl2br w:val="nil"/>
                    <w:tr2bl w:val="nil"/>
                  </w:tcBorders>
                  <w:noWrap w:val="0"/>
                  <w:vAlign w:val="center"/>
                </w:tcPr>
                <w:p w14:paraId="12F3109F">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实验室化验废液</w:t>
                  </w:r>
                </w:p>
              </w:tc>
              <w:tc>
                <w:tcPr>
                  <w:tcW w:w="618" w:type="dxa"/>
                  <w:tcBorders>
                    <w:tl2br w:val="nil"/>
                    <w:tr2bl w:val="nil"/>
                  </w:tcBorders>
                  <w:noWrap w:val="0"/>
                  <w:vAlign w:val="center"/>
                </w:tcPr>
                <w:p w14:paraId="6E52DCF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HW49</w:t>
                  </w:r>
                </w:p>
              </w:tc>
              <w:tc>
                <w:tcPr>
                  <w:tcW w:w="894" w:type="dxa"/>
                  <w:tcBorders>
                    <w:tl2br w:val="nil"/>
                    <w:tr2bl w:val="nil"/>
                  </w:tcBorders>
                  <w:noWrap w:val="0"/>
                  <w:vAlign w:val="center"/>
                </w:tcPr>
                <w:p w14:paraId="29965EC7">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lang w:val="en-US"/>
                    </w:rPr>
                  </w:pPr>
                  <w:r>
                    <w:rPr>
                      <w:rFonts w:hint="default" w:ascii="Times New Roman" w:hAnsi="Times New Roman" w:eastAsia="宋体" w:cs="Times New Roman"/>
                      <w:i w:val="0"/>
                      <w:iCs w:val="0"/>
                      <w:color w:val="auto"/>
                      <w:kern w:val="0"/>
                      <w:sz w:val="21"/>
                      <w:szCs w:val="21"/>
                      <w:highlight w:val="none"/>
                      <w:u w:val="none"/>
                      <w:lang w:val="en-US" w:eastAsia="zh-CN" w:bidi="ar"/>
                    </w:rPr>
                    <w:t>900-047-49</w:t>
                  </w:r>
                </w:p>
              </w:tc>
              <w:tc>
                <w:tcPr>
                  <w:tcW w:w="976" w:type="dxa"/>
                  <w:tcBorders>
                    <w:tl2br w:val="nil"/>
                    <w:tr2bl w:val="nil"/>
                  </w:tcBorders>
                  <w:noWrap w:val="0"/>
                  <w:vAlign w:val="center"/>
                </w:tcPr>
                <w:p w14:paraId="46177E2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酸碱、金属离子、有机试剂及反应产物，且可能含有微量重金属或难降解有机物</w:t>
                  </w:r>
                </w:p>
              </w:tc>
              <w:tc>
                <w:tcPr>
                  <w:tcW w:w="442" w:type="dxa"/>
                  <w:tcBorders>
                    <w:tl2br w:val="nil"/>
                    <w:tr2bl w:val="nil"/>
                  </w:tcBorders>
                  <w:noWrap w:val="0"/>
                  <w:vAlign w:val="center"/>
                </w:tcPr>
                <w:p w14:paraId="5605DB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液态</w:t>
                  </w:r>
                </w:p>
              </w:tc>
              <w:tc>
                <w:tcPr>
                  <w:tcW w:w="424" w:type="dxa"/>
                  <w:tcBorders>
                    <w:tl2br w:val="nil"/>
                    <w:tr2bl w:val="nil"/>
                  </w:tcBorders>
                  <w:noWrap w:val="0"/>
                  <w:vAlign w:val="center"/>
                </w:tcPr>
                <w:p w14:paraId="2A842C0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rPr>
                  </w:pPr>
                  <w:r>
                    <w:rPr>
                      <w:rFonts w:hint="default" w:ascii="Times New Roman" w:hAnsi="Times New Roman" w:eastAsia="宋体" w:cs="Times New Roman"/>
                      <w:i w:val="0"/>
                      <w:iCs w:val="0"/>
                      <w:color w:val="auto"/>
                      <w:kern w:val="0"/>
                      <w:sz w:val="21"/>
                      <w:szCs w:val="21"/>
                      <w:highlight w:val="none"/>
                      <w:u w:val="none"/>
                      <w:lang w:val="en-US" w:eastAsia="zh-CN" w:bidi="ar"/>
                    </w:rPr>
                    <w:t>T/C/I/R</w:t>
                  </w:r>
                </w:p>
              </w:tc>
              <w:tc>
                <w:tcPr>
                  <w:tcW w:w="672" w:type="dxa"/>
                  <w:tcBorders>
                    <w:tl2br w:val="nil"/>
                    <w:tr2bl w:val="nil"/>
                  </w:tcBorders>
                  <w:noWrap w:val="0"/>
                  <w:vAlign w:val="center"/>
                </w:tcPr>
                <w:p w14:paraId="3BCB5B1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23.38</w:t>
                  </w:r>
                </w:p>
              </w:tc>
              <w:tc>
                <w:tcPr>
                  <w:tcW w:w="725" w:type="dxa"/>
                  <w:vMerge w:val="continue"/>
                  <w:tcBorders>
                    <w:tl2br w:val="nil"/>
                    <w:tr2bl w:val="nil"/>
                  </w:tcBorders>
                  <w:noWrap w:val="0"/>
                  <w:vAlign w:val="center"/>
                </w:tcPr>
                <w:p w14:paraId="0BD46BF4">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c>
                <w:tcPr>
                  <w:tcW w:w="1251" w:type="dxa"/>
                  <w:vMerge w:val="continue"/>
                  <w:tcBorders>
                    <w:tl2br w:val="nil"/>
                    <w:tr2bl w:val="nil"/>
                  </w:tcBorders>
                  <w:noWrap w:val="0"/>
                  <w:vAlign w:val="center"/>
                </w:tcPr>
                <w:p w14:paraId="2DED16EC">
                  <w:pPr>
                    <w:keepNext w:val="0"/>
                    <w:keepLines w:val="0"/>
                    <w:pageBreakBefore w:val="0"/>
                    <w:widowControl/>
                    <w:kinsoku/>
                    <w:wordWrap/>
                    <w:overflowPunct/>
                    <w:topLinePunct w:val="0"/>
                    <w:autoSpaceDE/>
                    <w:autoSpaceDN/>
                    <w:bidi w:val="0"/>
                    <w:adjustRightInd/>
                    <w:snapToGrid/>
                    <w:jc w:val="center"/>
                    <w:rPr>
                      <w:rFonts w:hint="default" w:ascii="Times New Roman" w:hAnsi="Times New Roman" w:eastAsia="宋体" w:cs="Times New Roman"/>
                      <w:i w:val="0"/>
                      <w:iCs w:val="0"/>
                      <w:color w:val="auto"/>
                      <w:sz w:val="21"/>
                      <w:szCs w:val="21"/>
                      <w:highlight w:val="none"/>
                      <w:u w:val="none"/>
                    </w:rPr>
                  </w:pPr>
                </w:p>
              </w:tc>
            </w:tr>
          </w:tbl>
          <w:p w14:paraId="5D4ECE0C">
            <w:pPr>
              <w:pStyle w:val="61"/>
              <w:keepNext w:val="0"/>
              <w:keepLines w:val="0"/>
              <w:pageBreakBefore w:val="0"/>
              <w:widowControl w:val="0"/>
              <w:kinsoku/>
              <w:wordWrap/>
              <w:overflowPunct/>
              <w:topLinePunct w:val="0"/>
              <w:autoSpaceDE/>
              <w:autoSpaceDN/>
              <w:bidi w:val="0"/>
              <w:adjustRightInd/>
              <w:snapToGrid/>
              <w:spacing w:before="157" w:beforeLines="50" w:line="360" w:lineRule="auto"/>
              <w:ind w:firstLine="0" w:firstLineChars="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b/>
                <w:bCs/>
                <w:color w:val="auto"/>
                <w:sz w:val="24"/>
                <w:szCs w:val="24"/>
                <w:lang w:val="en-US" w:eastAsia="zh-CN"/>
              </w:rPr>
              <w:t>2.</w:t>
            </w:r>
            <w:r>
              <w:rPr>
                <w:rFonts w:hint="default" w:ascii="Times New Roman" w:hAnsi="Times New Roman" w:eastAsia="宋体" w:cs="Times New Roman"/>
                <w:b/>
                <w:bCs/>
                <w:color w:val="auto"/>
                <w:sz w:val="24"/>
                <w:szCs w:val="24"/>
                <w:lang w:val="en-US" w:eastAsia="zh-CN"/>
              </w:rPr>
              <w:t>5</w:t>
            </w:r>
            <w:r>
              <w:rPr>
                <w:rFonts w:hint="default" w:ascii="Times New Roman" w:hAnsi="Times New Roman" w:eastAsia="宋体" w:cs="Times New Roman"/>
                <w:b/>
                <w:bCs/>
                <w:color w:val="auto"/>
                <w:sz w:val="24"/>
                <w:szCs w:val="24"/>
              </w:rPr>
              <w:t>.</w:t>
            </w:r>
            <w:r>
              <w:rPr>
                <w:rFonts w:hint="default" w:ascii="Times New Roman" w:hAnsi="Times New Roman" w:cs="Times New Roman"/>
                <w:b/>
                <w:bCs/>
                <w:color w:val="auto"/>
                <w:sz w:val="24"/>
                <w:szCs w:val="24"/>
                <w:lang w:val="en-US" w:eastAsia="zh-CN"/>
              </w:rPr>
              <w:t>4</w:t>
            </w:r>
            <w:r>
              <w:rPr>
                <w:rFonts w:hint="default" w:ascii="Times New Roman" w:hAnsi="Times New Roman" w:eastAsia="宋体" w:cs="Times New Roman"/>
                <w:b/>
                <w:bCs/>
                <w:color w:val="auto"/>
                <w:sz w:val="24"/>
                <w:szCs w:val="24"/>
              </w:rPr>
              <w:t>固废</w:t>
            </w:r>
            <w:r>
              <w:rPr>
                <w:rFonts w:hint="default" w:ascii="Times New Roman" w:hAnsi="Times New Roman" w:eastAsia="宋体" w:cs="Times New Roman"/>
                <w:b/>
                <w:bCs/>
                <w:color w:val="auto"/>
                <w:sz w:val="24"/>
                <w:szCs w:val="24"/>
                <w:lang w:val="en-US" w:eastAsia="zh-CN"/>
              </w:rPr>
              <w:t>管理要求</w:t>
            </w:r>
          </w:p>
          <w:p w14:paraId="5DB8AB1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）一般固体废物</w:t>
            </w:r>
            <w:r>
              <w:rPr>
                <w:rFonts w:hint="default" w:ascii="Times New Roman" w:hAnsi="Times New Roman" w:eastAsia="宋体" w:cs="Times New Roman"/>
                <w:color w:val="auto"/>
                <w:sz w:val="24"/>
                <w:szCs w:val="24"/>
                <w:lang w:val="en-US" w:eastAsia="zh-CN"/>
              </w:rPr>
              <w:t>管理要求</w:t>
            </w:r>
          </w:p>
          <w:p w14:paraId="137B7C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①</w:t>
            </w:r>
            <w:r>
              <w:rPr>
                <w:rFonts w:hint="default" w:ascii="Times New Roman" w:hAnsi="Times New Roman" w:eastAsia="宋体" w:cs="Times New Roman"/>
                <w:color w:val="auto"/>
                <w:sz w:val="24"/>
                <w:szCs w:val="24"/>
                <w:lang w:eastAsia="zh-CN"/>
              </w:rPr>
              <w:t>一般固体废物的处理优先考虑资源的再生利用，减少对环境的污染；</w:t>
            </w:r>
          </w:p>
          <w:p w14:paraId="772664F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②一般固体废物与生活垃圾分别处置；</w:t>
            </w:r>
          </w:p>
          <w:p w14:paraId="16F8ED9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③妥善处理产生的固体废物，不造成二次污染。</w:t>
            </w:r>
          </w:p>
          <w:p w14:paraId="119DD386">
            <w:pPr>
              <w:pStyle w:val="61"/>
              <w:keepNext w:val="0"/>
              <w:keepLines w:val="0"/>
              <w:pageBreakBefore w:val="0"/>
              <w:widowControl w:val="0"/>
              <w:kinsoku/>
              <w:wordWrap/>
              <w:overflowPunct/>
              <w:topLinePunct w:val="0"/>
              <w:autoSpaceDE/>
              <w:autoSpaceDN/>
              <w:bidi w:val="0"/>
              <w:adjustRightInd/>
              <w:snapToGrid/>
              <w:spacing w:before="0" w:beforeLines="0" w:line="360" w:lineRule="auto"/>
              <w:ind w:firstLine="48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综上，建设单位只要落实本次环评要求的环保措施，项目产生的固体废弃物均能得到妥善处理，对环境影响很小</w:t>
            </w:r>
            <w:r>
              <w:rPr>
                <w:rFonts w:hint="default" w:ascii="Times New Roman" w:hAnsi="Times New Roman" w:eastAsia="宋体" w:cs="Times New Roman"/>
                <w:color w:val="auto"/>
                <w:spacing w:val="4"/>
                <w:sz w:val="24"/>
                <w:szCs w:val="24"/>
              </w:rPr>
              <w:t>。</w:t>
            </w:r>
          </w:p>
          <w:p w14:paraId="24694108">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（2）危险废物管理要求</w:t>
            </w:r>
          </w:p>
          <w:p w14:paraId="4A9D9BFA">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本项目在脱硫塔北侧设置危废贮存点</w:t>
            </w:r>
            <w:r>
              <w:rPr>
                <w:rFonts w:hint="default" w:ascii="Times New Roman" w:hAnsi="Times New Roman" w:cs="Times New Roman"/>
                <w:color w:val="auto"/>
                <w:spacing w:val="0"/>
                <w:sz w:val="24"/>
                <w:szCs w:val="24"/>
                <w:lang w:val="en-US" w:eastAsia="zh-CN"/>
              </w:rPr>
              <w:t>（20</w:t>
            </w:r>
            <w:r>
              <w:rPr>
                <w:rFonts w:hint="default" w:ascii="Times New Roman" w:hAnsi="Times New Roman" w:eastAsia="宋体" w:cs="Times New Roman"/>
                <w:color w:val="auto"/>
                <w:spacing w:val="0"/>
                <w:sz w:val="24"/>
                <w:szCs w:val="24"/>
                <w:lang w:val="en-US" w:eastAsia="zh-CN"/>
              </w:rPr>
              <w:t>m</w:t>
            </w:r>
            <w:r>
              <w:rPr>
                <w:rFonts w:hint="default" w:ascii="Times New Roman" w:hAnsi="Times New Roman" w:eastAsia="宋体" w:cs="Times New Roman"/>
                <w:color w:val="auto"/>
                <w:spacing w:val="0"/>
                <w:sz w:val="24"/>
                <w:szCs w:val="24"/>
                <w:vertAlign w:val="superscript"/>
                <w:lang w:val="en-US" w:eastAsia="zh-CN"/>
              </w:rPr>
              <w:t>2</w:t>
            </w:r>
            <w:r>
              <w:rPr>
                <w:rFonts w:hint="default" w:ascii="Times New Roman" w:hAnsi="Times New Roman"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，贮存点地面做重点防渗，内部进行分区管理，并配置泄漏收集装置，危险废物暂存时间最长不得超过1年，</w:t>
            </w:r>
            <w:r>
              <w:rPr>
                <w:rFonts w:hint="default" w:ascii="Times New Roman" w:hAnsi="Times New Roman" w:eastAsia="宋体" w:cs="Times New Roman"/>
                <w:i w:val="0"/>
                <w:iCs w:val="0"/>
                <w:color w:val="auto"/>
                <w:kern w:val="0"/>
                <w:sz w:val="24"/>
                <w:szCs w:val="24"/>
                <w:u w:val="none"/>
                <w:lang w:val="en-US" w:eastAsia="zh-CN" w:bidi="ar"/>
              </w:rPr>
              <w:t>委托有资质的单位定期清运处置。</w:t>
            </w:r>
          </w:p>
          <w:p w14:paraId="6AA7F095">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根据《危险废物贮存污染控制标准》（GB18597-2023），危险废物总体要求如下：</w:t>
            </w:r>
          </w:p>
          <w:p w14:paraId="06AC2863">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①产生、收集、贮存、利用、处置危险废物的单位应建造危险废物贮存设施或设置贮存场所，并根据需要选择贮存设施类型。</w:t>
            </w:r>
          </w:p>
          <w:p w14:paraId="40D3A3F5">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②贮存危险废物应根据危险废物的类别、数量、形态、物理化学性质和环境风险等因素，确定贮存设施或场所类型和规模。</w:t>
            </w:r>
          </w:p>
          <w:p w14:paraId="7450FBE7">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③贮存危险废物应根据危险废物的类别、形态、物理化学性质和污染防治要求进行分类贮存，且应避免危险废物与不相容的物质或材料接触。</w:t>
            </w:r>
          </w:p>
          <w:p w14:paraId="798BBD29">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④贮存危险废物应根据危险废物的形态、物理化学性质、包装形式和污染物迁移途径，采取措施减少渗滤液及其衍生废物、渗漏的液态废物</w:t>
            </w:r>
            <w:r>
              <w:rPr>
                <w:rFonts w:hint="default" w:ascii="Times New Roman" w:hAnsi="Times New Roman" w:cs="Times New Roman"/>
                <w:color w:val="auto"/>
                <w:spacing w:val="0"/>
                <w:sz w:val="24"/>
                <w:szCs w:val="24"/>
                <w:lang w:val="en-US" w:eastAsia="zh-CN"/>
              </w:rPr>
              <w:t>具</w:t>
            </w:r>
            <w:r>
              <w:rPr>
                <w:rFonts w:hint="default" w:ascii="Times New Roman" w:hAnsi="Times New Roman" w:eastAsia="宋体" w:cs="Times New Roman"/>
                <w:color w:val="auto"/>
                <w:spacing w:val="0"/>
                <w:sz w:val="24"/>
                <w:szCs w:val="24"/>
                <w:lang w:val="en-US" w:eastAsia="zh-CN"/>
              </w:rPr>
              <w:t>有毒有害大气污染物和刺激性气味气体等污染物的产生，防止其污染环境。</w:t>
            </w:r>
          </w:p>
          <w:p w14:paraId="2F6B8E4D">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⑤危险废物贮存过</w:t>
            </w:r>
            <w:r>
              <w:rPr>
                <w:rFonts w:hint="default" w:ascii="Times New Roman" w:hAnsi="Times New Roman" w:cs="Times New Roman"/>
                <w:color w:val="auto"/>
                <w:spacing w:val="0"/>
                <w:sz w:val="24"/>
                <w:szCs w:val="24"/>
                <w:lang w:val="en-US" w:eastAsia="zh-CN"/>
              </w:rPr>
              <w:t>程中</w:t>
            </w:r>
            <w:r>
              <w:rPr>
                <w:rFonts w:hint="default" w:ascii="Times New Roman" w:hAnsi="Times New Roman" w:eastAsia="宋体" w:cs="Times New Roman"/>
                <w:color w:val="auto"/>
                <w:spacing w:val="0"/>
                <w:sz w:val="24"/>
                <w:szCs w:val="24"/>
                <w:lang w:val="en-US" w:eastAsia="zh-CN"/>
              </w:rPr>
              <w:t>产生的液态废物和固态废物应分类收集，</w:t>
            </w:r>
            <w:r>
              <w:rPr>
                <w:rFonts w:hint="default" w:ascii="Times New Roman" w:hAnsi="Times New Roman" w:cs="Times New Roman"/>
                <w:color w:val="auto"/>
                <w:spacing w:val="0"/>
                <w:sz w:val="24"/>
                <w:szCs w:val="24"/>
                <w:lang w:val="en-US" w:eastAsia="zh-CN"/>
              </w:rPr>
              <w:t>按</w:t>
            </w:r>
            <w:r>
              <w:rPr>
                <w:rFonts w:hint="default" w:ascii="Times New Roman" w:hAnsi="Times New Roman" w:eastAsia="宋体" w:cs="Times New Roman"/>
                <w:color w:val="auto"/>
                <w:spacing w:val="0"/>
                <w:sz w:val="24"/>
                <w:szCs w:val="24"/>
                <w:lang w:val="en-US" w:eastAsia="zh-CN"/>
              </w:rPr>
              <w:t>环境管理要求妥善处理。</w:t>
            </w:r>
          </w:p>
          <w:p w14:paraId="011EFD76">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⑥贮存设施或场所、容器和包装物应按HJ1276要求设置危险废物贮存设施或场所标志、危险废物贮存分区标志和危险废物标签等危险废物识别标志。</w:t>
            </w:r>
          </w:p>
          <w:p w14:paraId="0365B955">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⑦贮存设施退役时，所有者或运营者应依法履行环境保护责任，退役前应妥善处理处置贮存设施内剩余的危险废物，并对贮存设施进行清理，消除污染；还应依据土壤污染防治相关法律法规履行场地环境风险防控责任。</w:t>
            </w:r>
          </w:p>
          <w:p w14:paraId="607C46DB">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⑧在常温常压下易爆、易燃及排出有毒气体的危险废物应进行预处理，使之稳定后贮存，否则应按易爆、易燃危险品贮存。</w:t>
            </w:r>
          </w:p>
          <w:p w14:paraId="7F078D0B">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⑨危险废物贮存除应满足环境保护相关要求外，还应执行国家安全生产、职业健康、交通运输、消防等法律法规和标准的相关要求。</w:t>
            </w:r>
          </w:p>
          <w:p w14:paraId="2C83E899">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（3）危险废物贮存场所（设施）污染防治措施</w:t>
            </w:r>
          </w:p>
          <w:p w14:paraId="450AFF33">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本项目危险废物采用</w:t>
            </w:r>
            <w:r>
              <w:rPr>
                <w:rFonts w:hint="default" w:ascii="Times New Roman" w:hAnsi="Times New Roman" w:eastAsia="宋体" w:cs="Times New Roman"/>
                <w:color w:val="auto"/>
                <w:spacing w:val="0"/>
                <w:sz w:val="24"/>
                <w:szCs w:val="24"/>
                <w:lang w:val="zh-CN" w:eastAsia="zh-CN"/>
              </w:rPr>
              <w:t>专用的、符合国家标准的密封和具有防漏、防渗、防腐性能的</w:t>
            </w:r>
            <w:r>
              <w:rPr>
                <w:rFonts w:hint="default" w:ascii="Times New Roman" w:hAnsi="Times New Roman" w:cs="Times New Roman"/>
                <w:color w:val="auto"/>
                <w:spacing w:val="0"/>
                <w:sz w:val="24"/>
                <w:szCs w:val="24"/>
                <w:lang w:val="en-US" w:eastAsia="zh-CN"/>
              </w:rPr>
              <w:t>容器</w:t>
            </w:r>
            <w:r>
              <w:rPr>
                <w:rFonts w:hint="default" w:ascii="Times New Roman" w:hAnsi="Times New Roman" w:eastAsia="宋体" w:cs="Times New Roman"/>
                <w:color w:val="auto"/>
                <w:spacing w:val="0"/>
                <w:sz w:val="24"/>
                <w:szCs w:val="24"/>
                <w:lang w:val="zh-CN" w:eastAsia="zh-CN"/>
              </w:rPr>
              <w:t>，</w:t>
            </w:r>
            <w:r>
              <w:rPr>
                <w:rFonts w:hint="default" w:ascii="Times New Roman" w:hAnsi="Times New Roman" w:eastAsia="宋体" w:cs="Times New Roman"/>
                <w:color w:val="auto"/>
                <w:spacing w:val="0"/>
                <w:sz w:val="24"/>
                <w:szCs w:val="24"/>
                <w:lang w:val="en-US" w:eastAsia="zh-CN"/>
              </w:rPr>
              <w:t>并</w:t>
            </w:r>
            <w:r>
              <w:rPr>
                <w:rFonts w:hint="default" w:ascii="Times New Roman" w:hAnsi="Times New Roman" w:eastAsia="宋体" w:cs="Times New Roman"/>
                <w:color w:val="auto"/>
                <w:spacing w:val="0"/>
                <w:sz w:val="24"/>
                <w:szCs w:val="24"/>
                <w:lang w:val="zh-CN" w:eastAsia="zh-CN"/>
              </w:rPr>
              <w:t>配置泄漏收集装置（导流沟、收集池）等，</w:t>
            </w:r>
            <w:r>
              <w:rPr>
                <w:rFonts w:hint="default" w:ascii="Times New Roman" w:hAnsi="Times New Roman" w:eastAsia="宋体" w:cs="Times New Roman"/>
                <w:color w:val="auto"/>
                <w:spacing w:val="0"/>
                <w:sz w:val="24"/>
                <w:szCs w:val="24"/>
                <w:lang w:val="en-US" w:eastAsia="zh-CN"/>
              </w:rPr>
              <w:t>暂存点具有防风、防晒、防雨、防漏、防渗、防腐的功能，定期委托有资质的单位（危险废物处置）定期清运处置。本项目危险废物贮存场所（设施）基本情况见表4-1</w:t>
            </w:r>
            <w:r>
              <w:rPr>
                <w:rFonts w:hint="default" w:ascii="Times New Roman" w:hAnsi="Times New Roman" w:cs="Times New Roman"/>
                <w:color w:val="auto"/>
                <w:spacing w:val="0"/>
                <w:sz w:val="24"/>
                <w:szCs w:val="24"/>
                <w:lang w:val="en-US" w:eastAsia="zh-CN"/>
              </w:rPr>
              <w:t>4</w:t>
            </w:r>
            <w:r>
              <w:rPr>
                <w:rFonts w:hint="default" w:ascii="Times New Roman" w:hAnsi="Times New Roman" w:eastAsia="宋体" w:cs="Times New Roman"/>
                <w:color w:val="auto"/>
                <w:spacing w:val="0"/>
                <w:sz w:val="24"/>
                <w:szCs w:val="24"/>
                <w:lang w:val="en-US" w:eastAsia="zh-CN"/>
              </w:rPr>
              <w:t>。</w:t>
            </w:r>
          </w:p>
          <w:p w14:paraId="0B003A88">
            <w:pPr>
              <w:pStyle w:val="42"/>
              <w:keepNext w:val="0"/>
              <w:keepLines w:val="0"/>
              <w:pageBreakBefore w:val="0"/>
              <w:widowControl w:val="0"/>
              <w:tabs>
                <w:tab w:val="left" w:pos="4643"/>
                <w:tab w:val="clear" w:pos="6840"/>
              </w:tabs>
              <w:kinsoku/>
              <w:wordWrap/>
              <w:overflowPunct/>
              <w:topLinePunct/>
              <w:autoSpaceDE/>
              <w:autoSpaceDN/>
              <w:bidi w:val="0"/>
              <w:adjustRightInd w:val="0"/>
              <w:snapToGrid w:val="0"/>
              <w:spacing w:beforeLines="0" w:afterLines="0" w:line="240" w:lineRule="auto"/>
              <w:ind w:left="0" w:leftChars="0" w:right="0" w:rightChars="0" w:firstLine="0"/>
              <w:textAlignment w:val="auto"/>
              <w:rPr>
                <w:rFonts w:hint="default" w:ascii="Times New Roman" w:hAnsi="Times New Roman" w:eastAsia="宋体" w:cs="Times New Roman"/>
                <w:b/>
                <w:bCs w:val="0"/>
                <w:color w:val="auto"/>
                <w:spacing w:val="0"/>
                <w:kern w:val="2"/>
                <w:sz w:val="21"/>
                <w:szCs w:val="21"/>
                <w:lang w:val="en-US" w:eastAsia="zh-CN" w:bidi="ar-SA"/>
              </w:rPr>
            </w:pPr>
            <w:r>
              <w:rPr>
                <w:rFonts w:hint="default" w:ascii="Times New Roman" w:hAnsi="Times New Roman" w:eastAsia="宋体" w:cs="Times New Roman"/>
                <w:b/>
                <w:bCs w:val="0"/>
                <w:color w:val="auto"/>
                <w:spacing w:val="0"/>
                <w:kern w:val="2"/>
                <w:sz w:val="21"/>
                <w:szCs w:val="21"/>
                <w:lang w:val="en-US" w:eastAsia="zh-CN" w:bidi="ar-SA"/>
              </w:rPr>
              <w:t>表4-1</w:t>
            </w:r>
            <w:r>
              <w:rPr>
                <w:rFonts w:hint="default" w:ascii="Times New Roman" w:hAnsi="Times New Roman" w:cs="Times New Roman"/>
                <w:b/>
                <w:bCs w:val="0"/>
                <w:color w:val="auto"/>
                <w:spacing w:val="0"/>
                <w:kern w:val="2"/>
                <w:sz w:val="21"/>
                <w:szCs w:val="21"/>
                <w:lang w:val="en-US" w:eastAsia="zh-CN" w:bidi="ar-SA"/>
              </w:rPr>
              <w:t>4</w:t>
            </w:r>
            <w:r>
              <w:rPr>
                <w:rFonts w:hint="default" w:ascii="Times New Roman" w:hAnsi="Times New Roman" w:eastAsia="宋体" w:cs="Times New Roman"/>
                <w:b/>
                <w:bCs w:val="0"/>
                <w:color w:val="auto"/>
                <w:spacing w:val="0"/>
                <w:kern w:val="2"/>
                <w:sz w:val="21"/>
                <w:szCs w:val="21"/>
                <w:lang w:val="en-US" w:eastAsia="zh-CN" w:bidi="ar-SA"/>
              </w:rPr>
              <w:t>建设项目危险废物贮存场所（设施）基本情况样表</w:t>
            </w:r>
          </w:p>
          <w:tbl>
            <w:tblPr>
              <w:tblStyle w:val="33"/>
              <w:tblW w:w="497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35"/>
              <w:gridCol w:w="1366"/>
              <w:gridCol w:w="978"/>
              <w:gridCol w:w="1027"/>
              <w:gridCol w:w="1325"/>
              <w:gridCol w:w="755"/>
              <w:gridCol w:w="1117"/>
              <w:gridCol w:w="782"/>
            </w:tblGrid>
            <w:tr w14:paraId="3042AD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454" w:type="pct"/>
                  <w:tcBorders>
                    <w:tl2br w:val="nil"/>
                    <w:tr2bl w:val="nil"/>
                  </w:tcBorders>
                  <w:noWrap w:val="0"/>
                  <w:vAlign w:val="center"/>
                </w:tcPr>
                <w:p w14:paraId="154C3C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贮存场所</w:t>
                  </w:r>
                </w:p>
              </w:tc>
              <w:tc>
                <w:tcPr>
                  <w:tcW w:w="844" w:type="pct"/>
                  <w:tcBorders>
                    <w:tl2br w:val="nil"/>
                    <w:tr2bl w:val="nil"/>
                  </w:tcBorders>
                  <w:noWrap w:val="0"/>
                  <w:vAlign w:val="center"/>
                </w:tcPr>
                <w:p w14:paraId="334166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危险废物名称</w:t>
                  </w:r>
                </w:p>
              </w:tc>
              <w:tc>
                <w:tcPr>
                  <w:tcW w:w="604" w:type="pct"/>
                  <w:tcBorders>
                    <w:tl2br w:val="nil"/>
                    <w:tr2bl w:val="nil"/>
                  </w:tcBorders>
                  <w:noWrap w:val="0"/>
                  <w:vAlign w:val="center"/>
                </w:tcPr>
                <w:p w14:paraId="474FA15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危险废物类别</w:t>
                  </w:r>
                </w:p>
              </w:tc>
              <w:tc>
                <w:tcPr>
                  <w:tcW w:w="635" w:type="pct"/>
                  <w:tcBorders>
                    <w:tl2br w:val="nil"/>
                    <w:tr2bl w:val="nil"/>
                  </w:tcBorders>
                  <w:noWrap w:val="0"/>
                  <w:vAlign w:val="center"/>
                </w:tcPr>
                <w:p w14:paraId="64F5C48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最大贮存量</w:t>
                  </w:r>
                </w:p>
              </w:tc>
              <w:tc>
                <w:tcPr>
                  <w:tcW w:w="819" w:type="pct"/>
                  <w:tcBorders>
                    <w:tl2br w:val="nil"/>
                    <w:tr2bl w:val="nil"/>
                  </w:tcBorders>
                  <w:noWrap w:val="0"/>
                  <w:vAlign w:val="center"/>
                </w:tcPr>
                <w:p w14:paraId="3850F0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危险废物代码</w:t>
                  </w:r>
                </w:p>
              </w:tc>
              <w:tc>
                <w:tcPr>
                  <w:tcW w:w="466" w:type="pct"/>
                  <w:tcBorders>
                    <w:tl2br w:val="nil"/>
                    <w:tr2bl w:val="nil"/>
                  </w:tcBorders>
                  <w:noWrap w:val="0"/>
                  <w:vAlign w:val="center"/>
                </w:tcPr>
                <w:p w14:paraId="06D098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占地面积</w:t>
                  </w:r>
                </w:p>
              </w:tc>
              <w:tc>
                <w:tcPr>
                  <w:tcW w:w="690" w:type="pct"/>
                  <w:tcBorders>
                    <w:tl2br w:val="nil"/>
                    <w:tr2bl w:val="nil"/>
                  </w:tcBorders>
                  <w:noWrap w:val="0"/>
                  <w:vAlign w:val="center"/>
                </w:tcPr>
                <w:p w14:paraId="5472E1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贮存方式</w:t>
                  </w:r>
                </w:p>
              </w:tc>
              <w:tc>
                <w:tcPr>
                  <w:tcW w:w="483" w:type="pct"/>
                  <w:tcBorders>
                    <w:tl2br w:val="nil"/>
                    <w:tr2bl w:val="nil"/>
                  </w:tcBorders>
                  <w:noWrap w:val="0"/>
                  <w:vAlign w:val="center"/>
                </w:tcPr>
                <w:p w14:paraId="478819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贮存周期</w:t>
                  </w:r>
                </w:p>
              </w:tc>
            </w:tr>
            <w:tr w14:paraId="3A0431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4" w:type="pct"/>
                  <w:vMerge w:val="restart"/>
                  <w:tcBorders>
                    <w:tl2br w:val="nil"/>
                    <w:tr2bl w:val="nil"/>
                  </w:tcBorders>
                  <w:noWrap w:val="0"/>
                  <w:vAlign w:val="center"/>
                </w:tcPr>
                <w:p w14:paraId="25E115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危废贮存点</w:t>
                  </w:r>
                </w:p>
              </w:tc>
              <w:tc>
                <w:tcPr>
                  <w:tcW w:w="844" w:type="pct"/>
                  <w:tcBorders>
                    <w:tl2br w:val="nil"/>
                    <w:tr2bl w:val="nil"/>
                  </w:tcBorders>
                  <w:noWrap w:val="0"/>
                  <w:vAlign w:val="center"/>
                </w:tcPr>
                <w:p w14:paraId="39F4B0B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废机油</w:t>
                  </w:r>
                </w:p>
              </w:tc>
              <w:tc>
                <w:tcPr>
                  <w:tcW w:w="604" w:type="pct"/>
                  <w:tcBorders>
                    <w:tl2br w:val="nil"/>
                    <w:tr2bl w:val="nil"/>
                  </w:tcBorders>
                  <w:noWrap w:val="0"/>
                  <w:vAlign w:val="center"/>
                </w:tcPr>
                <w:p w14:paraId="4325BD31">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HW08</w:t>
                  </w:r>
                </w:p>
              </w:tc>
              <w:tc>
                <w:tcPr>
                  <w:tcW w:w="635" w:type="pct"/>
                  <w:tcBorders>
                    <w:tl2br w:val="nil"/>
                    <w:tr2bl w:val="nil"/>
                  </w:tcBorders>
                  <w:noWrap w:val="0"/>
                  <w:vAlign w:val="center"/>
                </w:tcPr>
                <w:p w14:paraId="18CD59C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0.2</w:t>
                  </w:r>
                  <w:r>
                    <w:rPr>
                      <w:rFonts w:hint="default" w:ascii="Times New Roman" w:hAnsi="Times New Roman" w:eastAsia="宋体" w:cs="Times New Roman"/>
                      <w:i w:val="0"/>
                      <w:iCs w:val="0"/>
                      <w:color w:val="auto"/>
                      <w:kern w:val="0"/>
                      <w:sz w:val="21"/>
                      <w:szCs w:val="21"/>
                      <w:u w:val="none"/>
                      <w:lang w:val="en-US" w:eastAsia="zh-CN" w:bidi="ar"/>
                    </w:rPr>
                    <w:t>t</w:t>
                  </w:r>
                </w:p>
              </w:tc>
              <w:tc>
                <w:tcPr>
                  <w:tcW w:w="819" w:type="pct"/>
                  <w:tcBorders>
                    <w:tl2br w:val="nil"/>
                    <w:tr2bl w:val="nil"/>
                  </w:tcBorders>
                  <w:noWrap w:val="0"/>
                  <w:vAlign w:val="center"/>
                </w:tcPr>
                <w:p w14:paraId="6C48FFC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900-217-08</w:t>
                  </w:r>
                </w:p>
              </w:tc>
              <w:tc>
                <w:tcPr>
                  <w:tcW w:w="466" w:type="pct"/>
                  <w:vMerge w:val="restart"/>
                  <w:tcBorders>
                    <w:tl2br w:val="nil"/>
                    <w:tr2bl w:val="nil"/>
                  </w:tcBorders>
                  <w:noWrap w:val="0"/>
                  <w:vAlign w:val="center"/>
                </w:tcPr>
                <w:p w14:paraId="169916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20</w:t>
                  </w:r>
                  <w:r>
                    <w:rPr>
                      <w:rFonts w:hint="default" w:ascii="Times New Roman" w:hAnsi="Times New Roman" w:eastAsia="宋体" w:cs="Times New Roman"/>
                      <w:color w:val="auto"/>
                      <w:kern w:val="2"/>
                      <w:sz w:val="21"/>
                      <w:szCs w:val="21"/>
                      <w:highlight w:val="none"/>
                      <w:lang w:val="en-US" w:eastAsia="zh-CN" w:bidi="ar-SA"/>
                    </w:rPr>
                    <w:t>m</w:t>
                  </w:r>
                  <w:r>
                    <w:rPr>
                      <w:rFonts w:hint="default" w:ascii="Times New Roman" w:hAnsi="Times New Roman" w:eastAsia="宋体" w:cs="Times New Roman"/>
                      <w:color w:val="auto"/>
                      <w:kern w:val="2"/>
                      <w:sz w:val="21"/>
                      <w:szCs w:val="21"/>
                      <w:highlight w:val="none"/>
                      <w:vertAlign w:val="superscript"/>
                      <w:lang w:val="en-US" w:eastAsia="zh-CN" w:bidi="ar-SA"/>
                    </w:rPr>
                    <w:t>2</w:t>
                  </w:r>
                </w:p>
              </w:tc>
              <w:tc>
                <w:tcPr>
                  <w:tcW w:w="690" w:type="pct"/>
                  <w:tcBorders>
                    <w:tl2br w:val="nil"/>
                    <w:tr2bl w:val="nil"/>
                  </w:tcBorders>
                  <w:noWrap w:val="0"/>
                  <w:vAlign w:val="center"/>
                </w:tcPr>
                <w:p w14:paraId="4883AA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桶装</w:t>
                  </w:r>
                </w:p>
              </w:tc>
              <w:tc>
                <w:tcPr>
                  <w:tcW w:w="483" w:type="pct"/>
                  <w:vMerge w:val="restart"/>
                  <w:tcBorders>
                    <w:tl2br w:val="nil"/>
                    <w:tr2bl w:val="nil"/>
                  </w:tcBorders>
                  <w:noWrap w:val="0"/>
                  <w:vAlign w:val="center"/>
                </w:tcPr>
                <w:p w14:paraId="6D8163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12个月</w:t>
                  </w:r>
                </w:p>
              </w:tc>
            </w:tr>
            <w:tr w14:paraId="6117AE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4" w:type="pct"/>
                  <w:vMerge w:val="continue"/>
                  <w:tcBorders>
                    <w:tl2br w:val="nil"/>
                    <w:tr2bl w:val="nil"/>
                  </w:tcBorders>
                  <w:noWrap w:val="0"/>
                  <w:vAlign w:val="center"/>
                </w:tcPr>
                <w:p w14:paraId="1D170BB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844" w:type="pct"/>
                  <w:tcBorders>
                    <w:tl2br w:val="nil"/>
                    <w:tr2bl w:val="nil"/>
                  </w:tcBorders>
                  <w:noWrap w:val="0"/>
                  <w:vAlign w:val="center"/>
                </w:tcPr>
                <w:p w14:paraId="1DA8FDAB">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废</w:t>
                  </w:r>
                  <w:r>
                    <w:rPr>
                      <w:rFonts w:hint="default" w:ascii="Times New Roman" w:hAnsi="Times New Roman" w:cs="Times New Roman"/>
                      <w:i w:val="0"/>
                      <w:iCs w:val="0"/>
                      <w:color w:val="auto"/>
                      <w:kern w:val="0"/>
                      <w:sz w:val="21"/>
                      <w:szCs w:val="21"/>
                      <w:u w:val="none"/>
                      <w:lang w:val="en-US" w:eastAsia="zh-CN" w:bidi="ar"/>
                    </w:rPr>
                    <w:t>催化剂</w:t>
                  </w:r>
                </w:p>
              </w:tc>
              <w:tc>
                <w:tcPr>
                  <w:tcW w:w="604" w:type="pct"/>
                  <w:tcBorders>
                    <w:tl2br w:val="nil"/>
                    <w:tr2bl w:val="nil"/>
                  </w:tcBorders>
                  <w:noWrap w:val="0"/>
                  <w:vAlign w:val="center"/>
                </w:tcPr>
                <w:p w14:paraId="435AB609">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HW</w:t>
                  </w:r>
                  <w:r>
                    <w:rPr>
                      <w:rFonts w:hint="default" w:ascii="Times New Roman" w:hAnsi="Times New Roman" w:cs="Times New Roman"/>
                      <w:i w:val="0"/>
                      <w:iCs w:val="0"/>
                      <w:color w:val="auto"/>
                      <w:kern w:val="0"/>
                      <w:sz w:val="21"/>
                      <w:szCs w:val="21"/>
                      <w:u w:val="none"/>
                      <w:lang w:val="en-US" w:eastAsia="zh-CN" w:bidi="ar"/>
                    </w:rPr>
                    <w:t>50</w:t>
                  </w:r>
                </w:p>
              </w:tc>
              <w:tc>
                <w:tcPr>
                  <w:tcW w:w="635" w:type="pct"/>
                  <w:tcBorders>
                    <w:tl2br w:val="nil"/>
                    <w:tr2bl w:val="nil"/>
                  </w:tcBorders>
                  <w:noWrap w:val="0"/>
                  <w:vAlign w:val="center"/>
                </w:tcPr>
                <w:p w14:paraId="640E8EF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10.38</w:t>
                  </w:r>
                  <w:r>
                    <w:rPr>
                      <w:rFonts w:hint="default" w:ascii="Times New Roman" w:hAnsi="Times New Roman" w:eastAsia="宋体" w:cs="Times New Roman"/>
                      <w:i w:val="0"/>
                      <w:iCs w:val="0"/>
                      <w:color w:val="auto"/>
                      <w:kern w:val="0"/>
                      <w:sz w:val="21"/>
                      <w:szCs w:val="21"/>
                      <w:u w:val="none"/>
                      <w:lang w:val="en-US" w:eastAsia="zh-CN" w:bidi="ar"/>
                    </w:rPr>
                    <w:t>t</w:t>
                  </w:r>
                </w:p>
              </w:tc>
              <w:tc>
                <w:tcPr>
                  <w:tcW w:w="819" w:type="pct"/>
                  <w:tcBorders>
                    <w:tl2br w:val="nil"/>
                    <w:tr2bl w:val="nil"/>
                  </w:tcBorders>
                  <w:noWrap w:val="0"/>
                  <w:vAlign w:val="center"/>
                </w:tcPr>
                <w:p w14:paraId="799264CF">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772-007-50</w:t>
                  </w:r>
                </w:p>
              </w:tc>
              <w:tc>
                <w:tcPr>
                  <w:tcW w:w="466" w:type="pct"/>
                  <w:vMerge w:val="continue"/>
                  <w:tcBorders>
                    <w:tl2br w:val="nil"/>
                    <w:tr2bl w:val="nil"/>
                  </w:tcBorders>
                  <w:noWrap w:val="0"/>
                  <w:vAlign w:val="center"/>
                </w:tcPr>
                <w:p w14:paraId="24817B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690" w:type="pct"/>
                  <w:tcBorders>
                    <w:tl2br w:val="nil"/>
                    <w:tr2bl w:val="nil"/>
                  </w:tcBorders>
                  <w:noWrap w:val="0"/>
                  <w:vAlign w:val="center"/>
                </w:tcPr>
                <w:p w14:paraId="72A52E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袋装</w:t>
                  </w:r>
                </w:p>
              </w:tc>
              <w:tc>
                <w:tcPr>
                  <w:tcW w:w="483" w:type="pct"/>
                  <w:vMerge w:val="continue"/>
                  <w:tcBorders>
                    <w:tl2br w:val="nil"/>
                    <w:tr2bl w:val="nil"/>
                  </w:tcBorders>
                  <w:noWrap w:val="0"/>
                  <w:vAlign w:val="center"/>
                </w:tcPr>
                <w:p w14:paraId="33B94E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r w14:paraId="07E422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454" w:type="pct"/>
                  <w:vMerge w:val="continue"/>
                  <w:tcBorders>
                    <w:tl2br w:val="nil"/>
                    <w:tr2bl w:val="nil"/>
                  </w:tcBorders>
                  <w:noWrap w:val="0"/>
                  <w:vAlign w:val="center"/>
                </w:tcPr>
                <w:p w14:paraId="067EA5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844" w:type="pct"/>
                  <w:tcBorders>
                    <w:tl2br w:val="nil"/>
                    <w:tr2bl w:val="nil"/>
                  </w:tcBorders>
                  <w:noWrap w:val="0"/>
                  <w:vAlign w:val="center"/>
                </w:tcPr>
                <w:p w14:paraId="01CF2629">
                  <w:pPr>
                    <w:keepNext w:val="0"/>
                    <w:keepLines w:val="0"/>
                    <w:widowControl/>
                    <w:suppressLineNumbers w:val="0"/>
                    <w:jc w:val="center"/>
                    <w:textAlignment w:val="center"/>
                    <w:rPr>
                      <w:rFonts w:hint="default" w:ascii="Times New Roman" w:hAnsi="Times New Roman"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化验室废液</w:t>
                  </w:r>
                </w:p>
              </w:tc>
              <w:tc>
                <w:tcPr>
                  <w:tcW w:w="604" w:type="pct"/>
                  <w:tcBorders>
                    <w:tl2br w:val="nil"/>
                    <w:tr2bl w:val="nil"/>
                  </w:tcBorders>
                  <w:noWrap w:val="0"/>
                  <w:vAlign w:val="center"/>
                </w:tcPr>
                <w:p w14:paraId="7E4EA948">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HW49</w:t>
                  </w:r>
                </w:p>
              </w:tc>
              <w:tc>
                <w:tcPr>
                  <w:tcW w:w="635" w:type="pct"/>
                  <w:tcBorders>
                    <w:tl2br w:val="nil"/>
                    <w:tr2bl w:val="nil"/>
                  </w:tcBorders>
                  <w:noWrap w:val="0"/>
                  <w:vAlign w:val="center"/>
                </w:tcPr>
                <w:p w14:paraId="03D53C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u w:val="none"/>
                      <w:lang w:val="en-US" w:eastAsia="zh-CN" w:bidi="ar"/>
                    </w:rPr>
                    <w:t>23.38t</w:t>
                  </w:r>
                </w:p>
              </w:tc>
              <w:tc>
                <w:tcPr>
                  <w:tcW w:w="819" w:type="pct"/>
                  <w:tcBorders>
                    <w:tl2br w:val="nil"/>
                    <w:tr2bl w:val="nil"/>
                  </w:tcBorders>
                  <w:noWrap w:val="0"/>
                  <w:vAlign w:val="center"/>
                </w:tcPr>
                <w:p w14:paraId="1DC2A55C">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900-047-49</w:t>
                  </w:r>
                </w:p>
              </w:tc>
              <w:tc>
                <w:tcPr>
                  <w:tcW w:w="466" w:type="pct"/>
                  <w:vMerge w:val="continue"/>
                  <w:tcBorders>
                    <w:tl2br w:val="nil"/>
                    <w:tr2bl w:val="nil"/>
                  </w:tcBorders>
                  <w:noWrap w:val="0"/>
                  <w:vAlign w:val="center"/>
                </w:tcPr>
                <w:p w14:paraId="01C814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690" w:type="pct"/>
                  <w:tcBorders>
                    <w:tl2br w:val="nil"/>
                    <w:tr2bl w:val="nil"/>
                  </w:tcBorders>
                  <w:noWrap w:val="0"/>
                  <w:vAlign w:val="center"/>
                </w:tcPr>
                <w:p w14:paraId="2E9A52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桶装</w:t>
                  </w:r>
                </w:p>
              </w:tc>
              <w:tc>
                <w:tcPr>
                  <w:tcW w:w="483" w:type="pct"/>
                  <w:vMerge w:val="continue"/>
                  <w:tcBorders>
                    <w:tl2br w:val="nil"/>
                    <w:tr2bl w:val="nil"/>
                  </w:tcBorders>
                  <w:noWrap w:val="0"/>
                  <w:vAlign w:val="center"/>
                </w:tcPr>
                <w:p w14:paraId="7F2506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r>
          </w:tbl>
          <w:p w14:paraId="62D61E4B">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危废贮存点按照《危险废物贮存污染控制标准》（GB18597-2023）进行建设，防渗层为至少1m厚黏土层（渗透系数≤1.0×10m</w:t>
            </w:r>
            <w:r>
              <w:rPr>
                <w:rFonts w:hint="default" w:ascii="Times New Roman" w:hAnsi="Times New Roman" w:eastAsia="宋体" w:cs="Times New Roman"/>
                <w:color w:val="auto"/>
                <w:spacing w:val="0"/>
                <w:sz w:val="24"/>
                <w:szCs w:val="24"/>
                <w:vertAlign w:val="superscript"/>
                <w:lang w:val="en-US" w:eastAsia="zh-CN"/>
              </w:rPr>
              <w:t>—7</w:t>
            </w:r>
            <w:r>
              <w:rPr>
                <w:rFonts w:hint="default" w:ascii="Times New Roman" w:hAnsi="Times New Roman" w:eastAsia="宋体" w:cs="Times New Roman"/>
                <w:color w:val="auto"/>
                <w:spacing w:val="0"/>
                <w:sz w:val="24"/>
                <w:szCs w:val="24"/>
                <w:lang w:val="en-US" w:eastAsia="zh-CN"/>
              </w:rPr>
              <w:t>cm/s）；或2mm厚高密度聚乙烯；或至少2mm厚其他人工材料，渗透系数≤1.0×10</w:t>
            </w:r>
            <w:r>
              <w:rPr>
                <w:rFonts w:hint="default" w:ascii="Times New Roman" w:hAnsi="Times New Roman" w:eastAsia="宋体" w:cs="Times New Roman"/>
                <w:color w:val="auto"/>
                <w:spacing w:val="0"/>
                <w:sz w:val="24"/>
                <w:szCs w:val="24"/>
                <w:vertAlign w:val="superscript"/>
                <w:lang w:val="en-US" w:eastAsia="zh-CN"/>
              </w:rPr>
              <w:t>—10</w:t>
            </w:r>
            <w:r>
              <w:rPr>
                <w:rFonts w:hint="default" w:ascii="Times New Roman" w:hAnsi="Times New Roman" w:eastAsia="宋体" w:cs="Times New Roman"/>
                <w:color w:val="auto"/>
                <w:spacing w:val="0"/>
                <w:sz w:val="24"/>
                <w:szCs w:val="24"/>
                <w:lang w:val="en-US" w:eastAsia="zh-CN"/>
              </w:rPr>
              <w:t>cm/s，危废贮存点地面采用水泥硬化，铺设环氧树脂进行防腐，并按照《危险废物贮存污染控制标准》（GB18597-2023）进行管理。</w:t>
            </w:r>
          </w:p>
          <w:p w14:paraId="25855C45">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危废贮存点应进行防渗漏处理，并按《危险废物识别标志设置技术规范》（HJ1276-2022）的规定设置警示标志。收运车应采用密闭运输方式，防止外泄。远离办公生活区，贮存间的地基已经防渗处理，可以保证防风、防雨、防晒，并由专人严格管理，确保危险废物的存放安全。</w:t>
            </w:r>
          </w:p>
          <w:p w14:paraId="6CAEA23C">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贮存</w:t>
            </w:r>
            <w:r>
              <w:rPr>
                <w:rFonts w:hint="default" w:ascii="Times New Roman" w:hAnsi="Times New Roman" w:cs="Times New Roman"/>
                <w:color w:val="auto"/>
                <w:spacing w:val="0"/>
                <w:sz w:val="24"/>
                <w:szCs w:val="24"/>
                <w:lang w:val="en-US" w:eastAsia="zh-CN"/>
              </w:rPr>
              <w:t>点</w:t>
            </w:r>
            <w:r>
              <w:rPr>
                <w:rFonts w:hint="default" w:ascii="Times New Roman" w:hAnsi="Times New Roman" w:eastAsia="宋体" w:cs="Times New Roman"/>
                <w:color w:val="auto"/>
                <w:spacing w:val="0"/>
                <w:sz w:val="24"/>
                <w:szCs w:val="24"/>
                <w:lang w:val="en-US" w:eastAsia="zh-CN"/>
              </w:rPr>
              <w:t>的地面与裙脚使用坚固、防渗的材料建造，建筑材料与危险废物相容（不相互反应）﹔设施内有安全照明设施和观察窗口；存放装载液体、半固体危险废物容器的地方，具有耐腐蚀的硬化地面，且表面无裂隙；堵截泄漏的裙脚，地面与裙脚所围建的容积不低于堵截最大容器的最大储量；不相容的危险废物分开存放，并设有隔离间隔断。</w:t>
            </w:r>
          </w:p>
          <w:p w14:paraId="3FF0AD85">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（4）危险废物的收集要求</w:t>
            </w:r>
          </w:p>
          <w:p w14:paraId="7AA360F2">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①危险废物的收集应根据危险废物产生的工艺特征、排放周期、危险废物特性、废物管理计划等因素制定收集计划。</w:t>
            </w:r>
          </w:p>
          <w:p w14:paraId="2CD83BB8">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②危险废物的收集应制定详细的操作规程，内容至少应包括适用范围、操作程序和方法、专用设备和工具、转移和交接、安全保障和应急防护等。</w:t>
            </w:r>
          </w:p>
          <w:p w14:paraId="1BEE7687">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③危险废物收集和转运作业人员应根据工作需要配备必要的个人防护装备，如手套、防护镜、防护服、防毒面具或口罩等。</w:t>
            </w:r>
          </w:p>
          <w:p w14:paraId="25B35A19">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（4）危险废物贮存要求</w:t>
            </w:r>
          </w:p>
          <w:p w14:paraId="4479E26B">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①对危险废物贮存容器的要求：对在常温常压下不水解、不挥发的固体危险废物可在贮存间内分别堆放，除此之外的危险废物必须装入容器内；使用盛装危险废物的容器应当符合标准要求，其材质要满足相应的强度要求，并且要与危险废物相容；禁止将不相容的危险废物在同一容器内混装，无法装入常用容器的，可用防漏胶袋盛装。本项目采用使用专用的、符合国家标准的密封容器贮存废机油，如具有防漏、防渗、防腐性能的油桶，</w:t>
            </w:r>
          </w:p>
          <w:p w14:paraId="3C7CC026">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②应设专人管理，须做好危险废物情况的记录，记录上须注明危险废物的名称、数量、特性和包装容器的类别、入库时间、存放库位、废物出库日期及接收单位名称；危险废物贮存间的管理</w:t>
            </w:r>
            <w:r>
              <w:rPr>
                <w:rFonts w:hint="default" w:ascii="Times New Roman" w:hAnsi="Times New Roman" w:cs="Times New Roman"/>
                <w:color w:val="auto"/>
                <w:spacing w:val="0"/>
                <w:sz w:val="24"/>
                <w:szCs w:val="24"/>
                <w:lang w:val="en-US" w:eastAsia="zh-CN"/>
              </w:rPr>
              <w:t>人员</w:t>
            </w:r>
            <w:r>
              <w:rPr>
                <w:rFonts w:hint="default" w:ascii="Times New Roman" w:hAnsi="Times New Roman" w:eastAsia="宋体" w:cs="Times New Roman"/>
                <w:color w:val="auto"/>
                <w:spacing w:val="0"/>
                <w:sz w:val="24"/>
                <w:szCs w:val="24"/>
                <w:lang w:val="en-US" w:eastAsia="zh-CN"/>
              </w:rPr>
              <w:t>必须定期对所贮存的危险废物包装容器及贮存设施进行检查，发现破损，应及时采取措施清理更换。危险废物贮存间内禁止存放除危险废物及应急工具以外的其他物品。</w:t>
            </w:r>
          </w:p>
          <w:p w14:paraId="5FA6768E">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（5）运输过程管理要求</w:t>
            </w:r>
          </w:p>
          <w:p w14:paraId="0BFC4568">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①危险废物外运严格按照《危险废物收集贮存运输技术规范》（HJ2025-2012</w:t>
            </w:r>
            <w:r>
              <w:rPr>
                <w:rFonts w:hint="default" w:ascii="Times New Roman" w:hAnsi="Times New Roman" w:cs="Times New Roman"/>
                <w:color w:val="auto"/>
                <w:spacing w:val="0"/>
                <w:sz w:val="24"/>
                <w:szCs w:val="24"/>
                <w:lang w:val="en-US" w:eastAsia="zh-CN"/>
              </w:rPr>
              <w:t>）和</w:t>
            </w:r>
            <w:r>
              <w:rPr>
                <w:rFonts w:hint="default" w:ascii="Times New Roman" w:hAnsi="Times New Roman" w:eastAsia="宋体" w:cs="Times New Roman"/>
                <w:color w:val="auto"/>
                <w:spacing w:val="0"/>
                <w:sz w:val="24"/>
                <w:szCs w:val="24"/>
                <w:lang w:val="en-US" w:eastAsia="zh-CN"/>
              </w:rPr>
              <w:t>《危险废物转移管理办法》中的要求管理。危险废物收集应填写《危险废物内部转运记录表》，并将记录表作为危险废物管理的重要档案妥善保存。收集结束后应清理和恢复收集作业区域，确保作业区域环境整洁安全。收集过危险废物的容器、设备、设施、场所及其他物品转作他用时，应消除污染，确保其使用安全。企业对收集、贮存、运输的专职人员进行定期技术培训，培训内容包括危险废物包装和标识、运输要求、危险废物转移联单管理。</w:t>
            </w:r>
          </w:p>
          <w:p w14:paraId="6480E367">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②危险废物运输应由持有危险废物经营许可证的单位按照其许可证的经营范围组织实施，承担危险废物运输的单位应获得交通运输部门颁发的危险货物运输资质，同时运输路线应避开居民集中居住区和饮用水源保护区等环境敏感区。</w:t>
            </w:r>
          </w:p>
          <w:p w14:paraId="03C3E272">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③危险废物运输应执行《道路危险货物运输管理规定》（交通运输部令2023年第13号）。</w:t>
            </w:r>
          </w:p>
          <w:p w14:paraId="178CFD3F">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④危险废物公路运输时，运输车辆应按GB13392-2023设置车辆标识。</w:t>
            </w:r>
          </w:p>
          <w:p w14:paraId="53DC00B3">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综上所述，按照上述规定对固废进行妥善处置后，在加强管理，并在落实好各项污染防治措施和固体废物综合利用等安全处置措施的前提下，本项目产生的固体废物对周围环境的影响较小。</w:t>
            </w:r>
          </w:p>
          <w:p w14:paraId="51046D9B">
            <w:pPr>
              <w:keepNext w:val="0"/>
              <w:pageBreakBefore w:val="0"/>
              <w:kinsoku/>
              <w:wordWrap/>
              <w:overflowPunct/>
              <w:bidi w:val="0"/>
              <w:adjustRightInd/>
              <w:snapToGrid/>
              <w:spacing w:line="360" w:lineRule="auto"/>
              <w:rPr>
                <w:rFonts w:hint="default" w:ascii="Times New Roman" w:hAnsi="Times New Roman" w:eastAsia="宋体" w:cs="Times New Roman"/>
                <w:b/>
                <w:bCs/>
                <w:color w:val="auto"/>
                <w:sz w:val="24"/>
                <w:szCs w:val="24"/>
                <w:lang w:eastAsia="zh-CN"/>
              </w:rPr>
            </w:pPr>
            <w:r>
              <w:rPr>
                <w:rFonts w:hint="default" w:ascii="Times New Roman" w:hAnsi="Times New Roman" w:cs="Times New Roman"/>
                <w:b/>
                <w:bCs/>
                <w:color w:val="auto"/>
                <w:sz w:val="24"/>
                <w:szCs w:val="24"/>
                <w:lang w:val="en-US" w:eastAsia="zh-CN"/>
              </w:rPr>
              <w:t>2.6</w:t>
            </w:r>
            <w:r>
              <w:rPr>
                <w:rFonts w:hint="default" w:ascii="Times New Roman" w:hAnsi="Times New Roman" w:eastAsia="宋体" w:cs="Times New Roman"/>
                <w:b/>
                <w:bCs/>
                <w:color w:val="auto"/>
                <w:sz w:val="24"/>
                <w:szCs w:val="24"/>
                <w:lang w:eastAsia="zh-CN"/>
              </w:rPr>
              <w:t>地下水、土壤环境影响和保护措施</w:t>
            </w:r>
          </w:p>
          <w:p w14:paraId="0C1B902D">
            <w:pPr>
              <w:keepNext w:val="0"/>
              <w:pageBreakBefore w:val="0"/>
              <w:kinsoku/>
              <w:wordWrap/>
              <w:overflowPunct/>
              <w:bidi w:val="0"/>
              <w:adjustRightInd/>
              <w:snapToGrid/>
              <w:spacing w:line="360" w:lineRule="auto"/>
              <w:rPr>
                <w:rFonts w:hint="default" w:ascii="Times New Roman" w:hAnsi="Times New Roman" w:eastAsia="宋体" w:cs="Times New Roman"/>
                <w:b/>
                <w:bCs/>
                <w:color w:val="auto"/>
                <w:sz w:val="24"/>
                <w:szCs w:val="24"/>
                <w:lang w:eastAsia="zh-CN"/>
              </w:rPr>
            </w:pPr>
            <w:r>
              <w:rPr>
                <w:rFonts w:hint="default" w:ascii="Times New Roman" w:hAnsi="Times New Roman" w:cs="Times New Roman"/>
                <w:b/>
                <w:bCs/>
                <w:color w:val="auto"/>
                <w:sz w:val="24"/>
                <w:szCs w:val="24"/>
                <w:lang w:val="en-US" w:eastAsia="zh-CN"/>
              </w:rPr>
              <w:t>2.</w:t>
            </w:r>
            <w:r>
              <w:rPr>
                <w:rFonts w:hint="default" w:ascii="Times New Roman" w:hAnsi="Times New Roman" w:eastAsia="宋体" w:cs="Times New Roman"/>
                <w:b/>
                <w:bCs/>
                <w:color w:val="auto"/>
                <w:sz w:val="24"/>
                <w:szCs w:val="24"/>
                <w:lang w:val="en-US" w:eastAsia="zh-CN"/>
              </w:rPr>
              <w:t>6.1</w:t>
            </w:r>
            <w:r>
              <w:rPr>
                <w:rFonts w:hint="default" w:ascii="Times New Roman" w:hAnsi="Times New Roman" w:eastAsia="宋体" w:cs="Times New Roman"/>
                <w:b/>
                <w:bCs/>
                <w:color w:val="auto"/>
                <w:sz w:val="24"/>
                <w:szCs w:val="24"/>
                <w:lang w:eastAsia="zh-CN"/>
              </w:rPr>
              <w:t>地下水、土壤污染源及污染途径</w:t>
            </w:r>
          </w:p>
          <w:p w14:paraId="7C978FC4">
            <w:pPr>
              <w:keepNext w:val="0"/>
              <w:keepLines w:val="0"/>
              <w:pageBreakBefore w:val="0"/>
              <w:widowControl/>
              <w:suppressAutoHyphens/>
              <w:kinsoku/>
              <w:wordWrap/>
              <w:overflowPunct/>
              <w:topLinePunct/>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highlight w:val="none"/>
                <w:lang w:eastAsia="zh-CN" w:bidi="ar"/>
              </w:rPr>
            </w:pPr>
            <w:r>
              <w:rPr>
                <w:rFonts w:hint="default" w:ascii="Times New Roman" w:hAnsi="Times New Roman" w:eastAsia="宋体" w:cs="Times New Roman"/>
                <w:color w:val="auto"/>
                <w:sz w:val="24"/>
                <w:szCs w:val="24"/>
                <w:highlight w:val="none"/>
                <w:lang w:eastAsia="zh-CN" w:bidi="ar"/>
              </w:rPr>
              <w:t>本项目运营过</w:t>
            </w:r>
            <w:r>
              <w:rPr>
                <w:rFonts w:hint="default" w:ascii="Times New Roman" w:hAnsi="Times New Roman" w:cs="Times New Roman"/>
                <w:color w:val="auto"/>
                <w:sz w:val="24"/>
                <w:szCs w:val="24"/>
                <w:highlight w:val="none"/>
                <w:lang w:eastAsia="zh-CN" w:bidi="ar"/>
              </w:rPr>
              <w:t>程中</w:t>
            </w:r>
            <w:r>
              <w:rPr>
                <w:rFonts w:hint="default" w:ascii="Times New Roman" w:hAnsi="Times New Roman" w:eastAsia="宋体" w:cs="Times New Roman"/>
                <w:color w:val="auto"/>
                <w:sz w:val="24"/>
                <w:szCs w:val="24"/>
                <w:highlight w:val="none"/>
                <w:lang w:eastAsia="zh-CN" w:bidi="ar"/>
              </w:rPr>
              <w:t>地下水、土壤污染源主要是</w:t>
            </w:r>
            <w:r>
              <w:rPr>
                <w:rFonts w:hint="default" w:ascii="Times New Roman" w:hAnsi="Times New Roman" w:eastAsia="宋体" w:cs="Times New Roman"/>
                <w:color w:val="auto"/>
                <w:sz w:val="24"/>
                <w:szCs w:val="24"/>
                <w:highlight w:val="none"/>
                <w:lang w:val="en-US" w:eastAsia="zh-CN" w:bidi="ar"/>
              </w:rPr>
              <w:t>危险废物贮存</w:t>
            </w:r>
            <w:r>
              <w:rPr>
                <w:rFonts w:hint="default" w:ascii="Times New Roman" w:hAnsi="Times New Roman" w:cs="Times New Roman"/>
                <w:color w:val="auto"/>
                <w:sz w:val="24"/>
                <w:szCs w:val="24"/>
                <w:highlight w:val="none"/>
                <w:lang w:val="en-US" w:eastAsia="zh-CN" w:bidi="ar"/>
              </w:rPr>
              <w:t>不当，</w:t>
            </w:r>
            <w:r>
              <w:rPr>
                <w:rFonts w:hint="default" w:ascii="Times New Roman" w:hAnsi="Times New Roman" w:eastAsia="宋体" w:cs="Times New Roman"/>
                <w:color w:val="auto"/>
                <w:sz w:val="24"/>
                <w:szCs w:val="24"/>
                <w:highlight w:val="none"/>
                <w:lang w:eastAsia="zh-CN" w:bidi="ar"/>
              </w:rPr>
              <w:t>导致</w:t>
            </w:r>
            <w:r>
              <w:rPr>
                <w:rFonts w:hint="default" w:ascii="Times New Roman" w:hAnsi="Times New Roman" w:cs="Times New Roman"/>
                <w:color w:val="auto"/>
                <w:sz w:val="24"/>
                <w:szCs w:val="24"/>
                <w:highlight w:val="none"/>
                <w:lang w:val="en-US" w:eastAsia="zh-CN" w:bidi="ar"/>
              </w:rPr>
              <w:t>废机油和化验废液</w:t>
            </w:r>
            <w:r>
              <w:rPr>
                <w:rFonts w:hint="default" w:ascii="Times New Roman" w:hAnsi="Times New Roman" w:eastAsia="宋体" w:cs="Times New Roman"/>
                <w:color w:val="auto"/>
                <w:sz w:val="24"/>
                <w:szCs w:val="24"/>
                <w:highlight w:val="none"/>
                <w:lang w:eastAsia="zh-CN" w:bidi="ar"/>
              </w:rPr>
              <w:t>垂直入渗对项目区及周围地下水和土壤环境造成不利影响。</w:t>
            </w:r>
          </w:p>
          <w:p w14:paraId="41047F37">
            <w:pPr>
              <w:keepNext w:val="0"/>
              <w:keepLines w:val="0"/>
              <w:pageBreakBefore w:val="0"/>
              <w:widowControl/>
              <w:numPr>
                <w:ilvl w:val="0"/>
                <w:numId w:val="0"/>
              </w:numPr>
              <w:suppressAutoHyphens/>
              <w:kinsoku/>
              <w:wordWrap/>
              <w:overflowPunct/>
              <w:topLinePunct/>
              <w:autoSpaceDE/>
              <w:autoSpaceDN/>
              <w:bidi w:val="0"/>
              <w:adjustRightInd/>
              <w:snapToGrid/>
              <w:spacing w:line="360" w:lineRule="auto"/>
              <w:textAlignment w:val="auto"/>
              <w:rPr>
                <w:rFonts w:hint="default" w:ascii="Times New Roman" w:hAnsi="Times New Roman" w:eastAsia="宋体" w:cs="Times New Roman"/>
                <w:b/>
                <w:bCs/>
                <w:color w:val="auto"/>
                <w:sz w:val="24"/>
                <w:szCs w:val="24"/>
                <w:highlight w:val="none"/>
                <w:lang w:bidi="ar"/>
              </w:rPr>
            </w:pPr>
            <w:r>
              <w:rPr>
                <w:rFonts w:hint="default" w:ascii="Times New Roman" w:hAnsi="Times New Roman" w:cs="Times New Roman"/>
                <w:b/>
                <w:bCs/>
                <w:color w:val="auto"/>
                <w:sz w:val="24"/>
                <w:szCs w:val="24"/>
                <w:highlight w:val="none"/>
                <w:lang w:val="en-US" w:eastAsia="zh-CN" w:bidi="ar"/>
              </w:rPr>
              <w:t>2.</w:t>
            </w:r>
            <w:r>
              <w:rPr>
                <w:rFonts w:hint="default" w:ascii="Times New Roman" w:hAnsi="Times New Roman" w:eastAsia="宋体" w:cs="Times New Roman"/>
                <w:b/>
                <w:bCs/>
                <w:color w:val="auto"/>
                <w:sz w:val="24"/>
                <w:szCs w:val="24"/>
                <w:highlight w:val="none"/>
                <w:lang w:val="en-US" w:eastAsia="zh-CN" w:bidi="ar"/>
              </w:rPr>
              <w:t>6.2</w:t>
            </w:r>
            <w:r>
              <w:rPr>
                <w:rFonts w:hint="default" w:ascii="Times New Roman" w:hAnsi="Times New Roman" w:eastAsia="宋体" w:cs="Times New Roman"/>
                <w:b/>
                <w:bCs/>
                <w:color w:val="auto"/>
                <w:sz w:val="24"/>
                <w:szCs w:val="24"/>
                <w:highlight w:val="none"/>
                <w:lang w:eastAsia="zh-CN" w:bidi="ar"/>
              </w:rPr>
              <w:t>防控措施</w:t>
            </w:r>
          </w:p>
          <w:p w14:paraId="09DC415F">
            <w:pPr>
              <w:keepNext w:val="0"/>
              <w:keepLines w:val="0"/>
              <w:pageBreakBefore w:val="0"/>
              <w:widowControl w:val="0"/>
              <w:kinsoku/>
              <w:wordWrap/>
              <w:overflowPunct/>
              <w:topLinePunct/>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本项目采取分区防渗措施，</w:t>
            </w:r>
            <w:r>
              <w:rPr>
                <w:rFonts w:hint="default" w:ascii="Times New Roman" w:hAnsi="Times New Roman" w:cs="Times New Roman"/>
                <w:color w:val="auto"/>
                <w:spacing w:val="0"/>
                <w:sz w:val="24"/>
                <w:szCs w:val="24"/>
                <w:lang w:val="en-US" w:eastAsia="zh-CN"/>
              </w:rPr>
              <w:t>本</w:t>
            </w:r>
            <w:r>
              <w:rPr>
                <w:rFonts w:hint="default" w:ascii="Times New Roman" w:hAnsi="Times New Roman" w:eastAsia="宋体" w:cs="Times New Roman"/>
                <w:color w:val="auto"/>
                <w:spacing w:val="0"/>
                <w:sz w:val="24"/>
                <w:szCs w:val="24"/>
                <w:lang w:val="en-US" w:eastAsia="zh-CN"/>
              </w:rPr>
              <w:t>项目按重点防渗区、一般防渗区和简单防渗区分区域进行防渗处理，重点防渗区主要为危废贮存点</w:t>
            </w:r>
            <w:r>
              <w:rPr>
                <w:rFonts w:hint="eastAsia" w:cs="Times New Roman"/>
                <w:color w:val="auto"/>
                <w:spacing w:val="0"/>
                <w:sz w:val="24"/>
                <w:szCs w:val="24"/>
                <w:lang w:val="en-US" w:eastAsia="zh-CN"/>
              </w:rPr>
              <w:t>和事故油池</w:t>
            </w:r>
            <w:r>
              <w:rPr>
                <w:rFonts w:hint="default" w:ascii="Times New Roman" w:hAnsi="Times New Roman" w:eastAsia="宋体" w:cs="Times New Roman"/>
                <w:color w:val="auto"/>
                <w:spacing w:val="0"/>
                <w:sz w:val="24"/>
                <w:szCs w:val="24"/>
                <w:lang w:val="en-US" w:eastAsia="zh-CN"/>
              </w:rPr>
              <w:t>，一般防渗区为</w:t>
            </w:r>
            <w:r>
              <w:rPr>
                <w:rFonts w:hint="default" w:ascii="Times New Roman" w:hAnsi="Times New Roman" w:cs="Times New Roman"/>
                <w:color w:val="auto"/>
                <w:spacing w:val="0"/>
                <w:sz w:val="24"/>
                <w:szCs w:val="24"/>
                <w:lang w:val="en-US" w:eastAsia="zh-CN"/>
              </w:rPr>
              <w:t>浆液池</w:t>
            </w:r>
            <w:r>
              <w:rPr>
                <w:rFonts w:hint="default" w:ascii="Times New Roman" w:hAnsi="Times New Roman" w:eastAsia="宋体" w:cs="Times New Roman"/>
                <w:color w:val="auto"/>
                <w:spacing w:val="0"/>
                <w:sz w:val="24"/>
                <w:szCs w:val="24"/>
                <w:lang w:val="en-US" w:eastAsia="zh-CN"/>
              </w:rPr>
              <w:t>，简单防渗区为厂区其他非绿化区域</w:t>
            </w:r>
            <w:r>
              <w:rPr>
                <w:rFonts w:hint="default" w:ascii="Times New Roman" w:hAnsi="Times New Roman" w:cs="Times New Roman"/>
                <w:color w:val="auto"/>
                <w:spacing w:val="0"/>
                <w:sz w:val="24"/>
                <w:szCs w:val="24"/>
                <w:lang w:val="en-US" w:eastAsia="zh-CN"/>
              </w:rPr>
              <w:t>，详见表4-15，附图7。</w:t>
            </w:r>
            <w:r>
              <w:rPr>
                <w:rFonts w:hint="default" w:ascii="Times New Roman" w:hAnsi="Times New Roman" w:eastAsia="宋体" w:cs="Times New Roman"/>
                <w:color w:val="auto"/>
                <w:spacing w:val="0"/>
                <w:sz w:val="24"/>
                <w:szCs w:val="24"/>
                <w:lang w:val="en-US" w:eastAsia="zh-CN"/>
              </w:rPr>
              <w:t>在认真采取以上措施的基础上，一旦发生溢出与渗漏事故，渗漏物质将由于防渗层的保护作用，积聚在地面上，不会对地下水及土壤造成影响。</w:t>
            </w:r>
          </w:p>
          <w:p w14:paraId="6A45D65B">
            <w:pPr>
              <w:keepNext w:val="0"/>
              <w:pageBreakBefore w:val="0"/>
              <w:kinsoku/>
              <w:wordWrap/>
              <w:overflowPunct/>
              <w:bidi w:val="0"/>
              <w:adjustRightInd/>
              <w:snapToGrid/>
              <w:ind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表</w:t>
            </w:r>
            <w:r>
              <w:rPr>
                <w:rFonts w:hint="default" w:ascii="Times New Roman" w:hAnsi="Times New Roman" w:eastAsia="宋体" w:cs="Times New Roman"/>
                <w:b/>
                <w:color w:val="auto"/>
                <w:sz w:val="21"/>
                <w:szCs w:val="21"/>
                <w:highlight w:val="none"/>
                <w:lang w:val="en-US" w:eastAsia="zh-CN"/>
              </w:rPr>
              <w:t>4-1</w:t>
            </w:r>
            <w:r>
              <w:rPr>
                <w:rFonts w:hint="default" w:ascii="Times New Roman" w:hAnsi="Times New Roman" w:cs="Times New Roman"/>
                <w:b/>
                <w:color w:val="auto"/>
                <w:sz w:val="21"/>
                <w:szCs w:val="21"/>
                <w:highlight w:val="none"/>
                <w:lang w:val="en-US" w:eastAsia="zh-CN"/>
              </w:rPr>
              <w:t>5</w:t>
            </w:r>
            <w:r>
              <w:rPr>
                <w:rFonts w:hint="default" w:ascii="Times New Roman" w:hAnsi="Times New Roman" w:eastAsia="宋体" w:cs="Times New Roman"/>
                <w:b/>
                <w:color w:val="auto"/>
                <w:sz w:val="21"/>
                <w:szCs w:val="21"/>
                <w:highlight w:val="none"/>
              </w:rPr>
              <w:t>地下水污染防渗分区参照表</w:t>
            </w:r>
          </w:p>
          <w:tbl>
            <w:tblPr>
              <w:tblStyle w:val="32"/>
              <w:tblW w:w="499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15"/>
              <w:gridCol w:w="1356"/>
              <w:gridCol w:w="1114"/>
              <w:gridCol w:w="1539"/>
              <w:gridCol w:w="2807"/>
            </w:tblGrid>
            <w:tr w14:paraId="07DE96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08" w:type="pct"/>
                  <w:tcBorders>
                    <w:tl2br w:val="nil"/>
                    <w:tr2bl w:val="nil"/>
                  </w:tcBorders>
                  <w:noWrap w:val="0"/>
                  <w:vAlign w:val="center"/>
                </w:tcPr>
                <w:p w14:paraId="3DC9ECDA">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b/>
                      <w:bCs/>
                      <w:color w:val="auto"/>
                      <w:sz w:val="21"/>
                      <w:szCs w:val="21"/>
                      <w:highlight w:val="none"/>
                      <w:lang w:bidi="ar"/>
                    </w:rPr>
                  </w:pPr>
                  <w:r>
                    <w:rPr>
                      <w:rFonts w:hint="default" w:ascii="Times New Roman" w:hAnsi="Times New Roman" w:eastAsia="宋体" w:cs="Times New Roman"/>
                      <w:b/>
                      <w:bCs/>
                      <w:color w:val="auto"/>
                      <w:sz w:val="21"/>
                      <w:szCs w:val="21"/>
                      <w:highlight w:val="none"/>
                      <w:lang w:bidi="ar"/>
                    </w:rPr>
                    <w:t>防渗分区</w:t>
                  </w:r>
                </w:p>
              </w:tc>
              <w:tc>
                <w:tcPr>
                  <w:tcW w:w="834" w:type="pct"/>
                  <w:tcBorders>
                    <w:tl2br w:val="nil"/>
                    <w:tr2bl w:val="nil"/>
                  </w:tcBorders>
                  <w:noWrap w:val="0"/>
                  <w:vAlign w:val="center"/>
                </w:tcPr>
                <w:p w14:paraId="2D68B297">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b/>
                      <w:bCs/>
                      <w:color w:val="auto"/>
                      <w:sz w:val="21"/>
                      <w:szCs w:val="21"/>
                      <w:highlight w:val="none"/>
                      <w:lang w:bidi="ar"/>
                    </w:rPr>
                  </w:pPr>
                  <w:r>
                    <w:rPr>
                      <w:rFonts w:hint="default" w:ascii="Times New Roman" w:hAnsi="Times New Roman" w:eastAsia="宋体" w:cs="Times New Roman"/>
                      <w:b/>
                      <w:bCs/>
                      <w:color w:val="auto"/>
                      <w:sz w:val="21"/>
                      <w:szCs w:val="21"/>
                      <w:highlight w:val="none"/>
                      <w:lang w:bidi="ar"/>
                    </w:rPr>
                    <w:t>天然包气带防污性能</w:t>
                  </w:r>
                </w:p>
              </w:tc>
              <w:tc>
                <w:tcPr>
                  <w:tcW w:w="684" w:type="pct"/>
                  <w:tcBorders>
                    <w:tl2br w:val="nil"/>
                    <w:tr2bl w:val="nil"/>
                  </w:tcBorders>
                  <w:noWrap w:val="0"/>
                  <w:vAlign w:val="center"/>
                </w:tcPr>
                <w:p w14:paraId="67CC2CA7">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b/>
                      <w:bCs/>
                      <w:color w:val="auto"/>
                      <w:sz w:val="21"/>
                      <w:szCs w:val="21"/>
                      <w:highlight w:val="none"/>
                      <w:lang w:bidi="ar"/>
                    </w:rPr>
                  </w:pPr>
                  <w:r>
                    <w:rPr>
                      <w:rFonts w:hint="default" w:ascii="Times New Roman" w:hAnsi="Times New Roman" w:eastAsia="宋体" w:cs="Times New Roman"/>
                      <w:b/>
                      <w:bCs/>
                      <w:color w:val="auto"/>
                      <w:sz w:val="21"/>
                      <w:szCs w:val="21"/>
                      <w:highlight w:val="none"/>
                      <w:lang w:bidi="ar"/>
                    </w:rPr>
                    <w:t>污染控制难易程度</w:t>
                  </w:r>
                </w:p>
              </w:tc>
              <w:tc>
                <w:tcPr>
                  <w:tcW w:w="946" w:type="pct"/>
                  <w:tcBorders>
                    <w:tl2br w:val="nil"/>
                    <w:tr2bl w:val="nil"/>
                  </w:tcBorders>
                  <w:noWrap w:val="0"/>
                  <w:vAlign w:val="center"/>
                </w:tcPr>
                <w:p w14:paraId="176084CE">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b/>
                      <w:bCs/>
                      <w:color w:val="auto"/>
                      <w:sz w:val="21"/>
                      <w:szCs w:val="21"/>
                      <w:highlight w:val="none"/>
                      <w:lang w:bidi="ar"/>
                    </w:rPr>
                  </w:pPr>
                  <w:r>
                    <w:rPr>
                      <w:rFonts w:hint="default" w:ascii="Times New Roman" w:hAnsi="Times New Roman" w:eastAsia="宋体" w:cs="Times New Roman"/>
                      <w:b/>
                      <w:bCs/>
                      <w:color w:val="auto"/>
                      <w:sz w:val="21"/>
                      <w:szCs w:val="21"/>
                      <w:highlight w:val="none"/>
                      <w:lang w:bidi="ar"/>
                    </w:rPr>
                    <w:t>污染物类型</w:t>
                  </w:r>
                </w:p>
              </w:tc>
              <w:tc>
                <w:tcPr>
                  <w:tcW w:w="1726" w:type="pct"/>
                  <w:tcBorders>
                    <w:tl2br w:val="nil"/>
                    <w:tr2bl w:val="nil"/>
                  </w:tcBorders>
                  <w:noWrap w:val="0"/>
                  <w:vAlign w:val="center"/>
                </w:tcPr>
                <w:p w14:paraId="09AE0728">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b/>
                      <w:bCs/>
                      <w:color w:val="auto"/>
                      <w:sz w:val="21"/>
                      <w:szCs w:val="21"/>
                      <w:highlight w:val="none"/>
                      <w:lang w:bidi="ar"/>
                    </w:rPr>
                  </w:pPr>
                  <w:r>
                    <w:rPr>
                      <w:rFonts w:hint="default" w:ascii="Times New Roman" w:hAnsi="Times New Roman" w:eastAsia="宋体" w:cs="Times New Roman"/>
                      <w:b/>
                      <w:bCs/>
                      <w:color w:val="auto"/>
                      <w:sz w:val="21"/>
                      <w:szCs w:val="21"/>
                      <w:highlight w:val="none"/>
                      <w:lang w:bidi="ar"/>
                    </w:rPr>
                    <w:t>防渗技术要求</w:t>
                  </w:r>
                </w:p>
              </w:tc>
            </w:tr>
            <w:tr w14:paraId="3F09C3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08" w:type="pct"/>
                  <w:vMerge w:val="restart"/>
                  <w:tcBorders>
                    <w:tl2br w:val="nil"/>
                    <w:tr2bl w:val="nil"/>
                  </w:tcBorders>
                  <w:noWrap w:val="0"/>
                  <w:vAlign w:val="center"/>
                </w:tcPr>
                <w:p w14:paraId="0489FF33">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重点防渗区</w:t>
                  </w:r>
                </w:p>
              </w:tc>
              <w:tc>
                <w:tcPr>
                  <w:tcW w:w="834" w:type="pct"/>
                  <w:tcBorders>
                    <w:tl2br w:val="nil"/>
                    <w:tr2bl w:val="nil"/>
                  </w:tcBorders>
                  <w:noWrap w:val="0"/>
                  <w:vAlign w:val="center"/>
                </w:tcPr>
                <w:p w14:paraId="2A0B04C4">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弱</w:t>
                  </w:r>
                </w:p>
              </w:tc>
              <w:tc>
                <w:tcPr>
                  <w:tcW w:w="684" w:type="pct"/>
                  <w:tcBorders>
                    <w:tl2br w:val="nil"/>
                    <w:tr2bl w:val="nil"/>
                  </w:tcBorders>
                  <w:noWrap w:val="0"/>
                  <w:vAlign w:val="center"/>
                </w:tcPr>
                <w:p w14:paraId="70274C1A">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难</w:t>
                  </w:r>
                </w:p>
              </w:tc>
              <w:tc>
                <w:tcPr>
                  <w:tcW w:w="946" w:type="pct"/>
                  <w:vMerge w:val="restart"/>
                  <w:tcBorders>
                    <w:tl2br w:val="nil"/>
                    <w:tr2bl w:val="nil"/>
                  </w:tcBorders>
                  <w:noWrap w:val="0"/>
                  <w:vAlign w:val="center"/>
                </w:tcPr>
                <w:p w14:paraId="4C4A3ACF">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eastAsia="zh-CN" w:bidi="ar"/>
                    </w:rPr>
                  </w:pPr>
                  <w:r>
                    <w:rPr>
                      <w:rFonts w:hint="default" w:ascii="Times New Roman" w:hAnsi="Times New Roman" w:eastAsia="宋体" w:cs="Times New Roman"/>
                      <w:color w:val="auto"/>
                      <w:sz w:val="21"/>
                      <w:szCs w:val="21"/>
                      <w:highlight w:val="none"/>
                      <w:lang w:bidi="ar"/>
                    </w:rPr>
                    <w:t>废矿物油与含矿物油废物</w:t>
                  </w:r>
                  <w:r>
                    <w:rPr>
                      <w:rFonts w:hint="default" w:ascii="Times New Roman" w:hAnsi="Times New Roman" w:eastAsia="宋体" w:cs="Times New Roman"/>
                      <w:color w:val="auto"/>
                      <w:sz w:val="21"/>
                      <w:szCs w:val="21"/>
                      <w:highlight w:val="none"/>
                      <w:lang w:eastAsia="zh-CN" w:bidi="ar"/>
                    </w:rPr>
                    <w:t>，</w:t>
                  </w:r>
                  <w:r>
                    <w:rPr>
                      <w:rFonts w:hint="default" w:ascii="Times New Roman" w:hAnsi="Times New Roman" w:eastAsia="宋体" w:cs="Times New Roman"/>
                      <w:color w:val="auto"/>
                      <w:sz w:val="21"/>
                      <w:szCs w:val="21"/>
                      <w:highlight w:val="none"/>
                      <w:lang w:bidi="ar"/>
                    </w:rPr>
                    <w:t>重金属、有机物、细菌等</w:t>
                  </w:r>
                </w:p>
              </w:tc>
              <w:tc>
                <w:tcPr>
                  <w:tcW w:w="1726" w:type="pct"/>
                  <w:vMerge w:val="restart"/>
                  <w:tcBorders>
                    <w:tl2br w:val="nil"/>
                    <w:tr2bl w:val="nil"/>
                  </w:tcBorders>
                  <w:noWrap w:val="0"/>
                  <w:vAlign w:val="center"/>
                </w:tcPr>
                <w:p w14:paraId="1B045525">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等效黏土防渗层Mb≥6.0m，K≤1×10</w:t>
                  </w:r>
                  <w:r>
                    <w:rPr>
                      <w:rFonts w:hint="default" w:ascii="Times New Roman" w:hAnsi="Times New Roman" w:eastAsia="宋体" w:cs="Times New Roman"/>
                      <w:color w:val="auto"/>
                      <w:sz w:val="21"/>
                      <w:szCs w:val="21"/>
                      <w:highlight w:val="none"/>
                      <w:vertAlign w:val="superscript"/>
                      <w:lang w:val="en-US" w:eastAsia="zh-CN" w:bidi="ar"/>
                    </w:rPr>
                    <w:t>-</w:t>
                  </w:r>
                  <w:r>
                    <w:rPr>
                      <w:rFonts w:hint="default" w:ascii="Times New Roman" w:hAnsi="Times New Roman" w:eastAsia="宋体" w:cs="Times New Roman"/>
                      <w:color w:val="auto"/>
                      <w:sz w:val="21"/>
                      <w:szCs w:val="21"/>
                      <w:highlight w:val="none"/>
                      <w:vertAlign w:val="superscript"/>
                      <w:lang w:bidi="ar"/>
                    </w:rPr>
                    <w:t>7</w:t>
                  </w:r>
                  <w:r>
                    <w:rPr>
                      <w:rFonts w:hint="default" w:ascii="Times New Roman" w:hAnsi="Times New Roman" w:eastAsia="宋体" w:cs="Times New Roman"/>
                      <w:color w:val="auto"/>
                      <w:sz w:val="21"/>
                      <w:szCs w:val="21"/>
                      <w:highlight w:val="none"/>
                      <w:lang w:bidi="ar"/>
                    </w:rPr>
                    <w:t>cm/s；或参照GB18598执行</w:t>
                  </w:r>
                </w:p>
              </w:tc>
            </w:tr>
            <w:tr w14:paraId="551E16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08" w:type="pct"/>
                  <w:vMerge w:val="continue"/>
                  <w:tcBorders>
                    <w:tl2br w:val="nil"/>
                    <w:tr2bl w:val="nil"/>
                  </w:tcBorders>
                  <w:noWrap w:val="0"/>
                  <w:vAlign w:val="center"/>
                </w:tcPr>
                <w:p w14:paraId="481A6EF8">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p>
              </w:tc>
              <w:tc>
                <w:tcPr>
                  <w:tcW w:w="834" w:type="pct"/>
                  <w:tcBorders>
                    <w:tl2br w:val="nil"/>
                    <w:tr2bl w:val="nil"/>
                  </w:tcBorders>
                  <w:noWrap w:val="0"/>
                  <w:vAlign w:val="center"/>
                </w:tcPr>
                <w:p w14:paraId="342CB436">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中-强</w:t>
                  </w:r>
                </w:p>
              </w:tc>
              <w:tc>
                <w:tcPr>
                  <w:tcW w:w="684" w:type="pct"/>
                  <w:tcBorders>
                    <w:tl2br w:val="nil"/>
                    <w:tr2bl w:val="nil"/>
                  </w:tcBorders>
                  <w:noWrap w:val="0"/>
                  <w:vAlign w:val="center"/>
                </w:tcPr>
                <w:p w14:paraId="721E23A6">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难</w:t>
                  </w:r>
                </w:p>
              </w:tc>
              <w:tc>
                <w:tcPr>
                  <w:tcW w:w="946" w:type="pct"/>
                  <w:vMerge w:val="continue"/>
                  <w:tcBorders>
                    <w:tl2br w:val="nil"/>
                    <w:tr2bl w:val="nil"/>
                  </w:tcBorders>
                  <w:noWrap w:val="0"/>
                  <w:vAlign w:val="center"/>
                </w:tcPr>
                <w:p w14:paraId="3B0367FA">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p>
              </w:tc>
              <w:tc>
                <w:tcPr>
                  <w:tcW w:w="1726" w:type="pct"/>
                  <w:vMerge w:val="continue"/>
                  <w:tcBorders>
                    <w:tl2br w:val="nil"/>
                    <w:tr2bl w:val="nil"/>
                  </w:tcBorders>
                  <w:noWrap w:val="0"/>
                  <w:vAlign w:val="center"/>
                </w:tcPr>
                <w:p w14:paraId="3F7297F7">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p>
              </w:tc>
            </w:tr>
            <w:tr w14:paraId="6FDDEF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08" w:type="pct"/>
                  <w:vMerge w:val="continue"/>
                  <w:tcBorders>
                    <w:tl2br w:val="nil"/>
                    <w:tr2bl w:val="nil"/>
                  </w:tcBorders>
                  <w:noWrap w:val="0"/>
                  <w:vAlign w:val="center"/>
                </w:tcPr>
                <w:p w14:paraId="427E113F">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p>
              </w:tc>
              <w:tc>
                <w:tcPr>
                  <w:tcW w:w="834" w:type="pct"/>
                  <w:tcBorders>
                    <w:tl2br w:val="nil"/>
                    <w:tr2bl w:val="nil"/>
                  </w:tcBorders>
                  <w:noWrap w:val="0"/>
                  <w:vAlign w:val="center"/>
                </w:tcPr>
                <w:p w14:paraId="2649D1C9">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弱</w:t>
                  </w:r>
                </w:p>
              </w:tc>
              <w:tc>
                <w:tcPr>
                  <w:tcW w:w="684" w:type="pct"/>
                  <w:tcBorders>
                    <w:tl2br w:val="nil"/>
                    <w:tr2bl w:val="nil"/>
                  </w:tcBorders>
                  <w:noWrap w:val="0"/>
                  <w:vAlign w:val="center"/>
                </w:tcPr>
                <w:p w14:paraId="4BBFE98E">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易</w:t>
                  </w:r>
                </w:p>
              </w:tc>
              <w:tc>
                <w:tcPr>
                  <w:tcW w:w="946" w:type="pct"/>
                  <w:vMerge w:val="continue"/>
                  <w:tcBorders>
                    <w:tl2br w:val="nil"/>
                    <w:tr2bl w:val="nil"/>
                  </w:tcBorders>
                  <w:noWrap w:val="0"/>
                  <w:vAlign w:val="center"/>
                </w:tcPr>
                <w:p w14:paraId="4B87B159">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p>
              </w:tc>
              <w:tc>
                <w:tcPr>
                  <w:tcW w:w="1726" w:type="pct"/>
                  <w:vMerge w:val="continue"/>
                  <w:tcBorders>
                    <w:tl2br w:val="nil"/>
                    <w:tr2bl w:val="nil"/>
                  </w:tcBorders>
                  <w:noWrap w:val="0"/>
                  <w:vAlign w:val="center"/>
                </w:tcPr>
                <w:p w14:paraId="7CD2C375">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p>
              </w:tc>
            </w:tr>
            <w:tr w14:paraId="41BFAE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08" w:type="pct"/>
                  <w:vMerge w:val="continue"/>
                  <w:tcBorders>
                    <w:tl2br w:val="nil"/>
                    <w:tr2bl w:val="nil"/>
                  </w:tcBorders>
                  <w:noWrap w:val="0"/>
                  <w:vAlign w:val="center"/>
                </w:tcPr>
                <w:p w14:paraId="77A93BB0">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p>
              </w:tc>
              <w:tc>
                <w:tcPr>
                  <w:tcW w:w="834" w:type="pct"/>
                  <w:tcBorders>
                    <w:tl2br w:val="nil"/>
                    <w:tr2bl w:val="nil"/>
                  </w:tcBorders>
                  <w:noWrap w:val="0"/>
                  <w:vAlign w:val="center"/>
                </w:tcPr>
                <w:p w14:paraId="2B890B14">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强</w:t>
                  </w:r>
                </w:p>
              </w:tc>
              <w:tc>
                <w:tcPr>
                  <w:tcW w:w="684" w:type="pct"/>
                  <w:tcBorders>
                    <w:tl2br w:val="nil"/>
                    <w:tr2bl w:val="nil"/>
                  </w:tcBorders>
                  <w:noWrap w:val="0"/>
                  <w:vAlign w:val="center"/>
                </w:tcPr>
                <w:p w14:paraId="631C76DC">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易</w:t>
                  </w:r>
                </w:p>
              </w:tc>
              <w:tc>
                <w:tcPr>
                  <w:tcW w:w="946" w:type="pct"/>
                  <w:vMerge w:val="continue"/>
                  <w:tcBorders>
                    <w:tl2br w:val="nil"/>
                    <w:tr2bl w:val="nil"/>
                  </w:tcBorders>
                  <w:noWrap w:val="0"/>
                  <w:vAlign w:val="center"/>
                </w:tcPr>
                <w:p w14:paraId="5B9F90CB">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p>
              </w:tc>
              <w:tc>
                <w:tcPr>
                  <w:tcW w:w="1726" w:type="pct"/>
                  <w:vMerge w:val="continue"/>
                  <w:tcBorders>
                    <w:tl2br w:val="nil"/>
                    <w:tr2bl w:val="nil"/>
                  </w:tcBorders>
                  <w:noWrap w:val="0"/>
                  <w:vAlign w:val="center"/>
                </w:tcPr>
                <w:p w14:paraId="7ECFED70">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p>
              </w:tc>
            </w:tr>
            <w:tr w14:paraId="0685E5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08" w:type="pct"/>
                  <w:tcBorders>
                    <w:tl2br w:val="nil"/>
                    <w:tr2bl w:val="nil"/>
                  </w:tcBorders>
                  <w:noWrap w:val="0"/>
                  <w:vAlign w:val="center"/>
                </w:tcPr>
                <w:p w14:paraId="38CDCFE6">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一般防渗区</w:t>
                  </w:r>
                </w:p>
              </w:tc>
              <w:tc>
                <w:tcPr>
                  <w:tcW w:w="834" w:type="pct"/>
                  <w:tcBorders>
                    <w:tl2br w:val="nil"/>
                    <w:tr2bl w:val="nil"/>
                  </w:tcBorders>
                  <w:noWrap w:val="0"/>
                  <w:vAlign w:val="center"/>
                </w:tcPr>
                <w:p w14:paraId="1928802A">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弱</w:t>
                  </w:r>
                </w:p>
              </w:tc>
              <w:tc>
                <w:tcPr>
                  <w:tcW w:w="684" w:type="pct"/>
                  <w:tcBorders>
                    <w:tl2br w:val="nil"/>
                    <w:tr2bl w:val="nil"/>
                  </w:tcBorders>
                  <w:noWrap w:val="0"/>
                  <w:vAlign w:val="center"/>
                </w:tcPr>
                <w:p w14:paraId="1915D5DA">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难</w:t>
                  </w:r>
                </w:p>
              </w:tc>
              <w:tc>
                <w:tcPr>
                  <w:tcW w:w="946" w:type="pct"/>
                  <w:tcBorders>
                    <w:tl2br w:val="nil"/>
                    <w:tr2bl w:val="nil"/>
                  </w:tcBorders>
                  <w:noWrap w:val="0"/>
                  <w:vAlign w:val="center"/>
                </w:tcPr>
                <w:p w14:paraId="4FBCE35C">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val="en-US" w:eastAsia="zh-CN" w:bidi="ar"/>
                    </w:rPr>
                  </w:pPr>
                  <w:r>
                    <w:rPr>
                      <w:rFonts w:hint="default" w:ascii="Times New Roman" w:hAnsi="Times New Roman" w:eastAsia="宋体" w:cs="Times New Roman"/>
                      <w:color w:val="auto"/>
                      <w:sz w:val="21"/>
                      <w:szCs w:val="21"/>
                      <w:highlight w:val="none"/>
                      <w:lang w:val="en-US" w:eastAsia="zh-CN" w:bidi="ar"/>
                    </w:rPr>
                    <w:t>其他类型</w:t>
                  </w:r>
                </w:p>
              </w:tc>
              <w:tc>
                <w:tcPr>
                  <w:tcW w:w="1726" w:type="pct"/>
                  <w:tcBorders>
                    <w:tl2br w:val="nil"/>
                    <w:tr2bl w:val="nil"/>
                  </w:tcBorders>
                  <w:noWrap w:val="0"/>
                  <w:vAlign w:val="center"/>
                </w:tcPr>
                <w:p w14:paraId="55B0D2FD">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lang w:val="en-US" w:eastAsia="zh-CN"/>
                    </w:rPr>
                    <w:t>等效黏土防渗层Mb≥1.5m，渗透系数≤1×10</w:t>
                  </w:r>
                  <w:r>
                    <w:rPr>
                      <w:rFonts w:hint="default" w:ascii="Times New Roman" w:hAnsi="Times New Roman" w:eastAsia="宋体" w:cs="Times New Roman"/>
                      <w:color w:val="auto"/>
                      <w:sz w:val="21"/>
                      <w:szCs w:val="21"/>
                      <w:vertAlign w:val="superscript"/>
                      <w:lang w:val="en-US" w:eastAsia="zh-CN"/>
                    </w:rPr>
                    <w:t>-7</w:t>
                  </w:r>
                  <w:r>
                    <w:rPr>
                      <w:rFonts w:hint="default" w:ascii="Times New Roman" w:hAnsi="Times New Roman" w:eastAsia="宋体" w:cs="Times New Roman"/>
                      <w:color w:val="auto"/>
                      <w:sz w:val="21"/>
                      <w:szCs w:val="21"/>
                      <w:lang w:val="en-US" w:eastAsia="zh-CN"/>
                    </w:rPr>
                    <w:t>cm/s</w:t>
                  </w:r>
                </w:p>
              </w:tc>
            </w:tr>
            <w:tr w14:paraId="6BDC2C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08" w:type="pct"/>
                  <w:tcBorders>
                    <w:tl2br w:val="nil"/>
                    <w:tr2bl w:val="nil"/>
                  </w:tcBorders>
                  <w:noWrap w:val="0"/>
                  <w:vAlign w:val="center"/>
                </w:tcPr>
                <w:p w14:paraId="65A0212F">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简单防渗区</w:t>
                  </w:r>
                </w:p>
              </w:tc>
              <w:tc>
                <w:tcPr>
                  <w:tcW w:w="834" w:type="pct"/>
                  <w:tcBorders>
                    <w:tl2br w:val="nil"/>
                    <w:tr2bl w:val="nil"/>
                  </w:tcBorders>
                  <w:noWrap w:val="0"/>
                  <w:vAlign w:val="center"/>
                </w:tcPr>
                <w:p w14:paraId="38E11D8B">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中-强</w:t>
                  </w:r>
                </w:p>
              </w:tc>
              <w:tc>
                <w:tcPr>
                  <w:tcW w:w="684" w:type="pct"/>
                  <w:tcBorders>
                    <w:tl2br w:val="nil"/>
                    <w:tr2bl w:val="nil"/>
                  </w:tcBorders>
                  <w:noWrap w:val="0"/>
                  <w:vAlign w:val="center"/>
                </w:tcPr>
                <w:p w14:paraId="238C94D5">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易</w:t>
                  </w:r>
                </w:p>
              </w:tc>
              <w:tc>
                <w:tcPr>
                  <w:tcW w:w="946" w:type="pct"/>
                  <w:tcBorders>
                    <w:tl2br w:val="nil"/>
                    <w:tr2bl w:val="nil"/>
                  </w:tcBorders>
                  <w:noWrap w:val="0"/>
                  <w:vAlign w:val="center"/>
                </w:tcPr>
                <w:p w14:paraId="57828B3B">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其他类型</w:t>
                  </w:r>
                </w:p>
              </w:tc>
              <w:tc>
                <w:tcPr>
                  <w:tcW w:w="1726" w:type="pct"/>
                  <w:tcBorders>
                    <w:tl2br w:val="nil"/>
                    <w:tr2bl w:val="nil"/>
                  </w:tcBorders>
                  <w:noWrap w:val="0"/>
                  <w:vAlign w:val="center"/>
                </w:tcPr>
                <w:p w14:paraId="735B6AEB">
                  <w:pPr>
                    <w:keepNext w:val="0"/>
                    <w:pageBreakBefore w:val="0"/>
                    <w:widowControl/>
                    <w:suppressAutoHyphens/>
                    <w:kinsoku/>
                    <w:wordWrap/>
                    <w:overflowPunct/>
                    <w:topLinePunct/>
                    <w:bidi w:val="0"/>
                    <w:adjustRightInd/>
                    <w:snapToGrid/>
                    <w:spacing w:line="240" w:lineRule="auto"/>
                    <w:ind w:firstLine="0" w:firstLineChars="0"/>
                    <w:jc w:val="center"/>
                    <w:rPr>
                      <w:rFonts w:hint="default" w:ascii="Times New Roman" w:hAnsi="Times New Roman" w:eastAsia="宋体" w:cs="Times New Roman"/>
                      <w:color w:val="auto"/>
                      <w:sz w:val="21"/>
                      <w:szCs w:val="21"/>
                      <w:highlight w:val="none"/>
                      <w:lang w:bidi="ar"/>
                    </w:rPr>
                  </w:pPr>
                  <w:r>
                    <w:rPr>
                      <w:rFonts w:hint="default" w:ascii="Times New Roman" w:hAnsi="Times New Roman" w:eastAsia="宋体" w:cs="Times New Roman"/>
                      <w:color w:val="auto"/>
                      <w:sz w:val="21"/>
                      <w:szCs w:val="21"/>
                      <w:highlight w:val="none"/>
                      <w:lang w:bidi="ar"/>
                    </w:rPr>
                    <w:t>一般地面硬化</w:t>
                  </w:r>
                </w:p>
              </w:tc>
            </w:tr>
          </w:tbl>
          <w:p w14:paraId="52D59B1D">
            <w:pPr>
              <w:keepNext w:val="0"/>
              <w:keepLines w:val="0"/>
              <w:pageBreakBefore w:val="0"/>
              <w:widowControl w:val="0"/>
              <w:kinsoku/>
              <w:wordWrap/>
              <w:overflowPunct/>
              <w:topLinePunct w:val="0"/>
              <w:autoSpaceDE w:val="0"/>
              <w:autoSpaceDN w:val="0"/>
              <w:bidi w:val="0"/>
              <w:adjustRightInd/>
              <w:snapToGrid/>
              <w:spacing w:line="360" w:lineRule="auto"/>
              <w:textAlignment w:val="baseline"/>
              <w:rPr>
                <w:rFonts w:hint="default" w:ascii="Times New Roman" w:hAnsi="Times New Roman" w:eastAsia="宋体"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2.7.环境风险</w:t>
            </w:r>
          </w:p>
          <w:p w14:paraId="741F684A">
            <w:pPr>
              <w:keepNext w:val="0"/>
              <w:keepLines w:val="0"/>
              <w:pageBreakBefore w:val="0"/>
              <w:widowControl w:val="0"/>
              <w:kinsoku/>
              <w:wordWrap/>
              <w:overflowPunct/>
              <w:topLinePunct w:val="0"/>
              <w:autoSpaceDE w:val="0"/>
              <w:autoSpaceDN w:val="0"/>
              <w:bidi w:val="0"/>
              <w:adjustRightInd/>
              <w:snapToGrid/>
              <w:spacing w:line="360" w:lineRule="auto"/>
              <w:textAlignment w:val="baseline"/>
              <w:rPr>
                <w:rFonts w:hint="default" w:ascii="Times New Roman" w:hAnsi="Times New Roman" w:eastAsia="宋体" w:cs="Times New Roman"/>
                <w:b/>
                <w:bCs/>
                <w:color w:val="auto"/>
                <w:sz w:val="24"/>
                <w:szCs w:val="24"/>
                <w:lang w:val="zh-CN" w:eastAsia="zh-CN"/>
              </w:rPr>
            </w:pPr>
            <w:r>
              <w:rPr>
                <w:rFonts w:hint="default" w:ascii="Times New Roman" w:hAnsi="Times New Roman" w:cs="Times New Roman"/>
                <w:b/>
                <w:bCs/>
                <w:color w:val="auto"/>
                <w:sz w:val="24"/>
                <w:szCs w:val="24"/>
                <w:lang w:val="en-US" w:eastAsia="zh-CN"/>
              </w:rPr>
              <w:t>2.7.</w:t>
            </w:r>
            <w:r>
              <w:rPr>
                <w:rFonts w:hint="default" w:ascii="Times New Roman" w:hAnsi="Times New Roman" w:eastAsia="宋体" w:cs="Times New Roman"/>
                <w:b/>
                <w:bCs/>
                <w:color w:val="auto"/>
                <w:sz w:val="24"/>
                <w:szCs w:val="24"/>
                <w:lang w:val="en-US" w:eastAsia="zh-CN"/>
              </w:rPr>
              <w:t>1</w:t>
            </w:r>
            <w:r>
              <w:rPr>
                <w:rFonts w:hint="default" w:ascii="Times New Roman" w:hAnsi="Times New Roman" w:eastAsia="宋体" w:cs="Times New Roman"/>
                <w:b/>
                <w:bCs/>
                <w:color w:val="auto"/>
                <w:sz w:val="24"/>
                <w:szCs w:val="24"/>
                <w:lang w:val="zh-CN" w:eastAsia="zh-CN"/>
              </w:rPr>
              <w:t>环境风险物质识别</w:t>
            </w:r>
          </w:p>
          <w:p w14:paraId="0D58B880">
            <w:pPr>
              <w:pStyle w:val="97"/>
              <w:pageBreakBefore w:val="0"/>
              <w:kinsoku/>
              <w:wordWrap/>
              <w:bidi w:val="0"/>
              <w:adjustRightInd/>
              <w:snapToGrid/>
              <w:ind w:right="0"/>
              <w:rPr>
                <w:rFonts w:hint="default" w:ascii="Times New Roman" w:hAnsi="Times New Roman" w:eastAsia="宋体" w:cs="Times New Roman"/>
                <w:snapToGrid/>
                <w:color w:val="auto"/>
                <w:kern w:val="0"/>
                <w:sz w:val="24"/>
                <w:szCs w:val="24"/>
                <w:lang w:val="zh-CN"/>
              </w:rPr>
            </w:pPr>
            <w:r>
              <w:rPr>
                <w:rFonts w:hint="default" w:ascii="Times New Roman" w:hAnsi="Times New Roman" w:eastAsia="宋体" w:cs="Times New Roman"/>
                <w:snapToGrid/>
                <w:color w:val="auto"/>
                <w:kern w:val="0"/>
                <w:sz w:val="24"/>
                <w:szCs w:val="24"/>
                <w:lang w:val="zh-CN"/>
              </w:rPr>
              <w:t>根据《建设项目环境风险评价技术导则》（HJ169-2018）中附录B，对有毒有害、易燃易爆物质进行危险性识别，识别包括主要原辅材料、燃料、中间产品、副产品、最终产品、污染物、火灾和爆炸伴生/次生物等。</w:t>
            </w:r>
            <w:r>
              <w:rPr>
                <w:rFonts w:hint="default" w:ascii="Times New Roman" w:hAnsi="Times New Roman" w:eastAsia="宋体" w:cs="Times New Roman"/>
                <w:snapToGrid/>
                <w:color w:val="auto"/>
                <w:kern w:val="0"/>
                <w:sz w:val="24"/>
                <w:szCs w:val="24"/>
                <w:lang w:val="en-US" w:eastAsia="zh-CN"/>
              </w:rPr>
              <w:t>本项目具有危险性的物质</w:t>
            </w:r>
            <w:r>
              <w:rPr>
                <w:rFonts w:hint="default" w:ascii="Times New Roman" w:hAnsi="Times New Roman" w:eastAsia="宋体" w:cs="Times New Roman"/>
                <w:snapToGrid/>
                <w:color w:val="auto"/>
                <w:kern w:val="0"/>
                <w:sz w:val="24"/>
                <w:szCs w:val="24"/>
                <w:lang w:val="zh-CN"/>
              </w:rPr>
              <w:t>为废机油</w:t>
            </w:r>
            <w:r>
              <w:rPr>
                <w:rFonts w:hint="default" w:ascii="Times New Roman" w:hAnsi="Times New Roman" w:eastAsia="宋体" w:cs="Times New Roman"/>
                <w:snapToGrid/>
                <w:color w:val="auto"/>
                <w:kern w:val="0"/>
                <w:sz w:val="24"/>
                <w:szCs w:val="24"/>
                <w:lang w:val="en-US" w:eastAsia="zh-CN"/>
              </w:rPr>
              <w:t>和煤气</w:t>
            </w:r>
            <w:r>
              <w:rPr>
                <w:rFonts w:hint="default" w:ascii="Times New Roman" w:hAnsi="Times New Roman" w:eastAsia="宋体" w:cs="Times New Roman"/>
                <w:snapToGrid/>
                <w:color w:val="auto"/>
                <w:kern w:val="0"/>
                <w:sz w:val="24"/>
                <w:szCs w:val="24"/>
                <w:lang w:val="zh-CN"/>
              </w:rPr>
              <w:t>。</w:t>
            </w:r>
          </w:p>
          <w:p w14:paraId="59142D7F">
            <w:pPr>
              <w:pStyle w:val="97"/>
              <w:pageBreakBefore w:val="0"/>
              <w:numPr>
                <w:ilvl w:val="0"/>
                <w:numId w:val="0"/>
              </w:numPr>
              <w:kinsoku/>
              <w:wordWrap/>
              <w:bidi w:val="0"/>
              <w:adjustRightInd/>
              <w:snapToGrid/>
              <w:ind w:right="0" w:rightChars="0"/>
              <w:rPr>
                <w:rFonts w:hint="default" w:ascii="Times New Roman" w:hAnsi="Times New Roman" w:eastAsia="宋体" w:cs="Times New Roman"/>
                <w:b/>
                <w:bCs/>
                <w:snapToGrid/>
                <w:color w:val="auto"/>
                <w:kern w:val="2"/>
                <w:sz w:val="24"/>
                <w:szCs w:val="24"/>
                <w:lang w:val="en-US" w:eastAsia="zh-CN" w:bidi="ar-SA"/>
              </w:rPr>
            </w:pPr>
            <w:r>
              <w:rPr>
                <w:rFonts w:hint="default" w:ascii="Times New Roman" w:hAnsi="Times New Roman" w:eastAsia="宋体" w:cs="Times New Roman"/>
                <w:b/>
                <w:bCs/>
                <w:snapToGrid/>
                <w:color w:val="auto"/>
                <w:kern w:val="2"/>
                <w:sz w:val="24"/>
                <w:szCs w:val="24"/>
                <w:lang w:val="en-US" w:eastAsia="zh-CN" w:bidi="ar-SA"/>
              </w:rPr>
              <w:t>2.7.2Q值计算</w:t>
            </w:r>
          </w:p>
          <w:p w14:paraId="16C20DCA">
            <w:pPr>
              <w:widowControl w:val="0"/>
              <w:numPr>
                <w:ilvl w:val="0"/>
                <w:numId w:val="0"/>
              </w:numPr>
              <w:adjustRightInd w:val="0"/>
              <w:snapToGrid w:val="0"/>
              <w:spacing w:line="360" w:lineRule="auto"/>
              <w:ind w:firstLine="480" w:firstLineChars="200"/>
              <w:jc w:val="both"/>
              <w:rPr>
                <w:rFonts w:hint="default" w:ascii="Times New Roman" w:hAnsi="Times New Roman" w:eastAsia="宋体" w:cs="Times New Roman"/>
                <w:snapToGrid/>
                <w:color w:val="auto"/>
                <w:kern w:val="0"/>
                <w:sz w:val="24"/>
                <w:szCs w:val="24"/>
                <w:lang w:val="en-US" w:eastAsia="zh-CN" w:bidi="ar-SA"/>
              </w:rPr>
            </w:pPr>
            <w:r>
              <w:rPr>
                <w:rFonts w:hint="default" w:ascii="Times New Roman" w:hAnsi="Times New Roman" w:eastAsia="宋体" w:cs="Times New Roman"/>
                <w:snapToGrid/>
                <w:color w:val="auto"/>
                <w:kern w:val="0"/>
                <w:sz w:val="24"/>
                <w:szCs w:val="24"/>
                <w:lang w:val="en-US" w:eastAsia="zh-CN" w:bidi="ar-SA"/>
              </w:rPr>
              <w:t>在不同厂区的同一种物质，按其在厂界内的最大存在总量计算。当只涉及一种危险物质时，计算该物质的总量与其临界量比值，即为Q；当存在多种危险物质时，则按下式计算物质总量与其临界量比值（Q）：</w:t>
            </w:r>
          </w:p>
          <w:p w14:paraId="7044512E">
            <w:pPr>
              <w:widowControl w:val="0"/>
              <w:numPr>
                <w:ilvl w:val="0"/>
                <w:numId w:val="0"/>
              </w:numPr>
              <w:adjustRightInd w:val="0"/>
              <w:snapToGrid w:val="0"/>
              <w:spacing w:line="360" w:lineRule="auto"/>
              <w:ind w:firstLine="440" w:firstLineChars="200"/>
              <w:jc w:val="center"/>
              <w:rPr>
                <w:rFonts w:hint="default" w:ascii="Times New Roman" w:hAnsi="Times New Roman" w:eastAsia="宋体" w:cs="Times New Roman"/>
                <w:snapToGrid/>
                <w:color w:val="auto"/>
                <w:kern w:val="0"/>
                <w:sz w:val="24"/>
                <w:szCs w:val="24"/>
                <w:lang w:val="en-US" w:eastAsia="zh-CN" w:bidi="ar-SA"/>
              </w:rPr>
            </w:pPr>
            <m:oMathPara>
              <m:oMath>
                <m:r>
                  <m:rPr>
                    <m:nor/>
                    <m:sty m:val="p"/>
                  </m:rPr>
                  <w:rPr>
                    <w:rFonts w:hint="default" w:ascii="Times New Roman" w:hAnsi="Times New Roman" w:cs="Times New Roman"/>
                    <w:b w:val="0"/>
                    <w:i w:val="0"/>
                    <w:color w:val="auto"/>
                    <w:spacing w:val="-10"/>
                    <w:kern w:val="2"/>
                    <w:sz w:val="24"/>
                    <w:szCs w:val="24"/>
                    <w:highlight w:val="none"/>
                    <w:lang w:val="en-US" w:eastAsia="zh-CN" w:bidi="ar-SA"/>
                  </w:rPr>
                  <m:t>Q=</m:t>
                </m:r>
                <m:f>
                  <m:fPr>
                    <m:ctrlPr>
                      <w:rPr>
                        <w:rFonts w:hint="default" w:ascii="Cambria Math" w:hAnsi="Cambria Math" w:cs="Times New Roman"/>
                        <w:color w:val="auto"/>
                        <w:spacing w:val="-10"/>
                        <w:kern w:val="2"/>
                        <w:sz w:val="24"/>
                        <w:szCs w:val="24"/>
                        <w:highlight w:val="none"/>
                        <w:lang w:val="en-US" w:eastAsia="zh-CN" w:bidi="ar-SA"/>
                      </w:rPr>
                    </m:ctrlPr>
                  </m:fPr>
                  <m:num>
                    <m:sSub>
                      <m:sSubPr>
                        <m:ctrlPr>
                          <w:rPr>
                            <w:rFonts w:hint="default" w:ascii="Cambria Math" w:hAnsi="Cambria Math" w:cs="Times New Roman"/>
                            <w:color w:val="auto"/>
                            <w:spacing w:val="-10"/>
                            <w:kern w:val="2"/>
                            <w:sz w:val="24"/>
                            <w:szCs w:val="24"/>
                            <w:highlight w:val="none"/>
                            <w:lang w:val="en-US" w:eastAsia="zh-CN" w:bidi="ar-SA"/>
                          </w:rPr>
                        </m:ctrlPr>
                      </m:sSubPr>
                      <m:e>
                        <m:r>
                          <m:rPr>
                            <m:nor/>
                            <m:sty m:val="p"/>
                          </m:rPr>
                          <w:rPr>
                            <w:rFonts w:hint="default" w:ascii="Times New Roman" w:hAnsi="Times New Roman" w:cs="Times New Roman"/>
                            <w:b w:val="0"/>
                            <w:i w:val="0"/>
                            <w:color w:val="auto"/>
                            <w:spacing w:val="-10"/>
                            <w:kern w:val="2"/>
                            <w:sz w:val="24"/>
                            <w:szCs w:val="24"/>
                            <w:highlight w:val="none"/>
                            <w:lang w:val="en-US" w:eastAsia="zh-CN" w:bidi="ar-SA"/>
                          </w:rPr>
                          <m:t>q</m:t>
                        </m:r>
                        <m:ctrlPr>
                          <w:rPr>
                            <w:rFonts w:hint="default" w:ascii="Cambria Math" w:hAnsi="Cambria Math" w:cs="Times New Roman"/>
                            <w:color w:val="auto"/>
                            <w:spacing w:val="-10"/>
                            <w:kern w:val="2"/>
                            <w:sz w:val="24"/>
                            <w:szCs w:val="24"/>
                            <w:highlight w:val="none"/>
                            <w:lang w:val="en-US" w:eastAsia="zh-CN" w:bidi="ar-SA"/>
                          </w:rPr>
                        </m:ctrlPr>
                      </m:e>
                      <m:sub>
                        <m:r>
                          <m:rPr>
                            <m:nor/>
                            <m:sty m:val="p"/>
                          </m:rPr>
                          <w:rPr>
                            <w:rFonts w:hint="default" w:ascii="Times New Roman" w:hAnsi="Times New Roman" w:cs="Times New Roman"/>
                            <w:b w:val="0"/>
                            <w:i w:val="0"/>
                            <w:color w:val="auto"/>
                            <w:spacing w:val="-10"/>
                            <w:kern w:val="2"/>
                            <w:sz w:val="24"/>
                            <w:szCs w:val="24"/>
                            <w:highlight w:val="none"/>
                            <w:lang w:val="en-US" w:eastAsia="zh-CN" w:bidi="ar-SA"/>
                          </w:rPr>
                          <m:t>1</m:t>
                        </m:r>
                        <m:ctrlPr>
                          <w:rPr>
                            <w:rFonts w:hint="default" w:ascii="Cambria Math" w:hAnsi="Cambria Math" w:cs="Times New Roman"/>
                            <w:color w:val="auto"/>
                            <w:spacing w:val="-10"/>
                            <w:kern w:val="2"/>
                            <w:sz w:val="24"/>
                            <w:szCs w:val="24"/>
                            <w:highlight w:val="none"/>
                            <w:lang w:val="en-US" w:eastAsia="zh-CN" w:bidi="ar-SA"/>
                          </w:rPr>
                        </m:ctrlPr>
                      </m:sub>
                    </m:sSub>
                    <m:ctrlPr>
                      <w:rPr>
                        <w:rFonts w:hint="default" w:ascii="Cambria Math" w:hAnsi="Cambria Math" w:cs="Times New Roman"/>
                        <w:color w:val="auto"/>
                        <w:spacing w:val="-10"/>
                        <w:kern w:val="2"/>
                        <w:sz w:val="24"/>
                        <w:szCs w:val="24"/>
                        <w:highlight w:val="none"/>
                        <w:lang w:val="en-US" w:eastAsia="zh-CN" w:bidi="ar-SA"/>
                      </w:rPr>
                    </m:ctrlPr>
                  </m:num>
                  <m:den>
                    <m:sSub>
                      <m:sSubPr>
                        <m:ctrlPr>
                          <w:rPr>
                            <w:rFonts w:hint="default" w:ascii="Cambria Math" w:hAnsi="Cambria Math" w:cs="Times New Roman"/>
                            <w:color w:val="auto"/>
                            <w:spacing w:val="-10"/>
                            <w:kern w:val="2"/>
                            <w:sz w:val="24"/>
                            <w:szCs w:val="24"/>
                            <w:highlight w:val="none"/>
                            <w:lang w:val="en-US" w:eastAsia="zh-CN" w:bidi="ar-SA"/>
                          </w:rPr>
                        </m:ctrlPr>
                      </m:sSubPr>
                      <m:e>
                        <m:r>
                          <m:rPr>
                            <m:nor/>
                            <m:sty m:val="p"/>
                          </m:rPr>
                          <w:rPr>
                            <w:rFonts w:hint="default" w:ascii="Times New Roman" w:hAnsi="Times New Roman" w:cs="Times New Roman"/>
                            <w:b w:val="0"/>
                            <w:i w:val="0"/>
                            <w:color w:val="auto"/>
                            <w:spacing w:val="-10"/>
                            <w:kern w:val="2"/>
                            <w:sz w:val="24"/>
                            <w:szCs w:val="24"/>
                            <w:highlight w:val="none"/>
                            <w:lang w:val="en-US" w:eastAsia="zh-CN" w:bidi="ar-SA"/>
                          </w:rPr>
                          <m:t>Q</m:t>
                        </m:r>
                        <m:ctrlPr>
                          <w:rPr>
                            <w:rFonts w:hint="default" w:ascii="Cambria Math" w:hAnsi="Cambria Math" w:cs="Times New Roman"/>
                            <w:color w:val="auto"/>
                            <w:spacing w:val="-10"/>
                            <w:kern w:val="2"/>
                            <w:sz w:val="24"/>
                            <w:szCs w:val="24"/>
                            <w:highlight w:val="none"/>
                            <w:lang w:val="en-US" w:eastAsia="zh-CN" w:bidi="ar-SA"/>
                          </w:rPr>
                        </m:ctrlPr>
                      </m:e>
                      <m:sub>
                        <m:r>
                          <m:rPr>
                            <m:nor/>
                            <m:sty m:val="p"/>
                          </m:rPr>
                          <w:rPr>
                            <w:rFonts w:hint="default" w:ascii="Times New Roman" w:hAnsi="Times New Roman" w:cs="Times New Roman"/>
                            <w:b w:val="0"/>
                            <w:i w:val="0"/>
                            <w:color w:val="auto"/>
                            <w:spacing w:val="-10"/>
                            <w:kern w:val="2"/>
                            <w:sz w:val="24"/>
                            <w:szCs w:val="24"/>
                            <w:highlight w:val="none"/>
                            <w:lang w:val="en-US" w:eastAsia="zh-CN" w:bidi="ar-SA"/>
                          </w:rPr>
                          <m:t>1</m:t>
                        </m:r>
                        <m:ctrlPr>
                          <w:rPr>
                            <w:rFonts w:hint="default" w:ascii="Cambria Math" w:hAnsi="Cambria Math" w:cs="Times New Roman"/>
                            <w:color w:val="auto"/>
                            <w:spacing w:val="-10"/>
                            <w:kern w:val="2"/>
                            <w:sz w:val="24"/>
                            <w:szCs w:val="24"/>
                            <w:highlight w:val="none"/>
                            <w:lang w:val="en-US" w:eastAsia="zh-CN" w:bidi="ar-SA"/>
                          </w:rPr>
                        </m:ctrlPr>
                      </m:sub>
                    </m:sSub>
                    <m:ctrlPr>
                      <w:rPr>
                        <w:rFonts w:hint="default" w:ascii="Cambria Math" w:hAnsi="Cambria Math" w:cs="Times New Roman"/>
                        <w:color w:val="auto"/>
                        <w:spacing w:val="-10"/>
                        <w:kern w:val="2"/>
                        <w:sz w:val="24"/>
                        <w:szCs w:val="24"/>
                        <w:highlight w:val="none"/>
                        <w:lang w:val="en-US" w:eastAsia="zh-CN" w:bidi="ar-SA"/>
                      </w:rPr>
                    </m:ctrlPr>
                  </m:den>
                </m:f>
                <m:r>
                  <m:rPr>
                    <m:nor/>
                    <m:sty m:val="p"/>
                  </m:rPr>
                  <w:rPr>
                    <w:rFonts w:hint="default" w:ascii="Times New Roman" w:hAnsi="Times New Roman" w:cs="Times New Roman"/>
                    <w:b w:val="0"/>
                    <w:i w:val="0"/>
                    <w:color w:val="auto"/>
                    <w:spacing w:val="-10"/>
                    <w:kern w:val="2"/>
                    <w:sz w:val="24"/>
                    <w:szCs w:val="24"/>
                    <w:highlight w:val="none"/>
                    <w:lang w:val="en-US" w:eastAsia="zh-CN" w:bidi="ar-SA"/>
                  </w:rPr>
                  <m:t>+</m:t>
                </m:r>
                <m:f>
                  <m:fPr>
                    <m:ctrlPr>
                      <w:rPr>
                        <w:rFonts w:hint="default" w:ascii="Cambria Math" w:hAnsi="Cambria Math" w:cs="Times New Roman"/>
                        <w:color w:val="auto"/>
                        <w:spacing w:val="-10"/>
                        <w:kern w:val="2"/>
                        <w:sz w:val="24"/>
                        <w:szCs w:val="24"/>
                        <w:highlight w:val="none"/>
                        <w:lang w:val="en-US" w:eastAsia="zh-CN" w:bidi="ar-SA"/>
                      </w:rPr>
                    </m:ctrlPr>
                  </m:fPr>
                  <m:num>
                    <m:sSub>
                      <m:sSubPr>
                        <m:ctrlPr>
                          <w:rPr>
                            <w:rFonts w:hint="default" w:ascii="Cambria Math" w:hAnsi="Cambria Math" w:cs="Times New Roman"/>
                            <w:color w:val="auto"/>
                            <w:spacing w:val="-10"/>
                            <w:kern w:val="2"/>
                            <w:sz w:val="24"/>
                            <w:szCs w:val="24"/>
                            <w:highlight w:val="none"/>
                            <w:lang w:val="en-US" w:eastAsia="zh-CN" w:bidi="ar-SA"/>
                          </w:rPr>
                        </m:ctrlPr>
                      </m:sSubPr>
                      <m:e>
                        <m:r>
                          <m:rPr>
                            <m:nor/>
                            <m:sty m:val="p"/>
                          </m:rPr>
                          <w:rPr>
                            <w:rFonts w:hint="default" w:ascii="Times New Roman" w:hAnsi="Times New Roman" w:cs="Times New Roman"/>
                            <w:b w:val="0"/>
                            <w:i w:val="0"/>
                            <w:color w:val="auto"/>
                            <w:spacing w:val="-10"/>
                            <w:kern w:val="2"/>
                            <w:sz w:val="24"/>
                            <w:szCs w:val="24"/>
                            <w:highlight w:val="none"/>
                            <w:lang w:val="en-US" w:eastAsia="zh-CN" w:bidi="ar-SA"/>
                          </w:rPr>
                          <m:t>q</m:t>
                        </m:r>
                        <m:ctrlPr>
                          <w:rPr>
                            <w:rFonts w:hint="default" w:ascii="Cambria Math" w:hAnsi="Cambria Math" w:cs="Times New Roman"/>
                            <w:color w:val="auto"/>
                            <w:spacing w:val="-10"/>
                            <w:kern w:val="2"/>
                            <w:sz w:val="24"/>
                            <w:szCs w:val="24"/>
                            <w:highlight w:val="none"/>
                            <w:lang w:val="en-US" w:eastAsia="zh-CN" w:bidi="ar-SA"/>
                          </w:rPr>
                        </m:ctrlPr>
                      </m:e>
                      <m:sub>
                        <m:r>
                          <m:rPr>
                            <m:nor/>
                            <m:sty m:val="p"/>
                          </m:rPr>
                          <w:rPr>
                            <w:rFonts w:hint="default" w:ascii="Times New Roman" w:hAnsi="Times New Roman" w:cs="Times New Roman"/>
                            <w:b w:val="0"/>
                            <w:i w:val="0"/>
                            <w:color w:val="auto"/>
                            <w:spacing w:val="-10"/>
                            <w:kern w:val="2"/>
                            <w:sz w:val="24"/>
                            <w:szCs w:val="24"/>
                            <w:highlight w:val="none"/>
                            <w:lang w:val="en-US" w:eastAsia="zh-CN" w:bidi="ar-SA"/>
                          </w:rPr>
                          <m:t>2</m:t>
                        </m:r>
                        <m:ctrlPr>
                          <w:rPr>
                            <w:rFonts w:hint="default" w:ascii="Cambria Math" w:hAnsi="Cambria Math" w:cs="Times New Roman"/>
                            <w:color w:val="auto"/>
                            <w:spacing w:val="-10"/>
                            <w:kern w:val="2"/>
                            <w:sz w:val="24"/>
                            <w:szCs w:val="24"/>
                            <w:highlight w:val="none"/>
                            <w:lang w:val="en-US" w:eastAsia="zh-CN" w:bidi="ar-SA"/>
                          </w:rPr>
                        </m:ctrlPr>
                      </m:sub>
                    </m:sSub>
                    <m:ctrlPr>
                      <w:rPr>
                        <w:rFonts w:hint="default" w:ascii="Cambria Math" w:hAnsi="Cambria Math" w:cs="Times New Roman"/>
                        <w:color w:val="auto"/>
                        <w:spacing w:val="-10"/>
                        <w:kern w:val="2"/>
                        <w:sz w:val="24"/>
                        <w:szCs w:val="24"/>
                        <w:highlight w:val="none"/>
                        <w:lang w:val="en-US" w:eastAsia="zh-CN" w:bidi="ar-SA"/>
                      </w:rPr>
                    </m:ctrlPr>
                  </m:num>
                  <m:den>
                    <m:sSub>
                      <m:sSubPr>
                        <m:ctrlPr>
                          <w:rPr>
                            <w:rFonts w:hint="default" w:ascii="Cambria Math" w:hAnsi="Cambria Math" w:cs="Times New Roman"/>
                            <w:color w:val="auto"/>
                            <w:spacing w:val="-10"/>
                            <w:kern w:val="2"/>
                            <w:sz w:val="24"/>
                            <w:szCs w:val="24"/>
                            <w:highlight w:val="none"/>
                            <w:lang w:val="en-US" w:eastAsia="zh-CN" w:bidi="ar-SA"/>
                          </w:rPr>
                        </m:ctrlPr>
                      </m:sSubPr>
                      <m:e>
                        <m:r>
                          <m:rPr>
                            <m:nor/>
                            <m:sty m:val="p"/>
                          </m:rPr>
                          <w:rPr>
                            <w:rFonts w:hint="default" w:ascii="Times New Roman" w:hAnsi="Times New Roman" w:cs="Times New Roman"/>
                            <w:b w:val="0"/>
                            <w:i w:val="0"/>
                            <w:color w:val="auto"/>
                            <w:spacing w:val="-10"/>
                            <w:kern w:val="2"/>
                            <w:sz w:val="24"/>
                            <w:szCs w:val="24"/>
                            <w:highlight w:val="none"/>
                            <w:lang w:val="en-US" w:eastAsia="zh-CN" w:bidi="ar-SA"/>
                          </w:rPr>
                          <m:t>Q</m:t>
                        </m:r>
                        <m:ctrlPr>
                          <w:rPr>
                            <w:rFonts w:hint="default" w:ascii="Cambria Math" w:hAnsi="Cambria Math" w:cs="Times New Roman"/>
                            <w:color w:val="auto"/>
                            <w:spacing w:val="-10"/>
                            <w:kern w:val="2"/>
                            <w:sz w:val="24"/>
                            <w:szCs w:val="24"/>
                            <w:highlight w:val="none"/>
                            <w:lang w:val="en-US" w:eastAsia="zh-CN" w:bidi="ar-SA"/>
                          </w:rPr>
                        </m:ctrlPr>
                      </m:e>
                      <m:sub>
                        <m:r>
                          <m:rPr>
                            <m:nor/>
                            <m:sty m:val="p"/>
                          </m:rPr>
                          <w:rPr>
                            <w:rFonts w:hint="default" w:ascii="Times New Roman" w:hAnsi="Times New Roman" w:cs="Times New Roman"/>
                            <w:b w:val="0"/>
                            <w:i w:val="0"/>
                            <w:color w:val="auto"/>
                            <w:spacing w:val="-10"/>
                            <w:kern w:val="2"/>
                            <w:sz w:val="24"/>
                            <w:szCs w:val="24"/>
                            <w:highlight w:val="none"/>
                            <w:lang w:val="en-US" w:eastAsia="zh-CN" w:bidi="ar-SA"/>
                          </w:rPr>
                          <m:t>2</m:t>
                        </m:r>
                        <m:ctrlPr>
                          <w:rPr>
                            <w:rFonts w:hint="default" w:ascii="Cambria Math" w:hAnsi="Cambria Math" w:cs="Times New Roman"/>
                            <w:color w:val="auto"/>
                            <w:spacing w:val="-10"/>
                            <w:kern w:val="2"/>
                            <w:sz w:val="24"/>
                            <w:szCs w:val="24"/>
                            <w:highlight w:val="none"/>
                            <w:lang w:val="en-US" w:eastAsia="zh-CN" w:bidi="ar-SA"/>
                          </w:rPr>
                        </m:ctrlPr>
                      </m:sub>
                    </m:sSub>
                    <m:ctrlPr>
                      <w:rPr>
                        <w:rFonts w:hint="default" w:ascii="Cambria Math" w:hAnsi="Cambria Math" w:cs="Times New Roman"/>
                        <w:color w:val="auto"/>
                        <w:spacing w:val="-10"/>
                        <w:kern w:val="2"/>
                        <w:sz w:val="24"/>
                        <w:szCs w:val="24"/>
                        <w:highlight w:val="none"/>
                        <w:lang w:val="en-US" w:eastAsia="zh-CN" w:bidi="ar-SA"/>
                      </w:rPr>
                    </m:ctrlPr>
                  </m:den>
                </m:f>
                <m:r>
                  <m:rPr>
                    <m:nor/>
                    <m:sty m:val="p"/>
                  </m:rPr>
                  <w:rPr>
                    <w:rFonts w:hint="default" w:ascii="Times New Roman" w:hAnsi="Times New Roman" w:cs="Times New Roman"/>
                    <w:b w:val="0"/>
                    <w:i w:val="0"/>
                    <w:color w:val="auto"/>
                    <w:spacing w:val="-10"/>
                    <w:kern w:val="2"/>
                    <w:sz w:val="24"/>
                    <w:szCs w:val="24"/>
                    <w:highlight w:val="none"/>
                    <w:lang w:val="en-US" w:eastAsia="zh-CN" w:bidi="ar-SA"/>
                  </w:rPr>
                  <m:t>+...+</m:t>
                </m:r>
                <m:f>
                  <m:fPr>
                    <m:ctrlPr>
                      <w:rPr>
                        <w:rFonts w:hint="default" w:ascii="Cambria Math" w:hAnsi="Cambria Math" w:cs="Times New Roman"/>
                        <w:color w:val="auto"/>
                        <w:spacing w:val="-10"/>
                        <w:kern w:val="2"/>
                        <w:sz w:val="24"/>
                        <w:szCs w:val="24"/>
                        <w:highlight w:val="none"/>
                        <w:lang w:val="en-US" w:eastAsia="zh-CN" w:bidi="ar-SA"/>
                      </w:rPr>
                    </m:ctrlPr>
                  </m:fPr>
                  <m:num>
                    <m:sSub>
                      <m:sSubPr>
                        <m:ctrlPr>
                          <w:rPr>
                            <w:rFonts w:hint="default" w:ascii="Cambria Math" w:hAnsi="Cambria Math" w:cs="Times New Roman"/>
                            <w:color w:val="auto"/>
                            <w:spacing w:val="-10"/>
                            <w:kern w:val="2"/>
                            <w:sz w:val="24"/>
                            <w:szCs w:val="24"/>
                            <w:highlight w:val="none"/>
                            <w:lang w:val="en-US" w:eastAsia="zh-CN" w:bidi="ar-SA"/>
                          </w:rPr>
                        </m:ctrlPr>
                      </m:sSubPr>
                      <m:e>
                        <m:r>
                          <m:rPr>
                            <m:nor/>
                            <m:sty m:val="p"/>
                          </m:rPr>
                          <w:rPr>
                            <w:rFonts w:hint="default" w:ascii="Times New Roman" w:hAnsi="Times New Roman" w:cs="Times New Roman"/>
                            <w:b w:val="0"/>
                            <w:i w:val="0"/>
                            <w:color w:val="auto"/>
                            <w:spacing w:val="-10"/>
                            <w:kern w:val="2"/>
                            <w:sz w:val="24"/>
                            <w:szCs w:val="24"/>
                            <w:highlight w:val="none"/>
                            <w:lang w:val="en-US" w:eastAsia="zh-CN" w:bidi="ar-SA"/>
                          </w:rPr>
                          <m:t>q</m:t>
                        </m:r>
                        <m:ctrlPr>
                          <w:rPr>
                            <w:rFonts w:hint="default" w:ascii="Cambria Math" w:hAnsi="Cambria Math" w:cs="Times New Roman"/>
                            <w:color w:val="auto"/>
                            <w:spacing w:val="-10"/>
                            <w:kern w:val="2"/>
                            <w:sz w:val="24"/>
                            <w:szCs w:val="24"/>
                            <w:highlight w:val="none"/>
                            <w:lang w:val="en-US" w:eastAsia="zh-CN" w:bidi="ar-SA"/>
                          </w:rPr>
                        </m:ctrlPr>
                      </m:e>
                      <m:sub>
                        <m:r>
                          <m:rPr>
                            <m:nor/>
                            <m:sty m:val="p"/>
                          </m:rPr>
                          <w:rPr>
                            <w:rFonts w:hint="default" w:ascii="Times New Roman" w:hAnsi="Times New Roman" w:cs="Times New Roman"/>
                            <w:b w:val="0"/>
                            <w:i w:val="0"/>
                            <w:color w:val="auto"/>
                            <w:spacing w:val="-10"/>
                            <w:kern w:val="2"/>
                            <w:sz w:val="24"/>
                            <w:szCs w:val="24"/>
                            <w:highlight w:val="none"/>
                            <w:lang w:val="en-US" w:eastAsia="zh-CN" w:bidi="ar-SA"/>
                          </w:rPr>
                          <m:t>n</m:t>
                        </m:r>
                        <m:ctrlPr>
                          <w:rPr>
                            <w:rFonts w:hint="default" w:ascii="Cambria Math" w:hAnsi="Cambria Math" w:cs="Times New Roman"/>
                            <w:color w:val="auto"/>
                            <w:spacing w:val="-10"/>
                            <w:kern w:val="2"/>
                            <w:sz w:val="24"/>
                            <w:szCs w:val="24"/>
                            <w:highlight w:val="none"/>
                            <w:lang w:val="en-US" w:eastAsia="zh-CN" w:bidi="ar-SA"/>
                          </w:rPr>
                        </m:ctrlPr>
                      </m:sub>
                    </m:sSub>
                    <m:ctrlPr>
                      <w:rPr>
                        <w:rFonts w:hint="default" w:ascii="Cambria Math" w:hAnsi="Cambria Math" w:cs="Times New Roman"/>
                        <w:color w:val="auto"/>
                        <w:spacing w:val="-10"/>
                        <w:kern w:val="2"/>
                        <w:sz w:val="24"/>
                        <w:szCs w:val="24"/>
                        <w:highlight w:val="none"/>
                        <w:lang w:val="en-US" w:eastAsia="zh-CN" w:bidi="ar-SA"/>
                      </w:rPr>
                    </m:ctrlPr>
                  </m:num>
                  <m:den>
                    <m:sSub>
                      <m:sSubPr>
                        <m:ctrlPr>
                          <w:rPr>
                            <w:rFonts w:hint="default" w:ascii="Cambria Math" w:hAnsi="Cambria Math" w:cs="Times New Roman"/>
                            <w:color w:val="auto"/>
                            <w:spacing w:val="-10"/>
                            <w:kern w:val="2"/>
                            <w:sz w:val="24"/>
                            <w:szCs w:val="24"/>
                            <w:highlight w:val="none"/>
                            <w:lang w:val="en-US" w:eastAsia="zh-CN" w:bidi="ar-SA"/>
                          </w:rPr>
                        </m:ctrlPr>
                      </m:sSubPr>
                      <m:e>
                        <m:r>
                          <m:rPr>
                            <m:nor/>
                            <m:sty m:val="p"/>
                          </m:rPr>
                          <w:rPr>
                            <w:rFonts w:hint="default" w:ascii="Times New Roman" w:hAnsi="Times New Roman" w:cs="Times New Roman"/>
                            <w:b w:val="0"/>
                            <w:i w:val="0"/>
                            <w:color w:val="auto"/>
                            <w:spacing w:val="-10"/>
                            <w:kern w:val="2"/>
                            <w:sz w:val="24"/>
                            <w:szCs w:val="24"/>
                            <w:highlight w:val="none"/>
                            <w:lang w:val="en-US" w:eastAsia="zh-CN" w:bidi="ar-SA"/>
                          </w:rPr>
                          <m:t>Q</m:t>
                        </m:r>
                        <m:ctrlPr>
                          <w:rPr>
                            <w:rFonts w:hint="default" w:ascii="Cambria Math" w:hAnsi="Cambria Math" w:cs="Times New Roman"/>
                            <w:color w:val="auto"/>
                            <w:spacing w:val="-10"/>
                            <w:kern w:val="2"/>
                            <w:sz w:val="24"/>
                            <w:szCs w:val="24"/>
                            <w:highlight w:val="none"/>
                            <w:lang w:val="en-US" w:eastAsia="zh-CN" w:bidi="ar-SA"/>
                          </w:rPr>
                        </m:ctrlPr>
                      </m:e>
                      <m:sub>
                        <m:r>
                          <m:rPr>
                            <m:nor/>
                            <m:sty m:val="p"/>
                          </m:rPr>
                          <w:rPr>
                            <w:rFonts w:hint="default" w:ascii="Times New Roman" w:hAnsi="Times New Roman" w:cs="Times New Roman"/>
                            <w:b w:val="0"/>
                            <w:i w:val="0"/>
                            <w:color w:val="auto"/>
                            <w:spacing w:val="-10"/>
                            <w:kern w:val="2"/>
                            <w:sz w:val="24"/>
                            <w:szCs w:val="24"/>
                            <w:highlight w:val="none"/>
                            <w:lang w:val="en-US" w:eastAsia="zh-CN" w:bidi="ar-SA"/>
                          </w:rPr>
                          <m:t>n</m:t>
                        </m:r>
                        <m:ctrlPr>
                          <w:rPr>
                            <w:rFonts w:hint="default" w:ascii="Cambria Math" w:hAnsi="Cambria Math" w:cs="Times New Roman"/>
                            <w:color w:val="auto"/>
                            <w:spacing w:val="-10"/>
                            <w:kern w:val="2"/>
                            <w:sz w:val="24"/>
                            <w:szCs w:val="24"/>
                            <w:highlight w:val="none"/>
                            <w:lang w:val="en-US" w:eastAsia="zh-CN" w:bidi="ar-SA"/>
                          </w:rPr>
                        </m:ctrlPr>
                      </m:sub>
                    </m:sSub>
                    <m:ctrlPr>
                      <w:rPr>
                        <w:rFonts w:hint="default" w:ascii="Cambria Math" w:hAnsi="Cambria Math" w:cs="Times New Roman"/>
                        <w:color w:val="auto"/>
                        <w:spacing w:val="-10"/>
                        <w:kern w:val="2"/>
                        <w:sz w:val="24"/>
                        <w:szCs w:val="24"/>
                        <w:highlight w:val="none"/>
                        <w:lang w:val="en-US" w:eastAsia="zh-CN" w:bidi="ar-SA"/>
                      </w:rPr>
                    </m:ctrlPr>
                  </m:den>
                </m:f>
              </m:oMath>
            </m:oMathPara>
          </w:p>
          <w:p w14:paraId="141E652E">
            <w:pPr>
              <w:adjustRightInd w:val="0"/>
              <w:snapToGrid w:val="0"/>
              <w:spacing w:line="360" w:lineRule="auto"/>
              <w:ind w:firstLine="480"/>
              <w:rPr>
                <w:rFonts w:hint="default" w:ascii="Times New Roman" w:hAnsi="Times New Roman" w:eastAsia="宋体" w:cs="Times New Roman"/>
                <w:snapToGrid/>
                <w:color w:val="auto"/>
                <w:kern w:val="0"/>
                <w:sz w:val="24"/>
                <w:szCs w:val="24"/>
                <w:lang w:val="zh-CN" w:eastAsia="zh-CN" w:bidi="ar-SA"/>
              </w:rPr>
            </w:pPr>
            <w:r>
              <w:rPr>
                <w:rFonts w:hint="default" w:ascii="Times New Roman" w:hAnsi="Times New Roman" w:eastAsia="宋体" w:cs="Times New Roman"/>
                <w:snapToGrid/>
                <w:color w:val="auto"/>
                <w:kern w:val="0"/>
                <w:sz w:val="24"/>
                <w:szCs w:val="24"/>
                <w:lang w:val="zh-CN" w:eastAsia="zh-CN" w:bidi="ar-SA"/>
              </w:rPr>
              <w:t>式中：</w:t>
            </w:r>
          </w:p>
          <w:p w14:paraId="12412B0B">
            <w:pPr>
              <w:adjustRightInd w:val="0"/>
              <w:snapToGrid w:val="0"/>
              <w:spacing w:line="360" w:lineRule="auto"/>
              <w:ind w:firstLine="480"/>
              <w:rPr>
                <w:rFonts w:hint="default" w:ascii="Times New Roman" w:hAnsi="Times New Roman" w:eastAsia="宋体" w:cs="Times New Roman"/>
                <w:snapToGrid/>
                <w:color w:val="auto"/>
                <w:kern w:val="0"/>
                <w:sz w:val="24"/>
                <w:szCs w:val="24"/>
                <w:lang w:val="en-US" w:eastAsia="zh-CN" w:bidi="ar-SA"/>
              </w:rPr>
            </w:pPr>
            <w:r>
              <w:rPr>
                <w:rFonts w:hint="default" w:ascii="Times New Roman" w:hAnsi="Times New Roman" w:eastAsia="宋体" w:cs="Times New Roman"/>
                <w:snapToGrid/>
                <w:color w:val="auto"/>
                <w:kern w:val="0"/>
                <w:sz w:val="24"/>
                <w:szCs w:val="24"/>
                <w:lang w:val="zh-CN" w:eastAsia="zh-CN" w:bidi="ar-SA"/>
              </w:rPr>
              <w:t>q1，q2，…qn——每种危险物质的最大存在总量，t；</w:t>
            </w:r>
          </w:p>
          <w:p w14:paraId="0397E021">
            <w:pPr>
              <w:adjustRightInd w:val="0"/>
              <w:snapToGrid w:val="0"/>
              <w:spacing w:line="360" w:lineRule="auto"/>
              <w:ind w:firstLine="480"/>
              <w:rPr>
                <w:rFonts w:hint="default" w:ascii="Times New Roman" w:hAnsi="Times New Roman" w:eastAsia="宋体" w:cs="Times New Roman"/>
                <w:snapToGrid/>
                <w:color w:val="auto"/>
                <w:kern w:val="0"/>
                <w:sz w:val="24"/>
                <w:szCs w:val="24"/>
                <w:lang w:val="en-US" w:eastAsia="zh-CN" w:bidi="ar-SA"/>
              </w:rPr>
            </w:pPr>
            <w:r>
              <w:rPr>
                <w:rFonts w:hint="default" w:ascii="Times New Roman" w:hAnsi="Times New Roman" w:eastAsia="宋体" w:cs="Times New Roman"/>
                <w:snapToGrid/>
                <w:color w:val="auto"/>
                <w:kern w:val="0"/>
                <w:sz w:val="24"/>
                <w:szCs w:val="24"/>
                <w:lang w:val="zh-CN" w:eastAsia="zh-CN" w:bidi="ar-SA"/>
              </w:rPr>
              <w:t>Q1，Q2，…Qn——每种危险物质的临界量，t。</w:t>
            </w:r>
          </w:p>
          <w:p w14:paraId="7F920334">
            <w:pPr>
              <w:adjustRightInd w:val="0"/>
              <w:snapToGrid w:val="0"/>
              <w:spacing w:line="360" w:lineRule="auto"/>
              <w:ind w:firstLine="480"/>
              <w:rPr>
                <w:rFonts w:hint="default" w:ascii="Times New Roman" w:hAnsi="Times New Roman" w:eastAsia="宋体" w:cs="Times New Roman"/>
                <w:snapToGrid/>
                <w:color w:val="auto"/>
                <w:kern w:val="0"/>
                <w:sz w:val="24"/>
                <w:szCs w:val="24"/>
                <w:lang w:val="zh-CN" w:eastAsia="zh-CN" w:bidi="ar-SA"/>
              </w:rPr>
            </w:pPr>
            <w:r>
              <w:rPr>
                <w:rFonts w:hint="default" w:ascii="Times New Roman" w:hAnsi="Times New Roman" w:eastAsia="宋体" w:cs="Times New Roman"/>
                <w:snapToGrid/>
                <w:color w:val="auto"/>
                <w:kern w:val="0"/>
                <w:sz w:val="24"/>
                <w:szCs w:val="24"/>
                <w:lang w:val="zh-CN" w:eastAsia="zh-CN" w:bidi="ar-SA"/>
              </w:rPr>
              <w:t>当Q＜1时，该项目环境风险潜势为Ⅰ。</w:t>
            </w:r>
          </w:p>
          <w:p w14:paraId="73E0CA39">
            <w:pPr>
              <w:widowControl w:val="0"/>
              <w:numPr>
                <w:ilvl w:val="0"/>
                <w:numId w:val="0"/>
              </w:numPr>
              <w:adjustRightInd w:val="0"/>
              <w:snapToGrid w:val="0"/>
              <w:spacing w:line="360" w:lineRule="auto"/>
              <w:ind w:firstLine="480" w:firstLineChars="200"/>
              <w:jc w:val="both"/>
              <w:rPr>
                <w:rFonts w:hint="default" w:ascii="Times New Roman" w:hAnsi="Times New Roman" w:eastAsia="宋体" w:cs="Times New Roman"/>
                <w:snapToGrid/>
                <w:color w:val="auto"/>
                <w:kern w:val="0"/>
                <w:sz w:val="24"/>
                <w:szCs w:val="24"/>
                <w:lang w:val="en-US" w:eastAsia="zh-CN" w:bidi="ar-SA"/>
              </w:rPr>
            </w:pPr>
            <w:r>
              <w:rPr>
                <w:rFonts w:hint="default" w:ascii="Times New Roman" w:hAnsi="Times New Roman" w:eastAsia="宋体" w:cs="Times New Roman"/>
                <w:snapToGrid/>
                <w:color w:val="auto"/>
                <w:kern w:val="0"/>
                <w:sz w:val="24"/>
                <w:szCs w:val="24"/>
                <w:lang w:val="zh-CN" w:eastAsia="zh-CN" w:bidi="ar-SA"/>
              </w:rPr>
              <w:t>当Q≥1时，将Q值划分为：（</w:t>
            </w:r>
            <w:r>
              <w:rPr>
                <w:rFonts w:hint="default" w:ascii="Times New Roman" w:hAnsi="Times New Roman" w:eastAsia="宋体" w:cs="Times New Roman"/>
                <w:snapToGrid/>
                <w:color w:val="auto"/>
                <w:kern w:val="0"/>
                <w:sz w:val="24"/>
                <w:szCs w:val="24"/>
                <w:lang w:val="en-US" w:eastAsia="zh-CN" w:bidi="ar-SA"/>
              </w:rPr>
              <w:t>1）</w:t>
            </w:r>
            <w:r>
              <w:rPr>
                <w:rFonts w:hint="default" w:ascii="Times New Roman" w:hAnsi="Times New Roman" w:eastAsia="宋体" w:cs="Times New Roman"/>
                <w:snapToGrid/>
                <w:color w:val="auto"/>
                <w:kern w:val="0"/>
                <w:sz w:val="24"/>
                <w:szCs w:val="24"/>
                <w:lang w:val="zh-CN" w:eastAsia="zh-CN" w:bidi="ar-SA"/>
              </w:rPr>
              <w:t>1≤Q＜10；（</w:t>
            </w:r>
            <w:r>
              <w:rPr>
                <w:rFonts w:hint="default" w:ascii="Times New Roman" w:hAnsi="Times New Roman" w:eastAsia="宋体" w:cs="Times New Roman"/>
                <w:snapToGrid/>
                <w:color w:val="auto"/>
                <w:kern w:val="0"/>
                <w:sz w:val="24"/>
                <w:szCs w:val="24"/>
                <w:lang w:val="en-US" w:eastAsia="zh-CN" w:bidi="ar-SA"/>
              </w:rPr>
              <w:t>2）</w:t>
            </w:r>
            <w:r>
              <w:rPr>
                <w:rFonts w:hint="default" w:ascii="Times New Roman" w:hAnsi="Times New Roman" w:eastAsia="宋体" w:cs="Times New Roman"/>
                <w:snapToGrid/>
                <w:color w:val="auto"/>
                <w:kern w:val="0"/>
                <w:sz w:val="24"/>
                <w:szCs w:val="24"/>
                <w:lang w:val="zh-CN" w:eastAsia="zh-CN" w:bidi="ar-SA"/>
              </w:rPr>
              <w:t>10≤Q＜100；（</w:t>
            </w:r>
            <w:r>
              <w:rPr>
                <w:rFonts w:hint="default" w:ascii="Times New Roman" w:hAnsi="Times New Roman" w:eastAsia="宋体" w:cs="Times New Roman"/>
                <w:snapToGrid/>
                <w:color w:val="auto"/>
                <w:kern w:val="0"/>
                <w:sz w:val="24"/>
                <w:szCs w:val="24"/>
                <w:lang w:val="en-US" w:eastAsia="zh-CN" w:bidi="ar-SA"/>
              </w:rPr>
              <w:t>3）</w:t>
            </w:r>
            <w:r>
              <w:rPr>
                <w:rFonts w:hint="default" w:ascii="Times New Roman" w:hAnsi="Times New Roman" w:eastAsia="宋体" w:cs="Times New Roman"/>
                <w:snapToGrid/>
                <w:color w:val="auto"/>
                <w:kern w:val="0"/>
                <w:sz w:val="24"/>
                <w:szCs w:val="24"/>
                <w:lang w:val="zh-CN" w:eastAsia="zh-CN" w:bidi="ar-SA"/>
              </w:rPr>
              <w:t>Q≥100。</w:t>
            </w:r>
            <w:r>
              <w:rPr>
                <w:rFonts w:hint="default" w:ascii="Times New Roman" w:hAnsi="Times New Roman" w:eastAsia="宋体" w:cs="Times New Roman"/>
                <w:snapToGrid/>
                <w:color w:val="auto"/>
                <w:kern w:val="0"/>
                <w:sz w:val="24"/>
                <w:szCs w:val="24"/>
                <w:lang w:val="en-US" w:eastAsia="zh-CN" w:bidi="ar-SA"/>
              </w:rPr>
              <w:t>本项目Q值计算详见表4-1</w:t>
            </w:r>
            <w:r>
              <w:rPr>
                <w:rFonts w:hint="default" w:ascii="Times New Roman" w:hAnsi="Times New Roman" w:cs="Times New Roman"/>
                <w:snapToGrid/>
                <w:color w:val="auto"/>
                <w:kern w:val="0"/>
                <w:sz w:val="24"/>
                <w:szCs w:val="24"/>
                <w:lang w:val="en-US" w:eastAsia="zh-CN" w:bidi="ar-SA"/>
              </w:rPr>
              <w:t>6</w:t>
            </w:r>
            <w:r>
              <w:rPr>
                <w:rFonts w:hint="default" w:ascii="Times New Roman" w:hAnsi="Times New Roman" w:eastAsia="宋体" w:cs="Times New Roman"/>
                <w:snapToGrid/>
                <w:color w:val="auto"/>
                <w:kern w:val="0"/>
                <w:sz w:val="24"/>
                <w:szCs w:val="24"/>
                <w:lang w:val="en-US" w:eastAsia="zh-CN" w:bidi="ar-SA"/>
              </w:rPr>
              <w:t>。</w:t>
            </w:r>
          </w:p>
          <w:p w14:paraId="43B6E2F4">
            <w:pPr>
              <w:widowControl w:val="0"/>
              <w:numPr>
                <w:ilvl w:val="0"/>
                <w:numId w:val="0"/>
              </w:numPr>
              <w:adjustRightInd w:val="0"/>
              <w:snapToGrid w:val="0"/>
              <w:spacing w:line="360" w:lineRule="auto"/>
              <w:ind w:firstLine="480" w:firstLineChars="200"/>
              <w:jc w:val="both"/>
              <w:rPr>
                <w:rFonts w:hint="default" w:ascii="Times New Roman" w:hAnsi="Times New Roman" w:eastAsia="宋体" w:cs="Times New Roman"/>
                <w:b/>
                <w:bCs w:val="0"/>
                <w:color w:val="auto"/>
                <w:spacing w:val="-10"/>
                <w:sz w:val="21"/>
                <w:szCs w:val="21"/>
                <w:highlight w:val="none"/>
                <w:lang w:val="en-US" w:eastAsia="zh-CN"/>
              </w:rPr>
            </w:pPr>
            <w:r>
              <w:rPr>
                <w:rFonts w:hint="default" w:ascii="Times New Roman" w:hAnsi="Times New Roman" w:eastAsia="宋体" w:cs="Times New Roman"/>
                <w:snapToGrid/>
                <w:color w:val="auto"/>
                <w:kern w:val="0"/>
                <w:sz w:val="24"/>
                <w:szCs w:val="24"/>
                <w:lang w:val="en-US" w:eastAsia="zh-CN" w:bidi="ar-SA"/>
              </w:rPr>
              <w:t>兰炭煤气的主要可燃成分为氢气和甲烷，辅以少量一氧化碳和不饱和烃；同时含有二氧化碳、氮气等惰性组分，以及微量硫化氢、焦油蒸汽等杂质。根据本项目煤气检测甲烷的含量约3.28Vol%。根据设计资料厂内煤气母管DN1600，长度约为130m；支管DN600，分6</w:t>
            </w:r>
            <w:r>
              <w:rPr>
                <w:rFonts w:hint="default" w:ascii="Times New Roman" w:hAnsi="Times New Roman" w:cs="Times New Roman"/>
                <w:snapToGrid/>
                <w:color w:val="auto"/>
                <w:kern w:val="0"/>
                <w:sz w:val="24"/>
                <w:szCs w:val="24"/>
                <w:lang w:val="en-US" w:eastAsia="zh-CN" w:bidi="ar-SA"/>
              </w:rPr>
              <w:t>根</w:t>
            </w:r>
            <w:r>
              <w:rPr>
                <w:rFonts w:hint="default" w:ascii="Times New Roman" w:hAnsi="Times New Roman" w:eastAsia="宋体" w:cs="Times New Roman"/>
                <w:snapToGrid/>
                <w:color w:val="auto"/>
                <w:kern w:val="0"/>
                <w:sz w:val="24"/>
                <w:szCs w:val="24"/>
                <w:lang w:val="en-US" w:eastAsia="zh-CN" w:bidi="ar-SA"/>
              </w:rPr>
              <w:t>支管，每根支管长度约6m，经计算项目区厂内管道可容纳271.42m</w:t>
            </w:r>
            <w:r>
              <w:rPr>
                <w:rFonts w:hint="default" w:ascii="Times New Roman" w:hAnsi="Times New Roman" w:eastAsia="宋体" w:cs="Times New Roman"/>
                <w:snapToGrid/>
                <w:color w:val="auto"/>
                <w:kern w:val="0"/>
                <w:sz w:val="24"/>
                <w:szCs w:val="24"/>
                <w:vertAlign w:val="superscript"/>
                <w:lang w:val="en-US" w:eastAsia="zh-CN" w:bidi="ar-SA"/>
              </w:rPr>
              <w:t>3</w:t>
            </w:r>
            <w:r>
              <w:rPr>
                <w:rFonts w:hint="default" w:ascii="Times New Roman" w:hAnsi="Times New Roman" w:eastAsia="宋体" w:cs="Times New Roman"/>
                <w:snapToGrid/>
                <w:color w:val="auto"/>
                <w:kern w:val="0"/>
                <w:sz w:val="24"/>
                <w:szCs w:val="24"/>
                <w:vertAlign w:val="baseline"/>
                <w:lang w:val="en-US" w:eastAsia="zh-CN" w:bidi="ar-SA"/>
              </w:rPr>
              <w:t>煤气，经换算后约为8.658m</w:t>
            </w:r>
            <w:r>
              <w:rPr>
                <w:rFonts w:hint="default" w:ascii="Times New Roman" w:hAnsi="Times New Roman" w:eastAsia="宋体" w:cs="Times New Roman"/>
                <w:snapToGrid/>
                <w:color w:val="auto"/>
                <w:kern w:val="0"/>
                <w:sz w:val="24"/>
                <w:szCs w:val="24"/>
                <w:vertAlign w:val="superscript"/>
                <w:lang w:val="en-US" w:eastAsia="zh-CN" w:bidi="ar-SA"/>
              </w:rPr>
              <w:t>3</w:t>
            </w:r>
            <w:r>
              <w:rPr>
                <w:rFonts w:hint="default" w:ascii="Times New Roman" w:hAnsi="Times New Roman" w:eastAsia="宋体" w:cs="Times New Roman"/>
                <w:snapToGrid/>
                <w:color w:val="auto"/>
                <w:kern w:val="0"/>
                <w:sz w:val="24"/>
                <w:szCs w:val="24"/>
                <w:vertAlign w:val="baseline"/>
                <w:lang w:val="en-US" w:eastAsia="zh-CN" w:bidi="ar-SA"/>
              </w:rPr>
              <w:t>（</w:t>
            </w:r>
            <w:r>
              <w:rPr>
                <w:rFonts w:hint="default" w:ascii="Times New Roman" w:hAnsi="Times New Roman" w:eastAsia="宋体" w:cs="Times New Roman"/>
                <w:snapToGrid/>
                <w:color w:val="auto"/>
                <w:kern w:val="0"/>
                <w:sz w:val="24"/>
                <w:szCs w:val="24"/>
                <w:lang w:val="en-US" w:eastAsia="zh-CN" w:bidi="ar-SA"/>
              </w:rPr>
              <w:t>0.005783t</w:t>
            </w:r>
            <w:r>
              <w:rPr>
                <w:rFonts w:hint="default" w:ascii="Times New Roman" w:hAnsi="Times New Roman" w:eastAsia="宋体" w:cs="Times New Roman"/>
                <w:snapToGrid/>
                <w:color w:val="auto"/>
                <w:kern w:val="0"/>
                <w:sz w:val="24"/>
                <w:szCs w:val="24"/>
                <w:vertAlign w:val="baseline"/>
                <w:lang w:val="en-US" w:eastAsia="zh-CN" w:bidi="ar-SA"/>
              </w:rPr>
              <w:t>）</w:t>
            </w:r>
            <w:r>
              <w:rPr>
                <w:rFonts w:hint="default" w:ascii="Times New Roman" w:hAnsi="Times New Roman" w:eastAsia="宋体" w:cs="Times New Roman"/>
                <w:snapToGrid/>
                <w:color w:val="auto"/>
                <w:kern w:val="0"/>
                <w:sz w:val="24"/>
                <w:szCs w:val="24"/>
                <w:lang w:val="en-US" w:eastAsia="zh-CN" w:bidi="ar-SA"/>
              </w:rPr>
              <w:t>甲烷（0.668kg/m</w:t>
            </w:r>
            <w:r>
              <w:rPr>
                <w:rFonts w:hint="default" w:ascii="Times New Roman" w:hAnsi="Times New Roman" w:eastAsia="宋体" w:cs="Times New Roman"/>
                <w:snapToGrid/>
                <w:color w:val="auto"/>
                <w:kern w:val="0"/>
                <w:sz w:val="24"/>
                <w:szCs w:val="24"/>
                <w:vertAlign w:val="superscript"/>
                <w:lang w:val="en-US" w:eastAsia="zh-CN" w:bidi="ar-SA"/>
              </w:rPr>
              <w:t>3</w:t>
            </w:r>
            <w:r>
              <w:rPr>
                <w:rFonts w:hint="default" w:ascii="Times New Roman" w:hAnsi="Times New Roman" w:eastAsia="宋体" w:cs="Times New Roman"/>
                <w:snapToGrid/>
                <w:color w:val="auto"/>
                <w:kern w:val="0"/>
                <w:sz w:val="24"/>
                <w:szCs w:val="24"/>
                <w:lang w:val="en-US" w:eastAsia="zh-CN" w:bidi="ar-SA"/>
              </w:rPr>
              <w:t>）。</w:t>
            </w:r>
          </w:p>
          <w:p w14:paraId="07D6D9AE">
            <w:pPr>
              <w:widowControl w:val="0"/>
              <w:numPr>
                <w:ilvl w:val="0"/>
                <w:numId w:val="0"/>
              </w:numPr>
              <w:adjustRightInd w:val="0"/>
              <w:snapToGrid w:val="0"/>
              <w:spacing w:line="240" w:lineRule="auto"/>
              <w:jc w:val="center"/>
              <w:rPr>
                <w:rFonts w:hint="default" w:ascii="Times New Roman" w:hAnsi="Times New Roman" w:eastAsia="宋体" w:cs="Times New Roman"/>
                <w:b w:val="0"/>
                <w:bCs/>
                <w:color w:val="auto"/>
                <w:spacing w:val="-10"/>
                <w:sz w:val="21"/>
                <w:szCs w:val="21"/>
                <w:highlight w:val="none"/>
                <w:lang w:val="en-US" w:eastAsia="zh-CN"/>
              </w:rPr>
            </w:pPr>
            <w:r>
              <w:rPr>
                <w:rFonts w:hint="default" w:ascii="Times New Roman" w:hAnsi="Times New Roman" w:eastAsia="宋体" w:cs="Times New Roman"/>
                <w:b/>
                <w:bCs w:val="0"/>
                <w:color w:val="auto"/>
                <w:spacing w:val="-10"/>
                <w:sz w:val="21"/>
                <w:szCs w:val="21"/>
                <w:highlight w:val="none"/>
                <w:lang w:val="en-US" w:eastAsia="zh-CN"/>
              </w:rPr>
              <w:t>表4-1</w:t>
            </w:r>
            <w:r>
              <w:rPr>
                <w:rFonts w:hint="default" w:ascii="Times New Roman" w:hAnsi="Times New Roman" w:cs="Times New Roman"/>
                <w:b/>
                <w:bCs w:val="0"/>
                <w:color w:val="auto"/>
                <w:spacing w:val="-10"/>
                <w:sz w:val="21"/>
                <w:szCs w:val="21"/>
                <w:highlight w:val="none"/>
                <w:lang w:val="en-US" w:eastAsia="zh-CN"/>
              </w:rPr>
              <w:t>6</w:t>
            </w:r>
            <w:r>
              <w:rPr>
                <w:rFonts w:hint="default" w:ascii="Times New Roman" w:hAnsi="Times New Roman" w:eastAsia="宋体" w:cs="Times New Roman"/>
                <w:b/>
                <w:bCs w:val="0"/>
                <w:color w:val="auto"/>
                <w:spacing w:val="-10"/>
                <w:sz w:val="21"/>
                <w:szCs w:val="21"/>
                <w:highlight w:val="none"/>
                <w:lang w:val="en-US" w:eastAsia="zh-CN"/>
              </w:rPr>
              <w:t>本项目Q值计算</w:t>
            </w:r>
          </w:p>
          <w:tbl>
            <w:tblPr>
              <w:tblStyle w:val="33"/>
              <w:tblW w:w="801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02"/>
              <w:gridCol w:w="1"/>
              <w:gridCol w:w="1602"/>
              <w:gridCol w:w="1603"/>
              <w:gridCol w:w="1605"/>
              <w:gridCol w:w="1605"/>
            </w:tblGrid>
            <w:tr w14:paraId="25DC94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95" w:hRule="atLeast"/>
              </w:trPr>
              <w:tc>
                <w:tcPr>
                  <w:tcW w:w="999" w:type="pct"/>
                  <w:tcBorders>
                    <w:tl2br w:val="nil"/>
                    <w:tr2bl w:val="nil"/>
                  </w:tcBorders>
                  <w:noWrap w:val="0"/>
                  <w:vAlign w:val="center"/>
                </w:tcPr>
                <w:p w14:paraId="632A33CA">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物质名称</w:t>
                  </w:r>
                </w:p>
              </w:tc>
              <w:tc>
                <w:tcPr>
                  <w:tcW w:w="999" w:type="pct"/>
                  <w:gridSpan w:val="2"/>
                  <w:tcBorders>
                    <w:tl2br w:val="nil"/>
                    <w:tr2bl w:val="nil"/>
                  </w:tcBorders>
                  <w:noWrap w:val="0"/>
                  <w:vAlign w:val="center"/>
                </w:tcPr>
                <w:p w14:paraId="109E081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CAS号</w:t>
                  </w:r>
                </w:p>
              </w:tc>
              <w:tc>
                <w:tcPr>
                  <w:tcW w:w="999" w:type="pct"/>
                  <w:tcBorders>
                    <w:tl2br w:val="nil"/>
                    <w:tr2bl w:val="nil"/>
                  </w:tcBorders>
                  <w:noWrap w:val="0"/>
                  <w:vAlign w:val="center"/>
                </w:tcPr>
                <w:p w14:paraId="3AD0573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最大存在量（t）</w:t>
                  </w:r>
                </w:p>
              </w:tc>
              <w:tc>
                <w:tcPr>
                  <w:tcW w:w="1000" w:type="pct"/>
                  <w:tcBorders>
                    <w:tl2br w:val="nil"/>
                    <w:tr2bl w:val="nil"/>
                  </w:tcBorders>
                  <w:noWrap w:val="0"/>
                  <w:vAlign w:val="center"/>
                </w:tcPr>
                <w:p w14:paraId="691D47E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临界量（t）</w:t>
                  </w:r>
                </w:p>
              </w:tc>
              <w:tc>
                <w:tcPr>
                  <w:tcW w:w="1000" w:type="pct"/>
                  <w:tcBorders>
                    <w:tl2br w:val="nil"/>
                    <w:tr2bl w:val="nil"/>
                  </w:tcBorders>
                  <w:noWrap w:val="0"/>
                  <w:vAlign w:val="center"/>
                </w:tcPr>
                <w:p w14:paraId="03EBE890">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10"/>
                      <w:sz w:val="21"/>
                      <w:szCs w:val="21"/>
                      <w:highlight w:val="none"/>
                      <w:vertAlign w:val="baseline"/>
                      <w:lang w:val="en-US" w:eastAsia="zh-CN"/>
                    </w:rPr>
                  </w:pPr>
                  <w:r>
                    <w:rPr>
                      <w:rFonts w:hint="default" w:ascii="Times New Roman" w:hAnsi="Times New Roman" w:eastAsia="宋体" w:cs="Times New Roman"/>
                      <w:b/>
                      <w:bCs w:val="0"/>
                      <w:color w:val="auto"/>
                      <w:spacing w:val="-10"/>
                      <w:sz w:val="21"/>
                      <w:szCs w:val="21"/>
                      <w:highlight w:val="none"/>
                      <w:vertAlign w:val="baseline"/>
                      <w:lang w:val="en-US" w:eastAsia="zh-CN"/>
                    </w:rPr>
                    <w:t>Q值</w:t>
                  </w:r>
                </w:p>
              </w:tc>
            </w:tr>
            <w:tr w14:paraId="1A4106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999" w:type="pct"/>
                  <w:tcBorders>
                    <w:tl2br w:val="nil"/>
                    <w:tr2bl w:val="nil"/>
                  </w:tcBorders>
                  <w:noWrap w:val="0"/>
                  <w:vAlign w:val="center"/>
                </w:tcPr>
                <w:p w14:paraId="40950BF1">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甲烷</w:t>
                  </w:r>
                </w:p>
              </w:tc>
              <w:tc>
                <w:tcPr>
                  <w:tcW w:w="999" w:type="pct"/>
                  <w:gridSpan w:val="2"/>
                  <w:tcBorders>
                    <w:tl2br w:val="nil"/>
                    <w:tr2bl w:val="nil"/>
                  </w:tcBorders>
                  <w:noWrap w:val="0"/>
                  <w:vAlign w:val="center"/>
                </w:tcPr>
                <w:p w14:paraId="1709370D">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74-82-8</w:t>
                  </w:r>
                </w:p>
              </w:tc>
              <w:tc>
                <w:tcPr>
                  <w:tcW w:w="999" w:type="pct"/>
                  <w:tcBorders>
                    <w:tl2br w:val="nil"/>
                    <w:tr2bl w:val="nil"/>
                  </w:tcBorders>
                  <w:noWrap w:val="0"/>
                  <w:vAlign w:val="center"/>
                </w:tcPr>
                <w:p w14:paraId="0E7B124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0.005783</w:t>
                  </w:r>
                </w:p>
              </w:tc>
              <w:tc>
                <w:tcPr>
                  <w:tcW w:w="1000" w:type="pct"/>
                  <w:tcBorders>
                    <w:tl2br w:val="nil"/>
                    <w:tr2bl w:val="nil"/>
                  </w:tcBorders>
                  <w:noWrap w:val="0"/>
                  <w:vAlign w:val="center"/>
                </w:tcPr>
                <w:p w14:paraId="79827F4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10</w:t>
                  </w:r>
                </w:p>
              </w:tc>
              <w:tc>
                <w:tcPr>
                  <w:tcW w:w="1000" w:type="pct"/>
                  <w:tcBorders>
                    <w:tl2br w:val="nil"/>
                    <w:tr2bl w:val="nil"/>
                  </w:tcBorders>
                  <w:noWrap w:val="0"/>
                  <w:vAlign w:val="center"/>
                </w:tcPr>
                <w:p w14:paraId="7E65A2BB">
                  <w:pPr>
                    <w:keepNext w:val="0"/>
                    <w:keepLines w:val="0"/>
                    <w:widowControl/>
                    <w:suppressLineNumbers w:val="0"/>
                    <w:jc w:val="center"/>
                    <w:textAlignment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0.0006</w:t>
                  </w:r>
                </w:p>
              </w:tc>
            </w:tr>
            <w:tr w14:paraId="585B28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5" w:hRule="atLeast"/>
              </w:trPr>
              <w:tc>
                <w:tcPr>
                  <w:tcW w:w="999" w:type="pct"/>
                  <w:tcBorders>
                    <w:tl2br w:val="nil"/>
                    <w:tr2bl w:val="nil"/>
                  </w:tcBorders>
                  <w:noWrap w:val="0"/>
                  <w:vAlign w:val="center"/>
                </w:tcPr>
                <w:p w14:paraId="74D5D48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废机油</w:t>
                  </w:r>
                </w:p>
              </w:tc>
              <w:tc>
                <w:tcPr>
                  <w:tcW w:w="999" w:type="pct"/>
                  <w:gridSpan w:val="2"/>
                  <w:tcBorders>
                    <w:tl2br w:val="nil"/>
                    <w:tr2bl w:val="nil"/>
                  </w:tcBorders>
                  <w:noWrap w:val="0"/>
                  <w:vAlign w:val="center"/>
                </w:tcPr>
                <w:p w14:paraId="0A6520FC">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w:t>
                  </w:r>
                </w:p>
              </w:tc>
              <w:tc>
                <w:tcPr>
                  <w:tcW w:w="999" w:type="pct"/>
                  <w:tcBorders>
                    <w:tl2br w:val="nil"/>
                    <w:tr2bl w:val="nil"/>
                  </w:tcBorders>
                  <w:noWrap w:val="0"/>
                  <w:vAlign w:val="center"/>
                </w:tcPr>
                <w:p w14:paraId="4A21FF55">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0.2</w:t>
                  </w:r>
                </w:p>
              </w:tc>
              <w:tc>
                <w:tcPr>
                  <w:tcW w:w="1000" w:type="pct"/>
                  <w:tcBorders>
                    <w:tl2br w:val="nil"/>
                    <w:tr2bl w:val="nil"/>
                  </w:tcBorders>
                  <w:noWrap w:val="0"/>
                  <w:vAlign w:val="center"/>
                </w:tcPr>
                <w:p w14:paraId="4FEC165E">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2500</w:t>
                  </w:r>
                </w:p>
              </w:tc>
              <w:tc>
                <w:tcPr>
                  <w:tcW w:w="1000" w:type="pct"/>
                  <w:tcBorders>
                    <w:tl2br w:val="nil"/>
                    <w:tr2bl w:val="nil"/>
                  </w:tcBorders>
                  <w:noWrap w:val="0"/>
                  <w:vAlign w:val="center"/>
                </w:tcPr>
                <w:p w14:paraId="713B1E0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0.0001</w:t>
                  </w:r>
                </w:p>
              </w:tc>
            </w:tr>
            <w:tr w14:paraId="3A1BBD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999" w:type="pct"/>
                  <w:gridSpan w:val="2"/>
                  <w:tcBorders>
                    <w:tl2br w:val="nil"/>
                    <w:tr2bl w:val="nil"/>
                  </w:tcBorders>
                  <w:noWrap w:val="0"/>
                  <w:vAlign w:val="center"/>
                </w:tcPr>
                <w:p w14:paraId="3508B07B">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10"/>
                      <w:sz w:val="21"/>
                      <w:szCs w:val="21"/>
                      <w:highlight w:val="none"/>
                      <w:vertAlign w:val="baseline"/>
                      <w:lang w:val="en-US" w:eastAsia="zh-CN"/>
                    </w:rPr>
                  </w:pPr>
                </w:p>
              </w:tc>
              <w:tc>
                <w:tcPr>
                  <w:tcW w:w="2999" w:type="pct"/>
                  <w:gridSpan w:val="3"/>
                  <w:tcBorders>
                    <w:tl2br w:val="nil"/>
                    <w:tr2bl w:val="nil"/>
                  </w:tcBorders>
                  <w:noWrap w:val="0"/>
                  <w:vAlign w:val="center"/>
                </w:tcPr>
                <w:p w14:paraId="014DF6BF">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b w:val="0"/>
                      <w:bCs/>
                      <w:color w:val="auto"/>
                      <w:spacing w:val="-10"/>
                      <w:sz w:val="21"/>
                      <w:szCs w:val="21"/>
                      <w:highlight w:val="none"/>
                      <w:vertAlign w:val="baseline"/>
                      <w:lang w:val="en-US" w:eastAsia="zh-CN"/>
                    </w:rPr>
                    <w:t>合计</w:t>
                  </w:r>
                </w:p>
              </w:tc>
              <w:tc>
                <w:tcPr>
                  <w:tcW w:w="1000" w:type="pct"/>
                  <w:tcBorders>
                    <w:tl2br w:val="nil"/>
                    <w:tr2bl w:val="nil"/>
                  </w:tcBorders>
                  <w:noWrap w:val="0"/>
                  <w:vAlign w:val="center"/>
                </w:tcPr>
                <w:p w14:paraId="4691C9D7">
                  <w:pPr>
                    <w:keepNext w:val="0"/>
                    <w:keepLines w:val="0"/>
                    <w:widowControl/>
                    <w:suppressLineNumbers w:val="0"/>
                    <w:jc w:val="center"/>
                    <w:textAlignment w:val="center"/>
                    <w:rPr>
                      <w:rFonts w:hint="default" w:ascii="Times New Roman" w:hAnsi="Times New Roman" w:eastAsia="宋体" w:cs="Times New Roman"/>
                      <w:b w:val="0"/>
                      <w:bCs/>
                      <w:color w:val="auto"/>
                      <w:spacing w:val="-10"/>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0.0007</w:t>
                  </w:r>
                </w:p>
              </w:tc>
            </w:tr>
          </w:tbl>
          <w:p w14:paraId="436C8980">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经计算本项目Q=0.0007＜1，故本项目环境风险潜势为Ⅰ，根据《建设项目环境风险评价技术导则》（HJ169-2018）中环境风险评价工作级别划分的判据，本项目为简单分析。</w:t>
            </w:r>
          </w:p>
          <w:p w14:paraId="622F2EEF">
            <w:pPr>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default" w:ascii="Times New Roman" w:hAnsi="Times New Roman" w:eastAsia="宋体" w:cs="Times New Roman"/>
                <w:b/>
                <w:bCs/>
                <w:color w:val="auto"/>
                <w:sz w:val="24"/>
                <w:szCs w:val="24"/>
              </w:rPr>
            </w:pPr>
            <w:r>
              <w:rPr>
                <w:rFonts w:hint="default" w:ascii="Times New Roman" w:hAnsi="Times New Roman" w:cs="Times New Roman"/>
                <w:b/>
                <w:bCs/>
                <w:color w:val="auto"/>
                <w:sz w:val="24"/>
                <w:szCs w:val="24"/>
                <w:lang w:val="en-US" w:eastAsia="zh-CN"/>
              </w:rPr>
              <w:t>2.7.3</w:t>
            </w:r>
            <w:r>
              <w:rPr>
                <w:rFonts w:hint="default" w:ascii="Times New Roman" w:hAnsi="Times New Roman" w:eastAsia="宋体" w:cs="Times New Roman"/>
                <w:b/>
                <w:bCs/>
                <w:color w:val="auto"/>
                <w:sz w:val="24"/>
                <w:szCs w:val="24"/>
              </w:rPr>
              <w:t>环境风险防范措施</w:t>
            </w:r>
          </w:p>
          <w:p w14:paraId="319A9C3B">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1</w:t>
            </w:r>
            <w:r>
              <w:rPr>
                <w:rFonts w:hint="default" w:ascii="Times New Roman" w:hAnsi="Times New Roman" w:eastAsia="宋体" w:cs="Times New Roman"/>
                <w:color w:val="auto"/>
                <w:sz w:val="24"/>
                <w:szCs w:val="24"/>
                <w:lang w:eastAsia="zh-CN"/>
              </w:rPr>
              <w:t>）风险物质储存防范措施</w:t>
            </w:r>
          </w:p>
          <w:p w14:paraId="2569E1D4">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textAlignment w:val="auto"/>
              <w:rPr>
                <w:rFonts w:hint="default" w:ascii="Times New Roman" w:hAnsi="Times New Roman" w:eastAsia="宋体" w:cs="Times New Roman"/>
                <w:bCs/>
                <w:color w:val="auto"/>
                <w:spacing w:val="0"/>
                <w:sz w:val="24"/>
                <w:szCs w:val="24"/>
                <w:lang w:val="en-US" w:eastAsia="zh-CN"/>
              </w:rPr>
            </w:pPr>
            <w:r>
              <w:rPr>
                <w:rFonts w:hint="default" w:ascii="Times New Roman" w:hAnsi="Times New Roman" w:eastAsia="宋体" w:cs="Times New Roman"/>
                <w:bCs/>
                <w:color w:val="auto"/>
                <w:spacing w:val="0"/>
                <w:sz w:val="24"/>
                <w:szCs w:val="24"/>
                <w:lang w:val="en-US" w:eastAsia="zh-CN"/>
              </w:rPr>
              <w:t>项目危险废物贮存点进行防渗处理，采用专用收集桶收集后，暂存于危险废物贮存点，交由有资质的单位定期清运处置，并设立台账管理。危险废物贮存点地面及裙角进行防渗，危废间设置规范标识标牌。少量泄漏、滴漏不会流出储存所在场所，不会对厂区环境构成威胁。岗位人员发现后立即向上级领导汇报，通知技术人员，组织人员回收泄漏物，并修复现场。事后做好事件记录存档等工作。</w:t>
            </w:r>
          </w:p>
          <w:p w14:paraId="0BC1E2A4">
            <w:pPr>
              <w:pStyle w:val="109"/>
              <w:spacing w:before="27" w:line="360" w:lineRule="auto"/>
              <w:ind w:left="108" w:right="101" w:firstLine="482" w:firstLineChars="201"/>
              <w:jc w:val="both"/>
              <w:rPr>
                <w:rFonts w:hint="default" w:ascii="Times New Roman" w:hAnsi="Times New Roman" w:eastAsia="宋体" w:cs="Times New Roman"/>
                <w:bCs/>
                <w:color w:val="auto"/>
                <w:spacing w:val="0"/>
                <w:kern w:val="2"/>
                <w:sz w:val="24"/>
                <w:szCs w:val="24"/>
                <w:lang w:val="en-US" w:eastAsia="zh-CN" w:bidi="ar-SA"/>
              </w:rPr>
            </w:pPr>
            <w:r>
              <w:rPr>
                <w:rFonts w:hint="default" w:ascii="Times New Roman" w:hAnsi="Times New Roman" w:cs="Times New Roman"/>
                <w:bCs/>
                <w:color w:val="auto"/>
                <w:spacing w:val="0"/>
                <w:sz w:val="24"/>
                <w:szCs w:val="24"/>
                <w:lang w:val="en-US" w:eastAsia="zh-CN"/>
              </w:rPr>
              <w:t>（</w:t>
            </w:r>
            <w:r>
              <w:rPr>
                <w:rFonts w:hint="default" w:ascii="Times New Roman" w:hAnsi="Times New Roman" w:eastAsia="宋体" w:cs="Times New Roman"/>
                <w:bCs/>
                <w:color w:val="auto"/>
                <w:spacing w:val="0"/>
                <w:kern w:val="2"/>
                <w:sz w:val="24"/>
                <w:szCs w:val="24"/>
                <w:lang w:val="en-US" w:eastAsia="zh-CN" w:bidi="ar-SA"/>
              </w:rPr>
              <w:t>2）</w:t>
            </w:r>
            <w:r>
              <w:rPr>
                <w:rFonts w:hint="default" w:ascii="Times New Roman" w:hAnsi="Times New Roman" w:cs="Times New Roman"/>
                <w:bCs/>
                <w:color w:val="auto"/>
                <w:spacing w:val="0"/>
                <w:kern w:val="2"/>
                <w:sz w:val="24"/>
                <w:szCs w:val="24"/>
                <w:lang w:val="en-US" w:eastAsia="zh-CN" w:bidi="ar-SA"/>
              </w:rPr>
              <w:t>煤气</w:t>
            </w:r>
            <w:r>
              <w:rPr>
                <w:rFonts w:hint="default" w:ascii="Times New Roman" w:hAnsi="Times New Roman" w:eastAsia="宋体" w:cs="Times New Roman"/>
                <w:bCs/>
                <w:color w:val="auto"/>
                <w:spacing w:val="0"/>
                <w:kern w:val="2"/>
                <w:sz w:val="24"/>
                <w:szCs w:val="24"/>
                <w:lang w:val="en-US" w:eastAsia="zh-CN" w:bidi="ar-SA"/>
              </w:rPr>
              <w:t>管道隐患</w:t>
            </w:r>
            <w:r>
              <w:rPr>
                <w:rFonts w:hint="default" w:ascii="Times New Roman" w:hAnsi="Times New Roman" w:cs="Times New Roman"/>
                <w:bCs/>
                <w:color w:val="auto"/>
                <w:spacing w:val="0"/>
                <w:kern w:val="2"/>
                <w:sz w:val="24"/>
                <w:szCs w:val="24"/>
                <w:lang w:val="en-US" w:eastAsia="zh-CN" w:bidi="ar-SA"/>
              </w:rPr>
              <w:t>防范措施</w:t>
            </w:r>
          </w:p>
          <w:p w14:paraId="5D96F54C">
            <w:pPr>
              <w:pStyle w:val="109"/>
              <w:spacing w:before="27" w:line="360" w:lineRule="auto"/>
              <w:ind w:left="108" w:right="101" w:firstLine="482" w:firstLineChars="201"/>
              <w:jc w:val="both"/>
              <w:rPr>
                <w:rFonts w:hint="default" w:ascii="Times New Roman" w:hAnsi="Times New Roman" w:eastAsia="宋体" w:cs="Times New Roman"/>
                <w:bCs/>
                <w:color w:val="auto"/>
                <w:spacing w:val="0"/>
                <w:kern w:val="2"/>
                <w:sz w:val="24"/>
                <w:szCs w:val="24"/>
                <w:lang w:val="en-US" w:eastAsia="zh-CN" w:bidi="ar-SA"/>
              </w:rPr>
            </w:pPr>
            <w:r>
              <w:rPr>
                <w:rFonts w:hint="default" w:ascii="Times New Roman" w:hAnsi="Times New Roman" w:eastAsia="宋体" w:cs="Times New Roman"/>
                <w:bCs/>
                <w:color w:val="auto"/>
                <w:spacing w:val="0"/>
                <w:kern w:val="2"/>
                <w:sz w:val="24"/>
                <w:szCs w:val="24"/>
                <w:lang w:val="en-US" w:eastAsia="zh-CN" w:bidi="ar-SA"/>
              </w:rPr>
              <w:t>由于</w:t>
            </w:r>
            <w:r>
              <w:rPr>
                <w:rFonts w:hint="eastAsia" w:ascii="Times New Roman" w:hAnsi="Times New Roman" w:cs="Times New Roman"/>
                <w:bCs/>
                <w:color w:val="auto"/>
                <w:spacing w:val="0"/>
                <w:kern w:val="2"/>
                <w:sz w:val="24"/>
                <w:szCs w:val="24"/>
                <w:lang w:val="en-US" w:eastAsia="zh-CN" w:bidi="ar-SA"/>
              </w:rPr>
              <w:t>本</w:t>
            </w:r>
            <w:r>
              <w:rPr>
                <w:rFonts w:hint="default" w:ascii="Times New Roman" w:hAnsi="Times New Roman" w:eastAsia="宋体" w:cs="Times New Roman"/>
                <w:bCs/>
                <w:color w:val="auto"/>
                <w:spacing w:val="0"/>
                <w:kern w:val="2"/>
                <w:sz w:val="24"/>
                <w:szCs w:val="24"/>
                <w:lang w:val="en-US" w:eastAsia="zh-CN" w:bidi="ar-SA"/>
              </w:rPr>
              <w:t>项目在管道运输等环节不可避免会对周围环境存在一定的风险隐患。在突发性的事故状态下，如果不采取有效措施，一旦释放出来，将会对环境造成不利影响。对</w:t>
            </w:r>
            <w:r>
              <w:rPr>
                <w:rFonts w:hint="default" w:ascii="Times New Roman" w:hAnsi="Times New Roman" w:cs="Times New Roman"/>
                <w:bCs/>
                <w:color w:val="auto"/>
                <w:spacing w:val="0"/>
                <w:kern w:val="2"/>
                <w:sz w:val="24"/>
                <w:szCs w:val="24"/>
                <w:lang w:val="en-US" w:eastAsia="zh-CN" w:bidi="ar-SA"/>
              </w:rPr>
              <w:t>于煤气</w:t>
            </w:r>
            <w:r>
              <w:rPr>
                <w:rFonts w:hint="default" w:ascii="Times New Roman" w:hAnsi="Times New Roman" w:eastAsia="宋体" w:cs="Times New Roman"/>
                <w:bCs/>
                <w:color w:val="auto"/>
                <w:spacing w:val="0"/>
                <w:kern w:val="2"/>
                <w:sz w:val="24"/>
                <w:szCs w:val="24"/>
                <w:lang w:val="en-US" w:eastAsia="zh-CN" w:bidi="ar-SA"/>
              </w:rPr>
              <w:t>管道隐患，加强设备、管道、阀门的密封措施，防止泄漏而引起火灾/爆炸事故，并设置可燃气体自动报警系统。按《输气管道工程设计技术规范》中的规定，燃气集输管线设置自动截断阀。选用密闭性能良好的阀门，保证可拆连接部位的密封性能，定期进行测漏检验，及时消除事故隐患。对管壁厚度低于规定要求管段及时更换，消除爆管隐患。制定完善的应急预案，一旦发生火灾、爆炸事故，应立即启动紧急切断系统及消防系统灭火，并报警，按事故状态组织疏散附近人员，配合消防人员灭火。</w:t>
            </w:r>
          </w:p>
          <w:p w14:paraId="090317F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Cs/>
                <w:color w:val="auto"/>
                <w:spacing w:val="0"/>
                <w:sz w:val="24"/>
                <w:szCs w:val="24"/>
                <w:lang w:val="en-US" w:eastAsia="zh-CN"/>
              </w:rPr>
            </w:pPr>
            <w:r>
              <w:rPr>
                <w:rFonts w:hint="default" w:ascii="Times New Roman" w:hAnsi="Times New Roman" w:eastAsia="宋体" w:cs="Times New Roman"/>
                <w:bCs/>
                <w:color w:val="auto"/>
                <w:spacing w:val="0"/>
                <w:sz w:val="24"/>
                <w:szCs w:val="24"/>
                <w:lang w:val="en-US" w:eastAsia="zh-CN"/>
              </w:rPr>
              <w:t>（</w:t>
            </w:r>
            <w:r>
              <w:rPr>
                <w:rFonts w:hint="default" w:ascii="Times New Roman" w:hAnsi="Times New Roman" w:cs="Times New Roman"/>
                <w:bCs/>
                <w:color w:val="auto"/>
                <w:spacing w:val="0"/>
                <w:sz w:val="24"/>
                <w:szCs w:val="24"/>
                <w:lang w:val="en-US" w:eastAsia="zh-CN"/>
              </w:rPr>
              <w:t>3</w:t>
            </w:r>
            <w:r>
              <w:rPr>
                <w:rFonts w:hint="default" w:ascii="Times New Roman" w:hAnsi="Times New Roman" w:eastAsia="宋体" w:cs="Times New Roman"/>
                <w:bCs/>
                <w:color w:val="auto"/>
                <w:spacing w:val="0"/>
                <w:sz w:val="24"/>
                <w:szCs w:val="24"/>
                <w:lang w:val="en-US" w:eastAsia="zh-CN"/>
              </w:rPr>
              <w:t>）废气治理设施故障事故防范措施</w:t>
            </w:r>
          </w:p>
          <w:p w14:paraId="41645FA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Cs/>
                <w:color w:val="auto"/>
                <w:spacing w:val="0"/>
                <w:sz w:val="24"/>
                <w:szCs w:val="24"/>
                <w:lang w:val="en-US" w:eastAsia="zh-CN"/>
              </w:rPr>
            </w:pPr>
            <w:r>
              <w:rPr>
                <w:rFonts w:hint="default" w:ascii="Times New Roman" w:hAnsi="Times New Roman" w:eastAsia="宋体" w:cs="Times New Roman"/>
                <w:bCs/>
                <w:color w:val="auto"/>
                <w:spacing w:val="0"/>
                <w:sz w:val="24"/>
                <w:szCs w:val="24"/>
                <w:lang w:val="en-US" w:eastAsia="zh-CN"/>
              </w:rPr>
              <w:t>加强废气治理设施日常维护保证处理效果；明确环保治理设施监管责任人，每日由监管责任人对</w:t>
            </w:r>
            <w:r>
              <w:rPr>
                <w:rFonts w:hint="default" w:ascii="Times New Roman" w:hAnsi="Times New Roman" w:cs="Times New Roman"/>
                <w:bCs/>
                <w:color w:val="auto"/>
                <w:spacing w:val="0"/>
                <w:sz w:val="24"/>
                <w:szCs w:val="24"/>
                <w:lang w:val="en-US" w:eastAsia="zh-CN"/>
              </w:rPr>
              <w:t>环境治理</w:t>
            </w:r>
            <w:r>
              <w:rPr>
                <w:rFonts w:hint="default" w:ascii="Times New Roman" w:hAnsi="Times New Roman" w:eastAsia="宋体" w:cs="Times New Roman"/>
                <w:bCs/>
                <w:color w:val="auto"/>
                <w:spacing w:val="0"/>
                <w:sz w:val="24"/>
                <w:szCs w:val="24"/>
                <w:lang w:val="en-US" w:eastAsia="zh-CN"/>
              </w:rPr>
              <w:t>设施巡视检查一次，如巡视检查发现问题，应立即上报维修或者更换。经分析环保治理设施发生故障的风险概率较低，采取上述防治措施，则废气治理设施故障事故的影响是可控的。</w:t>
            </w:r>
          </w:p>
          <w:p w14:paraId="28C725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Cs/>
                <w:color w:val="auto"/>
                <w:spacing w:val="0"/>
                <w:sz w:val="24"/>
                <w:szCs w:val="24"/>
                <w:lang w:val="en-US" w:eastAsia="zh-CN"/>
              </w:rPr>
            </w:pPr>
            <w:r>
              <w:rPr>
                <w:rFonts w:hint="default" w:ascii="Times New Roman" w:hAnsi="Times New Roman" w:eastAsia="宋体" w:cs="Times New Roman"/>
                <w:bCs/>
                <w:color w:val="auto"/>
                <w:spacing w:val="0"/>
                <w:sz w:val="24"/>
                <w:szCs w:val="24"/>
                <w:lang w:val="en-US" w:eastAsia="zh-CN"/>
              </w:rPr>
              <w:t>（</w:t>
            </w:r>
            <w:r>
              <w:rPr>
                <w:rFonts w:hint="default" w:ascii="Times New Roman" w:hAnsi="Times New Roman" w:cs="Times New Roman"/>
                <w:bCs/>
                <w:color w:val="auto"/>
                <w:spacing w:val="0"/>
                <w:sz w:val="24"/>
                <w:szCs w:val="24"/>
                <w:lang w:val="en-US" w:eastAsia="zh-CN"/>
              </w:rPr>
              <w:t>4</w:t>
            </w:r>
            <w:r>
              <w:rPr>
                <w:rFonts w:hint="default" w:ascii="Times New Roman" w:hAnsi="Times New Roman" w:eastAsia="宋体" w:cs="Times New Roman"/>
                <w:bCs/>
                <w:color w:val="auto"/>
                <w:spacing w:val="0"/>
                <w:sz w:val="24"/>
                <w:szCs w:val="24"/>
                <w:lang w:val="en-US" w:eastAsia="zh-CN"/>
              </w:rPr>
              <w:t>）事故状态下防范措施</w:t>
            </w:r>
          </w:p>
          <w:p w14:paraId="5D1191B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Cs/>
                <w:color w:val="auto"/>
                <w:spacing w:val="0"/>
                <w:sz w:val="24"/>
                <w:szCs w:val="24"/>
                <w:lang w:val="en-US" w:eastAsia="zh-CN"/>
              </w:rPr>
            </w:pPr>
            <w:r>
              <w:rPr>
                <w:rFonts w:hint="default" w:ascii="Times New Roman" w:hAnsi="Times New Roman" w:eastAsia="宋体" w:cs="Times New Roman"/>
                <w:bCs/>
                <w:color w:val="auto"/>
                <w:spacing w:val="0"/>
                <w:sz w:val="24"/>
                <w:szCs w:val="24"/>
                <w:lang w:val="en-US" w:eastAsia="zh-CN"/>
              </w:rPr>
              <w:t>本项目在汽机间的南侧，设置汽轮机润滑油的事故集油坑（30m</w:t>
            </w:r>
            <w:r>
              <w:rPr>
                <w:rFonts w:hint="default" w:ascii="Times New Roman" w:hAnsi="Times New Roman" w:eastAsia="宋体" w:cs="Times New Roman"/>
                <w:bCs/>
                <w:color w:val="auto"/>
                <w:spacing w:val="0"/>
                <w:sz w:val="24"/>
                <w:szCs w:val="24"/>
                <w:vertAlign w:val="superscript"/>
                <w:lang w:val="en-US" w:eastAsia="zh-CN"/>
              </w:rPr>
              <w:t>3</w:t>
            </w:r>
            <w:r>
              <w:rPr>
                <w:rFonts w:hint="default" w:ascii="Times New Roman" w:hAnsi="Times New Roman" w:eastAsia="宋体" w:cs="Times New Roman"/>
                <w:bCs/>
                <w:color w:val="auto"/>
                <w:spacing w:val="0"/>
                <w:sz w:val="24"/>
                <w:szCs w:val="24"/>
                <w:lang w:val="en-US" w:eastAsia="zh-CN"/>
              </w:rPr>
              <w:t>），事故状态下可将油污集中收集、隔油处理，废油交由有资质单位处置。本项目汽轮机主油箱容积通常为15m</w:t>
            </w:r>
            <w:r>
              <w:rPr>
                <w:rFonts w:hint="default" w:ascii="Times New Roman" w:hAnsi="Times New Roman" w:eastAsia="宋体" w:cs="Times New Roman"/>
                <w:bCs/>
                <w:color w:val="auto"/>
                <w:spacing w:val="0"/>
                <w:sz w:val="24"/>
                <w:szCs w:val="24"/>
                <w:vertAlign w:val="superscript"/>
                <w:lang w:val="en-US" w:eastAsia="zh-CN"/>
              </w:rPr>
              <w:t>3</w:t>
            </w:r>
            <w:r>
              <w:rPr>
                <w:rFonts w:hint="default" w:ascii="Times New Roman" w:hAnsi="Times New Roman" w:eastAsia="宋体" w:cs="Times New Roman"/>
                <w:bCs/>
                <w:color w:val="auto"/>
                <w:spacing w:val="0"/>
                <w:sz w:val="24"/>
                <w:szCs w:val="24"/>
                <w:lang w:val="en-US" w:eastAsia="zh-CN"/>
              </w:rPr>
              <w:t>，因此事故状态下，</w:t>
            </w:r>
            <w:r>
              <w:rPr>
                <w:rFonts w:hint="default" w:ascii="Times New Roman" w:hAnsi="Times New Roman" w:eastAsia="宋体" w:cs="Times New Roman"/>
                <w:bCs/>
                <w:color w:val="auto"/>
                <w:spacing w:val="0"/>
                <w:sz w:val="24"/>
                <w:szCs w:val="24"/>
                <w:vertAlign w:val="baseline"/>
                <w:lang w:val="en-US" w:eastAsia="zh-CN"/>
              </w:rPr>
              <w:t>因此本项目设置的事故机油坑能够满足</w:t>
            </w:r>
            <w:r>
              <w:rPr>
                <w:rFonts w:hint="default" w:ascii="Times New Roman" w:hAnsi="Times New Roman" w:eastAsia="宋体" w:cs="Times New Roman"/>
                <w:bCs/>
                <w:color w:val="auto"/>
                <w:spacing w:val="0"/>
                <w:sz w:val="24"/>
                <w:szCs w:val="24"/>
                <w:lang w:val="en-US" w:eastAsia="zh-CN"/>
              </w:rPr>
              <w:t>汽轮机润滑油泄漏事故排放，事故油不外排。</w:t>
            </w:r>
          </w:p>
          <w:p w14:paraId="339A7B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Segoe UI" w:cs="Times New Roman"/>
                <w:i w:val="0"/>
                <w:iCs w:val="0"/>
                <w:caps w:val="0"/>
                <w:color w:val="auto"/>
                <w:spacing w:val="0"/>
                <w:sz w:val="24"/>
                <w:szCs w:val="24"/>
                <w:shd w:val="clear" w:fill="FFFFFF"/>
                <w:lang w:val="en-US" w:eastAsia="zh-CN"/>
              </w:rPr>
            </w:pPr>
            <w:r>
              <w:rPr>
                <w:rFonts w:hint="default" w:ascii="Times New Roman" w:hAnsi="Times New Roman" w:eastAsia="宋体" w:cs="Times New Roman"/>
                <w:bCs/>
                <w:color w:val="auto"/>
                <w:spacing w:val="0"/>
                <w:sz w:val="24"/>
                <w:szCs w:val="24"/>
                <w:lang w:val="en-US" w:eastAsia="zh-CN"/>
              </w:rPr>
              <w:t>本项目在</w:t>
            </w:r>
            <w:r>
              <w:rPr>
                <w:rFonts w:hint="default" w:ascii="Times New Roman" w:hAnsi="Times New Roman" w:cs="Times New Roman"/>
                <w:bCs/>
                <w:color w:val="auto"/>
                <w:spacing w:val="0"/>
                <w:sz w:val="24"/>
                <w:szCs w:val="24"/>
                <w:lang w:val="en-US" w:eastAsia="zh-CN"/>
              </w:rPr>
              <w:t>脱硫综合楼一层地下</w:t>
            </w:r>
            <w:r>
              <w:rPr>
                <w:rFonts w:hint="default" w:ascii="Times New Roman" w:hAnsi="Times New Roman" w:eastAsia="宋体" w:cs="Times New Roman"/>
                <w:bCs/>
                <w:color w:val="auto"/>
                <w:spacing w:val="0"/>
                <w:sz w:val="24"/>
                <w:szCs w:val="24"/>
                <w:lang w:val="en-US" w:eastAsia="zh-CN"/>
              </w:rPr>
              <w:t>，设置脱硫事故浆液池（</w:t>
            </w:r>
            <w:r>
              <w:rPr>
                <w:rFonts w:hint="default" w:ascii="Times New Roman" w:hAnsi="Times New Roman" w:cs="Times New Roman"/>
                <w:bCs/>
                <w:color w:val="auto"/>
                <w:spacing w:val="0"/>
                <w:sz w:val="24"/>
                <w:szCs w:val="24"/>
                <w:lang w:val="en-US" w:eastAsia="zh-CN"/>
              </w:rPr>
              <w:t>370</w:t>
            </w:r>
            <w:r>
              <w:rPr>
                <w:rFonts w:hint="default" w:ascii="Times New Roman" w:hAnsi="Times New Roman" w:eastAsia="宋体" w:cs="Times New Roman"/>
                <w:bCs/>
                <w:color w:val="auto"/>
                <w:spacing w:val="0"/>
                <w:sz w:val="24"/>
                <w:szCs w:val="24"/>
                <w:lang w:val="en-US" w:eastAsia="zh-CN"/>
              </w:rPr>
              <w:t>m</w:t>
            </w:r>
            <w:r>
              <w:rPr>
                <w:rFonts w:hint="default" w:ascii="Times New Roman" w:hAnsi="Times New Roman" w:eastAsia="宋体" w:cs="Times New Roman"/>
                <w:bCs/>
                <w:color w:val="auto"/>
                <w:spacing w:val="0"/>
                <w:sz w:val="24"/>
                <w:szCs w:val="24"/>
                <w:vertAlign w:val="superscript"/>
                <w:lang w:val="en-US" w:eastAsia="zh-CN"/>
              </w:rPr>
              <w:t>3</w:t>
            </w:r>
            <w:r>
              <w:rPr>
                <w:rFonts w:hint="default" w:ascii="Times New Roman" w:hAnsi="Times New Roman" w:eastAsia="宋体" w:cs="Times New Roman"/>
                <w:bCs/>
                <w:color w:val="auto"/>
                <w:spacing w:val="0"/>
                <w:sz w:val="24"/>
                <w:szCs w:val="24"/>
                <w:lang w:val="en-US" w:eastAsia="zh-CN"/>
              </w:rPr>
              <w:t>），</w:t>
            </w:r>
            <w:r>
              <w:rPr>
                <w:rFonts w:hint="default" w:ascii="Times New Roman" w:hAnsi="Times New Roman" w:eastAsia="Segoe UI" w:cs="Times New Roman"/>
                <w:i w:val="0"/>
                <w:iCs w:val="0"/>
                <w:caps w:val="0"/>
                <w:color w:val="auto"/>
                <w:spacing w:val="0"/>
                <w:sz w:val="24"/>
                <w:szCs w:val="24"/>
                <w:shd w:val="clear" w:fill="FFFFFF"/>
              </w:rPr>
              <w:t>当脱硫系统发生故障（如吸收塔检修、浆液循环泵跳闸、烟气系统异常、停电停机）时，</w:t>
            </w:r>
            <w:r>
              <w:rPr>
                <w:rFonts w:hint="default" w:ascii="Times New Roman" w:hAnsi="Times New Roman" w:eastAsia="宋体" w:cs="Times New Roman"/>
                <w:bCs/>
                <w:color w:val="auto"/>
                <w:spacing w:val="0"/>
                <w:sz w:val="24"/>
                <w:szCs w:val="24"/>
                <w:lang w:val="en-US" w:eastAsia="zh-CN"/>
              </w:rPr>
              <w:t>利用设备和设施本身的富余量及事故池来处理。</w:t>
            </w:r>
            <w:r>
              <w:rPr>
                <w:rFonts w:hint="default" w:ascii="Times New Roman" w:hAnsi="Times New Roman" w:eastAsia="Segoe UI" w:cs="Times New Roman"/>
                <w:i w:val="0"/>
                <w:iCs w:val="0"/>
                <w:caps w:val="0"/>
                <w:color w:val="auto"/>
                <w:spacing w:val="0"/>
                <w:sz w:val="24"/>
                <w:szCs w:val="24"/>
                <w:shd w:val="clear" w:fill="FFFFFF"/>
              </w:rPr>
              <w:t>可将吸收塔内的浆液全部或部分转移至事故浆液池临时储存，避免浆液滞留塔内导致沉淀、板结，同时为吸收塔检修、设备抢修提供作业空间</w:t>
            </w:r>
            <w:r>
              <w:rPr>
                <w:rFonts w:hint="default" w:ascii="Times New Roman" w:hAnsi="Times New Roman" w:eastAsia="宋体" w:cs="Times New Roman"/>
                <w:i w:val="0"/>
                <w:iCs w:val="0"/>
                <w:caps w:val="0"/>
                <w:color w:val="auto"/>
                <w:spacing w:val="0"/>
                <w:sz w:val="24"/>
                <w:szCs w:val="24"/>
                <w:shd w:val="clear" w:fill="FFFFFF"/>
                <w:lang w:eastAsia="zh-CN"/>
              </w:rPr>
              <w:t>。</w:t>
            </w:r>
            <w:r>
              <w:rPr>
                <w:rFonts w:hint="default" w:ascii="Times New Roman" w:hAnsi="Times New Roman" w:eastAsia="Segoe UI" w:cs="Times New Roman"/>
                <w:i w:val="0"/>
                <w:iCs w:val="0"/>
                <w:caps w:val="0"/>
                <w:color w:val="auto"/>
                <w:spacing w:val="0"/>
                <w:sz w:val="24"/>
                <w:szCs w:val="24"/>
                <w:shd w:val="clear" w:fill="FFFFFF"/>
              </w:rPr>
              <w:t>吸收塔最大有效浆液容积</w:t>
            </w:r>
            <w:r>
              <w:rPr>
                <w:rFonts w:hint="default" w:ascii="Times New Roman" w:hAnsi="Times New Roman" w:eastAsia="宋体" w:cs="Times New Roman"/>
                <w:i w:val="0"/>
                <w:iCs w:val="0"/>
                <w:caps w:val="0"/>
                <w:color w:val="auto"/>
                <w:spacing w:val="0"/>
                <w:sz w:val="24"/>
                <w:szCs w:val="24"/>
                <w:shd w:val="clear" w:fill="FFFFFF"/>
                <w:lang w:val="en-US" w:eastAsia="zh-CN"/>
              </w:rPr>
              <w:t>为260</w:t>
            </w:r>
            <w:r>
              <w:rPr>
                <w:rFonts w:hint="default" w:ascii="Times New Roman" w:hAnsi="Times New Roman" w:eastAsia="Segoe UI" w:cs="Times New Roman"/>
                <w:i w:val="0"/>
                <w:iCs w:val="0"/>
                <w:caps w:val="0"/>
                <w:color w:val="auto"/>
                <w:spacing w:val="0"/>
                <w:sz w:val="24"/>
                <w:szCs w:val="24"/>
                <w:shd w:val="clear" w:fill="FFFFFF"/>
              </w:rPr>
              <w:t>m</w:t>
            </w:r>
            <w:r>
              <w:rPr>
                <w:rFonts w:hint="default" w:ascii="Times New Roman" w:hAnsi="Times New Roman" w:eastAsia="宋体" w:cs="Times New Roman"/>
                <w:i w:val="0"/>
                <w:iCs w:val="0"/>
                <w:caps w:val="0"/>
                <w:color w:val="auto"/>
                <w:spacing w:val="0"/>
                <w:sz w:val="24"/>
                <w:szCs w:val="24"/>
                <w:shd w:val="clear" w:fill="FFFFFF"/>
                <w:vertAlign w:val="superscript"/>
                <w:lang w:val="en-US" w:eastAsia="zh-CN"/>
              </w:rPr>
              <w:t>3</w:t>
            </w:r>
            <w:r>
              <w:rPr>
                <w:rFonts w:hint="default" w:ascii="Times New Roman" w:hAnsi="Times New Roman" w:eastAsia="Segoe UI" w:cs="Times New Roman"/>
                <w:i w:val="0"/>
                <w:iCs w:val="0"/>
                <w:caps w:val="0"/>
                <w:color w:val="auto"/>
                <w:spacing w:val="0"/>
                <w:sz w:val="24"/>
                <w:szCs w:val="24"/>
                <w:shd w:val="clear" w:fill="FFFFFF"/>
              </w:rPr>
              <w:t>，</w:t>
            </w:r>
            <w:r>
              <w:rPr>
                <w:rFonts w:hint="default" w:ascii="Times New Roman" w:hAnsi="Times New Roman" w:eastAsia="宋体" w:cs="Times New Roman"/>
                <w:i w:val="0"/>
                <w:iCs w:val="0"/>
                <w:caps w:val="0"/>
                <w:color w:val="auto"/>
                <w:spacing w:val="0"/>
                <w:sz w:val="24"/>
                <w:szCs w:val="24"/>
                <w:shd w:val="clear" w:fill="FFFFFF"/>
                <w:lang w:val="en-US" w:eastAsia="zh-CN"/>
              </w:rPr>
              <w:t>370</w:t>
            </w:r>
            <w:r>
              <w:rPr>
                <w:rFonts w:hint="default" w:ascii="Times New Roman" w:hAnsi="Times New Roman" w:eastAsia="Segoe UI" w:cs="Times New Roman"/>
                <w:i w:val="0"/>
                <w:iCs w:val="0"/>
                <w:caps w:val="0"/>
                <w:color w:val="auto"/>
                <w:spacing w:val="0"/>
                <w:sz w:val="24"/>
                <w:szCs w:val="24"/>
                <w:shd w:val="clear" w:fill="FFFFFF"/>
              </w:rPr>
              <w:t>m</w:t>
            </w:r>
            <w:r>
              <w:rPr>
                <w:rFonts w:hint="default" w:ascii="Times New Roman" w:hAnsi="Times New Roman" w:eastAsia="宋体" w:cs="Times New Roman"/>
                <w:i w:val="0"/>
                <w:iCs w:val="0"/>
                <w:caps w:val="0"/>
                <w:color w:val="auto"/>
                <w:spacing w:val="0"/>
                <w:sz w:val="24"/>
                <w:szCs w:val="24"/>
                <w:shd w:val="clear" w:fill="FFFFFF"/>
                <w:vertAlign w:val="superscript"/>
                <w:lang w:val="en-US" w:eastAsia="zh-CN"/>
              </w:rPr>
              <w:t>3</w:t>
            </w:r>
            <w:r>
              <w:rPr>
                <w:rFonts w:hint="default" w:ascii="Times New Roman" w:hAnsi="Times New Roman" w:eastAsia="Segoe UI" w:cs="Times New Roman"/>
                <w:i w:val="0"/>
                <w:iCs w:val="0"/>
                <w:caps w:val="0"/>
                <w:color w:val="auto"/>
                <w:spacing w:val="0"/>
                <w:sz w:val="24"/>
                <w:szCs w:val="24"/>
                <w:shd w:val="clear" w:fill="FFFFFF"/>
              </w:rPr>
              <w:t>事故浆液池的容纳能力是吸收塔浆液量的1.</w:t>
            </w:r>
            <w:r>
              <w:rPr>
                <w:rFonts w:hint="default" w:ascii="Times New Roman" w:hAnsi="Times New Roman" w:eastAsia="宋体" w:cs="Times New Roman"/>
                <w:i w:val="0"/>
                <w:iCs w:val="0"/>
                <w:caps w:val="0"/>
                <w:color w:val="auto"/>
                <w:spacing w:val="0"/>
                <w:sz w:val="24"/>
                <w:szCs w:val="24"/>
                <w:shd w:val="clear" w:fill="FFFFFF"/>
                <w:lang w:val="en-US" w:eastAsia="zh-CN"/>
              </w:rPr>
              <w:t>42</w:t>
            </w:r>
            <w:r>
              <w:rPr>
                <w:rFonts w:hint="default" w:ascii="Times New Roman" w:hAnsi="Times New Roman" w:eastAsia="Segoe UI" w:cs="Times New Roman"/>
                <w:i w:val="0"/>
                <w:iCs w:val="0"/>
                <w:caps w:val="0"/>
                <w:color w:val="auto"/>
                <w:spacing w:val="0"/>
                <w:sz w:val="24"/>
                <w:szCs w:val="24"/>
                <w:shd w:val="clear" w:fill="FFFFFF"/>
              </w:rPr>
              <w:t>倍，可完全储存吸收塔检修、故障时的全部浆液，预留的</w:t>
            </w:r>
            <w:r>
              <w:rPr>
                <w:rFonts w:hint="default" w:ascii="Times New Roman" w:hAnsi="Times New Roman" w:eastAsia="宋体" w:cs="Times New Roman"/>
                <w:i w:val="0"/>
                <w:iCs w:val="0"/>
                <w:caps w:val="0"/>
                <w:color w:val="auto"/>
                <w:spacing w:val="0"/>
                <w:sz w:val="24"/>
                <w:szCs w:val="24"/>
                <w:shd w:val="clear" w:fill="FFFFFF"/>
                <w:lang w:val="en-US" w:eastAsia="zh-CN"/>
              </w:rPr>
              <w:t>110</w:t>
            </w:r>
            <w:r>
              <w:rPr>
                <w:rFonts w:hint="default" w:ascii="Times New Roman" w:hAnsi="Times New Roman" w:eastAsia="Segoe UI" w:cs="Times New Roman"/>
                <w:i w:val="0"/>
                <w:iCs w:val="0"/>
                <w:caps w:val="0"/>
                <w:color w:val="auto"/>
                <w:spacing w:val="0"/>
                <w:sz w:val="24"/>
                <w:szCs w:val="24"/>
                <w:shd w:val="clear" w:fill="FFFFFF"/>
              </w:rPr>
              <w:t>m</w:t>
            </w:r>
            <w:r>
              <w:rPr>
                <w:rFonts w:hint="default" w:ascii="Times New Roman" w:hAnsi="Times New Roman" w:eastAsia="宋体" w:cs="Times New Roman"/>
                <w:i w:val="0"/>
                <w:iCs w:val="0"/>
                <w:caps w:val="0"/>
                <w:color w:val="auto"/>
                <w:spacing w:val="0"/>
                <w:sz w:val="24"/>
                <w:szCs w:val="24"/>
                <w:shd w:val="clear" w:fill="FFFFFF"/>
                <w:vertAlign w:val="superscript"/>
                <w:lang w:val="en-US" w:eastAsia="zh-CN"/>
              </w:rPr>
              <w:t>3</w:t>
            </w:r>
            <w:r>
              <w:rPr>
                <w:rFonts w:hint="default" w:ascii="Times New Roman" w:hAnsi="Times New Roman" w:eastAsia="Segoe UI" w:cs="Times New Roman"/>
                <w:i w:val="0"/>
                <w:iCs w:val="0"/>
                <w:caps w:val="0"/>
                <w:color w:val="auto"/>
                <w:spacing w:val="0"/>
                <w:sz w:val="24"/>
                <w:szCs w:val="24"/>
                <w:shd w:val="clear" w:fill="FFFFFF"/>
              </w:rPr>
              <w:t>缓冲空间，可应对管道残留浆液、脱硫系统冲洗水等额外工况。</w:t>
            </w:r>
          </w:p>
          <w:p w14:paraId="20FC4AD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default" w:ascii="Times New Roman" w:hAnsi="Times New Roman" w:eastAsia="宋体" w:cs="Times New Roman"/>
                <w:bCs/>
                <w:color w:val="auto"/>
                <w:spacing w:val="0"/>
                <w:sz w:val="24"/>
                <w:szCs w:val="24"/>
                <w:lang w:val="en-US" w:eastAsia="zh-CN"/>
              </w:rPr>
            </w:pPr>
            <w:r>
              <w:rPr>
                <w:rFonts w:hint="default" w:ascii="Times New Roman" w:hAnsi="Times New Roman" w:eastAsia="宋体" w:cs="Times New Roman"/>
                <w:bCs/>
                <w:color w:val="auto"/>
                <w:spacing w:val="0"/>
                <w:sz w:val="24"/>
                <w:szCs w:val="24"/>
                <w:lang w:val="en-US" w:eastAsia="zh-CN"/>
              </w:rPr>
              <w:t>（</w:t>
            </w:r>
            <w:r>
              <w:rPr>
                <w:rFonts w:hint="default" w:ascii="Times New Roman" w:hAnsi="Times New Roman" w:cs="Times New Roman"/>
                <w:bCs/>
                <w:color w:val="auto"/>
                <w:spacing w:val="0"/>
                <w:sz w:val="24"/>
                <w:szCs w:val="24"/>
                <w:lang w:val="en-US" w:eastAsia="zh-CN"/>
              </w:rPr>
              <w:t>5</w:t>
            </w:r>
            <w:r>
              <w:rPr>
                <w:rFonts w:hint="default" w:ascii="Times New Roman" w:hAnsi="Times New Roman" w:eastAsia="宋体" w:cs="Times New Roman"/>
                <w:bCs/>
                <w:color w:val="auto"/>
                <w:spacing w:val="0"/>
                <w:sz w:val="24"/>
                <w:szCs w:val="24"/>
                <w:lang w:val="en-US" w:eastAsia="zh-CN"/>
              </w:rPr>
              <w:t>）制定应急预案</w:t>
            </w:r>
          </w:p>
          <w:p w14:paraId="51F1C0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default" w:ascii="Times New Roman" w:hAnsi="Times New Roman" w:eastAsia="宋体" w:cs="Times New Roman"/>
                <w:bCs/>
                <w:color w:val="auto"/>
                <w:spacing w:val="0"/>
                <w:sz w:val="24"/>
                <w:szCs w:val="24"/>
                <w:lang w:val="en-US" w:eastAsia="zh-CN"/>
              </w:rPr>
            </w:pPr>
            <w:r>
              <w:rPr>
                <w:rFonts w:hint="default" w:ascii="Times New Roman" w:hAnsi="Times New Roman" w:eastAsia="宋体" w:cs="Times New Roman"/>
                <w:bCs/>
                <w:color w:val="auto"/>
                <w:spacing w:val="0"/>
                <w:sz w:val="24"/>
                <w:szCs w:val="24"/>
                <w:lang w:val="en-US" w:eastAsia="zh-CN"/>
              </w:rPr>
              <w:t>制定应急预案的目的是在发生风险事故时，能以最快的速度发挥最大的效能，有序地实施救援，尽快控制事态的发展，降低事故造成的危害，减少事故造成的损失。本环评要求</w:t>
            </w:r>
            <w:r>
              <w:rPr>
                <w:rFonts w:hint="default" w:ascii="Times New Roman" w:hAnsi="Times New Roman" w:cs="Times New Roman"/>
                <w:bCs/>
                <w:color w:val="auto"/>
                <w:spacing w:val="0"/>
                <w:sz w:val="24"/>
                <w:szCs w:val="24"/>
                <w:lang w:val="en-US" w:eastAsia="zh-CN"/>
              </w:rPr>
              <w:t>企业</w:t>
            </w:r>
            <w:r>
              <w:rPr>
                <w:rFonts w:hint="default" w:ascii="Times New Roman" w:hAnsi="Times New Roman" w:eastAsia="宋体" w:cs="Times New Roman"/>
                <w:bCs/>
                <w:color w:val="auto"/>
                <w:spacing w:val="0"/>
                <w:sz w:val="24"/>
                <w:szCs w:val="24"/>
                <w:lang w:val="en-US" w:eastAsia="zh-CN"/>
              </w:rPr>
              <w:t>制定突发环境事件应急预案，应包括针对火灾事故：及时排查自身环境风险隐患，在有可能着火的设施附近，设置感温感烟火灾报警器，报警信号送到控制室；在中央控制室和消防值班室设有包含详细调查环境风险源、风险事故防范设施、应急物资储备情况、应急措施、应急演练、应急预案的有效性以及形成与区域环境应急预案的联动机制等内容，届时项目的环境风险事故的应急预案应严格按照其执行。建设单位应配合地方政府做好应急防范和处置工作。在采取上述风险防范措施后，可以大大降低风险事故发生概率。风险事故发生对大气环境影响的应急处理措施：事故发生后，相关部门要制定污染监测计划，对可能污染进行监测，根据现场监测结果，直至无异常方可停止监测工作。</w:t>
            </w:r>
          </w:p>
          <w:p w14:paraId="350B39D9">
            <w:pPr>
              <w:keepNext w:val="0"/>
              <w:keepLines w:val="0"/>
              <w:pageBreakBefore w:val="0"/>
              <w:widowControl w:val="0"/>
              <w:kinsoku/>
              <w:wordWrap/>
              <w:overflowPunct/>
              <w:topLinePunct w:val="0"/>
              <w:autoSpaceDE/>
              <w:autoSpaceDN/>
              <w:bidi w:val="0"/>
              <w:adjustRightInd/>
              <w:snapToGrid/>
              <w:spacing w:line="360" w:lineRule="auto"/>
              <w:ind w:right="0"/>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2.7.4</w:t>
            </w:r>
            <w:r>
              <w:rPr>
                <w:rFonts w:hint="default" w:ascii="Times New Roman" w:hAnsi="Times New Roman" w:eastAsia="宋体" w:cs="Times New Roman"/>
                <w:b/>
                <w:bCs/>
                <w:color w:val="auto"/>
                <w:sz w:val="24"/>
                <w:szCs w:val="24"/>
                <w:lang w:val="en-US" w:eastAsia="zh-CN"/>
              </w:rPr>
              <w:t>环境风险结论</w:t>
            </w:r>
          </w:p>
          <w:p w14:paraId="0C1C97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default" w:ascii="Times New Roman" w:hAnsi="Times New Roman" w:eastAsia="宋体" w:cs="Times New Roman"/>
                <w:bCs/>
                <w:color w:val="auto"/>
                <w:spacing w:val="0"/>
                <w:sz w:val="24"/>
                <w:szCs w:val="24"/>
                <w:lang w:val="en-US" w:eastAsia="zh-CN"/>
              </w:rPr>
            </w:pPr>
            <w:r>
              <w:rPr>
                <w:rFonts w:hint="default" w:ascii="Times New Roman" w:hAnsi="Times New Roman" w:eastAsia="宋体" w:cs="Times New Roman"/>
                <w:bCs/>
                <w:color w:val="auto"/>
                <w:spacing w:val="0"/>
                <w:sz w:val="24"/>
                <w:szCs w:val="24"/>
                <w:lang w:val="en-US" w:eastAsia="zh-CN"/>
              </w:rPr>
              <w:t>本项目通过制定严格的管理规定和岗位责任制、加强职工的安全生产教育增强风险意识，能最大限度减少可能发生的环境风险。综上所述，项目的环境风险是可接受的，本项目简单分析内容见表4-1</w:t>
            </w:r>
            <w:r>
              <w:rPr>
                <w:rFonts w:hint="default" w:ascii="Times New Roman" w:hAnsi="Times New Roman" w:cs="Times New Roman"/>
                <w:bCs/>
                <w:color w:val="auto"/>
                <w:spacing w:val="0"/>
                <w:sz w:val="24"/>
                <w:szCs w:val="24"/>
                <w:lang w:val="en-US" w:eastAsia="zh-CN"/>
              </w:rPr>
              <w:t>7</w:t>
            </w:r>
            <w:r>
              <w:rPr>
                <w:rFonts w:hint="default" w:ascii="Times New Roman" w:hAnsi="Times New Roman" w:eastAsia="宋体" w:cs="Times New Roman"/>
                <w:bCs/>
                <w:color w:val="auto"/>
                <w:spacing w:val="0"/>
                <w:sz w:val="24"/>
                <w:szCs w:val="24"/>
                <w:lang w:val="en-US" w:eastAsia="zh-CN"/>
              </w:rPr>
              <w:t>。</w:t>
            </w:r>
          </w:p>
          <w:p w14:paraId="1EBB4C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val="0"/>
                <w:snapToGrid w:val="0"/>
                <w:color w:val="auto"/>
                <w:sz w:val="21"/>
                <w:szCs w:val="21"/>
                <w:highlight w:val="none"/>
                <w:lang w:val="en-US" w:eastAsia="zh-CN"/>
              </w:rPr>
            </w:pPr>
            <w:r>
              <w:rPr>
                <w:rFonts w:hint="default" w:ascii="Times New Roman" w:hAnsi="Times New Roman" w:eastAsia="宋体" w:cs="Times New Roman"/>
                <w:b/>
                <w:bCs w:val="0"/>
                <w:snapToGrid w:val="0"/>
                <w:color w:val="auto"/>
                <w:sz w:val="21"/>
                <w:szCs w:val="21"/>
                <w:highlight w:val="none"/>
                <w:lang w:val="en-US" w:eastAsia="zh-CN"/>
              </w:rPr>
              <w:t>表4-1</w:t>
            </w:r>
            <w:r>
              <w:rPr>
                <w:rFonts w:hint="default" w:ascii="Times New Roman" w:hAnsi="Times New Roman" w:cs="Times New Roman"/>
                <w:b/>
                <w:bCs w:val="0"/>
                <w:snapToGrid w:val="0"/>
                <w:color w:val="auto"/>
                <w:sz w:val="21"/>
                <w:szCs w:val="21"/>
                <w:highlight w:val="none"/>
                <w:lang w:val="en-US" w:eastAsia="zh-CN"/>
              </w:rPr>
              <w:t>7</w:t>
            </w:r>
            <w:r>
              <w:rPr>
                <w:rFonts w:hint="default" w:ascii="Times New Roman" w:hAnsi="Times New Roman" w:eastAsia="宋体" w:cs="Times New Roman"/>
                <w:b/>
                <w:bCs w:val="0"/>
                <w:snapToGrid w:val="0"/>
                <w:color w:val="auto"/>
                <w:sz w:val="21"/>
                <w:szCs w:val="21"/>
                <w:highlight w:val="none"/>
                <w:lang w:val="en-US" w:eastAsia="zh-CN"/>
              </w:rPr>
              <w:t>项目环境风险简单分析内容表</w:t>
            </w:r>
          </w:p>
          <w:tbl>
            <w:tblPr>
              <w:tblStyle w:val="32"/>
              <w:tblW w:w="819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350"/>
              <w:gridCol w:w="6849"/>
            </w:tblGrid>
            <w:tr w14:paraId="760C79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1350" w:type="dxa"/>
                  <w:tcBorders>
                    <w:tl2br w:val="nil"/>
                    <w:tr2bl w:val="nil"/>
                  </w:tcBorders>
                  <w:noWrap w:val="0"/>
                  <w:vAlign w:val="center"/>
                </w:tcPr>
                <w:p w14:paraId="3AFBAB90">
                  <w:pPr>
                    <w:keepNext w:val="0"/>
                    <w:keepLines w:val="0"/>
                    <w:pageBreakBefore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项目名称</w:t>
                  </w:r>
                </w:p>
              </w:tc>
              <w:tc>
                <w:tcPr>
                  <w:tcW w:w="6849" w:type="dxa"/>
                  <w:tcBorders>
                    <w:tl2br w:val="nil"/>
                    <w:tr2bl w:val="nil"/>
                  </w:tcBorders>
                  <w:noWrap w:val="0"/>
                  <w:vAlign w:val="center"/>
                </w:tcPr>
                <w:p w14:paraId="7E6911CC">
                  <w:pPr>
                    <w:keepNext w:val="0"/>
                    <w:keepLines w:val="0"/>
                    <w:pageBreakBefore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b/>
                      <w:bCs/>
                      <w:color w:val="auto"/>
                      <w:sz w:val="21"/>
                      <w:szCs w:val="21"/>
                      <w:lang w:eastAsia="zh-CN"/>
                    </w:rPr>
                  </w:pPr>
                  <w:r>
                    <w:rPr>
                      <w:rFonts w:hint="default" w:ascii="Times New Roman" w:hAnsi="Times New Roman" w:eastAsia="宋体" w:cs="Times New Roman"/>
                      <w:color w:val="auto"/>
                      <w:sz w:val="21"/>
                      <w:szCs w:val="21"/>
                      <w:lang w:val="en-US" w:eastAsia="zh-CN"/>
                    </w:rPr>
                    <w:t>光源发电电厂45MW尾气发电项目</w:t>
                  </w:r>
                </w:p>
              </w:tc>
            </w:tr>
            <w:tr w14:paraId="4810D5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350" w:type="dxa"/>
                  <w:tcBorders>
                    <w:tl2br w:val="nil"/>
                    <w:tr2bl w:val="nil"/>
                  </w:tcBorders>
                  <w:noWrap w:val="0"/>
                  <w:vAlign w:val="center"/>
                </w:tcPr>
                <w:p w14:paraId="2633364A">
                  <w:pPr>
                    <w:keepNext w:val="0"/>
                    <w:keepLines w:val="0"/>
                    <w:pageBreakBefore w:val="0"/>
                    <w:kinsoku/>
                    <w:wordWrap/>
                    <w:bidi w:val="0"/>
                    <w:adjustRightInd/>
                    <w:snapToGrid/>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建设地点</w:t>
                  </w:r>
                </w:p>
              </w:tc>
              <w:tc>
                <w:tcPr>
                  <w:tcW w:w="6849" w:type="dxa"/>
                  <w:tcBorders>
                    <w:tl2br w:val="nil"/>
                    <w:tr2bl w:val="nil"/>
                  </w:tcBorders>
                  <w:noWrap w:val="0"/>
                  <w:vAlign w:val="center"/>
                </w:tcPr>
                <w:p w14:paraId="6895857C">
                  <w:pPr>
                    <w:keepNext w:val="0"/>
                    <w:keepLines w:val="0"/>
                    <w:pageBreakBefore w:val="0"/>
                    <w:kinsoku/>
                    <w:wordWrap/>
                    <w:bidi w:val="0"/>
                    <w:adjustRightInd/>
                    <w:snapToGrid/>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新疆维吾尔自治区昌吉回族自治州吉木萨尔县恒信煤炭制品工贸有限公司120万吨煤制品深加工升级改造项目厂区南侧</w:t>
                  </w:r>
                </w:p>
              </w:tc>
            </w:tr>
            <w:tr w14:paraId="3DDC6C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350" w:type="dxa"/>
                  <w:tcBorders>
                    <w:tl2br w:val="nil"/>
                    <w:tr2bl w:val="nil"/>
                  </w:tcBorders>
                  <w:noWrap w:val="0"/>
                  <w:vAlign w:val="center"/>
                </w:tcPr>
                <w:p w14:paraId="27E80744">
                  <w:pPr>
                    <w:keepNext w:val="0"/>
                    <w:keepLines w:val="0"/>
                    <w:pageBreakBefore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地理坐标</w:t>
                  </w:r>
                </w:p>
              </w:tc>
              <w:tc>
                <w:tcPr>
                  <w:tcW w:w="6849" w:type="dxa"/>
                  <w:tcBorders>
                    <w:tl2br w:val="nil"/>
                    <w:tr2bl w:val="nil"/>
                  </w:tcBorders>
                  <w:noWrap w:val="0"/>
                  <w:vAlign w:val="center"/>
                </w:tcPr>
                <w:p w14:paraId="6F0767C8">
                  <w:pPr>
                    <w:keepNext w:val="0"/>
                    <w:keepLines w:val="0"/>
                    <w:pageBreakBefore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东经：88度58分10.252秒，北纬：43度56分0.982秒）</w:t>
                  </w:r>
                </w:p>
              </w:tc>
            </w:tr>
            <w:tr w14:paraId="7DEDF2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50" w:type="dxa"/>
                  <w:tcBorders>
                    <w:tl2br w:val="nil"/>
                    <w:tr2bl w:val="nil"/>
                  </w:tcBorders>
                  <w:noWrap w:val="0"/>
                  <w:vAlign w:val="center"/>
                </w:tcPr>
                <w:p w14:paraId="0E928257">
                  <w:pPr>
                    <w:keepNext w:val="0"/>
                    <w:keepLines w:val="0"/>
                    <w:pageBreakBefore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主要危险物质及分布</w:t>
                  </w:r>
                </w:p>
              </w:tc>
              <w:tc>
                <w:tcPr>
                  <w:tcW w:w="6849" w:type="dxa"/>
                  <w:tcBorders>
                    <w:tl2br w:val="nil"/>
                    <w:tr2bl w:val="nil"/>
                  </w:tcBorders>
                  <w:noWrap w:val="0"/>
                  <w:vAlign w:val="center"/>
                </w:tcPr>
                <w:p w14:paraId="5C8503FB">
                  <w:pPr>
                    <w:keepNext w:val="0"/>
                    <w:keepLines w:val="0"/>
                    <w:pageBreakBefore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val="en-US" w:eastAsia="zh-CN"/>
                    </w:rPr>
                    <w:t>煤气</w:t>
                  </w:r>
                  <w:r>
                    <w:rPr>
                      <w:rFonts w:hint="default" w:ascii="Times New Roman" w:hAnsi="Times New Roman" w:eastAsia="宋体" w:cs="Times New Roman"/>
                      <w:color w:val="auto"/>
                      <w:sz w:val="21"/>
                      <w:szCs w:val="21"/>
                      <w:lang w:val="en-US" w:eastAsia="zh-CN"/>
                    </w:rPr>
                    <w:t>、废机油</w:t>
                  </w:r>
                </w:p>
              </w:tc>
            </w:tr>
            <w:tr w14:paraId="6F1CCC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378" w:hRule="atLeast"/>
                <w:jc w:val="center"/>
              </w:trPr>
              <w:tc>
                <w:tcPr>
                  <w:tcW w:w="1350" w:type="dxa"/>
                  <w:tcBorders>
                    <w:tl2br w:val="nil"/>
                    <w:tr2bl w:val="nil"/>
                  </w:tcBorders>
                  <w:noWrap w:val="0"/>
                  <w:vAlign w:val="center"/>
                </w:tcPr>
                <w:p w14:paraId="21DD94D4">
                  <w:pPr>
                    <w:keepNext w:val="0"/>
                    <w:keepLines w:val="0"/>
                    <w:pageBreakBefore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环境影响途径及危害后果（大气、地表水、地下水等）</w:t>
                  </w:r>
                </w:p>
              </w:tc>
              <w:tc>
                <w:tcPr>
                  <w:tcW w:w="6849" w:type="dxa"/>
                  <w:tcBorders>
                    <w:tl2br w:val="nil"/>
                    <w:tr2bl w:val="nil"/>
                  </w:tcBorders>
                  <w:noWrap w:val="0"/>
                  <w:vAlign w:val="center"/>
                </w:tcPr>
                <w:p w14:paraId="1C15A052">
                  <w:pPr>
                    <w:keepNext w:val="0"/>
                    <w:keepLines w:val="0"/>
                    <w:pageBreakBefore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本项目潜在的事故风险表现在风险物质储存、未达标废气排放</w:t>
                  </w:r>
                  <w:r>
                    <w:rPr>
                      <w:rFonts w:hint="default" w:ascii="Times New Roman" w:hAnsi="Times New Roman"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脱硫系统事故浆液的排放</w:t>
                  </w:r>
                  <w:r>
                    <w:rPr>
                      <w:rFonts w:hint="eastAsia"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汽轮机润滑油若发生泄漏事故处理从而对环境和人体健康产生不良影响。为此，避免风险的措施重点在于保证</w:t>
                  </w:r>
                  <w:r>
                    <w:rPr>
                      <w:rFonts w:hint="default" w:ascii="Times New Roman" w:hAnsi="Times New Roman" w:cs="Times New Roman"/>
                      <w:color w:val="auto"/>
                      <w:sz w:val="21"/>
                      <w:szCs w:val="21"/>
                      <w:lang w:val="en-US" w:eastAsia="zh-CN"/>
                    </w:rPr>
                    <w:t>环境治理</w:t>
                  </w:r>
                  <w:r>
                    <w:rPr>
                      <w:rFonts w:hint="default" w:ascii="Times New Roman" w:hAnsi="Times New Roman" w:eastAsia="宋体" w:cs="Times New Roman"/>
                      <w:color w:val="auto"/>
                      <w:sz w:val="21"/>
                      <w:szCs w:val="21"/>
                      <w:lang w:val="en-US" w:eastAsia="zh-CN"/>
                    </w:rPr>
                    <w:t>设施稳定运行，切断泄漏、流失途径，控制泄漏、流失后果。</w:t>
                  </w:r>
                </w:p>
              </w:tc>
            </w:tr>
            <w:tr w14:paraId="31BE59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60" w:hRule="atLeast"/>
                <w:jc w:val="center"/>
              </w:trPr>
              <w:tc>
                <w:tcPr>
                  <w:tcW w:w="1350" w:type="dxa"/>
                  <w:tcBorders>
                    <w:tl2br w:val="nil"/>
                    <w:tr2bl w:val="nil"/>
                  </w:tcBorders>
                  <w:noWrap w:val="0"/>
                  <w:vAlign w:val="center"/>
                </w:tcPr>
                <w:p w14:paraId="13768F21">
                  <w:pPr>
                    <w:keepNext w:val="0"/>
                    <w:keepLines w:val="0"/>
                    <w:pageBreakBefore w:val="0"/>
                    <w:kinsoku/>
                    <w:wordWrap/>
                    <w:overflowPunct/>
                    <w:topLinePunct w:val="0"/>
                    <w:autoSpaceDE/>
                    <w:autoSpaceDN/>
                    <w:bidi w:val="0"/>
                    <w:adjustRightInd/>
                    <w:snapToGrid w:val="0"/>
                    <w:spacing w:line="240" w:lineRule="auto"/>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风险防范措施要求</w:t>
                  </w:r>
                </w:p>
              </w:tc>
              <w:tc>
                <w:tcPr>
                  <w:tcW w:w="6849" w:type="dxa"/>
                  <w:tcBorders>
                    <w:tl2br w:val="nil"/>
                    <w:tr2bl w:val="nil"/>
                  </w:tcBorders>
                  <w:noWrap w:val="0"/>
                  <w:vAlign w:val="center"/>
                </w:tcPr>
                <w:p w14:paraId="38E1F76D">
                  <w:pPr>
                    <w:keepNext w:val="0"/>
                    <w:keepLines w:val="0"/>
                    <w:pageBreakBefore w:val="0"/>
                    <w:kinsoku/>
                    <w:wordWrap/>
                    <w:overflowPunct/>
                    <w:topLinePunct w:val="0"/>
                    <w:autoSpaceDE/>
                    <w:autoSpaceDN/>
                    <w:bidi w:val="0"/>
                    <w:adjustRightInd/>
                    <w:snapToGrid w:val="0"/>
                    <w:spacing w:line="240" w:lineRule="auto"/>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①针对</w:t>
                  </w:r>
                  <w:r>
                    <w:rPr>
                      <w:rFonts w:hint="default" w:ascii="Times New Roman" w:hAnsi="Times New Roman" w:eastAsia="宋体" w:cs="Times New Roman"/>
                      <w:color w:val="auto"/>
                      <w:sz w:val="21"/>
                      <w:szCs w:val="21"/>
                      <w:lang w:eastAsia="zh-CN"/>
                    </w:rPr>
                    <w:t>风险物质储存：</w:t>
                  </w:r>
                  <w:r>
                    <w:rPr>
                      <w:rFonts w:hint="default" w:ascii="Times New Roman" w:hAnsi="Times New Roman" w:eastAsia="宋体" w:cs="Times New Roman"/>
                      <w:color w:val="auto"/>
                      <w:sz w:val="21"/>
                      <w:szCs w:val="21"/>
                      <w:lang w:val="en-US" w:eastAsia="zh-CN"/>
                    </w:rPr>
                    <w:t>项目危险废物贮存点进行防渗处理，采用专用收集桶收集后，暂存于危险废物贮存点，交由有资质的单位定期清运处置，并设立台账管理。危险废物贮存点地面及裙角进行防渗，危废间设置规范标识标牌。少量泄漏、滴漏不会流出储存所在场所，不会对厂区环境构成威胁。岗位人员发现后立即向上级领导汇报，通知技术人员，组织人员回收泄漏物，并修复现场。事后做好事件记录存档等工作；</w:t>
                  </w:r>
                </w:p>
                <w:p w14:paraId="5CB43248">
                  <w:pPr>
                    <w:keepNext w:val="0"/>
                    <w:keepLines w:val="0"/>
                    <w:pageBreakBefore w:val="0"/>
                    <w:kinsoku/>
                    <w:wordWrap/>
                    <w:overflowPunct/>
                    <w:topLinePunct w:val="0"/>
                    <w:autoSpaceDE/>
                    <w:autoSpaceDN/>
                    <w:bidi w:val="0"/>
                    <w:adjustRightInd/>
                    <w:snapToGrid w:val="0"/>
                    <w:spacing w:line="240" w:lineRule="auto"/>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②针对煤气管道隐患</w:t>
                  </w:r>
                  <w:r>
                    <w:rPr>
                      <w:rFonts w:hint="default" w:ascii="Times New Roman" w:hAnsi="Times New Roman" w:cs="Times New Roman"/>
                      <w:color w:val="auto"/>
                      <w:sz w:val="21"/>
                      <w:szCs w:val="21"/>
                      <w:lang w:val="en-US" w:eastAsia="zh-CN"/>
                    </w:rPr>
                    <w:t>：对</w:t>
                  </w:r>
                  <w:r>
                    <w:rPr>
                      <w:rFonts w:hint="default" w:ascii="Times New Roman" w:hAnsi="Times New Roman" w:eastAsia="宋体" w:cs="Times New Roman"/>
                      <w:color w:val="auto"/>
                      <w:sz w:val="21"/>
                      <w:szCs w:val="21"/>
                      <w:lang w:val="en-US" w:eastAsia="zh-CN"/>
                    </w:rPr>
                    <w:t>于</w:t>
                  </w:r>
                  <w:r>
                    <w:rPr>
                      <w:rFonts w:hint="default" w:ascii="Times New Roman" w:hAnsi="Times New Roman" w:cs="Times New Roman"/>
                      <w:color w:val="auto"/>
                      <w:sz w:val="21"/>
                      <w:szCs w:val="21"/>
                      <w:lang w:val="en-US" w:eastAsia="zh-CN"/>
                    </w:rPr>
                    <w:t>煤气</w:t>
                  </w:r>
                  <w:r>
                    <w:rPr>
                      <w:rFonts w:hint="default" w:ascii="Times New Roman" w:hAnsi="Times New Roman" w:eastAsia="宋体" w:cs="Times New Roman"/>
                      <w:color w:val="auto"/>
                      <w:sz w:val="21"/>
                      <w:szCs w:val="21"/>
                      <w:lang w:val="en-US" w:eastAsia="zh-CN"/>
                    </w:rPr>
                    <w:t>管道隐患，加强设备、管道、阀门的密封措施，防止泄漏而引起火灾/爆炸事故，并设置可燃气体自动报警系统。</w:t>
                  </w:r>
                </w:p>
                <w:p w14:paraId="0755C58B">
                  <w:pPr>
                    <w:keepNext w:val="0"/>
                    <w:keepLines w:val="0"/>
                    <w:pageBreakBefore w:val="0"/>
                    <w:kinsoku/>
                    <w:wordWrap/>
                    <w:overflowPunct/>
                    <w:topLinePunct w:val="0"/>
                    <w:autoSpaceDE/>
                    <w:autoSpaceDN/>
                    <w:bidi w:val="0"/>
                    <w:adjustRightInd/>
                    <w:snapToGrid w:val="0"/>
                    <w:spacing w:line="240" w:lineRule="auto"/>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③加强废气治理设施日常维护保证处理效果；明确环保治理设施监管责任人，每日由监管责任人对环境治理设施巡视检查一次，如巡视检查发现问题，应立即上报维修或者更换。经分析环保治理设施发生故障的风险概率较低，采取上述防治措施，则废气治理设施故障事故的影响是可控的；</w:t>
                  </w:r>
                </w:p>
                <w:p w14:paraId="453A1944">
                  <w:pPr>
                    <w:keepNext w:val="0"/>
                    <w:keepLines w:val="0"/>
                    <w:pageBreakBefore w:val="0"/>
                    <w:kinsoku/>
                    <w:wordWrap/>
                    <w:overflowPunct/>
                    <w:topLinePunct w:val="0"/>
                    <w:autoSpaceDE/>
                    <w:autoSpaceDN/>
                    <w:bidi w:val="0"/>
                    <w:adjustRightInd/>
                    <w:snapToGrid w:val="0"/>
                    <w:spacing w:line="240" w:lineRule="auto"/>
                    <w:jc w:val="left"/>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④针对</w:t>
                  </w:r>
                  <w:r>
                    <w:rPr>
                      <w:rFonts w:hint="default" w:ascii="Times New Roman" w:hAnsi="Times New Roman" w:cs="Times New Roman"/>
                      <w:color w:val="auto"/>
                      <w:sz w:val="21"/>
                      <w:szCs w:val="21"/>
                      <w:lang w:val="en-US" w:eastAsia="zh-CN"/>
                    </w:rPr>
                    <w:t>泄漏</w:t>
                  </w:r>
                  <w:r>
                    <w:rPr>
                      <w:rFonts w:hint="default" w:ascii="Times New Roman" w:hAnsi="Times New Roman" w:eastAsia="宋体" w:cs="Times New Roman"/>
                      <w:color w:val="auto"/>
                      <w:sz w:val="21"/>
                      <w:szCs w:val="21"/>
                      <w:lang w:val="en-US" w:eastAsia="zh-CN"/>
                    </w:rPr>
                    <w:t>事故：本项目在汽机间的南侧，设置汽轮机润滑油的事故集油坑（30m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），事故状态下可将油污集中收集、隔油处理，废油交由有资质单位处置；本项目在</w:t>
                  </w:r>
                  <w:r>
                    <w:rPr>
                      <w:rFonts w:hint="default" w:ascii="Times New Roman" w:hAnsi="Times New Roman" w:cs="Times New Roman"/>
                      <w:color w:val="auto"/>
                      <w:sz w:val="21"/>
                      <w:szCs w:val="21"/>
                      <w:lang w:val="en-US" w:eastAsia="zh-CN"/>
                    </w:rPr>
                    <w:t>脱硫综合楼一层地下</w:t>
                  </w:r>
                  <w:r>
                    <w:rPr>
                      <w:rFonts w:hint="default" w:ascii="Times New Roman" w:hAnsi="Times New Roman" w:eastAsia="宋体" w:cs="Times New Roman"/>
                      <w:color w:val="auto"/>
                      <w:sz w:val="21"/>
                      <w:szCs w:val="21"/>
                      <w:lang w:val="en-US" w:eastAsia="zh-CN"/>
                    </w:rPr>
                    <w:t>，设置脱硫事故浆液池（</w:t>
                  </w:r>
                  <w:r>
                    <w:rPr>
                      <w:rFonts w:hint="default" w:ascii="Times New Roman" w:hAnsi="Times New Roman" w:cs="Times New Roman"/>
                      <w:color w:val="auto"/>
                      <w:sz w:val="21"/>
                      <w:szCs w:val="21"/>
                      <w:lang w:val="en-US" w:eastAsia="zh-CN"/>
                    </w:rPr>
                    <w:t>370</w:t>
                  </w:r>
                  <w:r>
                    <w:rPr>
                      <w:rFonts w:hint="default" w:ascii="Times New Roman" w:hAnsi="Times New Roman" w:eastAsia="宋体" w:cs="Times New Roman"/>
                      <w:color w:val="auto"/>
                      <w:sz w:val="21"/>
                      <w:szCs w:val="21"/>
                      <w:lang w:val="en-US" w:eastAsia="zh-CN"/>
                    </w:rPr>
                    <w:t>m</w:t>
                  </w:r>
                  <w:r>
                    <w:rPr>
                      <w:rFonts w:hint="default" w:ascii="Times New Roman" w:hAnsi="Times New Roman" w:eastAsia="宋体" w:cs="Times New Roman"/>
                      <w:color w:val="auto"/>
                      <w:sz w:val="21"/>
                      <w:szCs w:val="21"/>
                      <w:vertAlign w:val="superscript"/>
                      <w:lang w:val="en-US" w:eastAsia="zh-CN"/>
                    </w:rPr>
                    <w:t>3</w:t>
                  </w:r>
                  <w:r>
                    <w:rPr>
                      <w:rFonts w:hint="default"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eastAsia="zh-CN"/>
                    </w:rPr>
                    <w:t>当脱硫系统发生故障（如吸收塔检修、浆液循环泵跳闸、烟气系统异常、停电停机）时，</w:t>
                  </w:r>
                  <w:r>
                    <w:rPr>
                      <w:rFonts w:hint="default" w:ascii="Times New Roman" w:hAnsi="Times New Roman" w:eastAsia="宋体" w:cs="Times New Roman"/>
                      <w:color w:val="auto"/>
                      <w:sz w:val="21"/>
                      <w:szCs w:val="21"/>
                      <w:lang w:val="en-US" w:eastAsia="zh-CN"/>
                    </w:rPr>
                    <w:t>利用设备和设施本身的富余量及事故池来处理；</w:t>
                  </w:r>
                </w:p>
                <w:p w14:paraId="7BB0C439">
                  <w:pPr>
                    <w:keepNext w:val="0"/>
                    <w:keepLines w:val="0"/>
                    <w:pageBreakBefore w:val="0"/>
                    <w:kinsoku/>
                    <w:wordWrap/>
                    <w:overflowPunct/>
                    <w:topLinePunct w:val="0"/>
                    <w:autoSpaceDE/>
                    <w:autoSpaceDN/>
                    <w:bidi w:val="0"/>
                    <w:adjustRightInd/>
                    <w:snapToGrid w:val="0"/>
                    <w:spacing w:line="240" w:lineRule="auto"/>
                    <w:jc w:val="left"/>
                    <w:textAlignment w:val="auto"/>
                    <w:rPr>
                      <w:rFonts w:hint="default"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val="en-US" w:eastAsia="zh-CN"/>
                    </w:rPr>
                    <w:t>⑤</w:t>
                  </w:r>
                  <w:r>
                    <w:rPr>
                      <w:rFonts w:hint="default" w:ascii="Times New Roman" w:hAnsi="Times New Roman" w:eastAsia="宋体" w:cs="Times New Roman"/>
                      <w:color w:val="auto"/>
                      <w:sz w:val="21"/>
                      <w:szCs w:val="21"/>
                      <w:lang w:val="en-US" w:eastAsia="zh-CN"/>
                    </w:rPr>
                    <w:t>制定应急预案：本环评要求企业制定突发环境事件应急预案，应包含详细调查环境风险源、风险事故防范设施、应急物资储备情况、应急措施、应急演练、应急预案的有效性以及形成与区域环境应急预案的联动机制等内容，届时项目的环境风险事故的应急预案应严格按照其执行。</w:t>
                  </w:r>
                </w:p>
              </w:tc>
            </w:tr>
            <w:tr w14:paraId="284646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5" w:hRule="atLeast"/>
                <w:jc w:val="center"/>
              </w:trPr>
              <w:tc>
                <w:tcPr>
                  <w:tcW w:w="1350" w:type="dxa"/>
                  <w:tcBorders>
                    <w:tl2br w:val="nil"/>
                    <w:tr2bl w:val="nil"/>
                  </w:tcBorders>
                  <w:noWrap w:val="0"/>
                  <w:vAlign w:val="center"/>
                </w:tcPr>
                <w:p w14:paraId="3ECE5495">
                  <w:pPr>
                    <w:keepNext w:val="0"/>
                    <w:keepLines w:val="0"/>
                    <w:pageBreakBefore w:val="0"/>
                    <w:kinsoku/>
                    <w:wordWrap/>
                    <w:overflowPunct/>
                    <w:topLinePunct w:val="0"/>
                    <w:autoSpaceDE/>
                    <w:autoSpaceDN/>
                    <w:bidi w:val="0"/>
                    <w:adjustRightInd/>
                    <w:snapToGrid w:val="0"/>
                    <w:spacing w:line="240" w:lineRule="auto"/>
                    <w:jc w:val="left"/>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rPr>
                    <w:t>填表说明（列出项目相关信息及评价说明</w:t>
                  </w:r>
                  <w:r>
                    <w:rPr>
                      <w:rFonts w:hint="default" w:ascii="Times New Roman" w:hAnsi="Times New Roman" w:eastAsia="宋体" w:cs="Times New Roman"/>
                      <w:color w:val="auto"/>
                      <w:sz w:val="21"/>
                      <w:szCs w:val="21"/>
                      <w:lang w:eastAsia="zh-CN"/>
                    </w:rPr>
                    <w:t>）</w:t>
                  </w:r>
                </w:p>
              </w:tc>
              <w:tc>
                <w:tcPr>
                  <w:tcW w:w="6849" w:type="dxa"/>
                  <w:tcBorders>
                    <w:tl2br w:val="nil"/>
                    <w:tr2bl w:val="nil"/>
                  </w:tcBorders>
                  <w:noWrap w:val="0"/>
                  <w:vAlign w:val="center"/>
                </w:tcPr>
                <w:p w14:paraId="1D36CA73">
                  <w:pPr>
                    <w:keepNext w:val="0"/>
                    <w:keepLines w:val="0"/>
                    <w:pageBreakBefore w:val="0"/>
                    <w:kinsoku/>
                    <w:wordWrap/>
                    <w:overflowPunct/>
                    <w:topLinePunct w:val="0"/>
                    <w:autoSpaceDE/>
                    <w:autoSpaceDN/>
                    <w:bidi w:val="0"/>
                    <w:adjustRightInd/>
                    <w:snapToGrid w:val="0"/>
                    <w:spacing w:line="240" w:lineRule="auto"/>
                    <w:jc w:val="left"/>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故本项目</w:t>
                  </w:r>
                  <w:r>
                    <w:rPr>
                      <w:rFonts w:hint="default" w:ascii="Times New Roman" w:hAnsi="Times New Roman" w:eastAsia="宋体" w:cs="Times New Roman"/>
                      <w:color w:val="auto"/>
                      <w:sz w:val="21"/>
                      <w:szCs w:val="21"/>
                      <w:lang w:val="en-US" w:eastAsia="zh-CN"/>
                    </w:rPr>
                    <w:t>Q=0.0007＜1</w:t>
                  </w:r>
                  <w:r>
                    <w:rPr>
                      <w:rFonts w:hint="default" w:ascii="Times New Roman" w:hAnsi="Times New Roman" w:eastAsia="宋体" w:cs="Times New Roman"/>
                      <w:color w:val="auto"/>
                      <w:sz w:val="21"/>
                      <w:szCs w:val="21"/>
                    </w:rPr>
                    <w:t>，根据《建设项目环境风险评价技术导则》（HJ169-2018</w:t>
                  </w:r>
                  <w:r>
                    <w:rPr>
                      <w:rFonts w:hint="default" w:ascii="Times New Roman" w:hAnsi="Times New Roman" w:eastAsia="宋体" w:cs="Times New Roman"/>
                      <w:color w:val="auto"/>
                      <w:sz w:val="21"/>
                      <w:szCs w:val="21"/>
                      <w:lang w:eastAsia="zh-CN"/>
                    </w:rPr>
                    <w:t>）</w:t>
                  </w:r>
                  <w:r>
                    <w:rPr>
                      <w:rFonts w:hint="default" w:ascii="Times New Roman" w:hAnsi="Times New Roman" w:eastAsia="宋体" w:cs="Times New Roman"/>
                      <w:color w:val="auto"/>
                      <w:sz w:val="21"/>
                      <w:szCs w:val="21"/>
                    </w:rPr>
                    <w:t>表1，本项目环境风险评价工作等级为简单分析</w:t>
                  </w:r>
                </w:p>
              </w:tc>
            </w:tr>
          </w:tbl>
          <w:p w14:paraId="184B6742">
            <w:pPr>
              <w:keepNext w:val="0"/>
              <w:keepLines w:val="0"/>
              <w:pageBreakBefore w:val="0"/>
              <w:widowControl w:val="0"/>
              <w:kinsoku/>
              <w:wordWrap/>
              <w:overflowPunct/>
              <w:topLinePunct/>
              <w:autoSpaceDE/>
              <w:autoSpaceDN/>
              <w:bidi w:val="0"/>
              <w:adjustRightInd w:val="0"/>
              <w:snapToGrid w:val="0"/>
              <w:spacing w:line="360" w:lineRule="auto"/>
              <w:ind w:firstLine="0" w:firstLineChars="0"/>
              <w:textAlignment w:val="auto"/>
              <w:rPr>
                <w:rFonts w:hint="default" w:ascii="Times New Roman" w:hAnsi="Times New Roman" w:cs="Times New Roman"/>
                <w:b/>
                <w:bCs w:val="0"/>
                <w:color w:val="auto"/>
                <w:spacing w:val="0"/>
                <w:sz w:val="24"/>
                <w:szCs w:val="24"/>
                <w:lang w:val="en-US" w:eastAsia="zh-CN"/>
              </w:rPr>
            </w:pPr>
            <w:r>
              <w:rPr>
                <w:rFonts w:hint="default" w:ascii="Times New Roman" w:hAnsi="Times New Roman" w:cs="Times New Roman"/>
                <w:b/>
                <w:bCs w:val="0"/>
                <w:color w:val="auto"/>
                <w:spacing w:val="0"/>
                <w:sz w:val="24"/>
                <w:szCs w:val="24"/>
                <w:lang w:val="en-US" w:eastAsia="zh-CN"/>
              </w:rPr>
              <w:t>2.8碳排放环境影响评价</w:t>
            </w:r>
          </w:p>
          <w:p w14:paraId="448F6E8F">
            <w:pPr>
              <w:keepNext w:val="0"/>
              <w:keepLines w:val="0"/>
              <w:pageBreakBefore w:val="0"/>
              <w:widowControl w:val="0"/>
              <w:kinsoku/>
              <w:wordWrap/>
              <w:overflowPunct/>
              <w:autoSpaceDE/>
              <w:autoSpaceDN/>
              <w:bidi w:val="0"/>
              <w:spacing w:line="360" w:lineRule="auto"/>
              <w:ind w:firstLine="0" w:firstLineChars="0"/>
              <w:textAlignment w:val="auto"/>
              <w:rPr>
                <w:rFonts w:hint="default" w:ascii="Times New Roman" w:hAnsi="Times New Roman" w:cs="Times New Roman"/>
                <w:b/>
                <w:bCs w:val="0"/>
                <w:color w:val="auto"/>
                <w:sz w:val="24"/>
              </w:rPr>
            </w:pPr>
            <w:r>
              <w:rPr>
                <w:rFonts w:hint="default" w:ascii="Times New Roman" w:hAnsi="Times New Roman" w:cs="Times New Roman"/>
                <w:b/>
                <w:bCs w:val="0"/>
                <w:color w:val="auto"/>
                <w:sz w:val="24"/>
                <w:lang w:val="en-US" w:eastAsia="zh-CN"/>
              </w:rPr>
              <w:t>2.8.1源项识别与源强核算</w:t>
            </w:r>
          </w:p>
          <w:p w14:paraId="2E49CA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lang w:val="en-US" w:eastAsia="zh-CN"/>
              </w:rPr>
              <w:t>本项目参考</w:t>
            </w:r>
            <w:r>
              <w:rPr>
                <w:rFonts w:hint="default" w:ascii="Times New Roman" w:hAnsi="Times New Roman" w:cs="Times New Roman"/>
                <w:color w:val="auto"/>
                <w:sz w:val="24"/>
              </w:rPr>
              <w:t>《</w:t>
            </w:r>
            <w:r>
              <w:rPr>
                <w:rFonts w:hint="default" w:ascii="Times New Roman" w:hAnsi="Times New Roman" w:cs="Times New Roman"/>
                <w:color w:val="auto"/>
                <w:sz w:val="24"/>
                <w:lang w:val="en-US" w:eastAsia="zh-CN"/>
              </w:rPr>
              <w:t>企业温室气体排放核算与报告指南发电设施</w:t>
            </w:r>
            <w:r>
              <w:rPr>
                <w:rFonts w:hint="default" w:ascii="Times New Roman" w:hAnsi="Times New Roman" w:cs="Times New Roman"/>
                <w:color w:val="auto"/>
                <w:sz w:val="24"/>
              </w:rPr>
              <w:t>》，</w:t>
            </w:r>
            <w:r>
              <w:rPr>
                <w:rFonts w:hint="default" w:ascii="Times New Roman" w:hAnsi="Times New Roman" w:cs="Times New Roman"/>
                <w:color w:val="auto"/>
                <w:sz w:val="24"/>
                <w:lang w:eastAsia="zh-CN"/>
              </w:rPr>
              <w:t>核算边界为</w:t>
            </w:r>
            <w:r>
              <w:rPr>
                <w:rFonts w:hint="default" w:ascii="Times New Roman" w:hAnsi="Times New Roman" w:eastAsia="宋体" w:cs="Times New Roman"/>
                <w:color w:val="auto"/>
                <w:sz w:val="24"/>
                <w:szCs w:val="24"/>
              </w:rPr>
              <w:t>发电设施，主要包括燃烧系统、汽水系统、电气系统、控制系统和除尘及脱硫脱硝等装置的集合，不包括厂区内其他辅助生产系统以及附属生产系统。发电设施温室气体排放核算和报告范围包括：化石燃料燃烧产生的二氧化碳排放</w:t>
            </w:r>
            <w:r>
              <w:rPr>
                <w:rFonts w:hint="default" w:ascii="Times New Roman" w:hAnsi="Times New Roman" w:eastAsia="宋体" w:cs="Times New Roman"/>
                <w:color w:val="auto"/>
                <w:sz w:val="24"/>
                <w:szCs w:val="24"/>
                <w:lang w:val="en-US" w:eastAsia="zh-CN"/>
              </w:rPr>
              <w:t>和</w:t>
            </w:r>
            <w:r>
              <w:rPr>
                <w:rFonts w:hint="default" w:ascii="Times New Roman" w:hAnsi="Times New Roman" w:eastAsia="宋体" w:cs="Times New Roman"/>
                <w:color w:val="auto"/>
                <w:sz w:val="24"/>
                <w:szCs w:val="24"/>
              </w:rPr>
              <w:t>购入使用电力产生的二氧化碳排放。</w:t>
            </w:r>
          </w:p>
          <w:p w14:paraId="4A368B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rPr>
              <w:t>（1）</w:t>
            </w:r>
            <w:r>
              <w:rPr>
                <w:rFonts w:hint="default" w:ascii="Times New Roman" w:hAnsi="Times New Roman" w:eastAsia="宋体" w:cs="Times New Roman"/>
                <w:color w:val="auto"/>
                <w:sz w:val="24"/>
                <w:szCs w:val="24"/>
                <w:lang w:val="en-US" w:eastAsia="zh-CN"/>
              </w:rPr>
              <w:t>化石燃料燃烧产生的二氧化碳</w:t>
            </w:r>
          </w:p>
          <w:p w14:paraId="6864906C">
            <w:pPr>
              <w:keepNext w:val="0"/>
              <w:keepLines w:val="0"/>
              <w:pageBreakBefore w:val="0"/>
              <w:widowControl w:val="0"/>
              <w:kinsoku/>
              <w:wordWrap/>
              <w:overflowPunct/>
              <w:topLinePunct/>
              <w:autoSpaceDE/>
              <w:autoSpaceDN/>
              <w:bidi w:val="0"/>
              <w:adjustRightInd w:val="0"/>
              <w:snapToGrid w:val="0"/>
              <w:spacing w:line="360" w:lineRule="auto"/>
              <w:jc w:val="center"/>
              <w:textAlignment w:val="auto"/>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5021580" cy="2032000"/>
                  <wp:effectExtent l="0" t="0" r="7620" b="6350"/>
                  <wp:docPr id="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pic:cNvPicPr>
                            <a:picLocks noChangeAspect="1"/>
                          </pic:cNvPicPr>
                        </pic:nvPicPr>
                        <pic:blipFill>
                          <a:blip r:embed="rId41"/>
                          <a:stretch>
                            <a:fillRect/>
                          </a:stretch>
                        </pic:blipFill>
                        <pic:spPr>
                          <a:xfrm>
                            <a:off x="0" y="0"/>
                            <a:ext cx="5021580" cy="2032000"/>
                          </a:xfrm>
                          <a:prstGeom prst="rect">
                            <a:avLst/>
                          </a:prstGeom>
                          <a:noFill/>
                          <a:ln>
                            <a:noFill/>
                          </a:ln>
                        </pic:spPr>
                      </pic:pic>
                    </a:graphicData>
                  </a:graphic>
                </wp:inline>
              </w:drawing>
            </w:r>
          </w:p>
          <w:p w14:paraId="4441C2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购入使用电力产生的二氧化碳排放量</w:t>
            </w:r>
          </w:p>
          <w:p w14:paraId="4CDA300A">
            <w:pPr>
              <w:pStyle w:val="31"/>
              <w:numPr>
                <w:ilvl w:val="0"/>
                <w:numId w:val="0"/>
              </w:numPr>
              <w:ind w:leftChars="0"/>
              <w:rPr>
                <w:rFonts w:hint="default" w:ascii="Times New Roman" w:hAnsi="Times New Roman" w:cs="Times New Roman"/>
                <w:color w:val="auto"/>
                <w:lang w:val="en-US" w:eastAsia="zh-CN"/>
              </w:rPr>
            </w:pPr>
            <w:r>
              <w:rPr>
                <w:rFonts w:hint="default" w:ascii="Times New Roman" w:hAnsi="Times New Roman" w:cs="Times New Roman"/>
                <w:color w:val="auto"/>
              </w:rPr>
              <w:drawing>
                <wp:inline distT="0" distB="0" distL="114300" distR="114300">
                  <wp:extent cx="5073650" cy="1329055"/>
                  <wp:effectExtent l="0" t="0" r="12700" b="4445"/>
                  <wp:docPr id="2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1"/>
                          <pic:cNvPicPr>
                            <a:picLocks noChangeAspect="1"/>
                          </pic:cNvPicPr>
                        </pic:nvPicPr>
                        <pic:blipFill>
                          <a:blip r:embed="rId42"/>
                          <a:stretch>
                            <a:fillRect/>
                          </a:stretch>
                        </pic:blipFill>
                        <pic:spPr>
                          <a:xfrm>
                            <a:off x="0" y="0"/>
                            <a:ext cx="5073650" cy="1329055"/>
                          </a:xfrm>
                          <a:prstGeom prst="rect">
                            <a:avLst/>
                          </a:prstGeom>
                          <a:noFill/>
                          <a:ln>
                            <a:noFill/>
                          </a:ln>
                        </pic:spPr>
                      </pic:pic>
                    </a:graphicData>
                  </a:graphic>
                </wp:inline>
              </w:drawing>
            </w:r>
          </w:p>
          <w:p w14:paraId="2A32DA1B">
            <w:pPr>
              <w:pStyle w:val="31"/>
              <w:ind w:left="0" w:leftChars="0" w:firstLine="0" w:firstLineChars="0"/>
              <w:rPr>
                <w:rFonts w:hint="default" w:ascii="Times New Roman" w:hAnsi="Times New Roman" w:cs="Times New Roman"/>
                <w:color w:val="auto"/>
              </w:rPr>
            </w:pPr>
            <w:r>
              <w:rPr>
                <w:rFonts w:hint="default" w:ascii="Times New Roman" w:hAnsi="Times New Roman" w:cs="Times New Roman"/>
                <w:color w:val="auto"/>
              </w:rPr>
              <w:drawing>
                <wp:inline distT="0" distB="0" distL="114300" distR="114300">
                  <wp:extent cx="5003165" cy="1490980"/>
                  <wp:effectExtent l="0" t="0" r="6985" b="13970"/>
                  <wp:docPr id="2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3"/>
                          <pic:cNvPicPr>
                            <a:picLocks noChangeAspect="1"/>
                          </pic:cNvPicPr>
                        </pic:nvPicPr>
                        <pic:blipFill>
                          <a:blip r:embed="rId43"/>
                          <a:stretch>
                            <a:fillRect/>
                          </a:stretch>
                        </pic:blipFill>
                        <pic:spPr>
                          <a:xfrm>
                            <a:off x="0" y="0"/>
                            <a:ext cx="5003165" cy="1490980"/>
                          </a:xfrm>
                          <a:prstGeom prst="rect">
                            <a:avLst/>
                          </a:prstGeom>
                          <a:noFill/>
                          <a:ln>
                            <a:noFill/>
                          </a:ln>
                        </pic:spPr>
                      </pic:pic>
                    </a:graphicData>
                  </a:graphic>
                </wp:inline>
              </w:drawing>
            </w:r>
          </w:p>
          <w:p w14:paraId="60D6FC03">
            <w:pPr>
              <w:pStyle w:val="31"/>
              <w:ind w:left="0" w:leftChars="0" w:firstLine="480" w:firstLineChars="200"/>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本项目温室气体排放各参数及结算结果详见表4-18。</w:t>
            </w:r>
          </w:p>
          <w:p w14:paraId="3AAF72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val="0"/>
                <w:snapToGrid w:val="0"/>
                <w:color w:val="auto"/>
                <w:sz w:val="21"/>
                <w:szCs w:val="21"/>
                <w:highlight w:val="none"/>
                <w:lang w:val="en-US" w:eastAsia="zh-CN"/>
              </w:rPr>
            </w:pPr>
            <w:r>
              <w:rPr>
                <w:rFonts w:hint="default" w:ascii="Times New Roman" w:hAnsi="Times New Roman" w:eastAsia="宋体" w:cs="Times New Roman"/>
                <w:b/>
                <w:bCs w:val="0"/>
                <w:snapToGrid w:val="0"/>
                <w:color w:val="auto"/>
                <w:sz w:val="21"/>
                <w:szCs w:val="21"/>
                <w:highlight w:val="none"/>
                <w:lang w:val="en-US" w:eastAsia="zh-CN"/>
              </w:rPr>
              <w:t>表4-18</w:t>
            </w:r>
            <w:r>
              <w:rPr>
                <w:rFonts w:hint="default" w:ascii="Times New Roman" w:hAnsi="Times New Roman" w:cs="Times New Roman"/>
                <w:b/>
                <w:bCs w:val="0"/>
                <w:snapToGrid w:val="0"/>
                <w:color w:val="auto"/>
                <w:sz w:val="21"/>
                <w:szCs w:val="21"/>
                <w:highlight w:val="none"/>
                <w:lang w:val="en-US" w:eastAsia="zh-CN"/>
              </w:rPr>
              <w:t>本项目温室气体</w:t>
            </w:r>
            <w:r>
              <w:rPr>
                <w:rFonts w:hint="default" w:ascii="Times New Roman" w:hAnsi="Times New Roman" w:eastAsia="宋体" w:cs="Times New Roman"/>
                <w:b/>
                <w:bCs w:val="0"/>
                <w:snapToGrid w:val="0"/>
                <w:color w:val="auto"/>
                <w:sz w:val="21"/>
                <w:szCs w:val="21"/>
                <w:highlight w:val="none"/>
                <w:lang w:val="en-US" w:eastAsia="zh-CN"/>
              </w:rPr>
              <w:t>各参数及结算结果</w:t>
            </w:r>
          </w:p>
          <w:tbl>
            <w:tblPr>
              <w:tblStyle w:val="32"/>
              <w:tblW w:w="8075" w:type="dxa"/>
              <w:tblInd w:w="-3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459"/>
              <w:gridCol w:w="783"/>
              <w:gridCol w:w="684"/>
              <w:gridCol w:w="900"/>
              <w:gridCol w:w="933"/>
              <w:gridCol w:w="747"/>
              <w:gridCol w:w="1420"/>
              <w:gridCol w:w="1133"/>
              <w:gridCol w:w="1016"/>
            </w:tblGrid>
            <w:tr w14:paraId="0ABE2E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459" w:type="dxa"/>
                  <w:vMerge w:val="restart"/>
                  <w:tcBorders>
                    <w:tl2br w:val="nil"/>
                    <w:tr2bl w:val="nil"/>
                  </w:tcBorders>
                  <w:shd w:val="clear" w:color="auto" w:fill="auto"/>
                  <w:vAlign w:val="center"/>
                </w:tcPr>
                <w:p w14:paraId="64C60CE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E</w:t>
                  </w:r>
                  <w:r>
                    <w:rPr>
                      <w:rFonts w:hint="default" w:ascii="Times New Roman" w:hAnsi="Times New Roman" w:eastAsia="宋体" w:cs="Times New Roman"/>
                      <w:b/>
                      <w:bCs/>
                      <w:i w:val="0"/>
                      <w:iCs w:val="0"/>
                      <w:color w:val="auto"/>
                      <w:kern w:val="0"/>
                      <w:sz w:val="21"/>
                      <w:szCs w:val="21"/>
                      <w:u w:val="none"/>
                      <w:vertAlign w:val="subscript"/>
                      <w:lang w:val="en-US" w:eastAsia="zh-CN" w:bidi="ar"/>
                    </w:rPr>
                    <w:t>燃烧</w:t>
                  </w:r>
                </w:p>
              </w:tc>
              <w:tc>
                <w:tcPr>
                  <w:tcW w:w="783" w:type="dxa"/>
                  <w:tcBorders>
                    <w:tl2br w:val="nil"/>
                    <w:tr2bl w:val="nil"/>
                  </w:tcBorders>
                  <w:shd w:val="clear" w:color="auto" w:fill="auto"/>
                  <w:vAlign w:val="center"/>
                </w:tcPr>
                <w:p w14:paraId="2DB8EDC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原料名称</w:t>
                  </w:r>
                </w:p>
              </w:tc>
              <w:tc>
                <w:tcPr>
                  <w:tcW w:w="1584" w:type="dxa"/>
                  <w:gridSpan w:val="2"/>
                  <w:tcBorders>
                    <w:tl2br w:val="nil"/>
                    <w:tr2bl w:val="nil"/>
                  </w:tcBorders>
                  <w:shd w:val="clear" w:color="auto" w:fill="auto"/>
                  <w:vAlign w:val="center"/>
                </w:tcPr>
                <w:p w14:paraId="299B738C">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FCi原料投入量（10</w:t>
                  </w:r>
                  <w:r>
                    <w:rPr>
                      <w:rFonts w:hint="default" w:ascii="Times New Roman" w:hAnsi="Times New Roman" w:eastAsia="宋体" w:cs="Times New Roman"/>
                      <w:b/>
                      <w:bCs/>
                      <w:i w:val="0"/>
                      <w:iCs w:val="0"/>
                      <w:color w:val="auto"/>
                      <w:kern w:val="0"/>
                      <w:sz w:val="21"/>
                      <w:szCs w:val="21"/>
                      <w:u w:val="none"/>
                      <w:vertAlign w:val="superscript"/>
                      <w:lang w:val="en-US" w:eastAsia="zh-CN" w:bidi="ar"/>
                    </w:rPr>
                    <w:t>4</w:t>
                  </w:r>
                  <w:r>
                    <w:rPr>
                      <w:rFonts w:hint="default" w:ascii="Times New Roman" w:hAnsi="Times New Roman" w:eastAsia="宋体" w:cs="Times New Roman"/>
                      <w:b/>
                      <w:bCs/>
                      <w:i w:val="0"/>
                      <w:iCs w:val="0"/>
                      <w:color w:val="auto"/>
                      <w:kern w:val="0"/>
                      <w:sz w:val="21"/>
                      <w:szCs w:val="21"/>
                      <w:u w:val="none"/>
                      <w:lang w:val="en-US" w:eastAsia="zh-CN" w:bidi="ar"/>
                    </w:rPr>
                    <w:t>Nm</w:t>
                  </w:r>
                  <w:r>
                    <w:rPr>
                      <w:rFonts w:hint="default" w:ascii="Times New Roman" w:hAnsi="Times New Roman" w:eastAsia="宋体" w:cs="Times New Roman"/>
                      <w:b/>
                      <w:bCs/>
                      <w:i w:val="0"/>
                      <w:iCs w:val="0"/>
                      <w:color w:val="auto"/>
                      <w:kern w:val="0"/>
                      <w:sz w:val="21"/>
                      <w:szCs w:val="21"/>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933" w:type="dxa"/>
                  <w:tcBorders>
                    <w:tl2br w:val="nil"/>
                    <w:tr2bl w:val="nil"/>
                  </w:tcBorders>
                  <w:shd w:val="clear" w:color="auto" w:fill="auto"/>
                  <w:vAlign w:val="center"/>
                </w:tcPr>
                <w:p w14:paraId="7FB0D37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OF</w:t>
                  </w:r>
                  <w:r>
                    <w:rPr>
                      <w:rFonts w:hint="default" w:ascii="Times New Roman" w:hAnsi="Times New Roman" w:eastAsia="宋体" w:cs="Times New Roman"/>
                      <w:b/>
                      <w:bCs/>
                      <w:i w:val="0"/>
                      <w:iCs w:val="0"/>
                      <w:color w:val="auto"/>
                      <w:kern w:val="0"/>
                      <w:sz w:val="21"/>
                      <w:szCs w:val="21"/>
                      <w:u w:val="none"/>
                      <w:vertAlign w:val="subscript"/>
                      <w:lang w:val="en-US" w:eastAsia="zh-CN" w:bidi="ar"/>
                    </w:rPr>
                    <w:t>i</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747" w:type="dxa"/>
                  <w:tcBorders>
                    <w:tl2br w:val="nil"/>
                    <w:tr2bl w:val="nil"/>
                  </w:tcBorders>
                  <w:shd w:val="clear" w:color="auto" w:fill="auto"/>
                  <w:vAlign w:val="center"/>
                </w:tcPr>
                <w:p w14:paraId="1615D0D0">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Car</w:t>
                  </w:r>
                  <w:r>
                    <w:rPr>
                      <w:rFonts w:hint="default" w:ascii="Times New Roman" w:hAnsi="Times New Roman" w:eastAsia="宋体" w:cs="Times New Roman"/>
                      <w:b/>
                      <w:bCs/>
                      <w:i w:val="0"/>
                      <w:iCs w:val="0"/>
                      <w:color w:val="auto"/>
                      <w:kern w:val="0"/>
                      <w:sz w:val="21"/>
                      <w:szCs w:val="21"/>
                      <w:u w:val="none"/>
                      <w:vertAlign w:val="subscript"/>
                      <w:lang w:val="en-US" w:eastAsia="zh-CN" w:bidi="ar"/>
                    </w:rPr>
                    <w:t>i</w:t>
                  </w:r>
                </w:p>
              </w:tc>
              <w:tc>
                <w:tcPr>
                  <w:tcW w:w="1420" w:type="dxa"/>
                  <w:tcBorders>
                    <w:tl2br w:val="nil"/>
                    <w:tr2bl w:val="nil"/>
                  </w:tcBorders>
                  <w:shd w:val="clear" w:color="auto" w:fill="auto"/>
                  <w:noWrap/>
                  <w:vAlign w:val="center"/>
                </w:tcPr>
                <w:p w14:paraId="3C43B87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NCVar,i（GJ/10</w:t>
                  </w:r>
                  <w:r>
                    <w:rPr>
                      <w:rFonts w:hint="default" w:ascii="Times New Roman" w:hAnsi="Times New Roman" w:eastAsia="宋体" w:cs="Times New Roman"/>
                      <w:b/>
                      <w:bCs/>
                      <w:i w:val="0"/>
                      <w:iCs w:val="0"/>
                      <w:color w:val="auto"/>
                      <w:kern w:val="0"/>
                      <w:sz w:val="21"/>
                      <w:szCs w:val="21"/>
                      <w:u w:val="none"/>
                      <w:vertAlign w:val="superscript"/>
                      <w:lang w:val="en-US" w:eastAsia="zh-CN" w:bidi="ar"/>
                    </w:rPr>
                    <w:t>4</w:t>
                  </w:r>
                  <w:r>
                    <w:rPr>
                      <w:rFonts w:hint="default" w:ascii="Times New Roman" w:hAnsi="Times New Roman" w:eastAsia="宋体" w:cs="Times New Roman"/>
                      <w:b/>
                      <w:bCs/>
                      <w:i w:val="0"/>
                      <w:iCs w:val="0"/>
                      <w:color w:val="auto"/>
                      <w:kern w:val="0"/>
                      <w:sz w:val="21"/>
                      <w:szCs w:val="21"/>
                      <w:u w:val="none"/>
                      <w:lang w:val="en-US" w:eastAsia="zh-CN" w:bidi="ar"/>
                    </w:rPr>
                    <w:t>Nm</w:t>
                  </w:r>
                  <w:r>
                    <w:rPr>
                      <w:rFonts w:hint="default" w:ascii="Times New Roman" w:hAnsi="Times New Roman" w:eastAsia="宋体" w:cs="Times New Roman"/>
                      <w:b/>
                      <w:bCs/>
                      <w:i w:val="0"/>
                      <w:iCs w:val="0"/>
                      <w:color w:val="auto"/>
                      <w:kern w:val="0"/>
                      <w:sz w:val="21"/>
                      <w:szCs w:val="21"/>
                      <w:u w:val="none"/>
                      <w:vertAlign w:val="superscript"/>
                      <w:lang w:val="en-US" w:eastAsia="zh-CN" w:bidi="ar"/>
                    </w:rPr>
                    <w:t>3</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1133" w:type="dxa"/>
                  <w:tcBorders>
                    <w:tl2br w:val="nil"/>
                    <w:tr2bl w:val="nil"/>
                  </w:tcBorders>
                  <w:shd w:val="clear" w:color="auto" w:fill="auto"/>
                  <w:vAlign w:val="center"/>
                </w:tcPr>
                <w:p w14:paraId="3097D19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CCi（tC/GJ）</w:t>
                  </w:r>
                </w:p>
              </w:tc>
              <w:tc>
                <w:tcPr>
                  <w:tcW w:w="1016" w:type="dxa"/>
                  <w:tcBorders>
                    <w:tl2br w:val="nil"/>
                    <w:tr2bl w:val="nil"/>
                  </w:tcBorders>
                  <w:shd w:val="clear" w:color="auto" w:fill="auto"/>
                  <w:vAlign w:val="center"/>
                </w:tcPr>
                <w:p w14:paraId="5724535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E燃烧（tCO</w:t>
                  </w:r>
                  <w:r>
                    <w:rPr>
                      <w:rFonts w:hint="default" w:ascii="Times New Roman" w:hAnsi="Times New Roman" w:eastAsia="宋体" w:cs="Times New Roman"/>
                      <w:b/>
                      <w:bCs/>
                      <w:i w:val="0"/>
                      <w:iCs w:val="0"/>
                      <w:color w:val="auto"/>
                      <w:kern w:val="0"/>
                      <w:sz w:val="21"/>
                      <w:szCs w:val="21"/>
                      <w:u w:val="none"/>
                      <w:vertAlign w:val="subscript"/>
                      <w:lang w:val="en-US" w:eastAsia="zh-CN" w:bidi="ar"/>
                    </w:rPr>
                    <w:t>2</w:t>
                  </w:r>
                  <w:r>
                    <w:rPr>
                      <w:rFonts w:hint="default" w:ascii="Times New Roman" w:hAnsi="Times New Roman" w:eastAsia="宋体" w:cs="Times New Roman"/>
                      <w:b/>
                      <w:bCs/>
                      <w:i w:val="0"/>
                      <w:iCs w:val="0"/>
                      <w:color w:val="auto"/>
                      <w:kern w:val="0"/>
                      <w:sz w:val="21"/>
                      <w:szCs w:val="21"/>
                      <w:u w:val="none"/>
                      <w:lang w:val="en-US" w:eastAsia="zh-CN" w:bidi="ar"/>
                    </w:rPr>
                    <w:t>）</w:t>
                  </w:r>
                </w:p>
              </w:tc>
            </w:tr>
            <w:tr w14:paraId="598DDD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59" w:type="dxa"/>
                  <w:vMerge w:val="continue"/>
                  <w:tcBorders>
                    <w:tl2br w:val="nil"/>
                    <w:tr2bl w:val="nil"/>
                  </w:tcBorders>
                  <w:shd w:val="clear" w:color="auto" w:fill="auto"/>
                  <w:vAlign w:val="center"/>
                </w:tcPr>
                <w:p w14:paraId="0192F27B">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p>
              </w:tc>
              <w:tc>
                <w:tcPr>
                  <w:tcW w:w="783" w:type="dxa"/>
                  <w:tcBorders>
                    <w:tl2br w:val="nil"/>
                    <w:tr2bl w:val="nil"/>
                  </w:tcBorders>
                  <w:shd w:val="clear" w:color="auto" w:fill="auto"/>
                  <w:vAlign w:val="center"/>
                </w:tcPr>
                <w:p w14:paraId="7DE6D359">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煤气</w:t>
                  </w:r>
                </w:p>
              </w:tc>
              <w:tc>
                <w:tcPr>
                  <w:tcW w:w="1584" w:type="dxa"/>
                  <w:gridSpan w:val="2"/>
                  <w:tcBorders>
                    <w:tl2br w:val="nil"/>
                    <w:tr2bl w:val="nil"/>
                  </w:tcBorders>
                  <w:shd w:val="clear" w:color="auto" w:fill="auto"/>
                  <w:vAlign w:val="center"/>
                </w:tcPr>
                <w:p w14:paraId="2B6F522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68432</w:t>
                  </w:r>
                </w:p>
              </w:tc>
              <w:tc>
                <w:tcPr>
                  <w:tcW w:w="933" w:type="dxa"/>
                  <w:tcBorders>
                    <w:tl2br w:val="nil"/>
                    <w:tr2bl w:val="nil"/>
                  </w:tcBorders>
                  <w:shd w:val="clear" w:color="auto" w:fill="auto"/>
                  <w:vAlign w:val="center"/>
                </w:tcPr>
                <w:p w14:paraId="46E590CE">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99</w:t>
                  </w:r>
                </w:p>
              </w:tc>
              <w:tc>
                <w:tcPr>
                  <w:tcW w:w="747" w:type="dxa"/>
                  <w:tcBorders>
                    <w:tl2br w:val="nil"/>
                    <w:tr2bl w:val="nil"/>
                  </w:tcBorders>
                  <w:shd w:val="clear" w:color="auto" w:fill="auto"/>
                  <w:vAlign w:val="center"/>
                </w:tcPr>
                <w:p w14:paraId="27B1B66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1.54</w:t>
                  </w:r>
                </w:p>
              </w:tc>
              <w:tc>
                <w:tcPr>
                  <w:tcW w:w="1420" w:type="dxa"/>
                  <w:tcBorders>
                    <w:tl2br w:val="nil"/>
                    <w:tr2bl w:val="nil"/>
                  </w:tcBorders>
                  <w:shd w:val="clear" w:color="auto" w:fill="auto"/>
                  <w:vAlign w:val="center"/>
                </w:tcPr>
                <w:p w14:paraId="5782DC6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54.01</w:t>
                  </w:r>
                </w:p>
              </w:tc>
              <w:tc>
                <w:tcPr>
                  <w:tcW w:w="1133" w:type="dxa"/>
                  <w:tcBorders>
                    <w:tl2br w:val="nil"/>
                    <w:tr2bl w:val="nil"/>
                  </w:tcBorders>
                  <w:shd w:val="clear" w:color="auto" w:fill="auto"/>
                  <w:vAlign w:val="center"/>
                </w:tcPr>
                <w:p w14:paraId="3F96B093">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0.02858</w:t>
                  </w:r>
                </w:p>
              </w:tc>
              <w:tc>
                <w:tcPr>
                  <w:tcW w:w="1016" w:type="dxa"/>
                  <w:tcBorders>
                    <w:tl2br w:val="nil"/>
                    <w:tr2bl w:val="nil"/>
                  </w:tcBorders>
                  <w:shd w:val="clear" w:color="auto" w:fill="auto"/>
                  <w:vAlign w:val="center"/>
                </w:tcPr>
                <w:p w14:paraId="2BCE50B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382548.566</w:t>
                  </w:r>
                </w:p>
              </w:tc>
            </w:tr>
            <w:tr w14:paraId="37A1E2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59" w:type="dxa"/>
                  <w:vMerge w:val="restart"/>
                  <w:tcBorders>
                    <w:tl2br w:val="nil"/>
                    <w:tr2bl w:val="nil"/>
                  </w:tcBorders>
                  <w:shd w:val="clear" w:color="auto" w:fill="auto"/>
                  <w:vAlign w:val="center"/>
                </w:tcPr>
                <w:p w14:paraId="582082D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E</w:t>
                  </w:r>
                  <w:r>
                    <w:rPr>
                      <w:rFonts w:hint="default" w:ascii="Times New Roman" w:hAnsi="Times New Roman" w:cs="Times New Roman"/>
                      <w:b/>
                      <w:bCs/>
                      <w:i w:val="0"/>
                      <w:iCs w:val="0"/>
                      <w:color w:val="auto"/>
                      <w:kern w:val="0"/>
                      <w:sz w:val="21"/>
                      <w:szCs w:val="21"/>
                      <w:u w:val="none"/>
                      <w:vertAlign w:val="subscript"/>
                      <w:lang w:val="en-US" w:eastAsia="zh-CN" w:bidi="ar"/>
                    </w:rPr>
                    <w:t>电</w:t>
                  </w:r>
                </w:p>
              </w:tc>
              <w:tc>
                <w:tcPr>
                  <w:tcW w:w="1467" w:type="dxa"/>
                  <w:gridSpan w:val="2"/>
                  <w:tcBorders>
                    <w:tl2br w:val="nil"/>
                    <w:tr2bl w:val="nil"/>
                  </w:tcBorders>
                  <w:shd w:val="clear" w:color="auto" w:fill="auto"/>
                  <w:vAlign w:val="center"/>
                </w:tcPr>
                <w:p w14:paraId="7F2A138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耗电量</w:t>
                  </w:r>
                  <w:r>
                    <w:rPr>
                      <w:rFonts w:hint="eastAsia" w:cs="Times New Roman"/>
                      <w:b/>
                      <w:bCs/>
                      <w:i w:val="0"/>
                      <w:iCs w:val="0"/>
                      <w:color w:val="auto"/>
                      <w:kern w:val="0"/>
                      <w:sz w:val="21"/>
                      <w:szCs w:val="21"/>
                      <w:u w:val="none"/>
                      <w:lang w:val="en-US" w:eastAsia="zh-CN" w:bidi="ar"/>
                    </w:rPr>
                    <w:t>（</w:t>
                  </w:r>
                  <w:r>
                    <w:rPr>
                      <w:rFonts w:hint="default" w:ascii="Times New Roman" w:hAnsi="Times New Roman" w:eastAsia="宋体" w:cs="Times New Roman"/>
                      <w:b/>
                      <w:bCs/>
                      <w:i w:val="0"/>
                      <w:iCs w:val="0"/>
                      <w:color w:val="auto"/>
                      <w:kern w:val="0"/>
                      <w:sz w:val="21"/>
                      <w:szCs w:val="21"/>
                      <w:u w:val="none"/>
                      <w:lang w:val="en-US" w:eastAsia="zh-CN" w:bidi="ar"/>
                    </w:rPr>
                    <w:t>Mwh）</w:t>
                  </w:r>
                </w:p>
              </w:tc>
              <w:tc>
                <w:tcPr>
                  <w:tcW w:w="1833" w:type="dxa"/>
                  <w:gridSpan w:val="2"/>
                  <w:tcBorders>
                    <w:tl2br w:val="nil"/>
                    <w:tr2bl w:val="nil"/>
                  </w:tcBorders>
                  <w:shd w:val="clear" w:color="auto" w:fill="auto"/>
                  <w:vAlign w:val="center"/>
                </w:tcPr>
                <w:p w14:paraId="554BFE6A">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电力消费排放因子（tCO</w:t>
                  </w:r>
                  <w:r>
                    <w:rPr>
                      <w:rFonts w:hint="default" w:ascii="Times New Roman" w:hAnsi="Times New Roman" w:eastAsia="宋体" w:cs="Times New Roman"/>
                      <w:b/>
                      <w:bCs/>
                      <w:i w:val="0"/>
                      <w:iCs w:val="0"/>
                      <w:color w:val="auto"/>
                      <w:kern w:val="0"/>
                      <w:sz w:val="21"/>
                      <w:szCs w:val="21"/>
                      <w:u w:val="none"/>
                      <w:vertAlign w:val="subscript"/>
                      <w:lang w:val="en-US" w:eastAsia="zh-CN" w:bidi="ar"/>
                    </w:rPr>
                    <w:t>2</w:t>
                  </w:r>
                  <w:r>
                    <w:rPr>
                      <w:rFonts w:hint="default" w:ascii="Times New Roman" w:hAnsi="Times New Roman" w:eastAsia="宋体" w:cs="Times New Roman"/>
                      <w:b/>
                      <w:bCs/>
                      <w:i w:val="0"/>
                      <w:iCs w:val="0"/>
                      <w:color w:val="auto"/>
                      <w:kern w:val="0"/>
                      <w:sz w:val="21"/>
                      <w:szCs w:val="21"/>
                      <w:u w:val="none"/>
                      <w:lang w:val="en-US" w:eastAsia="zh-CN" w:bidi="ar"/>
                    </w:rPr>
                    <w:t>/Mwh）</w:t>
                  </w:r>
                </w:p>
              </w:tc>
              <w:tc>
                <w:tcPr>
                  <w:tcW w:w="4316" w:type="dxa"/>
                  <w:gridSpan w:val="4"/>
                  <w:tcBorders>
                    <w:tl2br w:val="nil"/>
                    <w:tr2bl w:val="nil"/>
                  </w:tcBorders>
                  <w:shd w:val="clear" w:color="auto" w:fill="auto"/>
                  <w:vAlign w:val="center"/>
                </w:tcPr>
                <w:p w14:paraId="007EF914">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E购入的电力消费产生的排放（tCO</w:t>
                  </w:r>
                  <w:r>
                    <w:rPr>
                      <w:rFonts w:hint="default" w:ascii="Times New Roman" w:hAnsi="Times New Roman" w:eastAsia="宋体" w:cs="Times New Roman"/>
                      <w:b/>
                      <w:bCs/>
                      <w:i w:val="0"/>
                      <w:iCs w:val="0"/>
                      <w:color w:val="auto"/>
                      <w:kern w:val="0"/>
                      <w:sz w:val="21"/>
                      <w:szCs w:val="21"/>
                      <w:u w:val="none"/>
                      <w:vertAlign w:val="subscript"/>
                      <w:lang w:val="en-US" w:eastAsia="zh-CN" w:bidi="ar"/>
                    </w:rPr>
                    <w:t>2</w:t>
                  </w:r>
                  <w:r>
                    <w:rPr>
                      <w:rFonts w:hint="default" w:ascii="Times New Roman" w:hAnsi="Times New Roman" w:eastAsia="宋体" w:cs="Times New Roman"/>
                      <w:b/>
                      <w:bCs/>
                      <w:i w:val="0"/>
                      <w:iCs w:val="0"/>
                      <w:color w:val="auto"/>
                      <w:kern w:val="0"/>
                      <w:sz w:val="21"/>
                      <w:szCs w:val="21"/>
                      <w:u w:val="none"/>
                      <w:lang w:val="en-US" w:eastAsia="zh-CN" w:bidi="ar"/>
                    </w:rPr>
                    <w:t>）</w:t>
                  </w:r>
                </w:p>
              </w:tc>
            </w:tr>
            <w:tr w14:paraId="107668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59" w:type="dxa"/>
                  <w:vMerge w:val="continue"/>
                  <w:tcBorders>
                    <w:tl2br w:val="nil"/>
                    <w:tr2bl w:val="nil"/>
                  </w:tcBorders>
                  <w:shd w:val="clear" w:color="auto" w:fill="auto"/>
                  <w:vAlign w:val="center"/>
                </w:tcPr>
                <w:p w14:paraId="1BD4FD1D">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kern w:val="0"/>
                      <w:sz w:val="21"/>
                      <w:szCs w:val="21"/>
                      <w:u w:val="none"/>
                      <w:lang w:val="en-US" w:eastAsia="zh-CN" w:bidi="ar"/>
                    </w:rPr>
                  </w:pPr>
                </w:p>
              </w:tc>
              <w:tc>
                <w:tcPr>
                  <w:tcW w:w="1467" w:type="dxa"/>
                  <w:gridSpan w:val="2"/>
                  <w:tcBorders>
                    <w:tl2br w:val="nil"/>
                    <w:tr2bl w:val="nil"/>
                  </w:tcBorders>
                  <w:shd w:val="clear" w:color="auto" w:fill="auto"/>
                  <w:vAlign w:val="center"/>
                </w:tcPr>
                <w:p w14:paraId="29AEBAA8">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250</w:t>
                  </w:r>
                </w:p>
              </w:tc>
              <w:tc>
                <w:tcPr>
                  <w:tcW w:w="1833" w:type="dxa"/>
                  <w:gridSpan w:val="2"/>
                  <w:tcBorders>
                    <w:tl2br w:val="nil"/>
                    <w:tr2bl w:val="nil"/>
                  </w:tcBorders>
                  <w:shd w:val="clear" w:color="auto" w:fill="auto"/>
                  <w:vAlign w:val="center"/>
                </w:tcPr>
                <w:p w14:paraId="098B3C06">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0.6231</w:t>
                  </w:r>
                </w:p>
              </w:tc>
              <w:tc>
                <w:tcPr>
                  <w:tcW w:w="4316" w:type="dxa"/>
                  <w:gridSpan w:val="4"/>
                  <w:tcBorders>
                    <w:tl2br w:val="nil"/>
                    <w:tr2bl w:val="nil"/>
                  </w:tcBorders>
                  <w:shd w:val="clear" w:color="auto" w:fill="auto"/>
                  <w:vAlign w:val="center"/>
                </w:tcPr>
                <w:p w14:paraId="4633973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155.775</w:t>
                  </w:r>
                </w:p>
              </w:tc>
            </w:tr>
            <w:tr w14:paraId="2A9065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3" w:hRule="atLeast"/>
              </w:trPr>
              <w:tc>
                <w:tcPr>
                  <w:tcW w:w="1926" w:type="dxa"/>
                  <w:gridSpan w:val="3"/>
                  <w:tcBorders>
                    <w:tl2br w:val="nil"/>
                    <w:tr2bl w:val="nil"/>
                  </w:tcBorders>
                  <w:shd w:val="clear" w:color="auto" w:fill="auto"/>
                  <w:noWrap/>
                  <w:vAlign w:val="center"/>
                </w:tcPr>
                <w:p w14:paraId="60D2EBE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合计（tCO</w:t>
                  </w:r>
                  <w:r>
                    <w:rPr>
                      <w:rFonts w:hint="default" w:ascii="Times New Roman" w:hAnsi="Times New Roman" w:eastAsia="宋体" w:cs="Times New Roman"/>
                      <w:i w:val="0"/>
                      <w:iCs w:val="0"/>
                      <w:color w:val="auto"/>
                      <w:kern w:val="0"/>
                      <w:sz w:val="21"/>
                      <w:szCs w:val="21"/>
                      <w:u w:val="none"/>
                      <w:vertAlign w:val="subscript"/>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w:t>
                  </w:r>
                </w:p>
              </w:tc>
              <w:tc>
                <w:tcPr>
                  <w:tcW w:w="6149" w:type="dxa"/>
                  <w:gridSpan w:val="6"/>
                  <w:tcBorders>
                    <w:tl2br w:val="nil"/>
                    <w:tr2bl w:val="nil"/>
                  </w:tcBorders>
                  <w:shd w:val="clear" w:color="auto" w:fill="auto"/>
                  <w:noWrap/>
                  <w:vAlign w:val="center"/>
                </w:tcPr>
                <w:p w14:paraId="05B75A02">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382704.341</w:t>
                  </w:r>
                </w:p>
              </w:tc>
            </w:tr>
          </w:tbl>
          <w:p w14:paraId="28E05D77">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1"/>
                <w:szCs w:val="21"/>
                <w:u w:val="none"/>
                <w:vertAlign w:val="baseline"/>
                <w:lang w:val="en-US" w:eastAsia="zh-CN" w:bidi="ar"/>
              </w:rPr>
            </w:pPr>
            <w:r>
              <w:rPr>
                <w:rFonts w:hint="default" w:ascii="Times New Roman" w:hAnsi="Times New Roman" w:cs="Times New Roman"/>
                <w:color w:val="auto"/>
                <w:lang w:val="en-US" w:eastAsia="zh-CN"/>
              </w:rPr>
              <w:t>综上，本项目</w:t>
            </w:r>
            <w:r>
              <w:rPr>
                <w:rFonts w:hint="default" w:ascii="Times New Roman" w:hAnsi="Times New Roman" w:cs="Times New Roman"/>
                <w:color w:val="auto"/>
              </w:rPr>
              <w:t>温室气体排放总量</w:t>
            </w:r>
            <w:r>
              <w:rPr>
                <w:rFonts w:hint="default" w:ascii="Times New Roman" w:hAnsi="Times New Roman" w:cs="Times New Roman"/>
                <w:color w:val="auto"/>
                <w:lang w:val="en-US" w:eastAsia="zh-CN"/>
              </w:rPr>
              <w:t>为382704.341</w:t>
            </w:r>
            <w:r>
              <w:rPr>
                <w:rFonts w:hint="default" w:ascii="Times New Roman" w:hAnsi="Times New Roman" w:eastAsia="宋体" w:cs="Times New Roman"/>
                <w:i w:val="0"/>
                <w:iCs w:val="0"/>
                <w:color w:val="auto"/>
                <w:kern w:val="0"/>
                <w:sz w:val="21"/>
                <w:szCs w:val="21"/>
                <w:u w:val="none"/>
                <w:lang w:val="en-US" w:eastAsia="zh-CN" w:bidi="ar"/>
              </w:rPr>
              <w:t>tCO</w:t>
            </w:r>
            <w:r>
              <w:rPr>
                <w:rFonts w:hint="default" w:ascii="Times New Roman" w:hAnsi="Times New Roman" w:eastAsia="宋体" w:cs="Times New Roman"/>
                <w:i w:val="0"/>
                <w:iCs w:val="0"/>
                <w:color w:val="auto"/>
                <w:kern w:val="0"/>
                <w:sz w:val="21"/>
                <w:szCs w:val="21"/>
                <w:u w:val="none"/>
                <w:vertAlign w:val="subscript"/>
                <w:lang w:val="en-US" w:eastAsia="zh-CN" w:bidi="ar"/>
              </w:rPr>
              <w:t>2</w:t>
            </w:r>
            <w:r>
              <w:rPr>
                <w:rFonts w:hint="default" w:ascii="Times New Roman" w:hAnsi="Times New Roman" w:cs="Times New Roman"/>
                <w:i w:val="0"/>
                <w:iCs w:val="0"/>
                <w:color w:val="auto"/>
                <w:kern w:val="0"/>
                <w:sz w:val="21"/>
                <w:szCs w:val="21"/>
                <w:u w:val="none"/>
                <w:vertAlign w:val="baseline"/>
                <w:lang w:val="en-US" w:eastAsia="zh-CN" w:bidi="ar"/>
              </w:rPr>
              <w:t>。</w:t>
            </w:r>
          </w:p>
          <w:p w14:paraId="44BFA331">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2" w:firstLineChars="200"/>
              <w:textAlignment w:val="auto"/>
              <w:rPr>
                <w:rFonts w:hint="default" w:ascii="Times New Roman" w:hAnsi="Times New Roman" w:eastAsia="宋体" w:cs="Times New Roman"/>
                <w:b/>
                <w:bCs w:val="0"/>
                <w:color w:val="auto"/>
                <w:kern w:val="2"/>
                <w:sz w:val="24"/>
                <w:szCs w:val="24"/>
                <w:lang w:val="en-US" w:eastAsia="zh-CN" w:bidi="ar-SA"/>
              </w:rPr>
            </w:pPr>
            <w:r>
              <w:rPr>
                <w:rFonts w:hint="default" w:ascii="Times New Roman" w:hAnsi="Times New Roman" w:eastAsia="宋体" w:cs="Times New Roman"/>
                <w:b/>
                <w:bCs w:val="0"/>
                <w:color w:val="auto"/>
                <w:kern w:val="2"/>
                <w:sz w:val="24"/>
                <w:szCs w:val="24"/>
                <w:lang w:val="en-US" w:eastAsia="zh-CN" w:bidi="ar-SA"/>
              </w:rPr>
              <w:t>2.8.2减污降碳措施</w:t>
            </w:r>
          </w:p>
          <w:p w14:paraId="6EF00B4D">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项目从厂内外运输、工艺技术、节能设备和能源及碳排放管理等方面均采取了一系列减污降碳措施，具体如下：</w:t>
            </w:r>
          </w:p>
          <w:p w14:paraId="10272BEB">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（1）厂内外运输减污降碳措施分析</w:t>
            </w:r>
          </w:p>
          <w:p w14:paraId="2E51297B">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①项目在总图布置时，根据工艺生产的需要，按照工艺流向布置，物料顺行，合理分配运输量，减少物流，减少折返、迂回以及货物的重复装卸和搬运，减少厂内运输货物周转量，缩短运输距离，从而减少厂区内运输车辆、非道路移动机械等移动设备燃烧产生的CO</w:t>
            </w:r>
            <w:r>
              <w:rPr>
                <w:rFonts w:hint="default" w:ascii="Times New Roman" w:hAnsi="Times New Roman" w:cs="Times New Roman"/>
                <w:i w:val="0"/>
                <w:iCs w:val="0"/>
                <w:color w:val="auto"/>
                <w:kern w:val="0"/>
                <w:sz w:val="24"/>
                <w:szCs w:val="24"/>
                <w:u w:val="none"/>
                <w:vertAlign w:val="subscript"/>
                <w:lang w:val="en-US" w:eastAsia="zh-CN" w:bidi="ar"/>
              </w:rPr>
              <w:t>2</w:t>
            </w:r>
            <w:r>
              <w:rPr>
                <w:rFonts w:hint="default" w:ascii="Times New Roman" w:hAnsi="Times New Roman" w:cs="Times New Roman"/>
                <w:i w:val="0"/>
                <w:iCs w:val="0"/>
                <w:color w:val="auto"/>
                <w:kern w:val="0"/>
                <w:sz w:val="24"/>
                <w:szCs w:val="24"/>
                <w:u w:val="none"/>
                <w:vertAlign w:val="baseline"/>
                <w:lang w:val="en-US" w:eastAsia="zh-CN" w:bidi="ar"/>
              </w:rPr>
              <w:t>排放量。</w:t>
            </w:r>
          </w:p>
          <w:p w14:paraId="57449581">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②工艺设备和建构筑物合理布局，水泵房、变配电设施等均设置在负荷中心，减少电力等能源输送损耗，减少电力隐含的CO</w:t>
            </w:r>
            <w:r>
              <w:rPr>
                <w:rFonts w:hint="default" w:ascii="Times New Roman" w:hAnsi="Times New Roman" w:cs="Times New Roman"/>
                <w:i w:val="0"/>
                <w:iCs w:val="0"/>
                <w:color w:val="auto"/>
                <w:kern w:val="0"/>
                <w:sz w:val="24"/>
                <w:szCs w:val="24"/>
                <w:u w:val="none"/>
                <w:vertAlign w:val="subscript"/>
                <w:lang w:val="en-US" w:eastAsia="zh-CN" w:bidi="ar"/>
              </w:rPr>
              <w:t>2</w:t>
            </w:r>
            <w:r>
              <w:rPr>
                <w:rFonts w:hint="default" w:ascii="Times New Roman" w:hAnsi="Times New Roman" w:cs="Times New Roman"/>
                <w:i w:val="0"/>
                <w:iCs w:val="0"/>
                <w:color w:val="auto"/>
                <w:kern w:val="0"/>
                <w:sz w:val="24"/>
                <w:szCs w:val="24"/>
                <w:u w:val="none"/>
                <w:vertAlign w:val="baseline"/>
                <w:lang w:val="en-US" w:eastAsia="zh-CN" w:bidi="ar"/>
              </w:rPr>
              <w:t>排放量。</w:t>
            </w:r>
          </w:p>
          <w:p w14:paraId="641BF61F">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（2）电气设备减污降碳措施</w:t>
            </w:r>
          </w:p>
          <w:p w14:paraId="2357CF8E">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项目在电气设备设施上采用了多种节能措施，从而间接减少了电力隐含的CO</w:t>
            </w:r>
            <w:r>
              <w:rPr>
                <w:rFonts w:hint="default" w:ascii="Times New Roman" w:hAnsi="Times New Roman" w:cs="Times New Roman"/>
                <w:i w:val="0"/>
                <w:iCs w:val="0"/>
                <w:color w:val="auto"/>
                <w:kern w:val="0"/>
                <w:sz w:val="24"/>
                <w:szCs w:val="24"/>
                <w:u w:val="none"/>
                <w:vertAlign w:val="subscript"/>
                <w:lang w:val="en-US" w:eastAsia="zh-CN" w:bidi="ar"/>
              </w:rPr>
              <w:t>2</w:t>
            </w:r>
            <w:r>
              <w:rPr>
                <w:rFonts w:hint="default" w:ascii="Times New Roman" w:hAnsi="Times New Roman" w:cs="Times New Roman"/>
                <w:i w:val="0"/>
                <w:iCs w:val="0"/>
                <w:color w:val="auto"/>
                <w:kern w:val="0"/>
                <w:sz w:val="24"/>
                <w:szCs w:val="24"/>
                <w:u w:val="none"/>
                <w:vertAlign w:val="baseline"/>
                <w:lang w:val="en-US" w:eastAsia="zh-CN" w:bidi="ar"/>
              </w:rPr>
              <w:t>排放量。具体措施主要有：</w:t>
            </w:r>
          </w:p>
          <w:p w14:paraId="1D8AC03F">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①根据项目用电性质、用电容量等选择合理的供电电压和供电方式，有效减少电能损耗。</w:t>
            </w:r>
          </w:p>
          <w:p w14:paraId="0F0428B6">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eastAsia" w:cs="Times New Roman"/>
                <w:i w:val="0"/>
                <w:iCs w:val="0"/>
                <w:color w:val="auto"/>
                <w:kern w:val="0"/>
                <w:sz w:val="24"/>
                <w:szCs w:val="24"/>
                <w:u w:val="none"/>
                <w:vertAlign w:val="baseline"/>
                <w:lang w:val="en-US" w:eastAsia="zh-CN" w:bidi="ar"/>
              </w:rPr>
              <w:t>②</w:t>
            </w:r>
            <w:r>
              <w:rPr>
                <w:rFonts w:hint="default" w:ascii="Times New Roman" w:hAnsi="Times New Roman" w:cs="Times New Roman"/>
                <w:i w:val="0"/>
                <w:iCs w:val="0"/>
                <w:color w:val="auto"/>
                <w:kern w:val="0"/>
                <w:sz w:val="24"/>
                <w:szCs w:val="24"/>
                <w:u w:val="none"/>
                <w:vertAlign w:val="baseline"/>
                <w:lang w:val="en-US" w:eastAsia="zh-CN" w:bidi="ar"/>
              </w:rPr>
              <w:t>负载变化较大的风机、泵类采用变频器调速控制，进一步降低能耗。</w:t>
            </w:r>
          </w:p>
          <w:p w14:paraId="15B19D1A">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（3）管理减污降碳措施</w:t>
            </w:r>
          </w:p>
          <w:p w14:paraId="39FCC3B9">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①能源及碳排放管理及制度</w:t>
            </w:r>
          </w:p>
          <w:p w14:paraId="550699D5">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公司建立企业温室气体排放报告的质量保证和文件存档制度，包括：</w:t>
            </w:r>
          </w:p>
          <w:p w14:paraId="28479348">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1）指定专门人员负责企业温室气体排放核算和报告工作；</w:t>
            </w:r>
          </w:p>
          <w:p w14:paraId="7B3A4F19">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2）建立健全企业温室气体排放监测计划。定期监测主要燃料的低位发热量和含碳量、关键原材料和产品的含碳量</w:t>
            </w:r>
            <w:r>
              <w:rPr>
                <w:rFonts w:hint="eastAsia" w:cs="Times New Roman"/>
                <w:i w:val="0"/>
                <w:iCs w:val="0"/>
                <w:color w:val="auto"/>
                <w:kern w:val="0"/>
                <w:sz w:val="24"/>
                <w:szCs w:val="24"/>
                <w:u w:val="none"/>
                <w:vertAlign w:val="baseline"/>
                <w:lang w:val="en-US" w:eastAsia="zh-CN" w:bidi="ar"/>
              </w:rPr>
              <w:t>以及</w:t>
            </w:r>
            <w:r>
              <w:rPr>
                <w:rFonts w:hint="default" w:ascii="Times New Roman" w:hAnsi="Times New Roman" w:cs="Times New Roman"/>
                <w:i w:val="0"/>
                <w:iCs w:val="0"/>
                <w:color w:val="auto"/>
                <w:kern w:val="0"/>
                <w:sz w:val="24"/>
                <w:szCs w:val="24"/>
                <w:u w:val="none"/>
                <w:vertAlign w:val="baseline"/>
                <w:lang w:val="en-US" w:eastAsia="zh-CN" w:bidi="ar"/>
              </w:rPr>
              <w:t>重点燃烧设备的碳氧化率；</w:t>
            </w:r>
          </w:p>
          <w:p w14:paraId="7C36200E">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3）建立健全企业温室气体排放和能源消耗台账记录；</w:t>
            </w:r>
          </w:p>
          <w:p w14:paraId="47E12BC2">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4）建立企业温室气体数据和文件保存和归档管理制度；</w:t>
            </w:r>
          </w:p>
          <w:p w14:paraId="184D7CFB">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5）建立企业温室气体排放报告内部审核制度。</w:t>
            </w:r>
          </w:p>
          <w:p w14:paraId="4244D3EC">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②能源计量管理</w:t>
            </w:r>
          </w:p>
          <w:p w14:paraId="080EB423">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公司安全环保部负责贯彻执行上级有关规定，加强管理、统一量值，公司制定《计量管理制度》，对相关用能点的计量器具配备情况进行强制要求，还对计量技术档案管理、计量器具流转制度、计量器具周期检定制度等作出明确规定，并对能源计量器具的精度和检测率提出了明确的要求。</w:t>
            </w:r>
          </w:p>
          <w:p w14:paraId="1AB8E81A">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（4）能源统计管理</w:t>
            </w:r>
          </w:p>
          <w:p w14:paraId="16FDE7C6">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4"/>
                <w:szCs w:val="24"/>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建设单位对各部门能源消耗进行统计，建立能源消耗平衡表，从而提出技术上和管理上的节能改进措施，不断提高能源管理水平。制定先进的、合理的能耗定额，确保定额考核的严肃性和科学性。制定《能源统计管理制度》，该制度规定由安全环保部建立能源统计台账，定期开展能源消耗统计、分析、核查工作，并将统计数据按要求上报上级节能主管部门。规定各种能源原始记录要完整、齐全，统计数据要真实、准确、完整、及时，同时为企业碳排放活动水平统计提供依据。</w:t>
            </w:r>
          </w:p>
          <w:p w14:paraId="6911E1F1">
            <w:pPr>
              <w:pStyle w:val="31"/>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default" w:ascii="Times New Roman" w:hAnsi="Times New Roman" w:cs="Times New Roman"/>
                <w:i w:val="0"/>
                <w:iCs w:val="0"/>
                <w:color w:val="auto"/>
                <w:kern w:val="0"/>
                <w:sz w:val="21"/>
                <w:szCs w:val="21"/>
                <w:u w:val="none"/>
                <w:vertAlign w:val="baseline"/>
                <w:lang w:val="en-US" w:eastAsia="zh-CN" w:bidi="ar"/>
              </w:rPr>
            </w:pPr>
            <w:r>
              <w:rPr>
                <w:rFonts w:hint="default" w:ascii="Times New Roman" w:hAnsi="Times New Roman" w:cs="Times New Roman"/>
                <w:i w:val="0"/>
                <w:iCs w:val="0"/>
                <w:color w:val="auto"/>
                <w:kern w:val="0"/>
                <w:sz w:val="24"/>
                <w:szCs w:val="24"/>
                <w:u w:val="none"/>
                <w:vertAlign w:val="baseline"/>
                <w:lang w:val="en-US" w:eastAsia="zh-CN" w:bidi="ar"/>
              </w:rPr>
              <w:t>综上，项目在厂内外运输、电气设备、节能设备和管理等方面均采用了当前国内较成熟、先进的减污降碳措施。项目减污降碳措施整体可行。</w:t>
            </w:r>
          </w:p>
        </w:tc>
      </w:tr>
    </w:tbl>
    <w:p w14:paraId="37A48947">
      <w:pPr>
        <w:keepNext w:val="0"/>
        <w:keepLines w:val="0"/>
        <w:pageBreakBefore w:val="0"/>
        <w:kinsoku/>
        <w:wordWrap/>
        <w:bidi w:val="0"/>
        <w:adjustRightInd/>
        <w:snapToGrid/>
        <w:spacing w:line="360" w:lineRule="auto"/>
        <w:rPr>
          <w:rFonts w:hint="default" w:ascii="Times New Roman" w:hAnsi="Times New Roman" w:eastAsia="宋体" w:cs="Times New Roman"/>
          <w:b/>
          <w:color w:val="auto"/>
          <w:kern w:val="0"/>
          <w:sz w:val="28"/>
          <w:szCs w:val="28"/>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425" w:num="1"/>
          <w:docGrid w:linePitch="312" w:charSpace="0"/>
        </w:sectPr>
      </w:pPr>
    </w:p>
    <w:p w14:paraId="16C0FA48">
      <w:pPr>
        <w:pStyle w:val="28"/>
        <w:jc w:val="center"/>
        <w:outlineLvl w:val="0"/>
        <w:rPr>
          <w:rFonts w:hint="default" w:ascii="Times New Roman" w:hAnsi="Times New Roman" w:eastAsia="黑体" w:cs="Times New Roman"/>
          <w:snapToGrid w:val="0"/>
          <w:color w:val="auto"/>
          <w:sz w:val="30"/>
          <w:szCs w:val="30"/>
        </w:rPr>
      </w:pPr>
      <w:bookmarkStart w:id="47" w:name="_Toc13213"/>
      <w:r>
        <w:rPr>
          <w:rFonts w:hint="default" w:ascii="Times New Roman" w:hAnsi="Times New Roman" w:eastAsia="黑体" w:cs="Times New Roman"/>
          <w:snapToGrid w:val="0"/>
          <w:color w:val="auto"/>
          <w:sz w:val="30"/>
          <w:szCs w:val="30"/>
        </w:rPr>
        <w:t>五、</w:t>
      </w:r>
      <w:bookmarkStart w:id="48" w:name="_Hlk54167917"/>
      <w:r>
        <w:rPr>
          <w:rFonts w:hint="default" w:ascii="Times New Roman" w:hAnsi="Times New Roman" w:eastAsia="黑体" w:cs="Times New Roman"/>
          <w:snapToGrid w:val="0"/>
          <w:color w:val="auto"/>
          <w:sz w:val="30"/>
          <w:szCs w:val="30"/>
        </w:rPr>
        <w:t>环境保护措施监督检查清单</w:t>
      </w:r>
      <w:bookmarkEnd w:id="47"/>
      <w:bookmarkEnd w:id="48"/>
    </w:p>
    <w:tbl>
      <w:tblPr>
        <w:tblStyle w:val="32"/>
        <w:tblW w:w="88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94"/>
        <w:gridCol w:w="1434"/>
        <w:gridCol w:w="1028"/>
        <w:gridCol w:w="2963"/>
        <w:gridCol w:w="2281"/>
      </w:tblGrid>
      <w:tr w14:paraId="17A36A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4" w:type="dxa"/>
            <w:tcBorders>
              <w:tl2br w:val="single" w:color="auto" w:sz="4" w:space="0"/>
            </w:tcBorders>
            <w:noWrap w:val="0"/>
            <w:vAlign w:val="top"/>
          </w:tcPr>
          <w:p w14:paraId="0FBCB6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right"/>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内容</w:t>
            </w:r>
          </w:p>
          <w:p w14:paraId="29E36CE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eastAsia="宋体" w:cs="Times New Roman"/>
                <w:b/>
                <w:bCs/>
                <w:color w:val="auto"/>
                <w:sz w:val="24"/>
                <w:szCs w:val="24"/>
              </w:rPr>
            </w:pPr>
          </w:p>
          <w:p w14:paraId="5B1B415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要素</w:t>
            </w:r>
          </w:p>
        </w:tc>
        <w:tc>
          <w:tcPr>
            <w:tcW w:w="1434" w:type="dxa"/>
            <w:noWrap w:val="0"/>
            <w:vAlign w:val="center"/>
          </w:tcPr>
          <w:p w14:paraId="329B9FE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排放口</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rPr>
              <w:t>编号、名称</w:t>
            </w:r>
            <w:r>
              <w:rPr>
                <w:rFonts w:hint="default" w:ascii="Times New Roman" w:hAnsi="Times New Roman" w:eastAsia="宋体" w:cs="Times New Roman"/>
                <w:b/>
                <w:bCs/>
                <w:color w:val="auto"/>
                <w:sz w:val="24"/>
                <w:szCs w:val="24"/>
                <w:lang w:eastAsia="zh-CN"/>
              </w:rPr>
              <w:t>）</w:t>
            </w:r>
            <w:r>
              <w:rPr>
                <w:rFonts w:hint="default" w:ascii="Times New Roman" w:hAnsi="Times New Roman" w:eastAsia="宋体" w:cs="Times New Roman"/>
                <w:b/>
                <w:bCs/>
                <w:color w:val="auto"/>
                <w:sz w:val="24"/>
                <w:szCs w:val="24"/>
              </w:rPr>
              <w:t>/污染源</w:t>
            </w:r>
          </w:p>
        </w:tc>
        <w:tc>
          <w:tcPr>
            <w:tcW w:w="1028" w:type="dxa"/>
            <w:noWrap w:val="0"/>
            <w:vAlign w:val="center"/>
          </w:tcPr>
          <w:p w14:paraId="3BBEFA5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污染物</w:t>
            </w:r>
          </w:p>
          <w:p w14:paraId="32362B3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项目</w:t>
            </w:r>
          </w:p>
        </w:tc>
        <w:tc>
          <w:tcPr>
            <w:tcW w:w="2963" w:type="dxa"/>
            <w:noWrap w:val="0"/>
            <w:vAlign w:val="center"/>
          </w:tcPr>
          <w:p w14:paraId="6BA7BB2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环境保护措施</w:t>
            </w:r>
          </w:p>
        </w:tc>
        <w:tc>
          <w:tcPr>
            <w:tcW w:w="2281" w:type="dxa"/>
            <w:noWrap w:val="0"/>
            <w:vAlign w:val="center"/>
          </w:tcPr>
          <w:p w14:paraId="6A9AF0D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执行标准</w:t>
            </w:r>
          </w:p>
        </w:tc>
      </w:tr>
      <w:tr w14:paraId="7005C9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4" w:type="dxa"/>
            <w:vMerge w:val="restart"/>
            <w:noWrap w:val="0"/>
            <w:vAlign w:val="center"/>
          </w:tcPr>
          <w:p w14:paraId="2163F3E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大气</w:t>
            </w:r>
          </w:p>
          <w:p w14:paraId="468C5D6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环境</w:t>
            </w:r>
          </w:p>
        </w:tc>
        <w:tc>
          <w:tcPr>
            <w:tcW w:w="1434" w:type="dxa"/>
            <w:noWrap w:val="0"/>
            <w:vAlign w:val="center"/>
          </w:tcPr>
          <w:p w14:paraId="02075970">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val="0"/>
                <w:bCs w:val="0"/>
                <w:color w:val="auto"/>
                <w:sz w:val="24"/>
                <w:szCs w:val="24"/>
                <w:lang w:val="en-US" w:eastAsia="zh-CN"/>
              </w:rPr>
            </w:pPr>
            <w:r>
              <w:rPr>
                <w:rFonts w:hint="default" w:ascii="Times New Roman" w:hAnsi="Times New Roman" w:cs="Times New Roman"/>
                <w:color w:val="auto"/>
                <w:sz w:val="24"/>
                <w:szCs w:val="24"/>
                <w:lang w:val="en-US" w:eastAsia="zh-CN"/>
              </w:rPr>
              <w:t>煤气燃烧烟气</w:t>
            </w:r>
            <w:r>
              <w:rPr>
                <w:rFonts w:hint="default" w:ascii="Times New Roman" w:hAnsi="Times New Roman" w:eastAsia="宋体" w:cs="Times New Roman"/>
                <w:b w:val="0"/>
                <w:bCs w:val="0"/>
                <w:color w:val="auto"/>
                <w:sz w:val="24"/>
                <w:szCs w:val="24"/>
                <w:lang w:val="en-US" w:eastAsia="zh-CN"/>
              </w:rPr>
              <w:t>排放口（DA00</w:t>
            </w:r>
            <w:r>
              <w:rPr>
                <w:rFonts w:hint="default" w:ascii="Times New Roman" w:hAnsi="Times New Roman" w:cs="Times New Roman"/>
                <w:b w:val="0"/>
                <w:bCs w:val="0"/>
                <w:color w:val="auto"/>
                <w:sz w:val="24"/>
                <w:szCs w:val="24"/>
                <w:lang w:val="en-US" w:eastAsia="zh-CN"/>
              </w:rPr>
              <w:t>1</w:t>
            </w:r>
            <w:r>
              <w:rPr>
                <w:rFonts w:hint="default" w:ascii="Times New Roman" w:hAnsi="Times New Roman" w:eastAsia="宋体" w:cs="Times New Roman"/>
                <w:b w:val="0"/>
                <w:bCs w:val="0"/>
                <w:color w:val="auto"/>
                <w:sz w:val="24"/>
                <w:szCs w:val="24"/>
                <w:lang w:val="en-US" w:eastAsia="zh-CN"/>
              </w:rPr>
              <w:t>）</w:t>
            </w:r>
          </w:p>
        </w:tc>
        <w:tc>
          <w:tcPr>
            <w:tcW w:w="1028" w:type="dxa"/>
            <w:tcBorders>
              <w:bottom w:val="single" w:color="000000" w:sz="4" w:space="0"/>
            </w:tcBorders>
            <w:noWrap w:val="0"/>
            <w:vAlign w:val="center"/>
          </w:tcPr>
          <w:p w14:paraId="1EEE2E3B">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vertAlign w:val="baseline"/>
                <w:lang w:val="en-US" w:eastAsia="zh-CN"/>
              </w:rPr>
            </w:pPr>
            <w:r>
              <w:rPr>
                <w:rFonts w:hint="default" w:ascii="Times New Roman" w:hAnsi="Times New Roman" w:cs="Times New Roman"/>
                <w:color w:val="auto"/>
                <w:spacing w:val="4"/>
                <w:sz w:val="24"/>
                <w:szCs w:val="24"/>
              </w:rPr>
              <w:t>烟尘</w:t>
            </w:r>
            <w:r>
              <w:rPr>
                <w:rFonts w:hint="default" w:ascii="Times New Roman" w:hAnsi="Times New Roman" w:cs="Times New Roman"/>
                <w:color w:val="auto"/>
                <w:spacing w:val="4"/>
                <w:sz w:val="24"/>
                <w:szCs w:val="24"/>
                <w:lang w:eastAsia="zh-CN"/>
              </w:rPr>
              <w:t>、</w:t>
            </w:r>
            <w:r>
              <w:rPr>
                <w:rFonts w:hint="default" w:ascii="Times New Roman" w:hAnsi="Times New Roman" w:cs="Times New Roman"/>
                <w:color w:val="auto"/>
                <w:spacing w:val="4"/>
                <w:sz w:val="24"/>
                <w:szCs w:val="24"/>
                <w:lang w:val="en-US" w:eastAsia="zh-CN"/>
              </w:rPr>
              <w:t>二氧化硫</w:t>
            </w:r>
          </w:p>
          <w:p w14:paraId="1FE12E38">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pacing w:val="4"/>
                <w:sz w:val="24"/>
                <w:szCs w:val="24"/>
                <w:lang w:eastAsia="zh-CN"/>
              </w:rPr>
              <w:t>、</w:t>
            </w:r>
            <w:r>
              <w:rPr>
                <w:rFonts w:hint="default" w:ascii="Times New Roman" w:hAnsi="Times New Roman" w:eastAsia="宋体" w:cs="Times New Roman"/>
                <w:color w:val="auto"/>
                <w:spacing w:val="7"/>
                <w:sz w:val="24"/>
                <w:szCs w:val="24"/>
                <w:lang w:val="en-US" w:eastAsia="zh-CN"/>
              </w:rPr>
              <w:t>氮氧化物和</w:t>
            </w:r>
            <w:r>
              <w:rPr>
                <w:rFonts w:hint="default" w:ascii="Times New Roman" w:hAnsi="Times New Roman" w:cs="Times New Roman"/>
                <w:color w:val="auto"/>
                <w:spacing w:val="4"/>
                <w:sz w:val="24"/>
                <w:szCs w:val="24"/>
                <w:lang w:eastAsia="zh-CN"/>
              </w:rPr>
              <w:t>林格曼黑度</w:t>
            </w:r>
          </w:p>
          <w:p w14:paraId="16122A3F">
            <w:pPr>
              <w:keepNext w:val="0"/>
              <w:keepLines w:val="0"/>
              <w:pageBreakBefore w:val="0"/>
              <w:wordWrap/>
              <w:overflowPunct/>
              <w:bidi w:val="0"/>
              <w:spacing w:line="240" w:lineRule="auto"/>
              <w:ind w:left="0" w:leftChars="0" w:right="0" w:rightChars="0" w:firstLine="0" w:firstLineChars="0"/>
              <w:jc w:val="center"/>
              <w:rPr>
                <w:rFonts w:hint="default" w:ascii="Times New Roman" w:hAnsi="Times New Roman" w:eastAsia="宋体" w:cs="Times New Roman"/>
                <w:b w:val="0"/>
                <w:bCs w:val="0"/>
                <w:color w:val="auto"/>
                <w:sz w:val="24"/>
                <w:szCs w:val="24"/>
                <w:lang w:val="en-US" w:eastAsia="zh-CN"/>
              </w:rPr>
            </w:pPr>
          </w:p>
        </w:tc>
        <w:tc>
          <w:tcPr>
            <w:tcW w:w="2963" w:type="dxa"/>
            <w:noWrap w:val="0"/>
            <w:vAlign w:val="center"/>
          </w:tcPr>
          <w:p w14:paraId="6BA5CC85">
            <w:pPr>
              <w:pStyle w:val="109"/>
              <w:keepNext w:val="0"/>
              <w:keepLines w:val="0"/>
              <w:pageBreakBefore w:val="0"/>
              <w:widowControl/>
              <w:kinsoku w:val="0"/>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val="0"/>
                <w:bCs/>
                <w:snapToGrid w:val="0"/>
                <w:color w:val="auto"/>
                <w:kern w:val="0"/>
                <w:sz w:val="24"/>
                <w:szCs w:val="24"/>
                <w:highlight w:val="none"/>
                <w:vertAlign w:val="baseline"/>
                <w:lang w:val="en-US" w:eastAsia="zh-CN" w:bidi="ar-SA"/>
              </w:rPr>
            </w:pPr>
            <w:r>
              <w:rPr>
                <w:rFonts w:hint="default" w:ascii="Times New Roman" w:hAnsi="Times New Roman" w:cs="Times New Roman"/>
                <w:color w:val="auto"/>
                <w:sz w:val="24"/>
                <w:szCs w:val="24"/>
                <w:lang w:val="en-US" w:eastAsia="zh-CN"/>
              </w:rPr>
              <w:t>经“低氮燃烧器+SCR脱硝（去除效率80%）+</w:t>
            </w:r>
            <w:r>
              <w:rPr>
                <w:rFonts w:hint="default" w:ascii="Times New Roman" w:hAnsi="Times New Roman" w:eastAsia="宋体" w:cs="Times New Roman"/>
                <w:i w:val="0"/>
                <w:iCs w:val="0"/>
                <w:color w:val="auto"/>
                <w:kern w:val="0"/>
                <w:sz w:val="24"/>
                <w:szCs w:val="24"/>
                <w:u w:val="none"/>
                <w:lang w:val="en-US" w:eastAsia="zh-CN" w:bidi="ar"/>
              </w:rPr>
              <w:t>石灰（石）-石膏湿法脱硫+高效除雾器协同除尘+湿式电除尘器</w:t>
            </w:r>
            <w:r>
              <w:rPr>
                <w:rFonts w:hint="default" w:ascii="Times New Roman" w:hAnsi="Times New Roman" w:cs="Times New Roman"/>
                <w:color w:val="auto"/>
                <w:sz w:val="24"/>
                <w:szCs w:val="24"/>
                <w:lang w:val="en-US" w:eastAsia="zh-CN"/>
              </w:rPr>
              <w:t>（二氧化硫去除效率95%，颗粒物去除效率95%）设施”处理后，通过60m高排气筒（DA001）排放至大气环境中，并安装在</w:t>
            </w:r>
            <w:r>
              <w:rPr>
                <w:rFonts w:hint="default" w:ascii="Times New Roman" w:hAnsi="Times New Roman" w:eastAsia="宋体" w:cs="Times New Roman"/>
                <w:snapToGrid w:val="0"/>
                <w:color w:val="auto"/>
                <w:kern w:val="2"/>
                <w:sz w:val="24"/>
                <w:szCs w:val="24"/>
                <w:lang w:val="en-US" w:eastAsia="zh-CN" w:bidi="ar-SA"/>
              </w:rPr>
              <w:t>线监测系统（CEMS）</w:t>
            </w:r>
          </w:p>
        </w:tc>
        <w:tc>
          <w:tcPr>
            <w:tcW w:w="2281" w:type="dxa"/>
            <w:noWrap w:val="0"/>
            <w:vAlign w:val="center"/>
          </w:tcPr>
          <w:p w14:paraId="23FFE31A">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position w:val="0"/>
                <w:sz w:val="24"/>
                <w:szCs w:val="24"/>
                <w:highlight w:val="none"/>
                <w:lang w:val="en-US" w:eastAsia="zh-CN"/>
              </w:rPr>
            </w:pPr>
            <w:r>
              <w:rPr>
                <w:rFonts w:hint="default" w:ascii="Times New Roman" w:hAnsi="Times New Roman" w:cs="Times New Roman"/>
                <w:color w:val="auto"/>
                <w:spacing w:val="0"/>
                <w:position w:val="0"/>
                <w:sz w:val="24"/>
                <w:szCs w:val="24"/>
                <w:highlight w:val="none"/>
                <w:lang w:val="en-US" w:eastAsia="zh-CN"/>
              </w:rPr>
              <w:t>《</w:t>
            </w:r>
            <w:r>
              <w:rPr>
                <w:rFonts w:hint="default" w:ascii="Times New Roman" w:hAnsi="Times New Roman" w:eastAsia="宋体" w:cs="Times New Roman"/>
                <w:color w:val="auto"/>
                <w:spacing w:val="0"/>
                <w:position w:val="0"/>
                <w:sz w:val="24"/>
                <w:szCs w:val="24"/>
                <w:highlight w:val="none"/>
                <w:lang w:val="en-US" w:eastAsia="zh-CN"/>
              </w:rPr>
              <w:t>火电厂大气污染物排放标准》（GB13223-2011）</w:t>
            </w:r>
            <w:r>
              <w:rPr>
                <w:rFonts w:hint="default" w:ascii="Times New Roman" w:hAnsi="Times New Roman" w:cs="Times New Roman"/>
                <w:color w:val="auto"/>
                <w:spacing w:val="0"/>
                <w:position w:val="0"/>
                <w:sz w:val="24"/>
                <w:szCs w:val="24"/>
                <w:highlight w:val="none"/>
                <w:lang w:val="en-US" w:eastAsia="zh-CN"/>
              </w:rPr>
              <w:t>表2大气污染物特别排放限值</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颗粒物</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cs="Times New Roman"/>
                <w:color w:val="auto"/>
                <w:sz w:val="24"/>
                <w:szCs w:val="24"/>
                <w:highlight w:val="none"/>
                <w:lang w:val="en-US" w:eastAsia="zh-CN"/>
              </w:rPr>
              <w:t>5</w:t>
            </w:r>
            <w:r>
              <w:rPr>
                <w:rFonts w:hint="default" w:ascii="Times New Roman" w:hAnsi="Times New Roman" w:eastAsia="宋体" w:cs="Times New Roman"/>
                <w:color w:val="auto"/>
                <w:sz w:val="24"/>
                <w:szCs w:val="24"/>
                <w:highlight w:val="none"/>
                <w:lang w:val="en-US" w:eastAsia="zh-CN"/>
              </w:rPr>
              <w:t>mg/m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vertAlign w:val="baseline"/>
                <w:lang w:val="en-US" w:eastAsia="zh-CN"/>
              </w:rPr>
              <w:t>；二氧化硫</w:t>
            </w:r>
            <w:r>
              <w:rPr>
                <w:rFonts w:hint="default" w:ascii="Times New Roman" w:hAnsi="Times New Roman" w:cs="Times New Roman"/>
                <w:color w:val="auto"/>
                <w:sz w:val="24"/>
                <w:szCs w:val="24"/>
                <w:highlight w:val="none"/>
                <w:vertAlign w:val="baseline"/>
                <w:lang w:val="en-US" w:eastAsia="zh-CN"/>
              </w:rPr>
              <w:t>35</w:t>
            </w:r>
            <w:r>
              <w:rPr>
                <w:rFonts w:hint="default" w:ascii="Times New Roman" w:hAnsi="Times New Roman" w:eastAsia="宋体" w:cs="Times New Roman"/>
                <w:color w:val="auto"/>
                <w:sz w:val="24"/>
                <w:szCs w:val="24"/>
                <w:highlight w:val="none"/>
                <w:lang w:val="en-US" w:eastAsia="zh-CN"/>
              </w:rPr>
              <w:t>mg/m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w:t>
            </w:r>
            <w:r>
              <w:rPr>
                <w:rFonts w:hint="default" w:ascii="Times New Roman" w:hAnsi="Times New Roman" w:eastAsia="宋体" w:cs="Times New Roman"/>
                <w:color w:val="auto"/>
                <w:sz w:val="24"/>
                <w:szCs w:val="24"/>
                <w:highlight w:val="none"/>
                <w:vertAlign w:val="baseline"/>
                <w:lang w:val="en-US" w:eastAsia="zh-CN"/>
              </w:rPr>
              <w:t>林格曼黑度≤1）</w:t>
            </w:r>
            <w:r>
              <w:rPr>
                <w:rFonts w:hint="default" w:ascii="Times New Roman" w:hAnsi="Times New Roman" w:eastAsia="宋体" w:cs="Times New Roman"/>
                <w:color w:val="auto"/>
                <w:sz w:val="24"/>
                <w:szCs w:val="24"/>
                <w:highlight w:val="none"/>
                <w:lang w:val="en-US" w:eastAsia="zh-CN"/>
              </w:rPr>
              <w:t>）；</w:t>
            </w:r>
          </w:p>
          <w:p w14:paraId="3735A155">
            <w:pPr>
              <w:keepNext w:val="0"/>
              <w:keepLines w:val="0"/>
              <w:pageBreakBefore w:val="0"/>
              <w:wordWrap/>
              <w:overflowPunct/>
              <w:bidi w:val="0"/>
              <w:spacing w:line="240" w:lineRule="auto"/>
              <w:ind w:left="0" w:leftChars="0" w:right="0" w:rightChars="0" w:firstLine="0" w:firstLineChars="0"/>
              <w:jc w:val="center"/>
              <w:rPr>
                <w:rFonts w:hint="default" w:ascii="Times New Roman" w:hAnsi="Times New Roman" w:eastAsia="宋体" w:cs="Times New Roman"/>
                <w:color w:val="auto"/>
                <w:spacing w:val="0"/>
                <w:position w:val="0"/>
                <w:sz w:val="24"/>
                <w:szCs w:val="24"/>
                <w:lang w:val="en-US" w:eastAsia="zh-CN"/>
              </w:rPr>
            </w:pPr>
            <w:r>
              <w:rPr>
                <w:rFonts w:hint="default" w:ascii="Times New Roman" w:hAnsi="Times New Roman" w:cs="Times New Roman"/>
                <w:snapToGrid w:val="0"/>
                <w:color w:val="auto"/>
                <w:kern w:val="0"/>
                <w:sz w:val="24"/>
                <w:szCs w:val="24"/>
                <w:highlight w:val="none"/>
                <w:lang w:val="en-US" w:eastAsia="zh-CN" w:bidi="ar-SA"/>
              </w:rPr>
              <w:t>《关于印发〈全面实施燃煤电厂超低排放和节能改造工作方案〉的通知》（环发〔2015〕164号）</w:t>
            </w:r>
            <w:r>
              <w:rPr>
                <w:rFonts w:hint="default" w:ascii="Times New Roman" w:hAnsi="Times New Roman" w:eastAsia="宋体" w:cs="Times New Roman"/>
                <w:color w:val="auto"/>
                <w:sz w:val="24"/>
                <w:szCs w:val="24"/>
                <w:highlight w:val="none"/>
                <w:lang w:val="en-US" w:eastAsia="zh-CN"/>
              </w:rPr>
              <w:t>（氮氧化物：50mg/m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lang w:val="en-US" w:eastAsia="zh-CN"/>
              </w:rPr>
              <w:t>）</w:t>
            </w:r>
          </w:p>
        </w:tc>
      </w:tr>
      <w:tr w14:paraId="339C00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1094" w:type="dxa"/>
            <w:vMerge w:val="continue"/>
            <w:noWrap w:val="0"/>
            <w:vAlign w:val="center"/>
          </w:tcPr>
          <w:p w14:paraId="30F50E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rPr>
            </w:pPr>
          </w:p>
        </w:tc>
        <w:tc>
          <w:tcPr>
            <w:tcW w:w="1434" w:type="dxa"/>
            <w:shd w:val="clear" w:color="auto" w:fill="auto"/>
            <w:noWrap w:val="0"/>
            <w:vAlign w:val="center"/>
          </w:tcPr>
          <w:p w14:paraId="2709D486">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cs="Times New Roman"/>
                <w:color w:val="auto"/>
                <w:sz w:val="24"/>
                <w:szCs w:val="24"/>
                <w:lang w:val="en-US" w:eastAsia="zh-CN"/>
              </w:rPr>
              <w:t>氨逃逸</w:t>
            </w:r>
          </w:p>
        </w:tc>
        <w:tc>
          <w:tcPr>
            <w:tcW w:w="1028" w:type="dxa"/>
            <w:tcBorders>
              <w:top w:val="single" w:color="000000" w:sz="4" w:space="0"/>
              <w:bottom w:val="single" w:color="000000" w:sz="4" w:space="0"/>
            </w:tcBorders>
            <w:noWrap w:val="0"/>
            <w:vAlign w:val="center"/>
          </w:tcPr>
          <w:p w14:paraId="6B84F510">
            <w:pPr>
              <w:keepNext w:val="0"/>
              <w:keepLines w:val="0"/>
              <w:pageBreakBefore w:val="0"/>
              <w:wordWrap/>
              <w:overflowPunct/>
              <w:bidi w:val="0"/>
              <w:spacing w:line="240" w:lineRule="auto"/>
              <w:ind w:left="0" w:leftChars="0" w:right="0" w:rightChars="0" w:firstLine="0" w:firstLineChars="0"/>
              <w:jc w:val="center"/>
              <w:rPr>
                <w:rFonts w:hint="default" w:ascii="Times New Roman" w:hAnsi="Times New Roman" w:eastAsia="宋体" w:cs="Times New Roman"/>
                <w:color w:val="auto"/>
                <w:sz w:val="24"/>
                <w:szCs w:val="24"/>
                <w:lang w:val="en-US"/>
              </w:rPr>
            </w:pPr>
            <w:r>
              <w:rPr>
                <w:rFonts w:hint="default" w:ascii="Times New Roman" w:hAnsi="Times New Roman" w:cs="Times New Roman"/>
                <w:color w:val="auto"/>
                <w:sz w:val="24"/>
                <w:szCs w:val="24"/>
              </w:rPr>
              <w:t>氨</w:t>
            </w:r>
          </w:p>
        </w:tc>
        <w:tc>
          <w:tcPr>
            <w:tcW w:w="2963" w:type="dxa"/>
            <w:noWrap w:val="0"/>
            <w:vAlign w:val="center"/>
          </w:tcPr>
          <w:p w14:paraId="1758236A">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val="0"/>
                <w:bCs w:val="0"/>
                <w:i w:val="0"/>
                <w:iCs w:val="0"/>
                <w:color w:val="auto"/>
                <w:kern w:val="0"/>
                <w:sz w:val="24"/>
                <w:szCs w:val="24"/>
                <w:u w:val="none"/>
                <w:lang w:val="en-US" w:eastAsia="zh-CN" w:bidi="ar"/>
              </w:rPr>
            </w:pPr>
            <w:r>
              <w:rPr>
                <w:rFonts w:hint="default" w:ascii="Times New Roman" w:hAnsi="Times New Roman" w:cs="Times New Roman"/>
                <w:color w:val="auto"/>
                <w:sz w:val="24"/>
                <w:szCs w:val="24"/>
                <w:lang w:val="en-US" w:eastAsia="zh-CN"/>
              </w:rPr>
              <w:t>脱硝过程氨还原剂需符合《火电厂烟气脱硝工程技术规范选择性催化还原法》（HJ562-2010）中6.3.3尿素还原剂的相关要求</w:t>
            </w:r>
          </w:p>
        </w:tc>
        <w:tc>
          <w:tcPr>
            <w:tcW w:w="2281" w:type="dxa"/>
            <w:shd w:val="clear" w:color="auto" w:fill="auto"/>
            <w:noWrap w:val="0"/>
            <w:vAlign w:val="center"/>
          </w:tcPr>
          <w:p w14:paraId="4EB2A9E9">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pacing w:val="0"/>
                <w:kern w:val="2"/>
                <w:position w:val="0"/>
                <w:sz w:val="24"/>
                <w:szCs w:val="24"/>
                <w:lang w:val="en-US" w:eastAsia="zh-CN" w:bidi="ar-SA"/>
              </w:rPr>
            </w:pPr>
            <w:r>
              <w:rPr>
                <w:rFonts w:hint="default" w:ascii="Times New Roman" w:hAnsi="Times New Roman" w:cs="Times New Roman"/>
                <w:color w:val="auto"/>
                <w:spacing w:val="8"/>
                <w:sz w:val="24"/>
                <w:szCs w:val="24"/>
              </w:rPr>
              <w:t>《火电厂烟气脱硝工程技术规范</w:t>
            </w:r>
            <w:r>
              <w:rPr>
                <w:rFonts w:hint="default" w:ascii="Times New Roman" w:hAnsi="Times New Roman" w:cs="Times New Roman"/>
                <w:color w:val="auto"/>
                <w:spacing w:val="8"/>
                <w:sz w:val="24"/>
                <w:szCs w:val="24"/>
                <w:lang w:val="en-US" w:eastAsia="zh-CN"/>
              </w:rPr>
              <w:t>选择性催化还原法</w:t>
            </w:r>
            <w:r>
              <w:rPr>
                <w:rFonts w:hint="default" w:ascii="Times New Roman" w:hAnsi="Times New Roman" w:cs="Times New Roman"/>
                <w:color w:val="auto"/>
                <w:spacing w:val="8"/>
                <w:sz w:val="24"/>
                <w:szCs w:val="24"/>
              </w:rPr>
              <w:t>》（HJ562-2010）</w:t>
            </w:r>
            <w:r>
              <w:rPr>
                <w:rFonts w:hint="default" w:ascii="Times New Roman" w:hAnsi="Times New Roman" w:eastAsia="宋体" w:cs="Times New Roman"/>
                <w:color w:val="auto"/>
                <w:spacing w:val="0"/>
                <w:position w:val="0"/>
                <w:sz w:val="24"/>
                <w:szCs w:val="24"/>
                <w:highlight w:val="none"/>
                <w:lang w:val="en-US" w:eastAsia="zh-CN"/>
              </w:rPr>
              <w:t>（氨：</w:t>
            </w:r>
            <w:r>
              <w:rPr>
                <w:rFonts w:hint="default" w:ascii="Times New Roman" w:hAnsi="Times New Roman" w:eastAsia="宋体" w:cs="Times New Roman"/>
                <w:color w:val="auto"/>
                <w:sz w:val="24"/>
                <w:szCs w:val="24"/>
                <w:highlight w:val="none"/>
                <w:lang w:val="en-US" w:eastAsia="zh-CN"/>
              </w:rPr>
              <w:t>2.5mg/m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pacing w:val="0"/>
                <w:position w:val="0"/>
                <w:sz w:val="24"/>
                <w:szCs w:val="24"/>
                <w:highlight w:val="none"/>
                <w:lang w:val="en-US" w:eastAsia="zh-CN"/>
              </w:rPr>
              <w:t>）</w:t>
            </w:r>
          </w:p>
        </w:tc>
      </w:tr>
      <w:tr w14:paraId="45392A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4" w:type="dxa"/>
            <w:vMerge w:val="continue"/>
            <w:noWrap w:val="0"/>
            <w:vAlign w:val="center"/>
          </w:tcPr>
          <w:p w14:paraId="49C8F2E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rPr>
            </w:pPr>
          </w:p>
        </w:tc>
        <w:tc>
          <w:tcPr>
            <w:tcW w:w="1434" w:type="dxa"/>
            <w:shd w:val="clear" w:color="auto" w:fill="auto"/>
            <w:noWrap w:val="0"/>
            <w:vAlign w:val="center"/>
          </w:tcPr>
          <w:p w14:paraId="6E4A3A03">
            <w:pPr>
              <w:keepNext w:val="0"/>
              <w:keepLines w:val="0"/>
              <w:pageBreakBefore w:val="0"/>
              <w:widowControl w:val="0"/>
              <w:kinsoku/>
              <w:wordWrap/>
              <w:overflowPunct/>
              <w:topLinePunct/>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石灰石粉投料粉尘</w:t>
            </w:r>
          </w:p>
        </w:tc>
        <w:tc>
          <w:tcPr>
            <w:tcW w:w="1028" w:type="dxa"/>
            <w:vMerge w:val="restart"/>
            <w:tcBorders>
              <w:top w:val="single" w:color="000000" w:sz="4" w:space="0"/>
            </w:tcBorders>
            <w:noWrap w:val="0"/>
            <w:vAlign w:val="center"/>
          </w:tcPr>
          <w:p w14:paraId="19374E2C">
            <w:pPr>
              <w:keepNext w:val="0"/>
              <w:keepLines w:val="0"/>
              <w:pageBreakBefore w:val="0"/>
              <w:wordWrap/>
              <w:overflowPunct/>
              <w:bidi w:val="0"/>
              <w:spacing w:line="240" w:lineRule="auto"/>
              <w:ind w:left="0" w:leftChars="0" w:right="0" w:rightChars="0" w:firstLine="0" w:firstLineChars="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颗粒物</w:t>
            </w:r>
          </w:p>
        </w:tc>
        <w:tc>
          <w:tcPr>
            <w:tcW w:w="2963" w:type="dxa"/>
            <w:noWrap w:val="0"/>
            <w:vAlign w:val="center"/>
          </w:tcPr>
          <w:p w14:paraId="54954D1C">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石灰石粉装卸采用密闭罐车配置卸载设备，石灰石粉投料粉尘经粉仓自带脉冲式袋式除尘器处理后（除尘效率99%）经仓顶排气口以无组织的形式排放至大气环境中</w:t>
            </w:r>
          </w:p>
        </w:tc>
        <w:tc>
          <w:tcPr>
            <w:tcW w:w="2281" w:type="dxa"/>
            <w:vMerge w:val="restart"/>
            <w:shd w:val="clear" w:color="auto" w:fill="auto"/>
            <w:noWrap w:val="0"/>
            <w:vAlign w:val="center"/>
          </w:tcPr>
          <w:p w14:paraId="557AA67C">
            <w:pPr>
              <w:pStyle w:val="28"/>
              <w:keepNext w:val="0"/>
              <w:keepLines w:val="0"/>
              <w:pageBreakBefore w:val="0"/>
              <w:widowControl/>
              <w:suppressLineNumbers w:val="0"/>
              <w:wordWrap/>
              <w:overflowPunct/>
              <w:bidi w:val="0"/>
              <w:spacing w:before="0" w:beforeAutospacing="0" w:after="0" w:afterAutospacing="0" w:line="240" w:lineRule="auto"/>
              <w:ind w:left="0" w:leftChars="0" w:right="0" w:rightChars="0" w:firstLine="0" w:firstLineChars="0"/>
              <w:jc w:val="center"/>
              <w:rPr>
                <w:rFonts w:hint="default" w:ascii="Times New Roman" w:hAnsi="Times New Roman" w:eastAsia="宋体" w:cs="Times New Roman"/>
                <w:color w:val="auto"/>
                <w:sz w:val="24"/>
                <w:szCs w:val="24"/>
              </w:rPr>
            </w:pPr>
            <w:r>
              <w:rPr>
                <w:rFonts w:hint="default" w:ascii="Times New Roman" w:hAnsi="Times New Roman" w:cs="Times New Roman"/>
                <w:color w:val="auto"/>
                <w:spacing w:val="8"/>
                <w:sz w:val="24"/>
                <w:szCs w:val="24"/>
              </w:rPr>
              <w:t>《大气污染物综合排放</w:t>
            </w:r>
            <w:r>
              <w:rPr>
                <w:rFonts w:hint="default" w:ascii="Times New Roman" w:hAnsi="Times New Roman" w:cs="Times New Roman"/>
                <w:color w:val="auto"/>
                <w:spacing w:val="6"/>
                <w:sz w:val="24"/>
                <w:szCs w:val="24"/>
              </w:rPr>
              <w:t>标准》（</w:t>
            </w:r>
            <w:r>
              <w:rPr>
                <w:rFonts w:hint="default" w:ascii="Times New Roman" w:hAnsi="Times New Roman" w:eastAsia="Times New Roman" w:cs="Times New Roman"/>
                <w:color w:val="auto"/>
                <w:sz w:val="24"/>
                <w:szCs w:val="24"/>
              </w:rPr>
              <w:t>GB</w:t>
            </w:r>
            <w:r>
              <w:rPr>
                <w:rFonts w:hint="default" w:ascii="Times New Roman" w:hAnsi="Times New Roman" w:eastAsia="Times New Roman" w:cs="Times New Roman"/>
                <w:color w:val="auto"/>
                <w:spacing w:val="6"/>
                <w:sz w:val="24"/>
                <w:szCs w:val="24"/>
              </w:rPr>
              <w:t>16297-1996</w:t>
            </w:r>
            <w:r>
              <w:rPr>
                <w:rFonts w:hint="default" w:ascii="Times New Roman" w:hAnsi="Times New Roman" w:cs="Times New Roman"/>
                <w:color w:val="auto"/>
                <w:spacing w:val="6"/>
                <w:sz w:val="24"/>
                <w:szCs w:val="24"/>
              </w:rPr>
              <w:t>）</w:t>
            </w:r>
            <w:r>
              <w:rPr>
                <w:rFonts w:hint="default" w:ascii="Times New Roman" w:hAnsi="Times New Roman" w:cs="Times New Roman"/>
                <w:color w:val="auto"/>
                <w:spacing w:val="6"/>
                <w:sz w:val="24"/>
                <w:szCs w:val="24"/>
                <w:lang w:val="en-US" w:eastAsia="zh-CN"/>
              </w:rPr>
              <w:t>表2（颗粒物：1.0mg/m</w:t>
            </w:r>
            <w:r>
              <w:rPr>
                <w:rFonts w:hint="default" w:ascii="Times New Roman" w:hAnsi="Times New Roman" w:cs="Times New Roman"/>
                <w:color w:val="auto"/>
                <w:spacing w:val="6"/>
                <w:sz w:val="24"/>
                <w:szCs w:val="24"/>
                <w:vertAlign w:val="superscript"/>
                <w:lang w:val="en-US" w:eastAsia="zh-CN"/>
              </w:rPr>
              <w:t>3</w:t>
            </w:r>
            <w:r>
              <w:rPr>
                <w:rFonts w:hint="default" w:ascii="Times New Roman" w:hAnsi="Times New Roman" w:cs="Times New Roman"/>
                <w:color w:val="auto"/>
                <w:spacing w:val="6"/>
                <w:sz w:val="24"/>
                <w:szCs w:val="24"/>
                <w:lang w:val="en-US" w:eastAsia="zh-CN"/>
              </w:rPr>
              <w:t>）</w:t>
            </w:r>
          </w:p>
        </w:tc>
      </w:tr>
      <w:tr w14:paraId="123374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4" w:type="dxa"/>
            <w:vMerge w:val="continue"/>
            <w:noWrap w:val="0"/>
            <w:vAlign w:val="center"/>
          </w:tcPr>
          <w:p w14:paraId="5E5B41E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rPr>
            </w:pPr>
          </w:p>
        </w:tc>
        <w:tc>
          <w:tcPr>
            <w:tcW w:w="1434" w:type="dxa"/>
            <w:noWrap w:val="0"/>
            <w:vAlign w:val="center"/>
          </w:tcPr>
          <w:p w14:paraId="70DB7B99">
            <w:pPr>
              <w:keepNext w:val="0"/>
              <w:keepLines w:val="0"/>
              <w:pageBreakBefore w:val="0"/>
              <w:wordWrap/>
              <w:overflowPunct/>
              <w:bidi w:val="0"/>
              <w:spacing w:line="240" w:lineRule="auto"/>
              <w:ind w:left="0" w:leftChars="0" w:right="0" w:rightChars="0" w:firstLine="0" w:firstLineChars="0"/>
              <w:jc w:val="center"/>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厂界外</w:t>
            </w:r>
          </w:p>
        </w:tc>
        <w:tc>
          <w:tcPr>
            <w:tcW w:w="1028" w:type="dxa"/>
            <w:vMerge w:val="continue"/>
            <w:tcBorders>
              <w:top w:val="single" w:color="000000" w:sz="4" w:space="0"/>
              <w:bottom w:val="single" w:color="000000" w:sz="4" w:space="0"/>
            </w:tcBorders>
            <w:noWrap w:val="0"/>
            <w:vAlign w:val="center"/>
          </w:tcPr>
          <w:p w14:paraId="369C086B">
            <w:pPr>
              <w:keepNext w:val="0"/>
              <w:keepLines w:val="0"/>
              <w:pageBreakBefore w:val="0"/>
              <w:wordWrap/>
              <w:overflowPunct/>
              <w:bidi w:val="0"/>
              <w:spacing w:line="240" w:lineRule="auto"/>
              <w:ind w:left="0" w:leftChars="0" w:right="0" w:rightChars="0" w:firstLine="0" w:firstLineChars="0"/>
              <w:jc w:val="center"/>
              <w:rPr>
                <w:rFonts w:hint="default" w:ascii="Times New Roman" w:hAnsi="Times New Roman" w:eastAsia="宋体" w:cs="Times New Roman"/>
                <w:color w:val="auto"/>
                <w:sz w:val="24"/>
                <w:szCs w:val="24"/>
                <w:lang w:val="en-US"/>
              </w:rPr>
            </w:pPr>
          </w:p>
        </w:tc>
        <w:tc>
          <w:tcPr>
            <w:tcW w:w="2963" w:type="dxa"/>
            <w:noWrap w:val="0"/>
            <w:vAlign w:val="center"/>
          </w:tcPr>
          <w:p w14:paraId="369EA22F">
            <w:pPr>
              <w:keepNext w:val="0"/>
              <w:keepLines w:val="0"/>
              <w:pageBreakBefore w:val="0"/>
              <w:widowControl/>
              <w:suppressLineNumbers w:val="0"/>
              <w:kinsoku/>
              <w:wordWrap/>
              <w:overflowPunct/>
              <w:topLinePunct w:val="0"/>
              <w:autoSpaceDE/>
              <w:autoSpaceDN/>
              <w:bidi w:val="0"/>
              <w:adjustRightInd/>
              <w:snapToGrid/>
              <w:spacing w:line="240" w:lineRule="auto"/>
              <w:ind w:left="0" w:leftChars="0" w:right="0" w:rightChars="0" w:firstLine="0" w:firstLineChars="0"/>
              <w:jc w:val="center"/>
              <w:textAlignment w:val="center"/>
              <w:rPr>
                <w:rFonts w:hint="default" w:ascii="Times New Roman" w:hAnsi="Times New Roman" w:eastAsia="宋体" w:cs="Times New Roman"/>
                <w:b w:val="0"/>
                <w:bCs/>
                <w:color w:val="auto"/>
                <w:spacing w:val="-10"/>
                <w:sz w:val="24"/>
                <w:szCs w:val="24"/>
                <w:lang w:val="en-US" w:eastAsia="zh-CN"/>
              </w:rPr>
            </w:pPr>
            <w:r>
              <w:rPr>
                <w:rFonts w:hint="default" w:ascii="Times New Roman" w:hAnsi="Times New Roman" w:cs="Times New Roman"/>
                <w:b w:val="0"/>
                <w:bCs/>
                <w:color w:val="auto"/>
                <w:spacing w:val="-10"/>
                <w:sz w:val="24"/>
                <w:szCs w:val="24"/>
                <w:lang w:val="en-US" w:eastAsia="zh-CN"/>
              </w:rPr>
              <w:t>/</w:t>
            </w:r>
          </w:p>
        </w:tc>
        <w:tc>
          <w:tcPr>
            <w:tcW w:w="2281" w:type="dxa"/>
            <w:vMerge w:val="continue"/>
            <w:noWrap w:val="0"/>
            <w:vAlign w:val="center"/>
          </w:tcPr>
          <w:p w14:paraId="5E69C8DF">
            <w:pPr>
              <w:pStyle w:val="28"/>
              <w:keepNext w:val="0"/>
              <w:keepLines w:val="0"/>
              <w:pageBreakBefore w:val="0"/>
              <w:widowControl/>
              <w:suppressLineNumbers w:val="0"/>
              <w:wordWrap/>
              <w:overflowPunct/>
              <w:bidi w:val="0"/>
              <w:spacing w:before="0" w:beforeAutospacing="0" w:after="0" w:afterAutospacing="0" w:line="240" w:lineRule="auto"/>
              <w:ind w:left="0" w:leftChars="0" w:right="0" w:rightChars="0" w:firstLine="0" w:firstLineChars="0"/>
              <w:rPr>
                <w:rFonts w:hint="default" w:ascii="Times New Roman" w:hAnsi="Times New Roman" w:eastAsia="宋体" w:cs="Times New Roman"/>
                <w:color w:val="auto"/>
                <w:sz w:val="24"/>
                <w:szCs w:val="24"/>
              </w:rPr>
            </w:pPr>
          </w:p>
        </w:tc>
      </w:tr>
      <w:tr w14:paraId="4F9BB2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4" w:type="dxa"/>
            <w:vMerge w:val="restart"/>
            <w:noWrap w:val="0"/>
            <w:vAlign w:val="center"/>
          </w:tcPr>
          <w:p w14:paraId="198D660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地表水环境</w:t>
            </w:r>
          </w:p>
        </w:tc>
        <w:tc>
          <w:tcPr>
            <w:tcW w:w="1434" w:type="dxa"/>
            <w:noWrap w:val="0"/>
            <w:vAlign w:val="center"/>
          </w:tcPr>
          <w:p w14:paraId="570149BB">
            <w:pPr>
              <w:keepNext w:val="0"/>
              <w:keepLines w:val="0"/>
              <w:pageBreakBefore w:val="0"/>
              <w:wordWrap/>
              <w:overflowPunct/>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生活污水</w:t>
            </w:r>
          </w:p>
        </w:tc>
        <w:tc>
          <w:tcPr>
            <w:tcW w:w="1028" w:type="dxa"/>
            <w:vMerge w:val="restart"/>
            <w:tcBorders>
              <w:top w:val="single" w:color="000000" w:sz="4" w:space="0"/>
              <w:bottom w:val="single" w:color="000000" w:sz="4" w:space="0"/>
            </w:tcBorders>
            <w:noWrap w:val="0"/>
            <w:vAlign w:val="center"/>
          </w:tcPr>
          <w:p w14:paraId="7B005809">
            <w:pPr>
              <w:keepNext w:val="0"/>
              <w:keepLines w:val="0"/>
              <w:pageBreakBefore w:val="0"/>
              <w:wordWrap/>
              <w:overflowPunct/>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pH、COD、BOD</w:t>
            </w:r>
            <w:r>
              <w:rPr>
                <w:rFonts w:hint="default" w:ascii="Times New Roman" w:hAnsi="Times New Roman" w:eastAsia="宋体" w:cs="Times New Roman"/>
                <w:color w:val="auto"/>
                <w:sz w:val="24"/>
                <w:szCs w:val="24"/>
                <w:vertAlign w:val="subscript"/>
                <w:lang w:val="en-US" w:eastAsia="zh-CN"/>
              </w:rPr>
              <w:t>5</w:t>
            </w:r>
            <w:r>
              <w:rPr>
                <w:rFonts w:hint="default" w:ascii="Times New Roman" w:hAnsi="Times New Roman" w:eastAsia="宋体" w:cs="Times New Roman"/>
                <w:color w:val="auto"/>
                <w:sz w:val="24"/>
                <w:szCs w:val="24"/>
                <w:lang w:val="en-US" w:eastAsia="zh-CN"/>
              </w:rPr>
              <w:t>、SS、NH</w:t>
            </w:r>
            <w:r>
              <w:rPr>
                <w:rFonts w:hint="default" w:ascii="Times New Roman" w:hAnsi="Times New Roman" w:eastAsia="宋体" w:cs="Times New Roman"/>
                <w:color w:val="auto"/>
                <w:sz w:val="24"/>
                <w:szCs w:val="24"/>
                <w:vertAlign w:val="subscript"/>
                <w:lang w:val="en-US" w:eastAsia="zh-CN"/>
              </w:rPr>
              <w:t>3</w:t>
            </w:r>
            <w:r>
              <w:rPr>
                <w:rFonts w:hint="default" w:ascii="Times New Roman" w:hAnsi="Times New Roman" w:eastAsia="宋体" w:cs="Times New Roman"/>
                <w:color w:val="auto"/>
                <w:sz w:val="24"/>
                <w:szCs w:val="24"/>
                <w:lang w:val="en-US" w:eastAsia="zh-CN"/>
              </w:rPr>
              <w:t>-N、动植物油</w:t>
            </w:r>
          </w:p>
        </w:tc>
        <w:tc>
          <w:tcPr>
            <w:tcW w:w="2963" w:type="dxa"/>
            <w:noWrap w:val="0"/>
            <w:vAlign w:val="center"/>
          </w:tcPr>
          <w:p w14:paraId="1CFD32D1">
            <w:pPr>
              <w:keepNext w:val="0"/>
              <w:keepLines w:val="0"/>
              <w:pageBreakBefore w:val="0"/>
              <w:wordWrap/>
              <w:overflowPunct/>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auto"/>
                <w:spacing w:val="0"/>
                <w:kern w:val="0"/>
                <w:sz w:val="24"/>
                <w:szCs w:val="24"/>
                <w:highlight w:val="none"/>
                <w:lang w:val="en-US" w:eastAsia="zh-CN" w:bidi="ar-SA"/>
              </w:rPr>
            </w:pPr>
            <w:r>
              <w:rPr>
                <w:rFonts w:hint="default" w:ascii="Times New Roman" w:hAnsi="Times New Roman" w:eastAsia="宋体" w:cs="Times New Roman"/>
                <w:color w:val="auto"/>
                <w:sz w:val="24"/>
                <w:szCs w:val="24"/>
                <w:lang w:val="en-US" w:eastAsia="zh-CN" w:bidi="ar-SA"/>
              </w:rPr>
              <w:t>依托</w:t>
            </w:r>
            <w:r>
              <w:rPr>
                <w:rFonts w:hint="default" w:ascii="Times New Roman" w:hAnsi="Times New Roman" w:eastAsia="宋体" w:cs="Times New Roman"/>
                <w:color w:val="auto"/>
                <w:kern w:val="2"/>
                <w:sz w:val="24"/>
                <w:szCs w:val="24"/>
                <w:lang w:val="en-US" w:eastAsia="zh-CN" w:bidi="ar-SA"/>
              </w:rPr>
              <w:t>吉木萨尔县恒信煤炭制品工贸有限公司120万吨煤制品深加工升级改造项目</w:t>
            </w:r>
            <w:r>
              <w:rPr>
                <w:rFonts w:hint="default" w:ascii="Times New Roman" w:hAnsi="Times New Roman" w:cs="Times New Roman"/>
                <w:color w:val="auto"/>
                <w:kern w:val="2"/>
                <w:sz w:val="24"/>
                <w:szCs w:val="24"/>
                <w:lang w:val="en-US" w:eastAsia="zh-CN" w:bidi="ar-SA"/>
              </w:rPr>
              <w:t>生活污水地埋式一体化污水</w:t>
            </w:r>
            <w:r>
              <w:rPr>
                <w:rFonts w:hint="default" w:ascii="Times New Roman" w:hAnsi="Times New Roman" w:eastAsia="宋体" w:cs="Times New Roman"/>
                <w:color w:val="auto"/>
                <w:kern w:val="2"/>
                <w:sz w:val="24"/>
                <w:szCs w:val="24"/>
                <w:lang w:val="en-US" w:eastAsia="zh-CN" w:bidi="ar-SA"/>
              </w:rPr>
              <w:t>处理设施</w:t>
            </w:r>
            <w:r>
              <w:rPr>
                <w:rFonts w:hint="default" w:ascii="Times New Roman" w:hAnsi="Times New Roman" w:eastAsia="宋体" w:cs="Times New Roman"/>
                <w:color w:val="auto"/>
                <w:spacing w:val="0"/>
                <w:sz w:val="24"/>
                <w:szCs w:val="24"/>
              </w:rPr>
              <w:t>，废水经处理达到</w:t>
            </w:r>
            <w:r>
              <w:rPr>
                <w:rFonts w:hint="default" w:ascii="Times New Roman" w:hAnsi="Times New Roman" w:eastAsia="宋体" w:cs="Times New Roman"/>
                <w:color w:val="auto"/>
                <w:spacing w:val="0"/>
                <w:sz w:val="24"/>
                <w:szCs w:val="24"/>
                <w:lang w:val="en-US" w:eastAsia="zh-CN"/>
              </w:rPr>
              <w:t>出水水质满足标准后，</w:t>
            </w:r>
            <w:r>
              <w:rPr>
                <w:rFonts w:hint="default" w:ascii="Times New Roman" w:hAnsi="Times New Roman" w:eastAsia="宋体" w:cs="Times New Roman"/>
                <w:color w:val="auto"/>
                <w:sz w:val="24"/>
                <w:szCs w:val="24"/>
                <w:lang w:val="en-US" w:eastAsia="zh-CN" w:bidi="ar-SA"/>
              </w:rPr>
              <w:t>冬储夏灌</w:t>
            </w:r>
          </w:p>
        </w:tc>
        <w:tc>
          <w:tcPr>
            <w:tcW w:w="2281" w:type="dxa"/>
            <w:tcBorders>
              <w:bottom w:val="single" w:color="000000" w:sz="4" w:space="0"/>
            </w:tcBorders>
            <w:noWrap w:val="0"/>
            <w:vAlign w:val="center"/>
          </w:tcPr>
          <w:p w14:paraId="2CC4EE70">
            <w:pPr>
              <w:keepNext w:val="0"/>
              <w:keepLines w:val="0"/>
              <w:pageBreakBefore w:val="0"/>
              <w:wordWrap/>
              <w:overflowPunct/>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b w:val="0"/>
                <w:bCs w:val="0"/>
                <w:color w:val="auto"/>
                <w:spacing w:val="0"/>
                <w:kern w:val="0"/>
                <w:sz w:val="24"/>
                <w:szCs w:val="24"/>
                <w:highlight w:val="none"/>
                <w:lang w:val="en-US" w:eastAsia="zh-CN" w:bidi="ar-SA"/>
              </w:rPr>
            </w:pPr>
            <w:r>
              <w:rPr>
                <w:rFonts w:hint="default" w:ascii="Times New Roman" w:hAnsi="Times New Roman" w:eastAsia="宋体" w:cs="Times New Roman"/>
                <w:color w:val="auto"/>
                <w:spacing w:val="0"/>
                <w:sz w:val="24"/>
                <w:szCs w:val="24"/>
                <w:lang w:val="en-US" w:eastAsia="zh-CN"/>
              </w:rPr>
              <w:t>《农村生活污水处理排放标准》（DB654275-2019）</w:t>
            </w:r>
            <w:r>
              <w:rPr>
                <w:rFonts w:hint="default" w:ascii="Times New Roman" w:hAnsi="Times New Roman" w:cs="Times New Roman"/>
                <w:color w:val="auto"/>
                <w:sz w:val="24"/>
                <w:szCs w:val="24"/>
                <w:lang w:val="en-US" w:eastAsia="zh-CN"/>
              </w:rPr>
              <w:t>表2</w:t>
            </w:r>
            <w:r>
              <w:rPr>
                <w:rFonts w:hint="default" w:ascii="Times New Roman" w:hAnsi="Times New Roman" w:eastAsia="宋体" w:cs="Times New Roman"/>
                <w:color w:val="auto"/>
                <w:spacing w:val="0"/>
                <w:sz w:val="24"/>
                <w:szCs w:val="24"/>
                <w:lang w:val="en-US" w:eastAsia="zh-CN"/>
              </w:rPr>
              <w:t>中农村生活污水处理设施出水用于生态恢复的污染物排放A级限值</w:t>
            </w:r>
            <w:r>
              <w:rPr>
                <w:rFonts w:hint="default" w:ascii="Times New Roman" w:hAnsi="Times New Roman" w:eastAsia="宋体" w:cs="Times New Roman"/>
                <w:color w:val="auto"/>
                <w:sz w:val="24"/>
                <w:szCs w:val="24"/>
                <w:lang w:val="en-US" w:eastAsia="zh-CN"/>
              </w:rPr>
              <w:t>（pH6-9无量纲；悬浮物≤30mg/L；化学需氧量≤60mg/L；</w:t>
            </w:r>
            <w:r>
              <w:rPr>
                <w:rFonts w:hint="default" w:ascii="Times New Roman" w:hAnsi="Times New Roman" w:eastAsia="Times New Roman" w:cs="Times New Roman"/>
                <w:color w:val="auto"/>
                <w:spacing w:val="1"/>
                <w:sz w:val="24"/>
                <w:szCs w:val="24"/>
              </w:rPr>
              <w:t>粪大肠菌群</w:t>
            </w:r>
            <w:r>
              <w:rPr>
                <w:rFonts w:hint="default" w:ascii="Times New Roman" w:hAnsi="Times New Roman" w:eastAsia="宋体" w:cs="Times New Roman"/>
                <w:color w:val="auto"/>
                <w:sz w:val="24"/>
                <w:szCs w:val="24"/>
                <w:lang w:val="en-US" w:eastAsia="zh-CN"/>
              </w:rPr>
              <w:t>≤</w:t>
            </w:r>
            <w:r>
              <w:rPr>
                <w:rFonts w:hint="default" w:ascii="Times New Roman" w:hAnsi="Times New Roman" w:eastAsia="Times New Roman" w:cs="Times New Roman"/>
                <w:color w:val="auto"/>
                <w:spacing w:val="1"/>
                <w:sz w:val="24"/>
                <w:szCs w:val="24"/>
                <w:lang w:val="en-US" w:eastAsia="zh-CN"/>
              </w:rPr>
              <w:t>10000MPN/L；</w:t>
            </w:r>
            <w:r>
              <w:rPr>
                <w:rFonts w:hint="default" w:ascii="Times New Roman" w:hAnsi="Times New Roman" w:eastAsia="Times New Roman" w:cs="Times New Roman"/>
                <w:color w:val="auto"/>
                <w:spacing w:val="1"/>
                <w:sz w:val="24"/>
                <w:szCs w:val="24"/>
              </w:rPr>
              <w:t>蛔虫卵个数</w:t>
            </w:r>
            <w:r>
              <w:rPr>
                <w:rFonts w:hint="default" w:ascii="Times New Roman" w:hAnsi="Times New Roman" w:eastAsia="宋体" w:cs="Times New Roman"/>
                <w:color w:val="auto"/>
                <w:sz w:val="24"/>
                <w:szCs w:val="24"/>
                <w:lang w:val="en-US" w:eastAsia="zh-CN"/>
              </w:rPr>
              <w:t>≤</w:t>
            </w:r>
            <w:r>
              <w:rPr>
                <w:rFonts w:hint="default" w:ascii="Times New Roman" w:hAnsi="Times New Roman" w:eastAsia="Times New Roman" w:cs="Times New Roman"/>
                <w:color w:val="auto"/>
                <w:spacing w:val="1"/>
                <w:sz w:val="24"/>
                <w:szCs w:val="24"/>
                <w:lang w:val="en-US" w:eastAsia="zh-CN"/>
              </w:rPr>
              <w:t>2个/L</w:t>
            </w:r>
            <w:r>
              <w:rPr>
                <w:rFonts w:hint="default" w:ascii="Times New Roman" w:hAnsi="Times New Roman" w:eastAsia="宋体" w:cs="Times New Roman"/>
                <w:color w:val="auto"/>
                <w:sz w:val="24"/>
                <w:szCs w:val="24"/>
                <w:lang w:val="en-US" w:eastAsia="zh-CN"/>
              </w:rPr>
              <w:t>）</w:t>
            </w:r>
          </w:p>
        </w:tc>
      </w:tr>
      <w:tr w14:paraId="1E705C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1094" w:type="dxa"/>
            <w:vMerge w:val="continue"/>
            <w:noWrap w:val="0"/>
            <w:vAlign w:val="center"/>
          </w:tcPr>
          <w:p w14:paraId="7600AB0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rPr>
            </w:pPr>
          </w:p>
        </w:tc>
        <w:tc>
          <w:tcPr>
            <w:tcW w:w="1434" w:type="dxa"/>
            <w:noWrap w:val="0"/>
            <w:vAlign w:val="center"/>
          </w:tcPr>
          <w:p w14:paraId="08D55CD5">
            <w:pPr>
              <w:keepNext w:val="0"/>
              <w:keepLines w:val="0"/>
              <w:pageBreakBefore w:val="0"/>
              <w:wordWrap/>
              <w:overflowPunct/>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生产废水</w:t>
            </w:r>
          </w:p>
        </w:tc>
        <w:tc>
          <w:tcPr>
            <w:tcW w:w="1028" w:type="dxa"/>
            <w:vMerge w:val="continue"/>
            <w:tcBorders>
              <w:top w:val="single" w:color="000000" w:sz="4" w:space="0"/>
              <w:bottom w:val="single" w:color="000000" w:sz="4" w:space="0"/>
            </w:tcBorders>
            <w:noWrap w:val="0"/>
            <w:vAlign w:val="center"/>
          </w:tcPr>
          <w:p w14:paraId="0AD04932">
            <w:pPr>
              <w:keepNext w:val="0"/>
              <w:keepLines w:val="0"/>
              <w:pageBreakBefore w:val="0"/>
              <w:wordWrap/>
              <w:overflowPunct/>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color w:val="auto"/>
                <w:sz w:val="24"/>
                <w:szCs w:val="24"/>
                <w:lang w:val="en-US" w:eastAsia="zh-CN"/>
              </w:rPr>
            </w:pPr>
          </w:p>
        </w:tc>
        <w:tc>
          <w:tcPr>
            <w:tcW w:w="2963" w:type="dxa"/>
            <w:noWrap w:val="0"/>
            <w:vAlign w:val="center"/>
          </w:tcPr>
          <w:p w14:paraId="782479F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4"/>
                <w:szCs w:val="24"/>
                <w:lang w:val="en-US" w:eastAsia="zh-CN" w:bidi="ar-SA"/>
              </w:rPr>
            </w:pPr>
            <w:r>
              <w:rPr>
                <w:rFonts w:hint="default" w:ascii="Times New Roman" w:hAnsi="Times New Roman" w:eastAsia="宋体" w:cs="Times New Roman"/>
                <w:color w:val="auto"/>
                <w:spacing w:val="0"/>
                <w:sz w:val="24"/>
                <w:szCs w:val="24"/>
                <w:lang w:val="en-US" w:eastAsia="zh-CN" w:bidi="ar-SA"/>
              </w:rPr>
              <w:t>锅炉定期排污废水排入定排坑、冷却系统排污废水、软水制备废水和中和处理后的化验室常规检验废水均排入回收水池后作为脱硫系统用水，</w:t>
            </w:r>
            <w:r>
              <w:rPr>
                <w:rFonts w:hint="default" w:ascii="Times New Roman" w:hAnsi="Times New Roman" w:eastAsia="宋体" w:cs="Times New Roman"/>
                <w:color w:val="FF0000"/>
                <w:spacing w:val="0"/>
                <w:sz w:val="24"/>
                <w:szCs w:val="24"/>
                <w:lang w:val="en-US" w:eastAsia="zh-CN" w:bidi="ar-SA"/>
              </w:rPr>
              <w:t>定期排污水的脱硫废水，</w:t>
            </w:r>
            <w:r>
              <w:rPr>
                <w:rFonts w:hint="default" w:ascii="Times New Roman" w:hAnsi="Times New Roman" w:eastAsia="宋体" w:cs="Times New Roman"/>
                <w:color w:val="auto"/>
                <w:spacing w:val="0"/>
                <w:sz w:val="24"/>
                <w:szCs w:val="24"/>
                <w:lang w:val="en-US" w:eastAsia="zh-CN" w:bidi="ar-SA"/>
              </w:rPr>
              <w:t>用于石灰石粉卸料和运输过程抑尘。</w:t>
            </w:r>
            <w:r>
              <w:rPr>
                <w:rFonts w:hint="default" w:ascii="Times New Roman" w:hAnsi="Times New Roman" w:cs="Times New Roman"/>
                <w:color w:val="auto"/>
                <w:spacing w:val="0"/>
                <w:sz w:val="24"/>
                <w:szCs w:val="24"/>
                <w:lang w:val="en-US" w:eastAsia="zh-CN" w:bidi="ar-SA"/>
              </w:rPr>
              <w:t>本项目</w:t>
            </w:r>
            <w:r>
              <w:rPr>
                <w:rFonts w:hint="default" w:ascii="Times New Roman" w:hAnsi="Times New Roman" w:eastAsia="宋体" w:cs="Times New Roman"/>
                <w:color w:val="auto"/>
                <w:spacing w:val="0"/>
                <w:sz w:val="24"/>
                <w:szCs w:val="24"/>
                <w:lang w:val="en-US" w:eastAsia="zh-CN" w:bidi="ar-SA"/>
              </w:rPr>
              <w:t>无外排生产废水</w:t>
            </w:r>
            <w:r>
              <w:rPr>
                <w:rFonts w:hint="default" w:ascii="Times New Roman" w:hAnsi="Times New Roman" w:cs="Times New Roman"/>
                <w:color w:val="auto"/>
                <w:spacing w:val="0"/>
                <w:sz w:val="24"/>
                <w:szCs w:val="24"/>
                <w:lang w:val="en-US" w:eastAsia="zh-CN" w:bidi="ar-SA"/>
              </w:rPr>
              <w:t>。</w:t>
            </w:r>
          </w:p>
        </w:tc>
        <w:tc>
          <w:tcPr>
            <w:tcW w:w="2281" w:type="dxa"/>
            <w:tcBorders>
              <w:top w:val="single" w:color="000000" w:sz="4" w:space="0"/>
              <w:bottom w:val="single" w:color="000000" w:sz="4" w:space="0"/>
            </w:tcBorders>
            <w:noWrap w:val="0"/>
            <w:vAlign w:val="center"/>
          </w:tcPr>
          <w:p w14:paraId="30A07A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p>
        </w:tc>
      </w:tr>
      <w:tr w14:paraId="5AE864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3" w:hRule="atLeast"/>
          <w:jc w:val="center"/>
        </w:trPr>
        <w:tc>
          <w:tcPr>
            <w:tcW w:w="1094" w:type="dxa"/>
            <w:noWrap w:val="0"/>
            <w:vAlign w:val="center"/>
          </w:tcPr>
          <w:p w14:paraId="5DE7DA9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声环境</w:t>
            </w:r>
          </w:p>
        </w:tc>
        <w:tc>
          <w:tcPr>
            <w:tcW w:w="1434" w:type="dxa"/>
            <w:noWrap w:val="0"/>
            <w:vAlign w:val="center"/>
          </w:tcPr>
          <w:p w14:paraId="462A3167">
            <w:pPr>
              <w:keepNext w:val="0"/>
              <w:keepLines w:val="0"/>
              <w:pageBreakBefore w:val="0"/>
              <w:wordWrap/>
              <w:overflowPunct/>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设备</w:t>
            </w:r>
          </w:p>
        </w:tc>
        <w:tc>
          <w:tcPr>
            <w:tcW w:w="1028" w:type="dxa"/>
            <w:tcBorders>
              <w:top w:val="single" w:color="000000" w:sz="4" w:space="0"/>
            </w:tcBorders>
            <w:noWrap w:val="0"/>
            <w:vAlign w:val="center"/>
          </w:tcPr>
          <w:p w14:paraId="6BA67877">
            <w:pPr>
              <w:keepNext w:val="0"/>
              <w:keepLines w:val="0"/>
              <w:pageBreakBefore w:val="0"/>
              <w:wordWrap/>
              <w:overflowPunct/>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机械设备</w:t>
            </w:r>
          </w:p>
          <w:p w14:paraId="5EAAFB5C">
            <w:pPr>
              <w:keepNext w:val="0"/>
              <w:keepLines w:val="0"/>
              <w:pageBreakBefore w:val="0"/>
              <w:wordWrap/>
              <w:overflowPunct/>
              <w:bidi w:val="0"/>
              <w:adjustRightInd w:val="0"/>
              <w:snapToGrid w:val="0"/>
              <w:spacing w:line="240" w:lineRule="auto"/>
              <w:ind w:left="0" w:leftChars="0" w:right="0" w:rightChars="0" w:firstLine="0" w:firstLineChars="0"/>
              <w:jc w:val="center"/>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噪声</w:t>
            </w:r>
          </w:p>
        </w:tc>
        <w:tc>
          <w:tcPr>
            <w:tcW w:w="2963" w:type="dxa"/>
            <w:noWrap w:val="0"/>
            <w:vAlign w:val="center"/>
          </w:tcPr>
          <w:p w14:paraId="3031C1C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lang w:eastAsia="zh-CN"/>
              </w:rPr>
            </w:pPr>
            <w:r>
              <w:rPr>
                <w:rFonts w:hint="default" w:ascii="Times New Roman" w:hAnsi="Times New Roman" w:cs="Times New Roman"/>
                <w:i w:val="0"/>
                <w:iCs w:val="0"/>
                <w:color w:val="auto"/>
                <w:kern w:val="0"/>
                <w:sz w:val="24"/>
                <w:szCs w:val="24"/>
                <w:u w:val="none"/>
                <w:lang w:val="en-US" w:eastAsia="zh-CN" w:bidi="ar"/>
              </w:rPr>
              <w:t>选用低噪声设备，对高噪音设备减振弹性垫层铺设，在设备底座与基础之间加装减振垫/减振器，利用墙体阻隔衰减</w:t>
            </w:r>
          </w:p>
        </w:tc>
        <w:tc>
          <w:tcPr>
            <w:tcW w:w="2281" w:type="dxa"/>
            <w:tcBorders>
              <w:top w:val="single" w:color="000000" w:sz="4" w:space="0"/>
            </w:tcBorders>
            <w:noWrap w:val="0"/>
            <w:vAlign w:val="center"/>
          </w:tcPr>
          <w:p w14:paraId="2D7328B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《工业企业厂界环境噪声排放标准》（GB12348-2008）中</w:t>
            </w:r>
            <w:r>
              <w:rPr>
                <w:rFonts w:hint="default" w:ascii="Times New Roman" w:hAnsi="Times New Roman" w:cs="Times New Roman"/>
                <w:color w:val="auto"/>
                <w:sz w:val="24"/>
                <w:szCs w:val="24"/>
                <w:lang w:val="en-US" w:eastAsia="zh-CN"/>
              </w:rPr>
              <w:t>3</w:t>
            </w:r>
            <w:r>
              <w:rPr>
                <w:rFonts w:hint="default" w:ascii="Times New Roman" w:hAnsi="Times New Roman" w:eastAsia="宋体" w:cs="Times New Roman"/>
                <w:color w:val="auto"/>
                <w:sz w:val="24"/>
                <w:szCs w:val="24"/>
              </w:rPr>
              <w:t>类标准限值</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kern w:val="0"/>
                <w:sz w:val="24"/>
                <w:szCs w:val="24"/>
                <w:lang w:val="en-US" w:eastAsia="zh-CN" w:bidi="ar-SA"/>
              </w:rPr>
              <w:t>昼间≤6</w:t>
            </w:r>
            <w:r>
              <w:rPr>
                <w:rFonts w:hint="default" w:ascii="Times New Roman" w:hAnsi="Times New Roman" w:cs="Times New Roman"/>
                <w:color w:val="auto"/>
                <w:kern w:val="0"/>
                <w:sz w:val="24"/>
                <w:szCs w:val="24"/>
                <w:lang w:val="en-US" w:eastAsia="zh-CN" w:bidi="ar-SA"/>
              </w:rPr>
              <w:t>5</w:t>
            </w:r>
            <w:r>
              <w:rPr>
                <w:rFonts w:hint="default" w:ascii="Times New Roman" w:hAnsi="Times New Roman" w:eastAsia="宋体" w:cs="Times New Roman"/>
                <w:color w:val="auto"/>
                <w:kern w:val="0"/>
                <w:sz w:val="24"/>
                <w:szCs w:val="24"/>
                <w:lang w:val="en-US" w:eastAsia="zh-CN" w:bidi="ar-SA"/>
              </w:rPr>
              <w:t>dB（A）；夜间≤5</w:t>
            </w:r>
            <w:r>
              <w:rPr>
                <w:rFonts w:hint="default" w:ascii="Times New Roman" w:hAnsi="Times New Roman" w:cs="Times New Roman"/>
                <w:color w:val="auto"/>
                <w:kern w:val="0"/>
                <w:sz w:val="24"/>
                <w:szCs w:val="24"/>
                <w:lang w:val="en-US" w:eastAsia="zh-CN" w:bidi="ar-SA"/>
              </w:rPr>
              <w:t>5</w:t>
            </w:r>
            <w:r>
              <w:rPr>
                <w:rFonts w:hint="default" w:ascii="Times New Roman" w:hAnsi="Times New Roman" w:eastAsia="宋体" w:cs="Times New Roman"/>
                <w:color w:val="auto"/>
                <w:kern w:val="0"/>
                <w:sz w:val="24"/>
                <w:szCs w:val="24"/>
                <w:lang w:val="en-US" w:eastAsia="zh-CN" w:bidi="ar-SA"/>
              </w:rPr>
              <w:t>dB（A）</w:t>
            </w:r>
            <w:r>
              <w:rPr>
                <w:rFonts w:hint="default" w:ascii="Times New Roman" w:hAnsi="Times New Roman" w:eastAsia="宋体" w:cs="Times New Roman"/>
                <w:color w:val="auto"/>
                <w:sz w:val="24"/>
                <w:szCs w:val="24"/>
                <w:lang w:eastAsia="zh-CN"/>
              </w:rPr>
              <w:t>）</w:t>
            </w:r>
          </w:p>
        </w:tc>
      </w:tr>
      <w:tr w14:paraId="3306E4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1" w:hRule="atLeast"/>
          <w:jc w:val="center"/>
        </w:trPr>
        <w:tc>
          <w:tcPr>
            <w:tcW w:w="1094" w:type="dxa"/>
            <w:noWrap w:val="0"/>
            <w:vAlign w:val="center"/>
          </w:tcPr>
          <w:p w14:paraId="75E6F99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固体</w:t>
            </w:r>
          </w:p>
          <w:p w14:paraId="3AA3B44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i w:val="0"/>
                <w:iCs w:val="0"/>
                <w:color w:val="auto"/>
                <w:kern w:val="0"/>
                <w:sz w:val="24"/>
                <w:szCs w:val="24"/>
                <w:u w:val="none"/>
                <w:lang w:val="en-US" w:eastAsia="zh-CN" w:bidi="ar"/>
              </w:rPr>
              <w:t>废物</w:t>
            </w:r>
          </w:p>
        </w:tc>
        <w:tc>
          <w:tcPr>
            <w:tcW w:w="7706" w:type="dxa"/>
            <w:gridSpan w:val="4"/>
            <w:noWrap w:val="0"/>
            <w:vAlign w:val="center"/>
          </w:tcPr>
          <w:p w14:paraId="56B4B5B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（1）生活垃圾：在厂区内设垃圾箱，及时收集清理至周边垃圾转运站，由环卫部门集中清运处置</w:t>
            </w:r>
            <w:r>
              <w:rPr>
                <w:rFonts w:hint="default" w:ascii="Times New Roman" w:hAnsi="Times New Roman" w:cs="Times New Roman"/>
                <w:color w:val="auto"/>
                <w:sz w:val="24"/>
                <w:szCs w:val="24"/>
                <w:lang w:val="en-US" w:eastAsia="zh-CN"/>
              </w:rPr>
              <w:t>。</w:t>
            </w:r>
          </w:p>
          <w:p w14:paraId="301B72F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（2）一般工业固废：脱硫石膏集中收集后，暂存至</w:t>
            </w:r>
            <w:r>
              <w:rPr>
                <w:rFonts w:hint="default" w:ascii="Times New Roman" w:hAnsi="Times New Roman" w:cs="Times New Roman"/>
                <w:color w:val="auto"/>
                <w:sz w:val="24"/>
                <w:szCs w:val="24"/>
                <w:lang w:val="en-US" w:eastAsia="zh-CN"/>
              </w:rPr>
              <w:t>石膏间</w:t>
            </w:r>
            <w:r>
              <w:rPr>
                <w:rFonts w:hint="default" w:ascii="Times New Roman" w:hAnsi="Times New Roman" w:eastAsia="宋体" w:cs="Times New Roman"/>
                <w:color w:val="auto"/>
                <w:sz w:val="24"/>
                <w:szCs w:val="24"/>
                <w:lang w:val="en-US" w:eastAsia="zh-CN"/>
              </w:rPr>
              <w:t>定期外售至建筑材料制造企业进行综合利用；凝结水过滤废物定期外售至建筑材料制造企业进行综合利用</w:t>
            </w:r>
            <w:r>
              <w:rPr>
                <w:rFonts w:hint="default" w:ascii="Times New Roman" w:hAnsi="Times New Roman" w:cs="Times New Roman"/>
                <w:color w:val="auto"/>
                <w:sz w:val="24"/>
                <w:szCs w:val="24"/>
                <w:lang w:val="en-US" w:eastAsia="zh-CN"/>
              </w:rPr>
              <w:t>。</w:t>
            </w:r>
          </w:p>
          <w:p w14:paraId="04D761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i w:val="0"/>
                <w:iCs w:val="0"/>
                <w:color w:val="auto"/>
                <w:kern w:val="0"/>
                <w:sz w:val="24"/>
                <w:szCs w:val="24"/>
                <w:u w:val="none"/>
                <w:lang w:val="en-US" w:eastAsia="zh-CN" w:bidi="ar"/>
              </w:rPr>
            </w:pPr>
            <w:r>
              <w:rPr>
                <w:rFonts w:hint="default" w:ascii="Times New Roman" w:hAnsi="Times New Roman" w:eastAsia="宋体" w:cs="Times New Roman"/>
                <w:color w:val="auto"/>
                <w:sz w:val="24"/>
                <w:szCs w:val="24"/>
                <w:lang w:val="en-US" w:eastAsia="zh-CN"/>
              </w:rPr>
              <w:t>（3）</w:t>
            </w:r>
            <w:r>
              <w:rPr>
                <w:rFonts w:hint="default" w:ascii="Times New Roman" w:hAnsi="Times New Roman" w:cs="Times New Roman"/>
                <w:color w:val="auto"/>
                <w:sz w:val="24"/>
                <w:szCs w:val="24"/>
                <w:lang w:val="en-US" w:eastAsia="zh-CN"/>
              </w:rPr>
              <w:t>危险废物</w:t>
            </w:r>
            <w:r>
              <w:rPr>
                <w:rFonts w:hint="default" w:ascii="Times New Roman" w:hAnsi="Times New Roman" w:eastAsia="宋体" w:cs="Times New Roman"/>
                <w:color w:val="auto"/>
                <w:sz w:val="24"/>
                <w:szCs w:val="24"/>
                <w:lang w:val="en-US" w:eastAsia="zh-CN"/>
              </w:rPr>
              <w:t>：废机油、废催化剂和</w:t>
            </w:r>
            <w:r>
              <w:rPr>
                <w:rFonts w:hint="default" w:ascii="Times New Roman" w:hAnsi="Times New Roman" w:cs="Times New Roman"/>
                <w:color w:val="auto"/>
                <w:sz w:val="24"/>
                <w:szCs w:val="24"/>
                <w:lang w:val="en-US" w:eastAsia="zh-CN"/>
              </w:rPr>
              <w:t>实验室化验废液</w:t>
            </w:r>
            <w:r>
              <w:rPr>
                <w:rFonts w:hint="default" w:ascii="Times New Roman" w:hAnsi="Times New Roman" w:eastAsia="宋体" w:cs="Times New Roman"/>
                <w:color w:val="auto"/>
                <w:sz w:val="24"/>
                <w:szCs w:val="24"/>
                <w:lang w:val="en-US" w:eastAsia="zh-CN"/>
              </w:rPr>
              <w:t>采用专用容器收集后暂存至危废贮存点，定期委托有相关危废处理资质的单位进行处置</w:t>
            </w:r>
            <w:r>
              <w:rPr>
                <w:rFonts w:hint="default" w:ascii="Times New Roman" w:hAnsi="Times New Roman" w:cs="Times New Roman"/>
                <w:color w:val="auto"/>
                <w:sz w:val="24"/>
                <w:szCs w:val="24"/>
                <w:lang w:val="en-US" w:eastAsia="zh-CN"/>
              </w:rPr>
              <w:t>。</w:t>
            </w:r>
          </w:p>
        </w:tc>
      </w:tr>
      <w:tr w14:paraId="74E16D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45" w:hRule="atLeast"/>
          <w:jc w:val="center"/>
        </w:trPr>
        <w:tc>
          <w:tcPr>
            <w:tcW w:w="1094" w:type="dxa"/>
            <w:noWrap w:val="0"/>
            <w:vAlign w:val="center"/>
          </w:tcPr>
          <w:p w14:paraId="07CF74B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土壤及地下水污染防治措施</w:t>
            </w:r>
          </w:p>
        </w:tc>
        <w:tc>
          <w:tcPr>
            <w:tcW w:w="7706" w:type="dxa"/>
            <w:gridSpan w:val="4"/>
            <w:noWrap w:val="0"/>
            <w:vAlign w:val="center"/>
          </w:tcPr>
          <w:p w14:paraId="40428F9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本项目分区防渗措施：</w:t>
            </w:r>
          </w:p>
          <w:p w14:paraId="2BCFFE2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（1）重点防渗区：危废贮存点</w:t>
            </w:r>
            <w:r>
              <w:rPr>
                <w:rFonts w:hint="default" w:ascii="Times New Roman" w:hAnsi="Times New Roman" w:cs="Times New Roman"/>
                <w:color w:val="auto"/>
                <w:sz w:val="24"/>
                <w:szCs w:val="24"/>
                <w:lang w:val="en-US" w:eastAsia="zh-CN"/>
              </w:rPr>
              <w:t>和</w:t>
            </w:r>
            <w:r>
              <w:rPr>
                <w:rFonts w:hint="default" w:ascii="Times New Roman" w:hAnsi="Times New Roman" w:cs="Times New Roman"/>
                <w:color w:val="auto"/>
                <w:sz w:val="24"/>
                <w:szCs w:val="24"/>
                <w:highlight w:val="none"/>
                <w:lang w:val="en-US" w:eastAsia="zh-CN" w:bidi="ar"/>
              </w:rPr>
              <w:t>事故油池</w:t>
            </w:r>
            <w:r>
              <w:rPr>
                <w:rFonts w:hint="default" w:ascii="Times New Roman" w:hAnsi="Times New Roman" w:eastAsia="宋体" w:cs="Times New Roman"/>
                <w:snapToGrid w:val="0"/>
                <w:color w:val="auto"/>
                <w:kern w:val="0"/>
                <w:sz w:val="24"/>
                <w:szCs w:val="24"/>
                <w:lang w:eastAsia="zh-CN"/>
              </w:rPr>
              <w:t>，</w:t>
            </w:r>
            <w:r>
              <w:rPr>
                <w:rFonts w:hint="default" w:ascii="Times New Roman" w:hAnsi="Times New Roman" w:eastAsia="宋体" w:cs="Times New Roman"/>
                <w:color w:val="auto"/>
                <w:sz w:val="24"/>
                <w:szCs w:val="24"/>
                <w:lang w:val="en-US" w:eastAsia="zh-CN"/>
              </w:rPr>
              <w:t>防渗能力达到等效黏土防渗层Mb≥6.0m，渗透系数≤1×10</w:t>
            </w:r>
            <w:r>
              <w:rPr>
                <w:rFonts w:hint="default" w:ascii="Times New Roman" w:hAnsi="Times New Roman" w:eastAsia="宋体" w:cs="Times New Roman"/>
                <w:color w:val="auto"/>
                <w:sz w:val="24"/>
                <w:szCs w:val="24"/>
                <w:vertAlign w:val="superscript"/>
                <w:lang w:val="en-US" w:eastAsia="zh-CN"/>
              </w:rPr>
              <w:t>-7</w:t>
            </w:r>
            <w:r>
              <w:rPr>
                <w:rFonts w:hint="default" w:ascii="Times New Roman" w:hAnsi="Times New Roman" w:eastAsia="宋体" w:cs="Times New Roman"/>
                <w:color w:val="auto"/>
                <w:sz w:val="24"/>
                <w:szCs w:val="24"/>
                <w:lang w:val="en-US" w:eastAsia="zh-CN"/>
              </w:rPr>
              <w:t>cm/s。</w:t>
            </w:r>
          </w:p>
          <w:p w14:paraId="5173769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一般防渗区：浆料事故池，等效黏土防渗层Mb≥1.5m，渗透系数≤1×10</w:t>
            </w:r>
            <w:r>
              <w:rPr>
                <w:rFonts w:hint="default" w:ascii="Times New Roman" w:hAnsi="Times New Roman" w:eastAsia="宋体" w:cs="Times New Roman"/>
                <w:color w:val="auto"/>
                <w:sz w:val="24"/>
                <w:szCs w:val="24"/>
                <w:vertAlign w:val="superscript"/>
                <w:lang w:val="en-US" w:eastAsia="zh-CN"/>
              </w:rPr>
              <w:t>-7</w:t>
            </w:r>
            <w:r>
              <w:rPr>
                <w:rFonts w:hint="default" w:ascii="Times New Roman" w:hAnsi="Times New Roman" w:eastAsia="宋体" w:cs="Times New Roman"/>
                <w:color w:val="auto"/>
                <w:sz w:val="24"/>
                <w:szCs w:val="24"/>
                <w:lang w:val="en-US" w:eastAsia="zh-CN"/>
              </w:rPr>
              <w:t>cm/s</w:t>
            </w:r>
          </w:p>
          <w:p w14:paraId="04B6E0C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（3）简单防渗区：</w:t>
            </w:r>
            <w:r>
              <w:rPr>
                <w:rFonts w:hint="default" w:ascii="Times New Roman" w:hAnsi="Times New Roman" w:eastAsia="宋体" w:cs="Times New Roman"/>
                <w:color w:val="auto"/>
                <w:spacing w:val="0"/>
                <w:sz w:val="24"/>
                <w:szCs w:val="24"/>
                <w:lang w:val="en-US" w:eastAsia="zh-CN"/>
              </w:rPr>
              <w:t>简单防渗区为厂区其他非绿化区域</w:t>
            </w:r>
            <w:r>
              <w:rPr>
                <w:rFonts w:hint="default" w:ascii="Times New Roman" w:hAnsi="Times New Roman" w:eastAsia="宋体" w:cs="Times New Roman"/>
                <w:color w:val="auto"/>
                <w:sz w:val="24"/>
                <w:szCs w:val="24"/>
                <w:lang w:val="en-US" w:eastAsia="zh-CN"/>
              </w:rPr>
              <w:t>。</w:t>
            </w:r>
          </w:p>
        </w:tc>
      </w:tr>
      <w:tr w14:paraId="550B80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94" w:type="dxa"/>
            <w:noWrap w:val="0"/>
            <w:vAlign w:val="center"/>
          </w:tcPr>
          <w:p w14:paraId="06324FD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生态保护措施</w:t>
            </w:r>
          </w:p>
        </w:tc>
        <w:tc>
          <w:tcPr>
            <w:tcW w:w="7706" w:type="dxa"/>
            <w:gridSpan w:val="4"/>
            <w:noWrap w:val="0"/>
            <w:vAlign w:val="center"/>
          </w:tcPr>
          <w:p w14:paraId="44B3D2E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auto"/>
                <w:sz w:val="24"/>
                <w:szCs w:val="24"/>
                <w:lang w:val="en-US" w:eastAsia="zh-CN"/>
              </w:rPr>
            </w:pPr>
          </w:p>
          <w:p w14:paraId="1A6815C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auto"/>
                <w:sz w:val="24"/>
                <w:szCs w:val="24"/>
                <w:lang w:val="en-US" w:eastAsia="zh-CN"/>
              </w:rPr>
            </w:pPr>
          </w:p>
          <w:p w14:paraId="3F7B7D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auto"/>
                <w:sz w:val="24"/>
                <w:szCs w:val="24"/>
                <w:lang w:val="en-US" w:eastAsia="zh-CN"/>
              </w:rPr>
            </w:pPr>
          </w:p>
          <w:p w14:paraId="30312A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lang w:val="en-US" w:eastAsia="zh-CN"/>
              </w:rPr>
              <w:t>根据</w:t>
            </w:r>
            <w:r>
              <w:rPr>
                <w:rFonts w:hint="default" w:ascii="Times New Roman" w:hAnsi="Times New Roman" w:eastAsia="宋体" w:cs="Times New Roman"/>
                <w:color w:val="auto"/>
                <w:sz w:val="24"/>
                <w:szCs w:val="24"/>
                <w:highlight w:val="none"/>
                <w:lang w:val="en-US" w:eastAsia="zh-CN" w:bidi="ar-SA"/>
              </w:rPr>
              <w:t>项目的特点和条件，着重以防止和减少污染，保护和改善环境为主，布置绿化。</w:t>
            </w:r>
          </w:p>
          <w:p w14:paraId="62A52A6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auto"/>
                <w:sz w:val="24"/>
                <w:szCs w:val="24"/>
                <w:highlight w:val="none"/>
                <w:lang w:val="en-US" w:eastAsia="zh-CN" w:bidi="ar-SA"/>
              </w:rPr>
            </w:pPr>
          </w:p>
          <w:p w14:paraId="115794F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auto"/>
                <w:sz w:val="24"/>
                <w:szCs w:val="24"/>
                <w:highlight w:val="none"/>
                <w:lang w:val="en-US" w:eastAsia="zh-CN" w:bidi="ar-SA"/>
              </w:rPr>
            </w:pPr>
          </w:p>
          <w:p w14:paraId="243642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auto"/>
                <w:sz w:val="24"/>
                <w:szCs w:val="24"/>
                <w:highlight w:val="none"/>
                <w:lang w:val="en-US" w:eastAsia="zh-CN" w:bidi="ar-SA"/>
              </w:rPr>
            </w:pPr>
          </w:p>
        </w:tc>
      </w:tr>
      <w:tr w14:paraId="7729FA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27" w:hRule="atLeast"/>
          <w:jc w:val="center"/>
        </w:trPr>
        <w:tc>
          <w:tcPr>
            <w:tcW w:w="1094" w:type="dxa"/>
            <w:noWrap w:val="0"/>
            <w:vAlign w:val="center"/>
          </w:tcPr>
          <w:p w14:paraId="7C3F527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环境风险防范措施</w:t>
            </w:r>
          </w:p>
        </w:tc>
        <w:tc>
          <w:tcPr>
            <w:tcW w:w="7706" w:type="dxa"/>
            <w:gridSpan w:val="4"/>
            <w:noWrap w:val="0"/>
            <w:vAlign w:val="center"/>
          </w:tcPr>
          <w:p w14:paraId="24FF54A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1）针对风险物质储存防范措施：项目危险废物贮存点进行防渗处理，采用专用收集桶收集后，暂存于危险废物贮存点，交由有资质的单位定期清运处置，并设立台账管理。危险废物贮存点地面及裙角进行防渗，危废间设置规范标识标牌。少量泄漏、滴漏不会流出储存所在场所，不会对厂区环境构成威胁。岗位人员发现后立即向上级领导汇报，通知技术人员，组织人员回收泄漏物，并修复现场。事后做好事件记录存档等工作；</w:t>
            </w:r>
          </w:p>
          <w:p w14:paraId="1EC8560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（2）加强废气治理设施日常维护保证处理效果；明确环保治理设施监管责任人，每日由监管责任人对</w:t>
            </w:r>
            <w:r>
              <w:rPr>
                <w:rFonts w:hint="default" w:ascii="Times New Roman" w:hAnsi="Times New Roman" w:cs="Times New Roman"/>
                <w:color w:val="auto"/>
                <w:sz w:val="24"/>
                <w:szCs w:val="24"/>
                <w:highlight w:val="none"/>
                <w:lang w:val="en-US" w:eastAsia="zh-CN" w:bidi="ar-SA"/>
              </w:rPr>
              <w:t>环境治理</w:t>
            </w:r>
            <w:r>
              <w:rPr>
                <w:rFonts w:hint="default" w:ascii="Times New Roman" w:hAnsi="Times New Roman" w:eastAsia="宋体" w:cs="Times New Roman"/>
                <w:color w:val="auto"/>
                <w:sz w:val="24"/>
                <w:szCs w:val="24"/>
                <w:highlight w:val="none"/>
                <w:lang w:val="en-US" w:eastAsia="zh-CN" w:bidi="ar-SA"/>
              </w:rPr>
              <w:t>设施巡视检查一次，如巡视检查发现问题，应立即上报维修或者更换。经分析环保治理设施发生故障的风险概率较低，采取上述防治措施，则废气治理设施故障事故的影响是可控的；</w:t>
            </w:r>
          </w:p>
          <w:p w14:paraId="324504B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（3）针对煤气管道隐患</w:t>
            </w:r>
            <w:r>
              <w:rPr>
                <w:rFonts w:hint="default" w:ascii="Times New Roman" w:hAnsi="Times New Roman" w:cs="Times New Roman"/>
                <w:color w:val="auto"/>
                <w:sz w:val="24"/>
                <w:szCs w:val="24"/>
                <w:highlight w:val="none"/>
                <w:lang w:val="en-US" w:eastAsia="zh-CN" w:bidi="ar-SA"/>
              </w:rPr>
              <w:t>：对</w:t>
            </w:r>
            <w:r>
              <w:rPr>
                <w:rFonts w:hint="default" w:ascii="Times New Roman" w:hAnsi="Times New Roman" w:eastAsia="宋体" w:cs="Times New Roman"/>
                <w:color w:val="auto"/>
                <w:sz w:val="24"/>
                <w:szCs w:val="24"/>
                <w:highlight w:val="none"/>
                <w:lang w:val="en-US" w:eastAsia="zh-CN" w:bidi="ar-SA"/>
              </w:rPr>
              <w:t>于煤气管道隐患，加强设备、管道、阀门的密封措施，防止泄漏而引起火灾/爆炸事故，并设置可燃气体自动报警系统。</w:t>
            </w:r>
          </w:p>
          <w:p w14:paraId="048A2BE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w:t>
            </w:r>
            <w:r>
              <w:rPr>
                <w:rFonts w:hint="default" w:ascii="Times New Roman" w:hAnsi="Times New Roman" w:cs="Times New Roman"/>
                <w:color w:val="auto"/>
                <w:sz w:val="24"/>
                <w:szCs w:val="24"/>
                <w:highlight w:val="none"/>
                <w:lang w:val="en-US" w:eastAsia="zh-CN" w:bidi="ar-SA"/>
              </w:rPr>
              <w:t>4</w:t>
            </w:r>
            <w:r>
              <w:rPr>
                <w:rFonts w:hint="default" w:ascii="Times New Roman" w:hAnsi="Times New Roman" w:eastAsia="宋体" w:cs="Times New Roman"/>
                <w:color w:val="auto"/>
                <w:sz w:val="24"/>
                <w:szCs w:val="24"/>
                <w:highlight w:val="none"/>
                <w:lang w:val="en-US" w:eastAsia="zh-CN" w:bidi="ar-SA"/>
              </w:rPr>
              <w:t>）针对事故：本项目在汽机间的南侧，设置汽轮机润滑油的事故集油坑（30m</w:t>
            </w:r>
            <w:r>
              <w:rPr>
                <w:rFonts w:hint="default" w:ascii="Times New Roman" w:hAnsi="Times New Roman" w:eastAsia="宋体" w:cs="Times New Roman"/>
                <w:color w:val="auto"/>
                <w:sz w:val="24"/>
                <w:szCs w:val="24"/>
                <w:highlight w:val="none"/>
                <w:vertAlign w:val="superscript"/>
                <w:lang w:val="en-US" w:eastAsia="zh-CN" w:bidi="ar-SA"/>
              </w:rPr>
              <w:t>3</w:t>
            </w:r>
            <w:r>
              <w:rPr>
                <w:rFonts w:hint="default" w:ascii="Times New Roman" w:hAnsi="Times New Roman" w:eastAsia="宋体" w:cs="Times New Roman"/>
                <w:color w:val="auto"/>
                <w:sz w:val="24"/>
                <w:szCs w:val="24"/>
                <w:highlight w:val="none"/>
                <w:lang w:val="en-US" w:eastAsia="zh-CN" w:bidi="ar-SA"/>
              </w:rPr>
              <w:t>），事故状态下可将油污集中收集、隔油处理，废油交由有资质单位处置；本项目在</w:t>
            </w:r>
            <w:r>
              <w:rPr>
                <w:rFonts w:hint="default" w:ascii="Times New Roman" w:hAnsi="Times New Roman" w:cs="Times New Roman"/>
                <w:color w:val="auto"/>
                <w:sz w:val="24"/>
                <w:szCs w:val="24"/>
                <w:highlight w:val="none"/>
                <w:lang w:val="en-US" w:eastAsia="zh-CN" w:bidi="ar-SA"/>
              </w:rPr>
              <w:t>脱硫综合楼一层地下</w:t>
            </w:r>
            <w:r>
              <w:rPr>
                <w:rFonts w:hint="default" w:ascii="Times New Roman" w:hAnsi="Times New Roman" w:eastAsia="宋体" w:cs="Times New Roman"/>
                <w:color w:val="auto"/>
                <w:sz w:val="24"/>
                <w:szCs w:val="24"/>
                <w:highlight w:val="none"/>
                <w:lang w:val="en-US" w:eastAsia="zh-CN" w:bidi="ar-SA"/>
              </w:rPr>
              <w:t>，设置脱硫事故浆液池（</w:t>
            </w:r>
            <w:r>
              <w:rPr>
                <w:rFonts w:hint="default" w:ascii="Times New Roman" w:hAnsi="Times New Roman" w:cs="Times New Roman"/>
                <w:color w:val="auto"/>
                <w:sz w:val="24"/>
                <w:szCs w:val="24"/>
                <w:highlight w:val="none"/>
                <w:lang w:val="en-US" w:eastAsia="zh-CN" w:bidi="ar-SA"/>
              </w:rPr>
              <w:t>370</w:t>
            </w:r>
            <w:r>
              <w:rPr>
                <w:rFonts w:hint="default" w:ascii="Times New Roman" w:hAnsi="Times New Roman" w:eastAsia="宋体" w:cs="Times New Roman"/>
                <w:color w:val="auto"/>
                <w:sz w:val="24"/>
                <w:szCs w:val="24"/>
                <w:highlight w:val="none"/>
                <w:lang w:val="en-US" w:eastAsia="zh-CN" w:bidi="ar-SA"/>
              </w:rPr>
              <w:t>m</w:t>
            </w:r>
            <w:r>
              <w:rPr>
                <w:rFonts w:hint="default" w:ascii="Times New Roman" w:hAnsi="Times New Roman" w:eastAsia="宋体" w:cs="Times New Roman"/>
                <w:color w:val="auto"/>
                <w:sz w:val="24"/>
                <w:szCs w:val="24"/>
                <w:highlight w:val="none"/>
                <w:vertAlign w:val="superscript"/>
                <w:lang w:val="en-US" w:eastAsia="zh-CN" w:bidi="ar-SA"/>
              </w:rPr>
              <w:t>3</w:t>
            </w:r>
            <w:r>
              <w:rPr>
                <w:rFonts w:hint="default" w:ascii="Times New Roman" w:hAnsi="Times New Roman" w:eastAsia="宋体" w:cs="Times New Roman"/>
                <w:color w:val="auto"/>
                <w:sz w:val="24"/>
                <w:szCs w:val="24"/>
                <w:highlight w:val="none"/>
                <w:lang w:val="en-US" w:eastAsia="zh-CN" w:bidi="ar-SA"/>
              </w:rPr>
              <w:t>），当脱硫系统发生故障（如吸收塔检修、浆液循环泵跳闸、烟气系统异常、停电停机）时，利用设备和设施本身的富余量及事故池来处理；</w:t>
            </w:r>
          </w:p>
          <w:p w14:paraId="4532A3A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w:t>
            </w:r>
            <w:r>
              <w:rPr>
                <w:rFonts w:hint="default" w:ascii="Times New Roman" w:hAnsi="Times New Roman" w:cs="Times New Roman"/>
                <w:color w:val="auto"/>
                <w:sz w:val="24"/>
                <w:szCs w:val="24"/>
                <w:highlight w:val="none"/>
                <w:lang w:val="en-US" w:eastAsia="zh-CN" w:bidi="ar-SA"/>
              </w:rPr>
              <w:t>5</w:t>
            </w:r>
            <w:r>
              <w:rPr>
                <w:rFonts w:hint="default" w:ascii="Times New Roman" w:hAnsi="Times New Roman" w:eastAsia="宋体" w:cs="Times New Roman"/>
                <w:color w:val="auto"/>
                <w:sz w:val="24"/>
                <w:szCs w:val="24"/>
                <w:highlight w:val="none"/>
                <w:lang w:val="en-US" w:eastAsia="zh-CN" w:bidi="ar-SA"/>
              </w:rPr>
              <w:t>）制定应急预案：本环评要求</w:t>
            </w:r>
            <w:r>
              <w:rPr>
                <w:rFonts w:hint="default" w:ascii="Times New Roman" w:hAnsi="Times New Roman" w:cs="Times New Roman"/>
                <w:color w:val="auto"/>
                <w:sz w:val="24"/>
                <w:szCs w:val="24"/>
                <w:highlight w:val="none"/>
                <w:lang w:val="en-US" w:eastAsia="zh-CN" w:bidi="ar-SA"/>
              </w:rPr>
              <w:t>企业</w:t>
            </w:r>
            <w:r>
              <w:rPr>
                <w:rFonts w:hint="default" w:ascii="Times New Roman" w:hAnsi="Times New Roman" w:eastAsia="宋体" w:cs="Times New Roman"/>
                <w:color w:val="auto"/>
                <w:sz w:val="24"/>
                <w:szCs w:val="24"/>
                <w:highlight w:val="none"/>
                <w:lang w:val="en-US" w:eastAsia="zh-CN" w:bidi="ar-SA"/>
              </w:rPr>
              <w:t>制定突发环境事件应急预案，应包含详细调查环境风险源、风险事故防范设施、应急物资储备情况、应急措施、应急演练、应急预案的有效性以及形成与区域环境应急预案的联动机制等内容，届时项目的环境风险事故的应急预案应严格按照其执行。</w:t>
            </w:r>
          </w:p>
        </w:tc>
      </w:tr>
      <w:tr w14:paraId="4218BE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821" w:hRule="atLeast"/>
          <w:jc w:val="center"/>
        </w:trPr>
        <w:tc>
          <w:tcPr>
            <w:tcW w:w="1094" w:type="dxa"/>
            <w:noWrap w:val="0"/>
            <w:vAlign w:val="center"/>
          </w:tcPr>
          <w:p w14:paraId="4AAAEB4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8"/>
                <w:sz w:val="24"/>
                <w:szCs w:val="24"/>
              </w:rPr>
            </w:pPr>
          </w:p>
          <w:p w14:paraId="1FF47D1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其他环境管理要求</w:t>
            </w:r>
          </w:p>
          <w:p w14:paraId="2AD1E62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pacing w:val="-8"/>
                <w:sz w:val="24"/>
                <w:szCs w:val="24"/>
              </w:rPr>
            </w:pPr>
          </w:p>
        </w:tc>
        <w:tc>
          <w:tcPr>
            <w:tcW w:w="7706" w:type="dxa"/>
            <w:gridSpan w:val="4"/>
            <w:noWrap w:val="0"/>
            <w:vAlign w:val="center"/>
          </w:tcPr>
          <w:p w14:paraId="2F0D2DE1">
            <w:pPr>
              <w:keepNext w:val="0"/>
              <w:keepLines w:val="0"/>
              <w:pageBreakBefore w:val="0"/>
              <w:widowControl w:val="0"/>
              <w:kinsoku/>
              <w:wordWrap/>
              <w:overflowPunct/>
              <w:topLinePunct w:val="0"/>
              <w:autoSpaceDE/>
              <w:autoSpaceDN/>
              <w:bidi w:val="0"/>
              <w:adjustRightInd/>
              <w:snapToGrid/>
              <w:spacing w:line="360" w:lineRule="auto"/>
              <w:ind w:right="0" w:rightChars="0"/>
              <w:jc w:val="left"/>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（1）环保投资</w:t>
            </w:r>
          </w:p>
          <w:p w14:paraId="38B7BFAB">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left"/>
              <w:textAlignment w:val="auto"/>
              <w:rPr>
                <w:rFonts w:hint="default" w:ascii="Times New Roman" w:hAnsi="Times New Roman" w:eastAsia="宋体" w:cs="Times New Roman"/>
                <w:color w:val="auto"/>
                <w:sz w:val="24"/>
                <w:szCs w:val="24"/>
                <w:highlight w:val="none"/>
                <w:lang w:val="en-US" w:eastAsia="zh-CN" w:bidi="ar-SA"/>
              </w:rPr>
            </w:pPr>
            <w:r>
              <w:rPr>
                <w:rFonts w:hint="default" w:ascii="Times New Roman" w:hAnsi="Times New Roman" w:eastAsia="宋体" w:cs="Times New Roman"/>
                <w:color w:val="auto"/>
                <w:sz w:val="24"/>
                <w:szCs w:val="24"/>
                <w:highlight w:val="none"/>
                <w:lang w:val="en-US" w:eastAsia="zh-CN" w:bidi="ar-SA"/>
              </w:rPr>
              <w:t>本项目总投资24640万元，其中环保投资</w:t>
            </w:r>
            <w:r>
              <w:rPr>
                <w:rFonts w:hint="default" w:ascii="Times New Roman" w:hAnsi="Times New Roman" w:cs="Times New Roman"/>
                <w:color w:val="auto"/>
                <w:sz w:val="24"/>
                <w:szCs w:val="24"/>
                <w:highlight w:val="none"/>
                <w:lang w:val="en-US" w:eastAsia="zh-CN" w:bidi="ar-SA"/>
              </w:rPr>
              <w:t>1111.95</w:t>
            </w:r>
            <w:r>
              <w:rPr>
                <w:rFonts w:hint="default" w:ascii="Times New Roman" w:hAnsi="Times New Roman" w:eastAsia="宋体" w:cs="Times New Roman"/>
                <w:color w:val="auto"/>
                <w:sz w:val="24"/>
                <w:szCs w:val="24"/>
                <w:highlight w:val="none"/>
                <w:lang w:val="en-US" w:eastAsia="zh-CN" w:bidi="ar-SA"/>
              </w:rPr>
              <w:t>万元，占总投资的</w:t>
            </w:r>
            <w:r>
              <w:rPr>
                <w:rFonts w:hint="default" w:ascii="Times New Roman" w:hAnsi="Times New Roman" w:cs="Times New Roman"/>
                <w:color w:val="auto"/>
                <w:sz w:val="24"/>
                <w:szCs w:val="24"/>
                <w:highlight w:val="none"/>
                <w:lang w:val="en-US" w:eastAsia="zh-CN" w:bidi="ar-SA"/>
              </w:rPr>
              <w:t>4.51</w:t>
            </w:r>
            <w:r>
              <w:rPr>
                <w:rFonts w:hint="default" w:ascii="Times New Roman" w:hAnsi="Times New Roman" w:eastAsia="宋体" w:cs="Times New Roman"/>
                <w:color w:val="auto"/>
                <w:sz w:val="24"/>
                <w:szCs w:val="24"/>
                <w:highlight w:val="none"/>
                <w:lang w:val="en-US" w:eastAsia="zh-CN" w:bidi="ar-SA"/>
              </w:rPr>
              <w:t>%。环保投资详见表5-1。</w:t>
            </w:r>
          </w:p>
          <w:p w14:paraId="55E29ADE">
            <w:pPr>
              <w:pStyle w:val="104"/>
              <w:keepNext w:val="0"/>
              <w:keepLines w:val="0"/>
              <w:pageBreakBefore w:val="0"/>
              <w:wordWrap/>
              <w:overflowPunct/>
              <w:bidi w:val="0"/>
              <w:spacing w:line="240" w:lineRule="auto"/>
              <w:ind w:left="0" w:leftChars="0" w:right="0" w:rightChars="0" w:firstLine="0" w:firstLineChars="0"/>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表5-1环保设施投资估算表</w:t>
            </w:r>
          </w:p>
          <w:tbl>
            <w:tblPr>
              <w:tblStyle w:val="32"/>
              <w:tblW w:w="7459" w:type="dxa"/>
              <w:tblInd w:w="-3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526"/>
              <w:gridCol w:w="672"/>
              <w:gridCol w:w="1100"/>
              <w:gridCol w:w="3450"/>
              <w:gridCol w:w="750"/>
              <w:gridCol w:w="961"/>
            </w:tblGrid>
            <w:tr w14:paraId="65E188B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57" w:hRule="atLeast"/>
              </w:trPr>
              <w:tc>
                <w:tcPr>
                  <w:tcW w:w="5748" w:type="dxa"/>
                  <w:gridSpan w:val="4"/>
                  <w:tcBorders>
                    <w:tl2br w:val="nil"/>
                    <w:tr2bl w:val="nil"/>
                  </w:tcBorders>
                  <w:shd w:val="clear" w:color="auto" w:fill="auto"/>
                  <w:vAlign w:val="center"/>
                </w:tcPr>
                <w:p w14:paraId="0218A194">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投资项目</w:t>
                  </w:r>
                </w:p>
              </w:tc>
              <w:tc>
                <w:tcPr>
                  <w:tcW w:w="750" w:type="dxa"/>
                  <w:tcBorders>
                    <w:tl2br w:val="nil"/>
                    <w:tr2bl w:val="nil"/>
                  </w:tcBorders>
                  <w:shd w:val="clear" w:color="auto" w:fill="auto"/>
                  <w:vAlign w:val="center"/>
                </w:tcPr>
                <w:p w14:paraId="013CF2C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数量</w:t>
                  </w:r>
                </w:p>
              </w:tc>
              <w:tc>
                <w:tcPr>
                  <w:tcW w:w="961" w:type="dxa"/>
                  <w:tcBorders>
                    <w:tl2br w:val="nil"/>
                    <w:tr2bl w:val="nil"/>
                  </w:tcBorders>
                  <w:shd w:val="clear" w:color="auto" w:fill="auto"/>
                  <w:vAlign w:val="center"/>
                </w:tcPr>
                <w:p w14:paraId="6442918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万元</w:t>
                  </w:r>
                </w:p>
              </w:tc>
            </w:tr>
            <w:tr w14:paraId="50CFEA5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526" w:type="dxa"/>
                  <w:vMerge w:val="restart"/>
                  <w:tcBorders>
                    <w:tl2br w:val="nil"/>
                    <w:tr2bl w:val="nil"/>
                  </w:tcBorders>
                  <w:shd w:val="clear" w:color="auto" w:fill="auto"/>
                  <w:vAlign w:val="center"/>
                </w:tcPr>
                <w:p w14:paraId="121637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施工期</w:t>
                  </w:r>
                </w:p>
              </w:tc>
              <w:tc>
                <w:tcPr>
                  <w:tcW w:w="672" w:type="dxa"/>
                  <w:vMerge w:val="restart"/>
                  <w:tcBorders>
                    <w:tl2br w:val="nil"/>
                    <w:tr2bl w:val="nil"/>
                  </w:tcBorders>
                  <w:shd w:val="clear" w:color="auto" w:fill="auto"/>
                  <w:vAlign w:val="center"/>
                </w:tcPr>
                <w:p w14:paraId="5387CC1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废气</w:t>
                  </w:r>
                </w:p>
              </w:tc>
              <w:tc>
                <w:tcPr>
                  <w:tcW w:w="1100" w:type="dxa"/>
                  <w:vMerge w:val="restart"/>
                  <w:tcBorders>
                    <w:tl2br w:val="nil"/>
                    <w:tr2bl w:val="nil"/>
                  </w:tcBorders>
                  <w:shd w:val="clear" w:color="auto" w:fill="auto"/>
                  <w:vAlign w:val="center"/>
                </w:tcPr>
                <w:p w14:paraId="0451CD5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施工</w:t>
                  </w:r>
                  <w:r>
                    <w:rPr>
                      <w:rFonts w:hint="default" w:ascii="Times New Roman" w:hAnsi="Times New Roman" w:eastAsia="宋体" w:cs="Times New Roman"/>
                      <w:i w:val="0"/>
                      <w:iCs w:val="0"/>
                      <w:color w:val="auto"/>
                      <w:kern w:val="0"/>
                      <w:sz w:val="21"/>
                      <w:szCs w:val="21"/>
                      <w:u w:val="none"/>
                      <w:lang w:val="en-US" w:eastAsia="zh-CN" w:bidi="ar"/>
                    </w:rPr>
                    <w:t>工程</w:t>
                  </w:r>
                </w:p>
              </w:tc>
              <w:tc>
                <w:tcPr>
                  <w:tcW w:w="3450" w:type="dxa"/>
                  <w:tcBorders>
                    <w:tl2br w:val="nil"/>
                    <w:tr2bl w:val="nil"/>
                  </w:tcBorders>
                  <w:shd w:val="clear" w:color="auto" w:fill="auto"/>
                  <w:vAlign w:val="center"/>
                </w:tcPr>
                <w:p w14:paraId="65960C8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采取洒水抑尘措施</w:t>
                  </w:r>
                </w:p>
              </w:tc>
              <w:tc>
                <w:tcPr>
                  <w:tcW w:w="750" w:type="dxa"/>
                  <w:tcBorders>
                    <w:tl2br w:val="nil"/>
                    <w:tr2bl w:val="nil"/>
                  </w:tcBorders>
                  <w:shd w:val="clear" w:color="auto" w:fill="auto"/>
                  <w:vAlign w:val="center"/>
                </w:tcPr>
                <w:p w14:paraId="40D75F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1套</w:t>
                  </w:r>
                </w:p>
              </w:tc>
              <w:tc>
                <w:tcPr>
                  <w:tcW w:w="961" w:type="dxa"/>
                  <w:tcBorders>
                    <w:tl2br w:val="nil"/>
                    <w:tr2bl w:val="nil"/>
                  </w:tcBorders>
                  <w:shd w:val="clear" w:color="auto" w:fill="auto"/>
                  <w:vAlign w:val="center"/>
                </w:tcPr>
                <w:p w14:paraId="797D0C1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0.05</w:t>
                  </w:r>
                </w:p>
              </w:tc>
            </w:tr>
            <w:tr w14:paraId="1228E09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526" w:type="dxa"/>
                  <w:vMerge w:val="continue"/>
                  <w:tcBorders>
                    <w:tl2br w:val="nil"/>
                    <w:tr2bl w:val="nil"/>
                  </w:tcBorders>
                  <w:shd w:val="clear" w:color="auto" w:fill="auto"/>
                  <w:vAlign w:val="center"/>
                </w:tcPr>
                <w:p w14:paraId="7D8A12DF">
                  <w:pPr>
                    <w:jc w:val="center"/>
                    <w:rPr>
                      <w:rFonts w:hint="default" w:ascii="Times New Roman" w:hAnsi="Times New Roman" w:eastAsia="宋体" w:cs="Times New Roman"/>
                      <w:i w:val="0"/>
                      <w:iCs w:val="0"/>
                      <w:color w:val="auto"/>
                      <w:sz w:val="21"/>
                      <w:szCs w:val="21"/>
                      <w:u w:val="none"/>
                    </w:rPr>
                  </w:pPr>
                </w:p>
              </w:tc>
              <w:tc>
                <w:tcPr>
                  <w:tcW w:w="672" w:type="dxa"/>
                  <w:vMerge w:val="continue"/>
                  <w:tcBorders>
                    <w:tl2br w:val="nil"/>
                    <w:tr2bl w:val="nil"/>
                  </w:tcBorders>
                  <w:shd w:val="clear" w:color="auto" w:fill="auto"/>
                  <w:vAlign w:val="center"/>
                </w:tcPr>
                <w:p w14:paraId="3FF2EAD0">
                  <w:pPr>
                    <w:jc w:val="center"/>
                    <w:rPr>
                      <w:rFonts w:hint="default" w:ascii="Times New Roman" w:hAnsi="Times New Roman" w:eastAsia="宋体" w:cs="Times New Roman"/>
                      <w:i w:val="0"/>
                      <w:iCs w:val="0"/>
                      <w:color w:val="auto"/>
                      <w:sz w:val="21"/>
                      <w:szCs w:val="21"/>
                      <w:u w:val="none"/>
                    </w:rPr>
                  </w:pPr>
                </w:p>
              </w:tc>
              <w:tc>
                <w:tcPr>
                  <w:tcW w:w="1100" w:type="dxa"/>
                  <w:vMerge w:val="continue"/>
                  <w:tcBorders>
                    <w:tl2br w:val="nil"/>
                    <w:tr2bl w:val="nil"/>
                  </w:tcBorders>
                  <w:shd w:val="clear" w:color="auto" w:fill="auto"/>
                  <w:vAlign w:val="center"/>
                </w:tcPr>
                <w:p w14:paraId="71A01679">
                  <w:pPr>
                    <w:jc w:val="center"/>
                    <w:rPr>
                      <w:rFonts w:hint="default" w:ascii="Times New Roman" w:hAnsi="Times New Roman" w:eastAsia="宋体" w:cs="Times New Roman"/>
                      <w:i w:val="0"/>
                      <w:iCs w:val="0"/>
                      <w:color w:val="auto"/>
                      <w:sz w:val="21"/>
                      <w:szCs w:val="21"/>
                      <w:u w:val="none"/>
                    </w:rPr>
                  </w:pPr>
                </w:p>
              </w:tc>
              <w:tc>
                <w:tcPr>
                  <w:tcW w:w="3450" w:type="dxa"/>
                  <w:tcBorders>
                    <w:tl2br w:val="nil"/>
                    <w:tr2bl w:val="nil"/>
                  </w:tcBorders>
                  <w:shd w:val="clear" w:color="auto" w:fill="auto"/>
                  <w:vAlign w:val="center"/>
                </w:tcPr>
                <w:p w14:paraId="3EDA657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运输车辆遮盖、密闭措施</w:t>
                  </w:r>
                </w:p>
              </w:tc>
              <w:tc>
                <w:tcPr>
                  <w:tcW w:w="750" w:type="dxa"/>
                  <w:tcBorders>
                    <w:tl2br w:val="nil"/>
                    <w:tr2bl w:val="nil"/>
                  </w:tcBorders>
                  <w:shd w:val="clear" w:color="auto" w:fill="auto"/>
                  <w:vAlign w:val="center"/>
                </w:tcPr>
                <w:p w14:paraId="4070A51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1套</w:t>
                  </w:r>
                </w:p>
              </w:tc>
              <w:tc>
                <w:tcPr>
                  <w:tcW w:w="961" w:type="dxa"/>
                  <w:tcBorders>
                    <w:tl2br w:val="nil"/>
                    <w:tr2bl w:val="nil"/>
                  </w:tcBorders>
                  <w:shd w:val="clear" w:color="auto" w:fill="auto"/>
                  <w:vAlign w:val="center"/>
                </w:tcPr>
                <w:p w14:paraId="459B086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w:t>
                  </w:r>
                </w:p>
              </w:tc>
            </w:tr>
            <w:tr w14:paraId="6E04C24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526" w:type="dxa"/>
                  <w:vMerge w:val="continue"/>
                  <w:tcBorders>
                    <w:tl2br w:val="nil"/>
                    <w:tr2bl w:val="nil"/>
                  </w:tcBorders>
                  <w:shd w:val="clear" w:color="auto" w:fill="auto"/>
                  <w:vAlign w:val="center"/>
                </w:tcPr>
                <w:p w14:paraId="596768AC">
                  <w:pPr>
                    <w:jc w:val="center"/>
                    <w:rPr>
                      <w:rFonts w:hint="default" w:ascii="Times New Roman" w:hAnsi="Times New Roman" w:eastAsia="宋体" w:cs="Times New Roman"/>
                      <w:i w:val="0"/>
                      <w:iCs w:val="0"/>
                      <w:color w:val="auto"/>
                      <w:sz w:val="21"/>
                      <w:szCs w:val="21"/>
                      <w:u w:val="none"/>
                    </w:rPr>
                  </w:pPr>
                </w:p>
              </w:tc>
              <w:tc>
                <w:tcPr>
                  <w:tcW w:w="672" w:type="dxa"/>
                  <w:tcBorders>
                    <w:tl2br w:val="nil"/>
                    <w:tr2bl w:val="nil"/>
                  </w:tcBorders>
                  <w:shd w:val="clear" w:color="auto" w:fill="auto"/>
                  <w:vAlign w:val="center"/>
                </w:tcPr>
                <w:p w14:paraId="28FB84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废水</w:t>
                  </w:r>
                </w:p>
              </w:tc>
              <w:tc>
                <w:tcPr>
                  <w:tcW w:w="1100" w:type="dxa"/>
                  <w:vMerge w:val="continue"/>
                  <w:tcBorders>
                    <w:tl2br w:val="nil"/>
                    <w:tr2bl w:val="nil"/>
                  </w:tcBorders>
                  <w:shd w:val="clear" w:color="auto" w:fill="auto"/>
                  <w:vAlign w:val="center"/>
                </w:tcPr>
                <w:p w14:paraId="434ADBB2">
                  <w:pPr>
                    <w:jc w:val="center"/>
                    <w:rPr>
                      <w:rFonts w:hint="default" w:ascii="Times New Roman" w:hAnsi="Times New Roman" w:eastAsia="宋体" w:cs="Times New Roman"/>
                      <w:i w:val="0"/>
                      <w:iCs w:val="0"/>
                      <w:color w:val="auto"/>
                      <w:sz w:val="21"/>
                      <w:szCs w:val="21"/>
                      <w:u w:val="none"/>
                    </w:rPr>
                  </w:pPr>
                </w:p>
              </w:tc>
              <w:tc>
                <w:tcPr>
                  <w:tcW w:w="3450" w:type="dxa"/>
                  <w:tcBorders>
                    <w:tl2br w:val="nil"/>
                    <w:tr2bl w:val="nil"/>
                  </w:tcBorders>
                  <w:shd w:val="clear" w:color="auto" w:fill="auto"/>
                  <w:vAlign w:val="center"/>
                </w:tcPr>
                <w:p w14:paraId="0840186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生活污水依托</w:t>
                  </w:r>
                  <w:r>
                    <w:rPr>
                      <w:rFonts w:hint="default" w:ascii="Times New Roman" w:hAnsi="Times New Roman" w:cs="Times New Roman"/>
                      <w:i w:val="0"/>
                      <w:iCs w:val="0"/>
                      <w:color w:val="auto"/>
                      <w:kern w:val="0"/>
                      <w:sz w:val="21"/>
                      <w:szCs w:val="21"/>
                      <w:u w:val="none"/>
                      <w:lang w:val="en-US" w:eastAsia="zh-CN" w:bidi="ar"/>
                    </w:rPr>
                    <w:t>上游</w:t>
                  </w:r>
                  <w:r>
                    <w:rPr>
                      <w:rFonts w:hint="default" w:ascii="Times New Roman" w:hAnsi="Times New Roman" w:eastAsia="宋体" w:cs="Times New Roman"/>
                      <w:i w:val="0"/>
                      <w:iCs w:val="0"/>
                      <w:color w:val="auto"/>
                      <w:kern w:val="0"/>
                      <w:sz w:val="21"/>
                      <w:szCs w:val="21"/>
                      <w:u w:val="none"/>
                      <w:lang w:val="en-US" w:eastAsia="zh-CN" w:bidi="ar"/>
                    </w:rPr>
                    <w:t>项目</w:t>
                  </w:r>
                </w:p>
              </w:tc>
              <w:tc>
                <w:tcPr>
                  <w:tcW w:w="750" w:type="dxa"/>
                  <w:tcBorders>
                    <w:tl2br w:val="nil"/>
                    <w:tr2bl w:val="nil"/>
                  </w:tcBorders>
                  <w:shd w:val="clear" w:color="auto" w:fill="auto"/>
                  <w:vAlign w:val="center"/>
                </w:tcPr>
                <w:p w14:paraId="01DB1D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1套</w:t>
                  </w:r>
                </w:p>
              </w:tc>
              <w:tc>
                <w:tcPr>
                  <w:tcW w:w="961" w:type="dxa"/>
                  <w:tcBorders>
                    <w:tl2br w:val="nil"/>
                    <w:tr2bl w:val="nil"/>
                  </w:tcBorders>
                  <w:shd w:val="clear" w:color="auto" w:fill="auto"/>
                  <w:vAlign w:val="center"/>
                </w:tcPr>
                <w:p w14:paraId="15F07C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0.05</w:t>
                  </w:r>
                </w:p>
              </w:tc>
            </w:tr>
            <w:tr w14:paraId="24B60C4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526" w:type="dxa"/>
                  <w:vMerge w:val="continue"/>
                  <w:tcBorders>
                    <w:tl2br w:val="nil"/>
                    <w:tr2bl w:val="nil"/>
                  </w:tcBorders>
                  <w:shd w:val="clear" w:color="auto" w:fill="auto"/>
                  <w:vAlign w:val="center"/>
                </w:tcPr>
                <w:p w14:paraId="1D65D7EC">
                  <w:pPr>
                    <w:jc w:val="center"/>
                    <w:rPr>
                      <w:rFonts w:hint="default" w:ascii="Times New Roman" w:hAnsi="Times New Roman" w:eastAsia="宋体" w:cs="Times New Roman"/>
                      <w:i w:val="0"/>
                      <w:iCs w:val="0"/>
                      <w:color w:val="auto"/>
                      <w:sz w:val="21"/>
                      <w:szCs w:val="21"/>
                      <w:u w:val="none"/>
                    </w:rPr>
                  </w:pPr>
                </w:p>
              </w:tc>
              <w:tc>
                <w:tcPr>
                  <w:tcW w:w="672" w:type="dxa"/>
                  <w:tcBorders>
                    <w:tl2br w:val="nil"/>
                    <w:tr2bl w:val="nil"/>
                  </w:tcBorders>
                  <w:shd w:val="clear" w:color="auto" w:fill="auto"/>
                  <w:vAlign w:val="center"/>
                </w:tcPr>
                <w:p w14:paraId="45384E0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噪声</w:t>
                  </w:r>
                </w:p>
              </w:tc>
              <w:tc>
                <w:tcPr>
                  <w:tcW w:w="1100" w:type="dxa"/>
                  <w:vMerge w:val="continue"/>
                  <w:tcBorders>
                    <w:tl2br w:val="nil"/>
                    <w:tr2bl w:val="nil"/>
                  </w:tcBorders>
                  <w:shd w:val="clear" w:color="auto" w:fill="auto"/>
                  <w:vAlign w:val="center"/>
                </w:tcPr>
                <w:p w14:paraId="1BB4AA59">
                  <w:pPr>
                    <w:jc w:val="center"/>
                    <w:rPr>
                      <w:rFonts w:hint="default" w:ascii="Times New Roman" w:hAnsi="Times New Roman" w:eastAsia="宋体" w:cs="Times New Roman"/>
                      <w:i w:val="0"/>
                      <w:iCs w:val="0"/>
                      <w:color w:val="auto"/>
                      <w:sz w:val="21"/>
                      <w:szCs w:val="21"/>
                      <w:u w:val="none"/>
                    </w:rPr>
                  </w:pPr>
                </w:p>
              </w:tc>
              <w:tc>
                <w:tcPr>
                  <w:tcW w:w="3450" w:type="dxa"/>
                  <w:tcBorders>
                    <w:tl2br w:val="nil"/>
                    <w:tr2bl w:val="nil"/>
                  </w:tcBorders>
                  <w:shd w:val="clear" w:color="auto" w:fill="auto"/>
                  <w:vAlign w:val="center"/>
                </w:tcPr>
                <w:p w14:paraId="6F6D65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低噪声的机械设备</w:t>
                  </w:r>
                </w:p>
              </w:tc>
              <w:tc>
                <w:tcPr>
                  <w:tcW w:w="750" w:type="dxa"/>
                  <w:tcBorders>
                    <w:tl2br w:val="nil"/>
                    <w:tr2bl w:val="nil"/>
                  </w:tcBorders>
                  <w:shd w:val="clear" w:color="auto" w:fill="auto"/>
                  <w:vAlign w:val="center"/>
                </w:tcPr>
                <w:p w14:paraId="22A262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961" w:type="dxa"/>
                  <w:tcBorders>
                    <w:tl2br w:val="nil"/>
                    <w:tr2bl w:val="nil"/>
                  </w:tcBorders>
                  <w:shd w:val="clear" w:color="auto" w:fill="auto"/>
                  <w:vAlign w:val="center"/>
                </w:tcPr>
                <w:p w14:paraId="295635A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w:t>
                  </w:r>
                </w:p>
              </w:tc>
            </w:tr>
            <w:tr w14:paraId="707CB74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526" w:type="dxa"/>
                  <w:vMerge w:val="continue"/>
                  <w:tcBorders>
                    <w:tl2br w:val="nil"/>
                    <w:tr2bl w:val="nil"/>
                  </w:tcBorders>
                  <w:shd w:val="clear" w:color="auto" w:fill="auto"/>
                  <w:vAlign w:val="center"/>
                </w:tcPr>
                <w:p w14:paraId="704463DB">
                  <w:pPr>
                    <w:jc w:val="center"/>
                    <w:rPr>
                      <w:rFonts w:hint="default" w:ascii="Times New Roman" w:hAnsi="Times New Roman" w:eastAsia="宋体" w:cs="Times New Roman"/>
                      <w:i w:val="0"/>
                      <w:iCs w:val="0"/>
                      <w:color w:val="auto"/>
                      <w:sz w:val="21"/>
                      <w:szCs w:val="21"/>
                      <w:u w:val="none"/>
                    </w:rPr>
                  </w:pPr>
                </w:p>
              </w:tc>
              <w:tc>
                <w:tcPr>
                  <w:tcW w:w="672" w:type="dxa"/>
                  <w:vMerge w:val="restart"/>
                  <w:tcBorders>
                    <w:tl2br w:val="nil"/>
                    <w:tr2bl w:val="nil"/>
                  </w:tcBorders>
                  <w:shd w:val="clear" w:color="auto" w:fill="auto"/>
                  <w:vAlign w:val="center"/>
                </w:tcPr>
                <w:p w14:paraId="13C0460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一般工业固废</w:t>
                  </w:r>
                </w:p>
              </w:tc>
              <w:tc>
                <w:tcPr>
                  <w:tcW w:w="1100" w:type="dxa"/>
                  <w:vMerge w:val="continue"/>
                  <w:tcBorders>
                    <w:tl2br w:val="nil"/>
                    <w:tr2bl w:val="nil"/>
                  </w:tcBorders>
                  <w:shd w:val="clear" w:color="auto" w:fill="auto"/>
                  <w:vAlign w:val="center"/>
                </w:tcPr>
                <w:p w14:paraId="3FC4F98A">
                  <w:pPr>
                    <w:jc w:val="center"/>
                    <w:rPr>
                      <w:rFonts w:hint="default" w:ascii="Times New Roman" w:hAnsi="Times New Roman" w:eastAsia="宋体" w:cs="Times New Roman"/>
                      <w:i w:val="0"/>
                      <w:iCs w:val="0"/>
                      <w:color w:val="auto"/>
                      <w:sz w:val="21"/>
                      <w:szCs w:val="21"/>
                      <w:u w:val="none"/>
                    </w:rPr>
                  </w:pPr>
                </w:p>
              </w:tc>
              <w:tc>
                <w:tcPr>
                  <w:tcW w:w="3450" w:type="dxa"/>
                  <w:tcBorders>
                    <w:tl2br w:val="nil"/>
                    <w:tr2bl w:val="nil"/>
                  </w:tcBorders>
                  <w:shd w:val="clear" w:color="auto" w:fill="auto"/>
                  <w:vAlign w:val="center"/>
                </w:tcPr>
                <w:p w14:paraId="5E58752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施工垃圾清运处置</w:t>
                  </w:r>
                </w:p>
              </w:tc>
              <w:tc>
                <w:tcPr>
                  <w:tcW w:w="750" w:type="dxa"/>
                  <w:tcBorders>
                    <w:tl2br w:val="nil"/>
                    <w:tr2bl w:val="nil"/>
                  </w:tcBorders>
                  <w:shd w:val="clear" w:color="auto" w:fill="auto"/>
                  <w:vAlign w:val="center"/>
                </w:tcPr>
                <w:p w14:paraId="3F6F13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961" w:type="dxa"/>
                  <w:tcBorders>
                    <w:tl2br w:val="nil"/>
                    <w:tr2bl w:val="nil"/>
                  </w:tcBorders>
                  <w:shd w:val="clear" w:color="auto" w:fill="auto"/>
                  <w:vAlign w:val="center"/>
                </w:tcPr>
                <w:p w14:paraId="3CB491C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0.1</w:t>
                  </w:r>
                </w:p>
              </w:tc>
            </w:tr>
            <w:tr w14:paraId="3089DAC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526" w:type="dxa"/>
                  <w:vMerge w:val="continue"/>
                  <w:tcBorders>
                    <w:tl2br w:val="nil"/>
                    <w:tr2bl w:val="nil"/>
                  </w:tcBorders>
                  <w:shd w:val="clear" w:color="auto" w:fill="auto"/>
                  <w:vAlign w:val="center"/>
                </w:tcPr>
                <w:p w14:paraId="268961D7">
                  <w:pPr>
                    <w:jc w:val="center"/>
                    <w:rPr>
                      <w:rFonts w:hint="default" w:ascii="Times New Roman" w:hAnsi="Times New Roman" w:eastAsia="宋体" w:cs="Times New Roman"/>
                      <w:i w:val="0"/>
                      <w:iCs w:val="0"/>
                      <w:color w:val="auto"/>
                      <w:sz w:val="21"/>
                      <w:szCs w:val="21"/>
                      <w:u w:val="none"/>
                    </w:rPr>
                  </w:pPr>
                </w:p>
              </w:tc>
              <w:tc>
                <w:tcPr>
                  <w:tcW w:w="672" w:type="dxa"/>
                  <w:vMerge w:val="continue"/>
                  <w:tcBorders>
                    <w:tl2br w:val="nil"/>
                    <w:tr2bl w:val="nil"/>
                  </w:tcBorders>
                  <w:shd w:val="clear" w:color="auto" w:fill="auto"/>
                  <w:vAlign w:val="center"/>
                </w:tcPr>
                <w:p w14:paraId="1BEC99F6">
                  <w:pPr>
                    <w:jc w:val="center"/>
                    <w:rPr>
                      <w:rFonts w:hint="default" w:ascii="Times New Roman" w:hAnsi="Times New Roman" w:eastAsia="宋体" w:cs="Times New Roman"/>
                      <w:i w:val="0"/>
                      <w:iCs w:val="0"/>
                      <w:color w:val="auto"/>
                      <w:sz w:val="21"/>
                      <w:szCs w:val="21"/>
                      <w:u w:val="none"/>
                    </w:rPr>
                  </w:pPr>
                </w:p>
              </w:tc>
              <w:tc>
                <w:tcPr>
                  <w:tcW w:w="1100" w:type="dxa"/>
                  <w:vMerge w:val="continue"/>
                  <w:tcBorders>
                    <w:tl2br w:val="nil"/>
                    <w:tr2bl w:val="nil"/>
                  </w:tcBorders>
                  <w:shd w:val="clear" w:color="auto" w:fill="auto"/>
                  <w:vAlign w:val="center"/>
                </w:tcPr>
                <w:p w14:paraId="0912CF31">
                  <w:pPr>
                    <w:jc w:val="center"/>
                    <w:rPr>
                      <w:rFonts w:hint="default" w:ascii="Times New Roman" w:hAnsi="Times New Roman" w:eastAsia="宋体" w:cs="Times New Roman"/>
                      <w:i w:val="0"/>
                      <w:iCs w:val="0"/>
                      <w:color w:val="auto"/>
                      <w:sz w:val="21"/>
                      <w:szCs w:val="21"/>
                      <w:u w:val="none"/>
                    </w:rPr>
                  </w:pPr>
                </w:p>
              </w:tc>
              <w:tc>
                <w:tcPr>
                  <w:tcW w:w="3450" w:type="dxa"/>
                  <w:tcBorders>
                    <w:tl2br w:val="nil"/>
                    <w:tr2bl w:val="nil"/>
                  </w:tcBorders>
                  <w:shd w:val="clear" w:color="auto" w:fill="auto"/>
                  <w:vAlign w:val="center"/>
                </w:tcPr>
                <w:p w14:paraId="61F4B6E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生活垃圾依托</w:t>
                  </w:r>
                  <w:r>
                    <w:rPr>
                      <w:rFonts w:hint="default" w:ascii="Times New Roman" w:hAnsi="Times New Roman" w:cs="Times New Roman"/>
                      <w:i w:val="0"/>
                      <w:iCs w:val="0"/>
                      <w:color w:val="auto"/>
                      <w:kern w:val="0"/>
                      <w:sz w:val="21"/>
                      <w:szCs w:val="21"/>
                      <w:u w:val="none"/>
                      <w:lang w:val="en-US" w:eastAsia="zh-CN" w:bidi="ar"/>
                    </w:rPr>
                    <w:t>上游</w:t>
                  </w:r>
                  <w:r>
                    <w:rPr>
                      <w:rFonts w:hint="default" w:ascii="Times New Roman" w:hAnsi="Times New Roman" w:eastAsia="宋体" w:cs="Times New Roman"/>
                      <w:i w:val="0"/>
                      <w:iCs w:val="0"/>
                      <w:color w:val="auto"/>
                      <w:kern w:val="0"/>
                      <w:sz w:val="21"/>
                      <w:szCs w:val="21"/>
                      <w:u w:val="none"/>
                      <w:lang w:val="en-US" w:eastAsia="zh-CN" w:bidi="ar"/>
                    </w:rPr>
                    <w:t>项目</w:t>
                  </w:r>
                </w:p>
              </w:tc>
              <w:tc>
                <w:tcPr>
                  <w:tcW w:w="750" w:type="dxa"/>
                  <w:tcBorders>
                    <w:tl2br w:val="nil"/>
                    <w:tr2bl w:val="nil"/>
                  </w:tcBorders>
                  <w:shd w:val="clear" w:color="auto" w:fill="auto"/>
                  <w:vAlign w:val="center"/>
                </w:tcPr>
                <w:p w14:paraId="6240E8A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961" w:type="dxa"/>
                  <w:tcBorders>
                    <w:tl2br w:val="nil"/>
                    <w:tr2bl w:val="nil"/>
                  </w:tcBorders>
                  <w:shd w:val="clear" w:color="auto" w:fill="auto"/>
                  <w:vAlign w:val="center"/>
                </w:tcPr>
                <w:p w14:paraId="6C166F1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0.05</w:t>
                  </w:r>
                </w:p>
              </w:tc>
            </w:tr>
            <w:tr w14:paraId="1209761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526" w:type="dxa"/>
                  <w:vMerge w:val="restart"/>
                  <w:tcBorders>
                    <w:tl2br w:val="nil"/>
                    <w:tr2bl w:val="nil"/>
                  </w:tcBorders>
                  <w:shd w:val="clear" w:color="auto" w:fill="auto"/>
                  <w:vAlign w:val="center"/>
                </w:tcPr>
                <w:p w14:paraId="293447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营运期</w:t>
                  </w:r>
                </w:p>
              </w:tc>
              <w:tc>
                <w:tcPr>
                  <w:tcW w:w="672" w:type="dxa"/>
                  <w:vMerge w:val="restart"/>
                  <w:tcBorders>
                    <w:tl2br w:val="nil"/>
                    <w:tr2bl w:val="nil"/>
                  </w:tcBorders>
                  <w:shd w:val="clear" w:color="auto" w:fill="auto"/>
                  <w:vAlign w:val="center"/>
                </w:tcPr>
                <w:p w14:paraId="60555ED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废气</w:t>
                  </w:r>
                </w:p>
              </w:tc>
              <w:tc>
                <w:tcPr>
                  <w:tcW w:w="1100" w:type="dxa"/>
                  <w:vMerge w:val="restart"/>
                  <w:tcBorders>
                    <w:tl2br w:val="nil"/>
                    <w:tr2bl w:val="nil"/>
                  </w:tcBorders>
                  <w:shd w:val="clear" w:color="auto" w:fill="auto"/>
                  <w:vAlign w:val="center"/>
                </w:tcPr>
                <w:p w14:paraId="215DB55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有组织</w:t>
                  </w:r>
                  <w:r>
                    <w:rPr>
                      <w:rFonts w:hint="default" w:ascii="Times New Roman" w:hAnsi="Times New Roman" w:eastAsia="宋体" w:cs="Times New Roman"/>
                      <w:i w:val="0"/>
                      <w:iCs w:val="0"/>
                      <w:color w:val="auto"/>
                      <w:kern w:val="0"/>
                      <w:sz w:val="21"/>
                      <w:szCs w:val="21"/>
                      <w:u w:val="none"/>
                      <w:lang w:val="en-US" w:eastAsia="zh-CN" w:bidi="ar"/>
                    </w:rPr>
                    <w:br w:type="textWrapping"/>
                  </w:r>
                  <w:r>
                    <w:rPr>
                      <w:rFonts w:hint="default" w:ascii="Times New Roman" w:hAnsi="Times New Roman" w:eastAsia="宋体" w:cs="Times New Roman"/>
                      <w:i w:val="0"/>
                      <w:iCs w:val="0"/>
                      <w:color w:val="auto"/>
                      <w:kern w:val="0"/>
                      <w:sz w:val="21"/>
                      <w:szCs w:val="21"/>
                      <w:u w:val="none"/>
                      <w:lang w:val="en-US" w:eastAsia="zh-CN" w:bidi="ar"/>
                    </w:rPr>
                    <w:t>煤气燃烧烟气</w:t>
                  </w:r>
                </w:p>
              </w:tc>
              <w:tc>
                <w:tcPr>
                  <w:tcW w:w="3450" w:type="dxa"/>
                  <w:vMerge w:val="restart"/>
                  <w:tcBorders>
                    <w:tl2br w:val="nil"/>
                    <w:tr2bl w:val="nil"/>
                  </w:tcBorders>
                  <w:shd w:val="clear" w:color="auto" w:fill="auto"/>
                  <w:vAlign w:val="center"/>
                </w:tcPr>
                <w:p w14:paraId="1BA827D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低氮燃烧器+SCR脱硝+石灰（石）-石膏湿法脱硫+高效除雾器协同除尘+湿式电除尘器、60m高排气筒、</w:t>
                  </w:r>
                  <w:r>
                    <w:rPr>
                      <w:rFonts w:hint="default" w:ascii="Times New Roman" w:hAnsi="Times New Roman" w:cs="Times New Roman"/>
                      <w:i w:val="0"/>
                      <w:iCs w:val="0"/>
                      <w:color w:val="auto"/>
                      <w:kern w:val="0"/>
                      <w:sz w:val="21"/>
                      <w:szCs w:val="21"/>
                      <w:u w:val="none"/>
                      <w:lang w:val="en-US" w:eastAsia="zh-CN" w:bidi="ar"/>
                    </w:rPr>
                    <w:t>在</w:t>
                  </w:r>
                  <w:r>
                    <w:rPr>
                      <w:rFonts w:hint="default" w:ascii="Times New Roman" w:hAnsi="Times New Roman" w:eastAsia="宋体" w:cs="Times New Roman"/>
                      <w:i w:val="0"/>
                      <w:iCs w:val="0"/>
                      <w:color w:val="auto"/>
                      <w:kern w:val="0"/>
                      <w:sz w:val="21"/>
                      <w:szCs w:val="21"/>
                      <w:u w:val="none"/>
                      <w:lang w:val="en-US" w:eastAsia="zh-CN" w:bidi="ar"/>
                    </w:rPr>
                    <w:t>线监测系统（CEMS）</w:t>
                  </w:r>
                </w:p>
              </w:tc>
              <w:tc>
                <w:tcPr>
                  <w:tcW w:w="750" w:type="dxa"/>
                  <w:vMerge w:val="restart"/>
                  <w:tcBorders>
                    <w:tl2br w:val="nil"/>
                    <w:tr2bl w:val="nil"/>
                  </w:tcBorders>
                  <w:shd w:val="clear" w:color="auto" w:fill="auto"/>
                  <w:vAlign w:val="center"/>
                </w:tcPr>
                <w:p w14:paraId="2621748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sz w:val="21"/>
                      <w:szCs w:val="21"/>
                      <w:u w:val="none"/>
                      <w:lang w:val="en-US" w:eastAsia="zh-CN"/>
                    </w:rPr>
                    <w:t>1套</w:t>
                  </w:r>
                </w:p>
              </w:tc>
              <w:tc>
                <w:tcPr>
                  <w:tcW w:w="961" w:type="dxa"/>
                  <w:vMerge w:val="restart"/>
                  <w:tcBorders>
                    <w:tl2br w:val="nil"/>
                    <w:tr2bl w:val="nil"/>
                  </w:tcBorders>
                  <w:shd w:val="clear" w:color="auto" w:fill="auto"/>
                  <w:vAlign w:val="center"/>
                </w:tcPr>
                <w:p w14:paraId="41C7E23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1000</w:t>
                  </w:r>
                </w:p>
              </w:tc>
            </w:tr>
            <w:tr w14:paraId="60776AD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526" w:type="dxa"/>
                  <w:vMerge w:val="continue"/>
                  <w:tcBorders>
                    <w:tl2br w:val="nil"/>
                    <w:tr2bl w:val="nil"/>
                  </w:tcBorders>
                  <w:shd w:val="clear" w:color="auto" w:fill="auto"/>
                  <w:vAlign w:val="center"/>
                </w:tcPr>
                <w:p w14:paraId="0CA0C2EB">
                  <w:pPr>
                    <w:jc w:val="center"/>
                    <w:rPr>
                      <w:rFonts w:hint="default" w:ascii="Times New Roman" w:hAnsi="Times New Roman" w:eastAsia="宋体" w:cs="Times New Roman"/>
                      <w:i w:val="0"/>
                      <w:iCs w:val="0"/>
                      <w:color w:val="auto"/>
                      <w:sz w:val="21"/>
                      <w:szCs w:val="21"/>
                      <w:u w:val="none"/>
                    </w:rPr>
                  </w:pPr>
                </w:p>
              </w:tc>
              <w:tc>
                <w:tcPr>
                  <w:tcW w:w="672" w:type="dxa"/>
                  <w:vMerge w:val="continue"/>
                  <w:tcBorders>
                    <w:tl2br w:val="nil"/>
                    <w:tr2bl w:val="nil"/>
                  </w:tcBorders>
                  <w:shd w:val="clear" w:color="auto" w:fill="auto"/>
                  <w:vAlign w:val="center"/>
                </w:tcPr>
                <w:p w14:paraId="0AB2D435">
                  <w:pPr>
                    <w:jc w:val="center"/>
                    <w:rPr>
                      <w:rFonts w:hint="default" w:ascii="Times New Roman" w:hAnsi="Times New Roman" w:eastAsia="宋体" w:cs="Times New Roman"/>
                      <w:i w:val="0"/>
                      <w:iCs w:val="0"/>
                      <w:color w:val="auto"/>
                      <w:sz w:val="21"/>
                      <w:szCs w:val="21"/>
                      <w:u w:val="none"/>
                    </w:rPr>
                  </w:pPr>
                </w:p>
              </w:tc>
              <w:tc>
                <w:tcPr>
                  <w:tcW w:w="1100" w:type="dxa"/>
                  <w:vMerge w:val="continue"/>
                  <w:tcBorders>
                    <w:tl2br w:val="nil"/>
                    <w:tr2bl w:val="nil"/>
                  </w:tcBorders>
                  <w:shd w:val="clear" w:color="auto" w:fill="auto"/>
                  <w:vAlign w:val="center"/>
                </w:tcPr>
                <w:p w14:paraId="068009E8">
                  <w:pPr>
                    <w:jc w:val="center"/>
                    <w:rPr>
                      <w:rFonts w:hint="default" w:ascii="Times New Roman" w:hAnsi="Times New Roman" w:eastAsia="宋体" w:cs="Times New Roman"/>
                      <w:i w:val="0"/>
                      <w:iCs w:val="0"/>
                      <w:color w:val="auto"/>
                      <w:sz w:val="21"/>
                      <w:szCs w:val="21"/>
                      <w:u w:val="none"/>
                    </w:rPr>
                  </w:pPr>
                </w:p>
              </w:tc>
              <w:tc>
                <w:tcPr>
                  <w:tcW w:w="3450" w:type="dxa"/>
                  <w:vMerge w:val="continue"/>
                  <w:tcBorders>
                    <w:tl2br w:val="nil"/>
                    <w:tr2bl w:val="nil"/>
                  </w:tcBorders>
                  <w:shd w:val="clear" w:color="auto" w:fill="auto"/>
                  <w:vAlign w:val="center"/>
                </w:tcPr>
                <w:p w14:paraId="44E1BE3D">
                  <w:pPr>
                    <w:jc w:val="center"/>
                    <w:rPr>
                      <w:rFonts w:hint="default" w:ascii="Times New Roman" w:hAnsi="Times New Roman" w:eastAsia="宋体" w:cs="Times New Roman"/>
                      <w:i w:val="0"/>
                      <w:iCs w:val="0"/>
                      <w:color w:val="auto"/>
                      <w:sz w:val="21"/>
                      <w:szCs w:val="21"/>
                      <w:u w:val="none"/>
                    </w:rPr>
                  </w:pPr>
                </w:p>
              </w:tc>
              <w:tc>
                <w:tcPr>
                  <w:tcW w:w="750" w:type="dxa"/>
                  <w:vMerge w:val="continue"/>
                  <w:tcBorders>
                    <w:tl2br w:val="nil"/>
                    <w:tr2bl w:val="nil"/>
                  </w:tcBorders>
                  <w:shd w:val="clear" w:color="auto" w:fill="auto"/>
                  <w:vAlign w:val="center"/>
                </w:tcPr>
                <w:p w14:paraId="070ED1B1">
                  <w:pPr>
                    <w:jc w:val="center"/>
                    <w:rPr>
                      <w:rFonts w:hint="default" w:ascii="Times New Roman" w:hAnsi="Times New Roman" w:eastAsia="宋体" w:cs="Times New Roman"/>
                      <w:i w:val="0"/>
                      <w:iCs w:val="0"/>
                      <w:color w:val="auto"/>
                      <w:sz w:val="21"/>
                      <w:szCs w:val="21"/>
                      <w:u w:val="none"/>
                    </w:rPr>
                  </w:pPr>
                </w:p>
              </w:tc>
              <w:tc>
                <w:tcPr>
                  <w:tcW w:w="961" w:type="dxa"/>
                  <w:vMerge w:val="continue"/>
                  <w:tcBorders>
                    <w:tl2br w:val="nil"/>
                    <w:tr2bl w:val="nil"/>
                  </w:tcBorders>
                  <w:shd w:val="clear" w:color="auto" w:fill="auto"/>
                  <w:vAlign w:val="center"/>
                </w:tcPr>
                <w:p w14:paraId="71005F62">
                  <w:pPr>
                    <w:jc w:val="center"/>
                    <w:rPr>
                      <w:rFonts w:hint="default" w:ascii="Times New Roman" w:hAnsi="Times New Roman" w:eastAsia="宋体" w:cs="Times New Roman"/>
                      <w:i w:val="0"/>
                      <w:iCs w:val="0"/>
                      <w:color w:val="auto"/>
                      <w:sz w:val="21"/>
                      <w:szCs w:val="21"/>
                      <w:u w:val="none"/>
                    </w:rPr>
                  </w:pPr>
                </w:p>
              </w:tc>
            </w:tr>
            <w:tr w14:paraId="49288E2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526" w:type="dxa"/>
                  <w:vMerge w:val="continue"/>
                  <w:tcBorders>
                    <w:tl2br w:val="nil"/>
                    <w:tr2bl w:val="nil"/>
                  </w:tcBorders>
                  <w:shd w:val="clear" w:color="auto" w:fill="auto"/>
                  <w:vAlign w:val="center"/>
                </w:tcPr>
                <w:p w14:paraId="5027B54B">
                  <w:pPr>
                    <w:jc w:val="center"/>
                    <w:rPr>
                      <w:rFonts w:hint="default" w:ascii="Times New Roman" w:hAnsi="Times New Roman" w:eastAsia="宋体" w:cs="Times New Roman"/>
                      <w:i w:val="0"/>
                      <w:iCs w:val="0"/>
                      <w:color w:val="auto"/>
                      <w:sz w:val="21"/>
                      <w:szCs w:val="21"/>
                      <w:u w:val="none"/>
                    </w:rPr>
                  </w:pPr>
                </w:p>
              </w:tc>
              <w:tc>
                <w:tcPr>
                  <w:tcW w:w="672" w:type="dxa"/>
                  <w:vMerge w:val="continue"/>
                  <w:tcBorders>
                    <w:tl2br w:val="nil"/>
                    <w:tr2bl w:val="nil"/>
                  </w:tcBorders>
                  <w:shd w:val="clear" w:color="auto" w:fill="auto"/>
                  <w:vAlign w:val="center"/>
                </w:tcPr>
                <w:p w14:paraId="725DDCB1">
                  <w:pPr>
                    <w:jc w:val="center"/>
                    <w:rPr>
                      <w:rFonts w:hint="default" w:ascii="Times New Roman" w:hAnsi="Times New Roman" w:eastAsia="宋体" w:cs="Times New Roman"/>
                      <w:i w:val="0"/>
                      <w:iCs w:val="0"/>
                      <w:color w:val="auto"/>
                      <w:sz w:val="21"/>
                      <w:szCs w:val="21"/>
                      <w:u w:val="none"/>
                    </w:rPr>
                  </w:pPr>
                </w:p>
              </w:tc>
              <w:tc>
                <w:tcPr>
                  <w:tcW w:w="1100" w:type="dxa"/>
                  <w:vMerge w:val="restart"/>
                  <w:tcBorders>
                    <w:tl2br w:val="nil"/>
                    <w:tr2bl w:val="nil"/>
                  </w:tcBorders>
                  <w:shd w:val="clear" w:color="auto" w:fill="auto"/>
                  <w:vAlign w:val="center"/>
                </w:tcPr>
                <w:p w14:paraId="1F6760C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无组织</w:t>
                  </w:r>
                </w:p>
              </w:tc>
              <w:tc>
                <w:tcPr>
                  <w:tcW w:w="3450" w:type="dxa"/>
                  <w:tcBorders>
                    <w:tl2br w:val="nil"/>
                    <w:tr2bl w:val="nil"/>
                  </w:tcBorders>
                  <w:shd w:val="clear" w:color="auto" w:fill="auto"/>
                  <w:vAlign w:val="center"/>
                </w:tcPr>
                <w:p w14:paraId="56E8631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氨逃逸管理措施</w:t>
                  </w:r>
                </w:p>
              </w:tc>
              <w:tc>
                <w:tcPr>
                  <w:tcW w:w="750" w:type="dxa"/>
                  <w:tcBorders>
                    <w:tl2br w:val="nil"/>
                    <w:tr2bl w:val="nil"/>
                  </w:tcBorders>
                  <w:shd w:val="clear" w:color="auto" w:fill="auto"/>
                  <w:vAlign w:val="center"/>
                </w:tcPr>
                <w:p w14:paraId="47EB24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961" w:type="dxa"/>
                  <w:tcBorders>
                    <w:tl2br w:val="nil"/>
                    <w:tr2bl w:val="nil"/>
                  </w:tcBorders>
                  <w:shd w:val="clear" w:color="auto" w:fill="auto"/>
                  <w:vAlign w:val="center"/>
                </w:tcPr>
                <w:p w14:paraId="45AD2B8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r>
            <w:tr w14:paraId="13459E8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526" w:type="dxa"/>
                  <w:vMerge w:val="continue"/>
                  <w:tcBorders>
                    <w:tl2br w:val="nil"/>
                    <w:tr2bl w:val="nil"/>
                  </w:tcBorders>
                  <w:shd w:val="clear" w:color="auto" w:fill="auto"/>
                  <w:vAlign w:val="center"/>
                </w:tcPr>
                <w:p w14:paraId="28BA22A5">
                  <w:pPr>
                    <w:jc w:val="center"/>
                    <w:rPr>
                      <w:rFonts w:hint="default" w:ascii="Times New Roman" w:hAnsi="Times New Roman" w:eastAsia="宋体" w:cs="Times New Roman"/>
                      <w:i w:val="0"/>
                      <w:iCs w:val="0"/>
                      <w:color w:val="auto"/>
                      <w:sz w:val="21"/>
                      <w:szCs w:val="21"/>
                      <w:u w:val="none"/>
                    </w:rPr>
                  </w:pPr>
                </w:p>
              </w:tc>
              <w:tc>
                <w:tcPr>
                  <w:tcW w:w="672" w:type="dxa"/>
                  <w:vMerge w:val="continue"/>
                  <w:tcBorders>
                    <w:tl2br w:val="nil"/>
                    <w:tr2bl w:val="nil"/>
                  </w:tcBorders>
                  <w:shd w:val="clear" w:color="auto" w:fill="auto"/>
                  <w:vAlign w:val="center"/>
                </w:tcPr>
                <w:p w14:paraId="67191D75">
                  <w:pPr>
                    <w:jc w:val="center"/>
                    <w:rPr>
                      <w:rFonts w:hint="default" w:ascii="Times New Roman" w:hAnsi="Times New Roman" w:eastAsia="宋体" w:cs="Times New Roman"/>
                      <w:i w:val="0"/>
                      <w:iCs w:val="0"/>
                      <w:color w:val="auto"/>
                      <w:sz w:val="21"/>
                      <w:szCs w:val="21"/>
                      <w:u w:val="none"/>
                    </w:rPr>
                  </w:pPr>
                </w:p>
              </w:tc>
              <w:tc>
                <w:tcPr>
                  <w:tcW w:w="1100" w:type="dxa"/>
                  <w:vMerge w:val="continue"/>
                  <w:tcBorders>
                    <w:tl2br w:val="nil"/>
                    <w:tr2bl w:val="nil"/>
                  </w:tcBorders>
                  <w:shd w:val="clear" w:color="auto" w:fill="auto"/>
                  <w:vAlign w:val="center"/>
                </w:tcPr>
                <w:p w14:paraId="02F1530B">
                  <w:pPr>
                    <w:jc w:val="center"/>
                    <w:rPr>
                      <w:rFonts w:hint="default" w:ascii="Times New Roman" w:hAnsi="Times New Roman" w:eastAsia="宋体" w:cs="Times New Roman"/>
                      <w:i w:val="0"/>
                      <w:iCs w:val="0"/>
                      <w:color w:val="auto"/>
                      <w:sz w:val="21"/>
                      <w:szCs w:val="21"/>
                      <w:u w:val="none"/>
                    </w:rPr>
                  </w:pPr>
                </w:p>
              </w:tc>
              <w:tc>
                <w:tcPr>
                  <w:tcW w:w="3450" w:type="dxa"/>
                  <w:tcBorders>
                    <w:tl2br w:val="nil"/>
                    <w:tr2bl w:val="nil"/>
                  </w:tcBorders>
                  <w:shd w:val="clear" w:color="auto" w:fill="auto"/>
                  <w:vAlign w:val="center"/>
                </w:tcPr>
                <w:p w14:paraId="551BB38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自带脉冲式袋式除尘器石灰石粉仓</w:t>
                  </w:r>
                </w:p>
              </w:tc>
              <w:tc>
                <w:tcPr>
                  <w:tcW w:w="750" w:type="dxa"/>
                  <w:tcBorders>
                    <w:tl2br w:val="nil"/>
                    <w:tr2bl w:val="nil"/>
                  </w:tcBorders>
                  <w:shd w:val="clear" w:color="auto" w:fill="auto"/>
                  <w:vAlign w:val="center"/>
                </w:tcPr>
                <w:p w14:paraId="1847032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961" w:type="dxa"/>
                  <w:tcBorders>
                    <w:tl2br w:val="nil"/>
                    <w:tr2bl w:val="nil"/>
                  </w:tcBorders>
                  <w:shd w:val="clear" w:color="auto" w:fill="auto"/>
                  <w:vAlign w:val="center"/>
                </w:tcPr>
                <w:p w14:paraId="3D4E1EE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r>
            <w:tr w14:paraId="4A81656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526" w:type="dxa"/>
                  <w:vMerge w:val="continue"/>
                  <w:tcBorders>
                    <w:tl2br w:val="nil"/>
                    <w:tr2bl w:val="nil"/>
                  </w:tcBorders>
                  <w:shd w:val="clear" w:color="auto" w:fill="auto"/>
                  <w:vAlign w:val="center"/>
                </w:tcPr>
                <w:p w14:paraId="29D98DBE">
                  <w:pPr>
                    <w:jc w:val="center"/>
                    <w:rPr>
                      <w:rFonts w:hint="default" w:ascii="Times New Roman" w:hAnsi="Times New Roman" w:eastAsia="宋体" w:cs="Times New Roman"/>
                      <w:i w:val="0"/>
                      <w:iCs w:val="0"/>
                      <w:color w:val="auto"/>
                      <w:sz w:val="21"/>
                      <w:szCs w:val="21"/>
                      <w:u w:val="none"/>
                    </w:rPr>
                  </w:pPr>
                </w:p>
              </w:tc>
              <w:tc>
                <w:tcPr>
                  <w:tcW w:w="672" w:type="dxa"/>
                  <w:vMerge w:val="restart"/>
                  <w:tcBorders>
                    <w:tl2br w:val="nil"/>
                    <w:tr2bl w:val="nil"/>
                  </w:tcBorders>
                  <w:shd w:val="clear" w:color="auto" w:fill="auto"/>
                  <w:vAlign w:val="center"/>
                </w:tcPr>
                <w:p w14:paraId="203D99C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废水</w:t>
                  </w:r>
                </w:p>
              </w:tc>
              <w:tc>
                <w:tcPr>
                  <w:tcW w:w="1100" w:type="dxa"/>
                  <w:tcBorders>
                    <w:tl2br w:val="nil"/>
                    <w:tr2bl w:val="nil"/>
                  </w:tcBorders>
                  <w:shd w:val="clear" w:color="auto" w:fill="auto"/>
                  <w:vAlign w:val="center"/>
                </w:tcPr>
                <w:p w14:paraId="667BED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生活污水</w:t>
                  </w:r>
                </w:p>
              </w:tc>
              <w:tc>
                <w:tcPr>
                  <w:tcW w:w="3450" w:type="dxa"/>
                  <w:tcBorders>
                    <w:tl2br w:val="nil"/>
                    <w:tr2bl w:val="nil"/>
                  </w:tcBorders>
                  <w:shd w:val="clear" w:color="auto" w:fill="auto"/>
                  <w:vAlign w:val="center"/>
                </w:tcPr>
                <w:p w14:paraId="3DAC87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污水管道</w:t>
                  </w:r>
                </w:p>
              </w:tc>
              <w:tc>
                <w:tcPr>
                  <w:tcW w:w="750" w:type="dxa"/>
                  <w:tcBorders>
                    <w:tl2br w:val="nil"/>
                    <w:tr2bl w:val="nil"/>
                  </w:tcBorders>
                  <w:shd w:val="clear" w:color="auto" w:fill="auto"/>
                  <w:vAlign w:val="center"/>
                </w:tcPr>
                <w:p w14:paraId="237AB88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961" w:type="dxa"/>
                  <w:tcBorders>
                    <w:tl2br w:val="nil"/>
                    <w:tr2bl w:val="nil"/>
                  </w:tcBorders>
                  <w:shd w:val="clear" w:color="auto" w:fill="auto"/>
                  <w:vAlign w:val="center"/>
                </w:tcPr>
                <w:p w14:paraId="5A997A5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w:t>
                  </w:r>
                </w:p>
              </w:tc>
            </w:tr>
            <w:tr w14:paraId="41CEB98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526" w:type="dxa"/>
                  <w:vMerge w:val="continue"/>
                  <w:tcBorders>
                    <w:tl2br w:val="nil"/>
                    <w:tr2bl w:val="nil"/>
                  </w:tcBorders>
                  <w:shd w:val="clear" w:color="auto" w:fill="auto"/>
                  <w:vAlign w:val="center"/>
                </w:tcPr>
                <w:p w14:paraId="1244FC8E">
                  <w:pPr>
                    <w:jc w:val="center"/>
                    <w:rPr>
                      <w:rFonts w:hint="default" w:ascii="Times New Roman" w:hAnsi="Times New Roman" w:eastAsia="宋体" w:cs="Times New Roman"/>
                      <w:i w:val="0"/>
                      <w:iCs w:val="0"/>
                      <w:color w:val="auto"/>
                      <w:sz w:val="21"/>
                      <w:szCs w:val="21"/>
                      <w:u w:val="none"/>
                    </w:rPr>
                  </w:pPr>
                </w:p>
              </w:tc>
              <w:tc>
                <w:tcPr>
                  <w:tcW w:w="672" w:type="dxa"/>
                  <w:vMerge w:val="continue"/>
                  <w:tcBorders>
                    <w:tl2br w:val="nil"/>
                    <w:tr2bl w:val="nil"/>
                  </w:tcBorders>
                  <w:shd w:val="clear" w:color="auto" w:fill="auto"/>
                  <w:vAlign w:val="center"/>
                </w:tcPr>
                <w:p w14:paraId="6B81FBA7">
                  <w:pPr>
                    <w:jc w:val="center"/>
                    <w:rPr>
                      <w:rFonts w:hint="default" w:ascii="Times New Roman" w:hAnsi="Times New Roman" w:eastAsia="宋体" w:cs="Times New Roman"/>
                      <w:i w:val="0"/>
                      <w:iCs w:val="0"/>
                      <w:color w:val="auto"/>
                      <w:sz w:val="21"/>
                      <w:szCs w:val="21"/>
                      <w:u w:val="none"/>
                    </w:rPr>
                  </w:pPr>
                </w:p>
              </w:tc>
              <w:tc>
                <w:tcPr>
                  <w:tcW w:w="1100" w:type="dxa"/>
                  <w:tcBorders>
                    <w:tl2br w:val="nil"/>
                    <w:tr2bl w:val="nil"/>
                  </w:tcBorders>
                  <w:shd w:val="clear" w:color="auto" w:fill="auto"/>
                  <w:vAlign w:val="center"/>
                </w:tcPr>
                <w:p w14:paraId="7905C09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生产废水</w:t>
                  </w:r>
                </w:p>
              </w:tc>
              <w:tc>
                <w:tcPr>
                  <w:tcW w:w="3450" w:type="dxa"/>
                  <w:tcBorders>
                    <w:tl2br w:val="nil"/>
                    <w:tr2bl w:val="nil"/>
                  </w:tcBorders>
                  <w:shd w:val="clear" w:color="auto" w:fill="auto"/>
                  <w:vAlign w:val="center"/>
                </w:tcPr>
                <w:p w14:paraId="70CC46C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回用水池、定排坑、排水管道、常规化验废水中和药剂费用</w:t>
                  </w:r>
                </w:p>
              </w:tc>
              <w:tc>
                <w:tcPr>
                  <w:tcW w:w="750" w:type="dxa"/>
                  <w:tcBorders>
                    <w:tl2br w:val="nil"/>
                    <w:tr2bl w:val="nil"/>
                  </w:tcBorders>
                  <w:shd w:val="clear" w:color="auto" w:fill="auto"/>
                  <w:vAlign w:val="center"/>
                </w:tcPr>
                <w:p w14:paraId="266575D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961" w:type="dxa"/>
                  <w:tcBorders>
                    <w:tl2br w:val="nil"/>
                    <w:tr2bl w:val="nil"/>
                  </w:tcBorders>
                  <w:shd w:val="clear" w:color="auto" w:fill="auto"/>
                  <w:vAlign w:val="center"/>
                </w:tcPr>
                <w:p w14:paraId="5114E93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r>
            <w:tr w14:paraId="2B28253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526" w:type="dxa"/>
                  <w:vMerge w:val="continue"/>
                  <w:tcBorders>
                    <w:tl2br w:val="nil"/>
                    <w:tr2bl w:val="nil"/>
                  </w:tcBorders>
                  <w:shd w:val="clear" w:color="auto" w:fill="auto"/>
                  <w:vAlign w:val="center"/>
                </w:tcPr>
                <w:p w14:paraId="265E891D">
                  <w:pPr>
                    <w:jc w:val="center"/>
                    <w:rPr>
                      <w:rFonts w:hint="default" w:ascii="Times New Roman" w:hAnsi="Times New Roman" w:eastAsia="宋体" w:cs="Times New Roman"/>
                      <w:i w:val="0"/>
                      <w:iCs w:val="0"/>
                      <w:color w:val="auto"/>
                      <w:sz w:val="21"/>
                      <w:szCs w:val="21"/>
                      <w:u w:val="none"/>
                    </w:rPr>
                  </w:pPr>
                </w:p>
              </w:tc>
              <w:tc>
                <w:tcPr>
                  <w:tcW w:w="672" w:type="dxa"/>
                  <w:tcBorders>
                    <w:tl2br w:val="nil"/>
                    <w:tr2bl w:val="nil"/>
                  </w:tcBorders>
                  <w:shd w:val="clear" w:color="auto" w:fill="auto"/>
                  <w:vAlign w:val="center"/>
                </w:tcPr>
                <w:p w14:paraId="40BBCF9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噪声</w:t>
                  </w:r>
                </w:p>
              </w:tc>
              <w:tc>
                <w:tcPr>
                  <w:tcW w:w="1100" w:type="dxa"/>
                  <w:tcBorders>
                    <w:tl2br w:val="nil"/>
                    <w:tr2bl w:val="nil"/>
                  </w:tcBorders>
                  <w:shd w:val="clear" w:color="auto" w:fill="auto"/>
                  <w:vAlign w:val="center"/>
                </w:tcPr>
                <w:p w14:paraId="562920D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机械设备运行噪声</w:t>
                  </w:r>
                </w:p>
              </w:tc>
              <w:tc>
                <w:tcPr>
                  <w:tcW w:w="3450" w:type="dxa"/>
                  <w:tcBorders>
                    <w:tl2br w:val="nil"/>
                    <w:tr2bl w:val="nil"/>
                  </w:tcBorders>
                  <w:shd w:val="clear" w:color="auto" w:fill="auto"/>
                  <w:vAlign w:val="center"/>
                </w:tcPr>
                <w:p w14:paraId="23F80E0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选用低噪声设备，对高噪音设备减振弹性垫层铺设，在设备底座与基础之间加装减振垫/减振器，利用墙体阻隔衰减</w:t>
                  </w:r>
                </w:p>
              </w:tc>
              <w:tc>
                <w:tcPr>
                  <w:tcW w:w="750" w:type="dxa"/>
                  <w:tcBorders>
                    <w:tl2br w:val="nil"/>
                    <w:tr2bl w:val="nil"/>
                  </w:tcBorders>
                  <w:shd w:val="clear" w:color="auto" w:fill="auto"/>
                  <w:vAlign w:val="center"/>
                </w:tcPr>
                <w:p w14:paraId="1404BA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961" w:type="dxa"/>
                  <w:tcBorders>
                    <w:tl2br w:val="nil"/>
                    <w:tr2bl w:val="nil"/>
                  </w:tcBorders>
                  <w:shd w:val="clear" w:color="auto" w:fill="auto"/>
                  <w:vAlign w:val="center"/>
                </w:tcPr>
                <w:p w14:paraId="3E6407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50</w:t>
                  </w:r>
                </w:p>
              </w:tc>
            </w:tr>
            <w:tr w14:paraId="2D76B2B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526" w:type="dxa"/>
                  <w:vMerge w:val="continue"/>
                  <w:tcBorders>
                    <w:tl2br w:val="nil"/>
                    <w:tr2bl w:val="nil"/>
                  </w:tcBorders>
                  <w:shd w:val="clear" w:color="auto" w:fill="auto"/>
                  <w:vAlign w:val="center"/>
                </w:tcPr>
                <w:p w14:paraId="30DA089A">
                  <w:pPr>
                    <w:jc w:val="center"/>
                    <w:rPr>
                      <w:rFonts w:hint="default" w:ascii="Times New Roman" w:hAnsi="Times New Roman" w:eastAsia="宋体" w:cs="Times New Roman"/>
                      <w:i w:val="0"/>
                      <w:iCs w:val="0"/>
                      <w:color w:val="auto"/>
                      <w:sz w:val="21"/>
                      <w:szCs w:val="21"/>
                      <w:u w:val="none"/>
                    </w:rPr>
                  </w:pPr>
                </w:p>
              </w:tc>
              <w:tc>
                <w:tcPr>
                  <w:tcW w:w="672" w:type="dxa"/>
                  <w:vMerge w:val="restart"/>
                  <w:tcBorders>
                    <w:tl2br w:val="nil"/>
                    <w:tr2bl w:val="nil"/>
                  </w:tcBorders>
                  <w:shd w:val="clear" w:color="auto" w:fill="auto"/>
                  <w:vAlign w:val="center"/>
                </w:tcPr>
                <w:p w14:paraId="14A2925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固体废弃物</w:t>
                  </w:r>
                </w:p>
              </w:tc>
              <w:tc>
                <w:tcPr>
                  <w:tcW w:w="1100" w:type="dxa"/>
                  <w:tcBorders>
                    <w:tl2br w:val="nil"/>
                    <w:tr2bl w:val="nil"/>
                  </w:tcBorders>
                  <w:shd w:val="clear" w:color="auto" w:fill="auto"/>
                  <w:vAlign w:val="center"/>
                </w:tcPr>
                <w:p w14:paraId="3FEA6CA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生活垃圾</w:t>
                  </w:r>
                </w:p>
              </w:tc>
              <w:tc>
                <w:tcPr>
                  <w:tcW w:w="3450" w:type="dxa"/>
                  <w:tcBorders>
                    <w:tl2br w:val="nil"/>
                    <w:tr2bl w:val="nil"/>
                  </w:tcBorders>
                  <w:shd w:val="clear" w:color="auto" w:fill="auto"/>
                  <w:vAlign w:val="center"/>
                </w:tcPr>
                <w:p w14:paraId="0AB4CBE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清运处置</w:t>
                  </w:r>
                </w:p>
              </w:tc>
              <w:tc>
                <w:tcPr>
                  <w:tcW w:w="750" w:type="dxa"/>
                  <w:tcBorders>
                    <w:tl2br w:val="nil"/>
                    <w:tr2bl w:val="nil"/>
                  </w:tcBorders>
                  <w:shd w:val="clear" w:color="auto" w:fill="auto"/>
                  <w:vAlign w:val="center"/>
                </w:tcPr>
                <w:p w14:paraId="672B476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961" w:type="dxa"/>
                  <w:tcBorders>
                    <w:tl2br w:val="nil"/>
                    <w:tr2bl w:val="nil"/>
                  </w:tcBorders>
                  <w:shd w:val="clear" w:color="auto" w:fill="auto"/>
                  <w:vAlign w:val="center"/>
                </w:tcPr>
                <w:p w14:paraId="5A6D9F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0.25</w:t>
                  </w:r>
                </w:p>
              </w:tc>
            </w:tr>
            <w:tr w14:paraId="41363E4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526" w:type="dxa"/>
                  <w:vMerge w:val="continue"/>
                  <w:tcBorders>
                    <w:tl2br w:val="nil"/>
                    <w:tr2bl w:val="nil"/>
                  </w:tcBorders>
                  <w:shd w:val="clear" w:color="auto" w:fill="auto"/>
                  <w:vAlign w:val="center"/>
                </w:tcPr>
                <w:p w14:paraId="310AADA2">
                  <w:pPr>
                    <w:jc w:val="center"/>
                    <w:rPr>
                      <w:rFonts w:hint="default" w:ascii="Times New Roman" w:hAnsi="Times New Roman" w:eastAsia="宋体" w:cs="Times New Roman"/>
                      <w:i w:val="0"/>
                      <w:iCs w:val="0"/>
                      <w:color w:val="auto"/>
                      <w:sz w:val="21"/>
                      <w:szCs w:val="21"/>
                      <w:u w:val="none"/>
                    </w:rPr>
                  </w:pPr>
                </w:p>
              </w:tc>
              <w:tc>
                <w:tcPr>
                  <w:tcW w:w="672" w:type="dxa"/>
                  <w:vMerge w:val="continue"/>
                  <w:tcBorders>
                    <w:tl2br w:val="nil"/>
                    <w:tr2bl w:val="nil"/>
                  </w:tcBorders>
                  <w:shd w:val="clear" w:color="auto" w:fill="auto"/>
                  <w:vAlign w:val="center"/>
                </w:tcPr>
                <w:p w14:paraId="4D9EE51C">
                  <w:pPr>
                    <w:jc w:val="center"/>
                    <w:rPr>
                      <w:rFonts w:hint="default" w:ascii="Times New Roman" w:hAnsi="Times New Roman" w:eastAsia="宋体" w:cs="Times New Roman"/>
                      <w:i w:val="0"/>
                      <w:iCs w:val="0"/>
                      <w:color w:val="auto"/>
                      <w:sz w:val="21"/>
                      <w:szCs w:val="21"/>
                      <w:u w:val="none"/>
                    </w:rPr>
                  </w:pPr>
                </w:p>
              </w:tc>
              <w:tc>
                <w:tcPr>
                  <w:tcW w:w="1100" w:type="dxa"/>
                  <w:tcBorders>
                    <w:tl2br w:val="nil"/>
                    <w:tr2bl w:val="nil"/>
                  </w:tcBorders>
                  <w:shd w:val="clear" w:color="auto" w:fill="auto"/>
                  <w:vAlign w:val="center"/>
                </w:tcPr>
                <w:p w14:paraId="77DDFF5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一般固废</w:t>
                  </w:r>
                </w:p>
              </w:tc>
              <w:tc>
                <w:tcPr>
                  <w:tcW w:w="3450" w:type="dxa"/>
                  <w:tcBorders>
                    <w:tl2br w:val="nil"/>
                    <w:tr2bl w:val="nil"/>
                  </w:tcBorders>
                  <w:shd w:val="clear" w:color="auto" w:fill="auto"/>
                  <w:vAlign w:val="center"/>
                </w:tcPr>
                <w:p w14:paraId="4E6DC63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清运处置</w:t>
                  </w:r>
                </w:p>
              </w:tc>
              <w:tc>
                <w:tcPr>
                  <w:tcW w:w="750" w:type="dxa"/>
                  <w:tcBorders>
                    <w:tl2br w:val="nil"/>
                    <w:tr2bl w:val="nil"/>
                  </w:tcBorders>
                  <w:shd w:val="clear" w:color="auto" w:fill="auto"/>
                  <w:vAlign w:val="center"/>
                </w:tcPr>
                <w:p w14:paraId="575A6326">
                  <w:pPr>
                    <w:jc w:val="center"/>
                    <w:rPr>
                      <w:rFonts w:hint="default" w:ascii="Times New Roman" w:hAnsi="Times New Roman" w:eastAsia="宋体" w:cs="Times New Roman"/>
                      <w:i w:val="0"/>
                      <w:iCs w:val="0"/>
                      <w:color w:val="auto"/>
                      <w:sz w:val="21"/>
                      <w:szCs w:val="21"/>
                      <w:u w:val="none"/>
                    </w:rPr>
                  </w:pPr>
                </w:p>
              </w:tc>
              <w:tc>
                <w:tcPr>
                  <w:tcW w:w="961" w:type="dxa"/>
                  <w:tcBorders>
                    <w:tl2br w:val="nil"/>
                    <w:tr2bl w:val="nil"/>
                  </w:tcBorders>
                  <w:shd w:val="clear" w:color="auto" w:fill="auto"/>
                  <w:vAlign w:val="center"/>
                </w:tcPr>
                <w:p w14:paraId="207AFA4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0.25</w:t>
                  </w:r>
                </w:p>
              </w:tc>
            </w:tr>
            <w:tr w14:paraId="62E27F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526" w:type="dxa"/>
                  <w:vMerge w:val="continue"/>
                  <w:tcBorders>
                    <w:tl2br w:val="nil"/>
                    <w:tr2bl w:val="nil"/>
                  </w:tcBorders>
                  <w:shd w:val="clear" w:color="auto" w:fill="auto"/>
                  <w:vAlign w:val="center"/>
                </w:tcPr>
                <w:p w14:paraId="515872D0">
                  <w:pPr>
                    <w:jc w:val="center"/>
                    <w:rPr>
                      <w:rFonts w:hint="default" w:ascii="Times New Roman" w:hAnsi="Times New Roman" w:eastAsia="宋体" w:cs="Times New Roman"/>
                      <w:i w:val="0"/>
                      <w:iCs w:val="0"/>
                      <w:color w:val="auto"/>
                      <w:sz w:val="21"/>
                      <w:szCs w:val="21"/>
                      <w:u w:val="none"/>
                    </w:rPr>
                  </w:pPr>
                </w:p>
              </w:tc>
              <w:tc>
                <w:tcPr>
                  <w:tcW w:w="672" w:type="dxa"/>
                  <w:vMerge w:val="continue"/>
                  <w:tcBorders>
                    <w:tl2br w:val="nil"/>
                    <w:tr2bl w:val="nil"/>
                  </w:tcBorders>
                  <w:shd w:val="clear" w:color="auto" w:fill="auto"/>
                  <w:vAlign w:val="center"/>
                </w:tcPr>
                <w:p w14:paraId="3857BE1D">
                  <w:pPr>
                    <w:jc w:val="center"/>
                    <w:rPr>
                      <w:rFonts w:hint="default" w:ascii="Times New Roman" w:hAnsi="Times New Roman" w:eastAsia="宋体" w:cs="Times New Roman"/>
                      <w:i w:val="0"/>
                      <w:iCs w:val="0"/>
                      <w:color w:val="auto"/>
                      <w:sz w:val="21"/>
                      <w:szCs w:val="21"/>
                      <w:u w:val="none"/>
                    </w:rPr>
                  </w:pPr>
                </w:p>
              </w:tc>
              <w:tc>
                <w:tcPr>
                  <w:tcW w:w="1100" w:type="dxa"/>
                  <w:tcBorders>
                    <w:tl2br w:val="nil"/>
                    <w:tr2bl w:val="nil"/>
                  </w:tcBorders>
                  <w:shd w:val="clear" w:color="auto" w:fill="auto"/>
                  <w:vAlign w:val="center"/>
                </w:tcPr>
                <w:p w14:paraId="301A404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危险废物</w:t>
                  </w:r>
                </w:p>
              </w:tc>
              <w:tc>
                <w:tcPr>
                  <w:tcW w:w="3450" w:type="dxa"/>
                  <w:tcBorders>
                    <w:tl2br w:val="nil"/>
                    <w:tr2bl w:val="nil"/>
                  </w:tcBorders>
                  <w:shd w:val="clear" w:color="auto" w:fill="auto"/>
                  <w:vAlign w:val="center"/>
                </w:tcPr>
                <w:p w14:paraId="12760D5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危废收集装置、危废贮存点（20m</w:t>
                  </w:r>
                  <w:r>
                    <w:rPr>
                      <w:rFonts w:hint="default" w:ascii="Times New Roman" w:hAnsi="Times New Roman" w:eastAsia="宋体" w:cs="Times New Roman"/>
                      <w:i w:val="0"/>
                      <w:iCs w:val="0"/>
                      <w:color w:val="auto"/>
                      <w:kern w:val="0"/>
                      <w:sz w:val="21"/>
                      <w:szCs w:val="21"/>
                      <w:u w:val="none"/>
                      <w:vertAlign w:val="superscript"/>
                      <w:lang w:val="en-US" w:eastAsia="zh-CN" w:bidi="ar"/>
                    </w:rPr>
                    <w:t>2</w:t>
                  </w:r>
                  <w:r>
                    <w:rPr>
                      <w:rFonts w:hint="default" w:ascii="Times New Roman" w:hAnsi="Times New Roman" w:eastAsia="宋体" w:cs="Times New Roman"/>
                      <w:i w:val="0"/>
                      <w:iCs w:val="0"/>
                      <w:color w:val="auto"/>
                      <w:kern w:val="0"/>
                      <w:sz w:val="21"/>
                      <w:szCs w:val="21"/>
                      <w:u w:val="none"/>
                      <w:lang w:val="en-US" w:eastAsia="zh-CN" w:bidi="ar"/>
                    </w:rPr>
                    <w:t>）、定期委托有相关危废处理资质处置</w:t>
                  </w:r>
                </w:p>
              </w:tc>
              <w:tc>
                <w:tcPr>
                  <w:tcW w:w="750" w:type="dxa"/>
                  <w:tcBorders>
                    <w:tl2br w:val="nil"/>
                    <w:tr2bl w:val="nil"/>
                  </w:tcBorders>
                  <w:shd w:val="clear" w:color="auto" w:fill="auto"/>
                  <w:vAlign w:val="center"/>
                </w:tcPr>
                <w:p w14:paraId="64028D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961" w:type="dxa"/>
                  <w:tcBorders>
                    <w:tl2br w:val="nil"/>
                    <w:tr2bl w:val="nil"/>
                  </w:tcBorders>
                  <w:shd w:val="clear" w:color="auto" w:fill="auto"/>
                  <w:vAlign w:val="center"/>
                </w:tcPr>
                <w:p w14:paraId="70FDF64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8</w:t>
                  </w:r>
                </w:p>
              </w:tc>
            </w:tr>
            <w:tr w14:paraId="58FBE373">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526" w:type="dxa"/>
                  <w:vMerge w:val="continue"/>
                  <w:tcBorders>
                    <w:tl2br w:val="nil"/>
                    <w:tr2bl w:val="nil"/>
                  </w:tcBorders>
                  <w:shd w:val="clear" w:color="auto" w:fill="auto"/>
                  <w:vAlign w:val="center"/>
                </w:tcPr>
                <w:p w14:paraId="71F2E979">
                  <w:pPr>
                    <w:jc w:val="center"/>
                    <w:rPr>
                      <w:rFonts w:hint="default" w:ascii="Times New Roman" w:hAnsi="Times New Roman" w:eastAsia="宋体" w:cs="Times New Roman"/>
                      <w:i w:val="0"/>
                      <w:iCs w:val="0"/>
                      <w:color w:val="auto"/>
                      <w:sz w:val="21"/>
                      <w:szCs w:val="21"/>
                      <w:u w:val="none"/>
                    </w:rPr>
                  </w:pPr>
                </w:p>
              </w:tc>
              <w:tc>
                <w:tcPr>
                  <w:tcW w:w="672" w:type="dxa"/>
                  <w:vMerge w:val="restart"/>
                  <w:tcBorders>
                    <w:tl2br w:val="nil"/>
                    <w:tr2bl w:val="nil"/>
                  </w:tcBorders>
                  <w:shd w:val="clear" w:color="auto" w:fill="auto"/>
                  <w:vAlign w:val="center"/>
                </w:tcPr>
                <w:p w14:paraId="488B34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其他</w:t>
                  </w:r>
                </w:p>
              </w:tc>
              <w:tc>
                <w:tcPr>
                  <w:tcW w:w="5300" w:type="dxa"/>
                  <w:gridSpan w:val="3"/>
                  <w:tcBorders>
                    <w:tl2br w:val="nil"/>
                    <w:tr2bl w:val="nil"/>
                  </w:tcBorders>
                  <w:shd w:val="clear" w:color="auto" w:fill="auto"/>
                  <w:vAlign w:val="center"/>
                </w:tcPr>
                <w:p w14:paraId="6E380D8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分区防渗；环境风险防范、标识标牌、自行监测</w:t>
                  </w:r>
                </w:p>
              </w:tc>
              <w:tc>
                <w:tcPr>
                  <w:tcW w:w="961" w:type="dxa"/>
                  <w:tcBorders>
                    <w:tl2br w:val="nil"/>
                    <w:tr2bl w:val="nil"/>
                  </w:tcBorders>
                  <w:shd w:val="clear" w:color="auto" w:fill="auto"/>
                  <w:vAlign w:val="center"/>
                </w:tcPr>
                <w:p w14:paraId="4BFB959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r>
            <w:tr w14:paraId="28FEE5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526" w:type="dxa"/>
                  <w:vMerge w:val="continue"/>
                  <w:tcBorders>
                    <w:tl2br w:val="nil"/>
                    <w:tr2bl w:val="nil"/>
                  </w:tcBorders>
                  <w:shd w:val="clear" w:color="auto" w:fill="auto"/>
                  <w:vAlign w:val="center"/>
                </w:tcPr>
                <w:p w14:paraId="5A4446A7">
                  <w:pPr>
                    <w:jc w:val="center"/>
                    <w:rPr>
                      <w:rFonts w:hint="default" w:ascii="Times New Roman" w:hAnsi="Times New Roman" w:eastAsia="宋体" w:cs="Times New Roman"/>
                      <w:i w:val="0"/>
                      <w:iCs w:val="0"/>
                      <w:color w:val="auto"/>
                      <w:sz w:val="21"/>
                      <w:szCs w:val="21"/>
                      <w:u w:val="none"/>
                    </w:rPr>
                  </w:pPr>
                </w:p>
              </w:tc>
              <w:tc>
                <w:tcPr>
                  <w:tcW w:w="672" w:type="dxa"/>
                  <w:vMerge w:val="continue"/>
                  <w:tcBorders>
                    <w:tl2br w:val="nil"/>
                    <w:tr2bl w:val="nil"/>
                  </w:tcBorders>
                  <w:shd w:val="clear" w:color="auto" w:fill="auto"/>
                  <w:vAlign w:val="center"/>
                </w:tcPr>
                <w:p w14:paraId="3D9E5573">
                  <w:pPr>
                    <w:jc w:val="center"/>
                    <w:rPr>
                      <w:rFonts w:hint="default" w:ascii="Times New Roman" w:hAnsi="Times New Roman" w:eastAsia="宋体" w:cs="Times New Roman"/>
                      <w:i w:val="0"/>
                      <w:iCs w:val="0"/>
                      <w:color w:val="auto"/>
                      <w:sz w:val="21"/>
                      <w:szCs w:val="21"/>
                      <w:u w:val="none"/>
                    </w:rPr>
                  </w:pPr>
                </w:p>
              </w:tc>
              <w:tc>
                <w:tcPr>
                  <w:tcW w:w="5300" w:type="dxa"/>
                  <w:gridSpan w:val="3"/>
                  <w:tcBorders>
                    <w:tl2br w:val="nil"/>
                    <w:tr2bl w:val="nil"/>
                  </w:tcBorders>
                  <w:shd w:val="clear" w:color="auto" w:fill="auto"/>
                  <w:vAlign w:val="center"/>
                </w:tcPr>
                <w:p w14:paraId="1CB281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rPr>
                  </w:pPr>
                  <w:r>
                    <w:rPr>
                      <w:rFonts w:hint="default" w:ascii="Times New Roman" w:hAnsi="Times New Roman" w:eastAsia="宋体" w:cs="Times New Roman"/>
                      <w:i w:val="0"/>
                      <w:iCs w:val="0"/>
                      <w:color w:val="auto"/>
                      <w:kern w:val="0"/>
                      <w:sz w:val="21"/>
                      <w:szCs w:val="21"/>
                      <w:u w:val="none"/>
                      <w:lang w:val="en-US" w:eastAsia="zh-CN" w:bidi="ar"/>
                    </w:rPr>
                    <w:t>厂区绿化</w:t>
                  </w:r>
                  <w:r>
                    <w:rPr>
                      <w:rFonts w:hint="default" w:ascii="Times New Roman" w:hAnsi="Times New Roman" w:cs="Times New Roman"/>
                      <w:i w:val="0"/>
                      <w:iCs w:val="0"/>
                      <w:color w:val="auto"/>
                      <w:kern w:val="0"/>
                      <w:sz w:val="21"/>
                      <w:szCs w:val="21"/>
                      <w:u w:val="none"/>
                      <w:lang w:val="en-US" w:eastAsia="zh-CN" w:bidi="ar"/>
                    </w:rPr>
                    <w:t>、减污降碳</w:t>
                  </w:r>
                </w:p>
              </w:tc>
              <w:tc>
                <w:tcPr>
                  <w:tcW w:w="961" w:type="dxa"/>
                  <w:tcBorders>
                    <w:tl2br w:val="nil"/>
                    <w:tr2bl w:val="nil"/>
                  </w:tcBorders>
                  <w:shd w:val="clear" w:color="auto" w:fill="auto"/>
                  <w:vAlign w:val="center"/>
                </w:tcPr>
                <w:p w14:paraId="795EDB6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10</w:t>
                  </w:r>
                </w:p>
              </w:tc>
            </w:tr>
            <w:tr w14:paraId="0155BBA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6498" w:type="dxa"/>
                  <w:gridSpan w:val="5"/>
                  <w:tcBorders>
                    <w:tl2br w:val="nil"/>
                    <w:tr2bl w:val="nil"/>
                  </w:tcBorders>
                  <w:shd w:val="clear" w:color="auto" w:fill="auto"/>
                  <w:vAlign w:val="center"/>
                </w:tcPr>
                <w:p w14:paraId="001B598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合计</w:t>
                  </w:r>
                </w:p>
              </w:tc>
              <w:tc>
                <w:tcPr>
                  <w:tcW w:w="961" w:type="dxa"/>
                  <w:tcBorders>
                    <w:tl2br w:val="nil"/>
                    <w:tr2bl w:val="nil"/>
                  </w:tcBorders>
                  <w:shd w:val="clear" w:color="auto" w:fill="auto"/>
                  <w:vAlign w:val="center"/>
                </w:tcPr>
                <w:p w14:paraId="777D74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1111.95</w:t>
                  </w:r>
                </w:p>
              </w:tc>
            </w:tr>
            <w:tr w14:paraId="567CD57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6498" w:type="dxa"/>
                  <w:gridSpan w:val="5"/>
                  <w:tcBorders>
                    <w:tl2br w:val="nil"/>
                    <w:tr2bl w:val="nil"/>
                  </w:tcBorders>
                  <w:shd w:val="clear" w:color="auto" w:fill="auto"/>
                  <w:vAlign w:val="center"/>
                </w:tcPr>
                <w:p w14:paraId="6C4FB4E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总投资</w:t>
                  </w:r>
                </w:p>
              </w:tc>
              <w:tc>
                <w:tcPr>
                  <w:tcW w:w="961" w:type="dxa"/>
                  <w:tcBorders>
                    <w:tl2br w:val="nil"/>
                    <w:tr2bl w:val="nil"/>
                  </w:tcBorders>
                  <w:shd w:val="clear" w:color="auto" w:fill="auto"/>
                  <w:vAlign w:val="center"/>
                </w:tcPr>
                <w:p w14:paraId="7509531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24640</w:t>
                  </w:r>
                </w:p>
              </w:tc>
            </w:tr>
            <w:tr w14:paraId="26E96E0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57" w:hRule="atLeast"/>
              </w:trPr>
              <w:tc>
                <w:tcPr>
                  <w:tcW w:w="6498" w:type="dxa"/>
                  <w:gridSpan w:val="5"/>
                  <w:tcBorders>
                    <w:tl2br w:val="nil"/>
                    <w:tr2bl w:val="nil"/>
                  </w:tcBorders>
                  <w:shd w:val="clear" w:color="auto" w:fill="auto"/>
                  <w:vAlign w:val="center"/>
                </w:tcPr>
                <w:p w14:paraId="6DE7CF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占总投资比例%</w:t>
                  </w:r>
                </w:p>
              </w:tc>
              <w:tc>
                <w:tcPr>
                  <w:tcW w:w="961" w:type="dxa"/>
                  <w:tcBorders>
                    <w:tl2br w:val="nil"/>
                    <w:tr2bl w:val="nil"/>
                  </w:tcBorders>
                  <w:shd w:val="clear" w:color="auto" w:fill="auto"/>
                  <w:vAlign w:val="center"/>
                </w:tcPr>
                <w:p w14:paraId="3A3B31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4.51</w:t>
                  </w:r>
                  <w:r>
                    <w:rPr>
                      <w:rFonts w:hint="default" w:ascii="Times New Roman" w:hAnsi="Times New Roman" w:eastAsia="宋体" w:cs="Times New Roman"/>
                      <w:i w:val="0"/>
                      <w:iCs w:val="0"/>
                      <w:color w:val="auto"/>
                      <w:kern w:val="0"/>
                      <w:sz w:val="21"/>
                      <w:szCs w:val="21"/>
                      <w:u w:val="none"/>
                      <w:lang w:val="en-US" w:eastAsia="zh-CN" w:bidi="ar"/>
                    </w:rPr>
                    <w:t>%</w:t>
                  </w:r>
                </w:p>
              </w:tc>
            </w:tr>
          </w:tbl>
          <w:p w14:paraId="71B21F45">
            <w:pPr>
              <w:keepNext w:val="0"/>
              <w:keepLines w:val="0"/>
              <w:pageBreakBefore w:val="0"/>
              <w:widowControl w:val="0"/>
              <w:kinsoku/>
              <w:wordWrap/>
              <w:overflowPunct/>
              <w:topLinePunct w:val="0"/>
              <w:autoSpaceDE w:val="0"/>
              <w:autoSpaceDN w:val="0"/>
              <w:bidi w:val="0"/>
              <w:adjustRightInd/>
              <w:snapToGrid/>
              <w:spacing w:line="360" w:lineRule="auto"/>
              <w:ind w:right="0" w:rightChars="0" w:firstLine="480" w:firstLineChars="200"/>
              <w:textAlignment w:val="baseline"/>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w:t>
            </w:r>
            <w:r>
              <w:rPr>
                <w:rFonts w:hint="default" w:ascii="Times New Roman" w:hAnsi="Times New Roman" w:cs="Times New Roman"/>
                <w:color w:val="auto"/>
                <w:kern w:val="0"/>
                <w:sz w:val="24"/>
                <w:szCs w:val="24"/>
                <w:lang w:val="en-US" w:eastAsia="zh-CN"/>
              </w:rPr>
              <w:t>2</w:t>
            </w:r>
            <w:r>
              <w:rPr>
                <w:rFonts w:hint="default" w:ascii="Times New Roman" w:hAnsi="Times New Roman" w:eastAsia="宋体" w:cs="Times New Roman"/>
                <w:color w:val="auto"/>
                <w:kern w:val="0"/>
                <w:sz w:val="24"/>
                <w:szCs w:val="24"/>
                <w:lang w:val="en-US" w:eastAsia="zh-CN"/>
              </w:rPr>
              <w:t>）排污许可信息填报要求</w:t>
            </w:r>
          </w:p>
          <w:p w14:paraId="3C06E2A5">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baseline"/>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根据《固定污染源排污许可分类管理名录（2019年版）》，本项目属于95、电力生产441，火力发电4411为重点管理。根据《关于做好环境影响评价制度与排污许可衔接相关工作的通知》（环办环评〔2017〕84号），本项目应在获得环评审批文件后，按照国家环境保护相关法律法规以及</w:t>
            </w:r>
            <w:r>
              <w:rPr>
                <w:rFonts w:hint="default" w:ascii="Times New Roman" w:hAnsi="Times New Roman"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火电行业排污许可证申请与核发技术规范要求</w:t>
            </w:r>
            <w:r>
              <w:rPr>
                <w:rFonts w:hint="default" w:ascii="Times New Roman" w:hAnsi="Times New Roman"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环水体〔2016〕189号</w:t>
            </w:r>
            <w:r>
              <w:rPr>
                <w:rFonts w:hint="default" w:ascii="Times New Roman" w:hAnsi="Times New Roman" w:cs="Times New Roman"/>
                <w:color w:val="auto"/>
                <w:kern w:val="0"/>
                <w:sz w:val="24"/>
                <w:szCs w:val="24"/>
                <w:lang w:val="en-US" w:eastAsia="zh-CN"/>
              </w:rPr>
              <w:t>）的要求</w:t>
            </w:r>
            <w:r>
              <w:rPr>
                <w:rFonts w:hint="default" w:ascii="Times New Roman" w:hAnsi="Times New Roman" w:eastAsia="宋体" w:cs="Times New Roman"/>
                <w:color w:val="auto"/>
                <w:kern w:val="0"/>
                <w:sz w:val="24"/>
                <w:szCs w:val="24"/>
                <w:lang w:val="en-US" w:eastAsia="zh-CN"/>
              </w:rPr>
              <w:t>申请排污许可证。</w:t>
            </w:r>
          </w:p>
          <w:p w14:paraId="66CDBB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0" w:firstLineChars="200"/>
              <w:textAlignment w:val="auto"/>
              <w:rPr>
                <w:rFonts w:hint="default" w:ascii="Times New Roman" w:hAnsi="Times New Roman" w:eastAsia="宋体" w:cs="Times New Roman"/>
                <w:b w:val="0"/>
                <w:bCs w:val="0"/>
                <w:color w:val="auto"/>
                <w:sz w:val="24"/>
                <w:szCs w:val="24"/>
                <w:highlight w:val="none"/>
                <w:lang w:val="en-US" w:eastAsia="zh-CN"/>
              </w:rPr>
            </w:pPr>
            <w:r>
              <w:rPr>
                <w:rFonts w:hint="default" w:ascii="Times New Roman" w:hAnsi="Times New Roman" w:eastAsia="宋体" w:cs="Times New Roman"/>
                <w:b w:val="0"/>
                <w:bCs w:val="0"/>
                <w:color w:val="auto"/>
                <w:sz w:val="24"/>
                <w:szCs w:val="24"/>
                <w:highlight w:val="none"/>
                <w:lang w:val="en-US" w:eastAsia="zh-CN"/>
              </w:rPr>
              <w:t>（</w:t>
            </w:r>
            <w:r>
              <w:rPr>
                <w:rFonts w:hint="default" w:ascii="Times New Roman" w:hAnsi="Times New Roman" w:cs="Times New Roman"/>
                <w:b w:val="0"/>
                <w:bCs w:val="0"/>
                <w:color w:val="auto"/>
                <w:sz w:val="24"/>
                <w:szCs w:val="24"/>
                <w:highlight w:val="none"/>
                <w:lang w:val="en-US" w:eastAsia="zh-CN"/>
              </w:rPr>
              <w:t>3</w:t>
            </w:r>
            <w:r>
              <w:rPr>
                <w:rFonts w:hint="default" w:ascii="Times New Roman" w:hAnsi="Times New Roman" w:eastAsia="宋体" w:cs="Times New Roman"/>
                <w:b w:val="0"/>
                <w:bCs w:val="0"/>
                <w:color w:val="auto"/>
                <w:sz w:val="24"/>
                <w:szCs w:val="24"/>
                <w:highlight w:val="none"/>
                <w:lang w:val="en-US" w:eastAsia="zh-CN"/>
              </w:rPr>
              <w:t>）排污口规范化</w:t>
            </w:r>
          </w:p>
          <w:p w14:paraId="6F96911B">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baseline"/>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①按照国家相关的规定，应如实向环境管理部门申报排污口数量、位置及所排放的主要污染物或产生公害的种类、数量、浓度、排放去向等情况。</w:t>
            </w:r>
          </w:p>
          <w:p w14:paraId="75A5D7CB">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baseline"/>
              <w:rPr>
                <w:rFonts w:hint="default" w:ascii="Times New Roman" w:hAnsi="Times New Roman" w:eastAsia="宋体" w:cs="Times New Roman"/>
                <w:color w:val="auto"/>
                <w:spacing w:val="-6"/>
                <w:kern w:val="0"/>
                <w:sz w:val="24"/>
                <w:szCs w:val="24"/>
                <w:lang w:val="en-US" w:eastAsia="zh-CN"/>
              </w:rPr>
            </w:pPr>
            <w:r>
              <w:rPr>
                <w:rFonts w:hint="default" w:ascii="Times New Roman" w:hAnsi="Times New Roman" w:eastAsia="宋体" w:cs="Times New Roman"/>
                <w:color w:val="auto"/>
                <w:kern w:val="0"/>
                <w:sz w:val="24"/>
                <w:szCs w:val="24"/>
                <w:lang w:val="en-US" w:eastAsia="zh-CN"/>
              </w:rPr>
              <w:t>②</w:t>
            </w:r>
            <w:r>
              <w:rPr>
                <w:rFonts w:hint="default" w:ascii="Times New Roman" w:hAnsi="Times New Roman" w:eastAsia="宋体" w:cs="Times New Roman"/>
                <w:color w:val="auto"/>
                <w:spacing w:val="-6"/>
                <w:kern w:val="0"/>
                <w:sz w:val="24"/>
                <w:szCs w:val="24"/>
                <w:lang w:val="en-US" w:eastAsia="zh-CN"/>
              </w:rPr>
              <w:t>对于固体废弃物，应当设置暂时贮存或堆放场所，堆放场地或贮存设施必须有防雨水淋洗冲刷、防流失、防渗漏等措施，贮存（堆放）处进路口应设置标志牌。</w:t>
            </w:r>
          </w:p>
          <w:p w14:paraId="7C375915">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baseline"/>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③本项目的工程设计在污染物排放口（源）设置监测用的采样口，采样口的设计应符合《污染源监测技术规范》要求并便于采样监测。同时必须按《环境保护图形标志-排放口（源）》（GB15562.1-1995）、《环境保护图形标志固体废物贮存（处置）场》GB15562.2-1995及其修改单、《危险废物识别标志设置技术规范》（HJ127</w:t>
            </w:r>
            <w:r>
              <w:rPr>
                <w:rFonts w:hint="default" w:ascii="Times New Roman" w:hAnsi="Times New Roman" w:cs="Times New Roman"/>
                <w:color w:val="auto"/>
                <w:kern w:val="0"/>
                <w:sz w:val="24"/>
                <w:szCs w:val="24"/>
                <w:lang w:val="en-US" w:eastAsia="zh-CN"/>
              </w:rPr>
              <w:t>6</w:t>
            </w:r>
            <w:r>
              <w:rPr>
                <w:rFonts w:hint="default" w:ascii="Times New Roman" w:hAnsi="Times New Roman" w:eastAsia="宋体" w:cs="Times New Roman"/>
                <w:color w:val="auto"/>
                <w:kern w:val="0"/>
                <w:sz w:val="24"/>
                <w:szCs w:val="24"/>
                <w:lang w:val="en-US" w:eastAsia="zh-CN"/>
              </w:rPr>
              <w:t>-2022）规定的图形，在各气、声排污口（源）挂牌标识，做到各排污口（源）的环保标志明显，便于企业管理和公众监督。在本项目的“三废”及噪声等污染排放点设置明显标志，规范排污口的标志，排放口图形标志见表5-2。</w:t>
            </w:r>
          </w:p>
          <w:p w14:paraId="5C86A3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表5-2</w:t>
            </w:r>
            <w:r>
              <w:rPr>
                <w:rFonts w:hint="default" w:ascii="Times New Roman" w:hAnsi="Times New Roman" w:eastAsia="宋体" w:cs="Times New Roman"/>
                <w:b/>
                <w:bCs/>
                <w:color w:val="auto"/>
                <w:sz w:val="21"/>
                <w:szCs w:val="21"/>
                <w:highlight w:val="none"/>
              </w:rPr>
              <w:t>排放口图形标志</w:t>
            </w:r>
            <w:r>
              <w:rPr>
                <w:rFonts w:hint="default" w:ascii="Times New Roman" w:hAnsi="Times New Roman" w:eastAsia="宋体" w:cs="Times New Roman"/>
                <w:b/>
                <w:bCs/>
                <w:color w:val="auto"/>
                <w:sz w:val="21"/>
                <w:szCs w:val="21"/>
                <w:highlight w:val="none"/>
                <w:lang w:val="en-US" w:eastAsia="zh-CN"/>
              </w:rPr>
              <w:t>一览表</w:t>
            </w:r>
          </w:p>
          <w:tbl>
            <w:tblPr>
              <w:tblStyle w:val="32"/>
              <w:tblW w:w="7478" w:type="dxa"/>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698"/>
              <w:gridCol w:w="1698"/>
              <w:gridCol w:w="1496"/>
              <w:gridCol w:w="1754"/>
            </w:tblGrid>
            <w:tr w14:paraId="798D6C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56" w:type="pct"/>
                  <w:tcBorders>
                    <w:tl2br w:val="nil"/>
                    <w:tr2bl w:val="nil"/>
                  </w:tcBorders>
                  <w:noWrap w:val="0"/>
                  <w:vAlign w:val="center"/>
                </w:tcPr>
                <w:p w14:paraId="6570F9B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排污口</w:t>
                  </w:r>
                </w:p>
              </w:tc>
              <w:tc>
                <w:tcPr>
                  <w:tcW w:w="1135" w:type="pct"/>
                  <w:tcBorders>
                    <w:tl2br w:val="nil"/>
                    <w:tr2bl w:val="nil"/>
                  </w:tcBorders>
                  <w:noWrap w:val="0"/>
                  <w:vAlign w:val="center"/>
                </w:tcPr>
                <w:p w14:paraId="78A4643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废水排放口</w:t>
                  </w:r>
                </w:p>
              </w:tc>
              <w:tc>
                <w:tcPr>
                  <w:tcW w:w="1135" w:type="pct"/>
                  <w:tcBorders>
                    <w:tl2br w:val="nil"/>
                    <w:tr2bl w:val="nil"/>
                  </w:tcBorders>
                  <w:noWrap w:val="0"/>
                  <w:vAlign w:val="center"/>
                </w:tcPr>
                <w:p w14:paraId="3B90470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废气排放口</w:t>
                  </w:r>
                </w:p>
              </w:tc>
              <w:tc>
                <w:tcPr>
                  <w:tcW w:w="1000" w:type="pct"/>
                  <w:tcBorders>
                    <w:tl2br w:val="nil"/>
                    <w:tr2bl w:val="nil"/>
                  </w:tcBorders>
                  <w:noWrap w:val="0"/>
                  <w:vAlign w:val="center"/>
                </w:tcPr>
                <w:p w14:paraId="54427F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噪声源</w:t>
                  </w:r>
                </w:p>
              </w:tc>
              <w:tc>
                <w:tcPr>
                  <w:tcW w:w="1172" w:type="pct"/>
                  <w:tcBorders>
                    <w:tl2br w:val="nil"/>
                    <w:tr2bl w:val="nil"/>
                  </w:tcBorders>
                  <w:noWrap w:val="0"/>
                  <w:vAlign w:val="center"/>
                </w:tcPr>
                <w:p w14:paraId="30E8F58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危废</w:t>
                  </w:r>
                  <w:r>
                    <w:rPr>
                      <w:rFonts w:hint="default" w:ascii="Times New Roman" w:hAnsi="Times New Roman" w:eastAsia="宋体" w:cs="Times New Roman"/>
                      <w:b/>
                      <w:bCs/>
                      <w:color w:val="auto"/>
                      <w:sz w:val="21"/>
                      <w:szCs w:val="21"/>
                      <w:highlight w:val="none"/>
                      <w:lang w:val="en-US" w:eastAsia="zh-CN"/>
                    </w:rPr>
                    <w:t>贮存点</w:t>
                  </w:r>
                </w:p>
              </w:tc>
            </w:tr>
            <w:tr w14:paraId="36E6AA4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556" w:type="pct"/>
                  <w:tcBorders>
                    <w:tl2br w:val="nil"/>
                    <w:tr2bl w:val="nil"/>
                  </w:tcBorders>
                  <w:noWrap w:val="0"/>
                  <w:vAlign w:val="center"/>
                </w:tcPr>
                <w:p w14:paraId="70F29CE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图形</w:t>
                  </w:r>
                </w:p>
                <w:p w14:paraId="7798872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符号</w:t>
                  </w:r>
                </w:p>
              </w:tc>
              <w:tc>
                <w:tcPr>
                  <w:tcW w:w="1135" w:type="pct"/>
                  <w:tcBorders>
                    <w:tl2br w:val="nil"/>
                    <w:tr2bl w:val="nil"/>
                  </w:tcBorders>
                  <w:noWrap w:val="0"/>
                  <w:vAlign w:val="center"/>
                </w:tcPr>
                <w:p w14:paraId="6369917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drawing>
                      <wp:inline distT="0" distB="0" distL="114300" distR="114300">
                        <wp:extent cx="830580" cy="830580"/>
                        <wp:effectExtent l="0" t="0" r="7620" b="7620"/>
                        <wp:docPr id="25"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63"/>
                                <pic:cNvPicPr>
                                  <a:picLocks noChangeAspect="1"/>
                                </pic:cNvPicPr>
                              </pic:nvPicPr>
                              <pic:blipFill>
                                <a:blip r:embed="rId44"/>
                                <a:stretch>
                                  <a:fillRect/>
                                </a:stretch>
                              </pic:blipFill>
                              <pic:spPr>
                                <a:xfrm>
                                  <a:off x="0" y="0"/>
                                  <a:ext cx="830580" cy="830580"/>
                                </a:xfrm>
                                <a:prstGeom prst="rect">
                                  <a:avLst/>
                                </a:prstGeom>
                                <a:noFill/>
                                <a:ln>
                                  <a:noFill/>
                                </a:ln>
                              </pic:spPr>
                            </pic:pic>
                          </a:graphicData>
                        </a:graphic>
                      </wp:inline>
                    </w:drawing>
                  </w:r>
                </w:p>
              </w:tc>
              <w:tc>
                <w:tcPr>
                  <w:tcW w:w="1135" w:type="pct"/>
                  <w:tcBorders>
                    <w:tl2br w:val="nil"/>
                    <w:tr2bl w:val="nil"/>
                  </w:tcBorders>
                  <w:noWrap w:val="0"/>
                  <w:vAlign w:val="center"/>
                </w:tcPr>
                <w:p w14:paraId="43EC003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drawing>
                      <wp:inline distT="0" distB="0" distL="114300" distR="114300">
                        <wp:extent cx="830580" cy="830580"/>
                        <wp:effectExtent l="0" t="0" r="7620" b="7620"/>
                        <wp:docPr id="2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
                                <pic:cNvPicPr>
                                  <a:picLocks noChangeAspect="1"/>
                                </pic:cNvPicPr>
                              </pic:nvPicPr>
                              <pic:blipFill>
                                <a:blip r:embed="rId45"/>
                                <a:stretch>
                                  <a:fillRect/>
                                </a:stretch>
                              </pic:blipFill>
                              <pic:spPr>
                                <a:xfrm>
                                  <a:off x="0" y="0"/>
                                  <a:ext cx="830580" cy="830580"/>
                                </a:xfrm>
                                <a:prstGeom prst="rect">
                                  <a:avLst/>
                                </a:prstGeom>
                                <a:noFill/>
                                <a:ln>
                                  <a:noFill/>
                                </a:ln>
                              </pic:spPr>
                            </pic:pic>
                          </a:graphicData>
                        </a:graphic>
                      </wp:inline>
                    </w:drawing>
                  </w:r>
                </w:p>
              </w:tc>
              <w:tc>
                <w:tcPr>
                  <w:tcW w:w="1000" w:type="pct"/>
                  <w:tcBorders>
                    <w:tl2br w:val="nil"/>
                    <w:tr2bl w:val="nil"/>
                  </w:tcBorders>
                  <w:noWrap w:val="0"/>
                  <w:vAlign w:val="center"/>
                </w:tcPr>
                <w:p w14:paraId="43C86C0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drawing>
                      <wp:inline distT="0" distB="0" distL="114300" distR="114300">
                        <wp:extent cx="803275" cy="803275"/>
                        <wp:effectExtent l="0" t="0" r="15875" b="15875"/>
                        <wp:docPr id="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pic:cNvPicPr>
                                  <a:picLocks noChangeAspect="1"/>
                                </pic:cNvPicPr>
                              </pic:nvPicPr>
                              <pic:blipFill>
                                <a:blip r:embed="rId46"/>
                                <a:stretch>
                                  <a:fillRect/>
                                </a:stretch>
                              </pic:blipFill>
                              <pic:spPr>
                                <a:xfrm>
                                  <a:off x="0" y="0"/>
                                  <a:ext cx="803275" cy="803275"/>
                                </a:xfrm>
                                <a:prstGeom prst="rect">
                                  <a:avLst/>
                                </a:prstGeom>
                                <a:noFill/>
                                <a:ln>
                                  <a:noFill/>
                                </a:ln>
                              </pic:spPr>
                            </pic:pic>
                          </a:graphicData>
                        </a:graphic>
                      </wp:inline>
                    </w:drawing>
                  </w:r>
                </w:p>
              </w:tc>
              <w:tc>
                <w:tcPr>
                  <w:tcW w:w="1172" w:type="pct"/>
                  <w:tcBorders>
                    <w:tl2br w:val="nil"/>
                    <w:tr2bl w:val="nil"/>
                  </w:tcBorders>
                  <w:noWrap w:val="0"/>
                  <w:vAlign w:val="center"/>
                </w:tcPr>
                <w:p w14:paraId="62A4B3F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drawing>
                      <wp:inline distT="0" distB="0" distL="114300" distR="114300">
                        <wp:extent cx="846455" cy="1069340"/>
                        <wp:effectExtent l="0" t="0" r="10795" b="16510"/>
                        <wp:docPr id="2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6"/>
                                <pic:cNvPicPr>
                                  <a:picLocks noChangeAspect="1"/>
                                </pic:cNvPicPr>
                              </pic:nvPicPr>
                              <pic:blipFill>
                                <a:blip r:embed="rId47"/>
                                <a:stretch>
                                  <a:fillRect/>
                                </a:stretch>
                              </pic:blipFill>
                              <pic:spPr>
                                <a:xfrm>
                                  <a:off x="0" y="0"/>
                                  <a:ext cx="846455" cy="1069340"/>
                                </a:xfrm>
                                <a:prstGeom prst="rect">
                                  <a:avLst/>
                                </a:prstGeom>
                                <a:noFill/>
                                <a:ln>
                                  <a:noFill/>
                                </a:ln>
                              </pic:spPr>
                            </pic:pic>
                          </a:graphicData>
                        </a:graphic>
                      </wp:inline>
                    </w:drawing>
                  </w:r>
                </w:p>
              </w:tc>
            </w:tr>
          </w:tbl>
          <w:p w14:paraId="2462ED7A">
            <w:pPr>
              <w:keepNext w:val="0"/>
              <w:keepLines w:val="0"/>
              <w:pageBreakBefore w:val="0"/>
              <w:widowControl w:val="0"/>
              <w:kinsoku/>
              <w:wordWrap/>
              <w:overflowPunct/>
              <w:topLinePunct w:val="0"/>
              <w:autoSpaceDE w:val="0"/>
              <w:autoSpaceDN w:val="0"/>
              <w:bidi w:val="0"/>
              <w:adjustRightInd/>
              <w:snapToGrid/>
              <w:spacing w:line="360" w:lineRule="auto"/>
              <w:ind w:right="0" w:rightChars="0" w:firstLine="480" w:firstLineChars="200"/>
              <w:textAlignment w:val="baseline"/>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w:t>
            </w:r>
            <w:r>
              <w:rPr>
                <w:rFonts w:hint="default" w:ascii="Times New Roman" w:hAnsi="Times New Roman" w:cs="Times New Roman"/>
                <w:color w:val="auto"/>
                <w:kern w:val="0"/>
                <w:sz w:val="24"/>
                <w:szCs w:val="24"/>
                <w:lang w:val="en-US" w:eastAsia="zh-CN"/>
              </w:rPr>
              <w:t>4</w:t>
            </w:r>
            <w:r>
              <w:rPr>
                <w:rFonts w:hint="default" w:ascii="Times New Roman" w:hAnsi="Times New Roman" w:eastAsia="宋体" w:cs="Times New Roman"/>
                <w:color w:val="auto"/>
                <w:kern w:val="0"/>
                <w:sz w:val="24"/>
                <w:szCs w:val="24"/>
                <w:lang w:val="en-US" w:eastAsia="zh-CN"/>
              </w:rPr>
              <w:t>）建设项目竣工环境保护设施验收</w:t>
            </w:r>
          </w:p>
          <w:p w14:paraId="0908222C">
            <w:pPr>
              <w:keepNext w:val="0"/>
              <w:keepLines w:val="0"/>
              <w:pageBreakBefore w:val="0"/>
              <w:widowControl w:val="0"/>
              <w:kinsoku/>
              <w:wordWrap/>
              <w:overflowPunct/>
              <w:topLinePunct w:val="0"/>
              <w:autoSpaceDE w:val="0"/>
              <w:autoSpaceDN w:val="0"/>
              <w:bidi w:val="0"/>
              <w:adjustRightInd/>
              <w:snapToGrid/>
              <w:spacing w:line="360" w:lineRule="auto"/>
              <w:ind w:left="0" w:leftChars="0" w:right="0" w:rightChars="0" w:firstLine="480" w:firstLineChars="200"/>
              <w:textAlignment w:val="baseline"/>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按照《建设项目竣工环境保护验收暂行办法》（国环规环评〔2017〕4号）文件规定，建设单位应在设计、施工、运行中严格执行环境保护措施“三同时”制度，并在建设项目竣工后开展自主竣工环境保护验收工作。本项目应对配套建设的环境保护设施进行自主验收，开展竣工验收监测，编制验收报告，并向社会公开。</w:t>
            </w:r>
          </w:p>
        </w:tc>
      </w:tr>
    </w:tbl>
    <w:p w14:paraId="49575E4C">
      <w:pPr>
        <w:pStyle w:val="28"/>
        <w:keepNext w:val="0"/>
        <w:keepLines w:val="0"/>
        <w:pageBreakBefore w:val="0"/>
        <w:kinsoku/>
        <w:wordWrap/>
        <w:bidi w:val="0"/>
        <w:adjustRightInd/>
        <w:snapToGrid/>
        <w:jc w:val="center"/>
        <w:outlineLvl w:val="0"/>
        <w:rPr>
          <w:rFonts w:hint="default" w:ascii="Times New Roman" w:hAnsi="Times New Roman" w:eastAsia="宋体" w:cs="Times New Roman"/>
          <w:b/>
          <w:bCs/>
          <w:snapToGrid w:val="0"/>
          <w:color w:val="auto"/>
          <w:sz w:val="30"/>
          <w:szCs w:val="30"/>
        </w:rPr>
      </w:pPr>
      <w:r>
        <w:rPr>
          <w:rFonts w:hint="default" w:ascii="Times New Roman" w:hAnsi="Times New Roman" w:eastAsia="宋体" w:cs="Times New Roman"/>
          <w:snapToGrid w:val="0"/>
          <w:color w:val="auto"/>
        </w:rPr>
        <w:br w:type="page"/>
      </w:r>
      <w:bookmarkStart w:id="49" w:name="_Toc21685"/>
      <w:r>
        <w:rPr>
          <w:rFonts w:hint="default" w:ascii="Times New Roman" w:hAnsi="Times New Roman" w:eastAsia="黑体" w:cs="Times New Roman"/>
          <w:snapToGrid w:val="0"/>
          <w:color w:val="auto"/>
          <w:sz w:val="30"/>
          <w:szCs w:val="30"/>
        </w:rPr>
        <w:t>六、结论</w:t>
      </w:r>
      <w:bookmarkEnd w:id="49"/>
    </w:p>
    <w:tbl>
      <w:tblPr>
        <w:tblStyle w:val="32"/>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57" w:type="dxa"/>
          <w:left w:w="57" w:type="dxa"/>
          <w:bottom w:w="57" w:type="dxa"/>
          <w:right w:w="57" w:type="dxa"/>
        </w:tblCellMar>
      </w:tblPr>
      <w:tblGrid>
        <w:gridCol w:w="8865"/>
      </w:tblGrid>
      <w:tr w14:paraId="2A76BC4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57" w:type="dxa"/>
            <w:left w:w="57" w:type="dxa"/>
            <w:bottom w:w="57" w:type="dxa"/>
            <w:right w:w="57" w:type="dxa"/>
          </w:tblCellMar>
        </w:tblPrEx>
        <w:trPr>
          <w:trHeight w:val="11991" w:hRule="atLeast"/>
          <w:jc w:val="center"/>
        </w:trPr>
        <w:tc>
          <w:tcPr>
            <w:tcW w:w="8865" w:type="dxa"/>
            <w:noWrap w:val="0"/>
            <w:vAlign w:val="top"/>
          </w:tcPr>
          <w:p w14:paraId="4429C2F3">
            <w:pPr>
              <w:keepNext w:val="0"/>
              <w:keepLines w:val="0"/>
              <w:pageBreakBefore w:val="0"/>
              <w:widowControl w:val="0"/>
              <w:kinsoku/>
              <w:wordWrap/>
              <w:overflowPunct/>
              <w:topLinePunct w:val="0"/>
              <w:autoSpaceDE/>
              <w:autoSpaceDN/>
              <w:bidi w:val="0"/>
              <w:adjustRightInd/>
              <w:snapToGrid/>
              <w:spacing w:before="157" w:beforeLines="50" w:line="360" w:lineRule="auto"/>
              <w:ind w:firstLine="480" w:firstLineChars="20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本项目具有较明显的社会</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经济效益，建设项目建成后对促进本地区经济发展有一定促进作用。建设单位在严格执行环境保护“三同时制度”、对各项污染防治措施逐项予以落实</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并加强生产和污染治理设施的运行管理、保证各种污染物达标排放的前提下，本项目对周围环境质量影响较小，</w:t>
            </w:r>
            <w:r>
              <w:rPr>
                <w:rFonts w:hint="default" w:ascii="Times New Roman" w:hAnsi="Times New Roman" w:eastAsia="宋体" w:cs="Times New Roman"/>
                <w:color w:val="auto"/>
                <w:sz w:val="24"/>
                <w:szCs w:val="24"/>
                <w:lang w:eastAsia="zh-CN"/>
              </w:rPr>
              <w:t>本项目</w:t>
            </w:r>
            <w:r>
              <w:rPr>
                <w:rFonts w:hint="default" w:ascii="Times New Roman" w:hAnsi="Times New Roman" w:eastAsia="宋体" w:cs="Times New Roman"/>
                <w:color w:val="auto"/>
                <w:sz w:val="24"/>
                <w:szCs w:val="24"/>
              </w:rPr>
              <w:t>符合国家、地方的环保标准，</w:t>
            </w:r>
            <w:r>
              <w:rPr>
                <w:rFonts w:hint="default" w:ascii="Times New Roman" w:hAnsi="Times New Roman" w:eastAsia="宋体" w:cs="Times New Roman"/>
                <w:snapToGrid w:val="0"/>
                <w:color w:val="auto"/>
                <w:sz w:val="24"/>
                <w:szCs w:val="24"/>
              </w:rPr>
              <w:t>从环境保护的角度来看，</w:t>
            </w:r>
            <w:r>
              <w:rPr>
                <w:rFonts w:hint="default" w:ascii="Times New Roman" w:hAnsi="Times New Roman" w:eastAsia="宋体" w:cs="Times New Roman"/>
                <w:snapToGrid w:val="0"/>
                <w:color w:val="auto"/>
                <w:sz w:val="24"/>
                <w:szCs w:val="24"/>
                <w:lang w:val="en-US" w:eastAsia="zh-CN"/>
              </w:rPr>
              <w:t>本</w:t>
            </w:r>
            <w:r>
              <w:rPr>
                <w:rFonts w:hint="default" w:ascii="Times New Roman" w:hAnsi="Times New Roman" w:eastAsia="宋体" w:cs="Times New Roman"/>
                <w:snapToGrid w:val="0"/>
                <w:color w:val="auto"/>
                <w:sz w:val="24"/>
                <w:szCs w:val="24"/>
              </w:rPr>
              <w:t>项目的建</w:t>
            </w:r>
            <w:r>
              <w:rPr>
                <w:rFonts w:hint="default" w:ascii="Times New Roman" w:hAnsi="Times New Roman" w:eastAsia="宋体" w:cs="Times New Roman"/>
                <w:snapToGrid w:val="0"/>
                <w:color w:val="auto"/>
                <w:sz w:val="24"/>
                <w:szCs w:val="24"/>
                <w:lang w:eastAsia="zh-CN"/>
              </w:rPr>
              <w:t>设是</w:t>
            </w:r>
            <w:r>
              <w:rPr>
                <w:rFonts w:hint="default" w:ascii="Times New Roman" w:hAnsi="Times New Roman" w:eastAsia="宋体" w:cs="Times New Roman"/>
                <w:snapToGrid w:val="0"/>
                <w:color w:val="auto"/>
                <w:sz w:val="24"/>
                <w:szCs w:val="24"/>
              </w:rPr>
              <w:t>可行的。</w:t>
            </w:r>
          </w:p>
        </w:tc>
      </w:tr>
    </w:tbl>
    <w:p w14:paraId="1857D52F">
      <w:pPr>
        <w:keepNext w:val="0"/>
        <w:keepLines w:val="0"/>
        <w:pageBreakBefore w:val="0"/>
        <w:kinsoku/>
        <w:wordWrap/>
        <w:bidi w:val="0"/>
        <w:adjustRightInd/>
        <w:snapToGrid/>
        <w:rPr>
          <w:rFonts w:hint="default" w:ascii="Times New Roman" w:hAnsi="Times New Roman" w:eastAsia="仿宋_GB2312" w:cs="Times New Roman"/>
          <w:color w:val="auto"/>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4F2D48FE">
      <w:pPr>
        <w:pStyle w:val="28"/>
        <w:keepNext w:val="0"/>
        <w:keepLines w:val="0"/>
        <w:pageBreakBefore w:val="0"/>
        <w:widowControl/>
        <w:kinsoku/>
        <w:wordWrap/>
        <w:overflowPunct/>
        <w:topLinePunct w:val="0"/>
        <w:autoSpaceDE/>
        <w:autoSpaceDN/>
        <w:bidi w:val="0"/>
        <w:adjustRightInd w:val="0"/>
        <w:snapToGrid w:val="0"/>
        <w:spacing w:before="0" w:beforeAutospacing="0" w:after="0" w:afterAutospacing="0" w:line="360" w:lineRule="auto"/>
        <w:textAlignment w:val="auto"/>
        <w:outlineLvl w:val="0"/>
        <w:rPr>
          <w:rFonts w:hint="default" w:ascii="Times New Roman" w:hAnsi="Times New Roman" w:eastAsia="黑体" w:cs="Times New Roman"/>
          <w:snapToGrid w:val="0"/>
          <w:color w:val="auto"/>
          <w:sz w:val="28"/>
          <w:szCs w:val="28"/>
        </w:rPr>
      </w:pPr>
      <w:bookmarkStart w:id="50" w:name="_Toc17888"/>
      <w:r>
        <w:rPr>
          <w:rFonts w:hint="default" w:ascii="Times New Roman" w:hAnsi="Times New Roman" w:eastAsia="黑体" w:cs="Times New Roman"/>
          <w:snapToGrid w:val="0"/>
          <w:color w:val="auto"/>
          <w:sz w:val="28"/>
          <w:szCs w:val="28"/>
        </w:rPr>
        <w:t>附表</w:t>
      </w:r>
      <w:bookmarkEnd w:id="50"/>
    </w:p>
    <w:p w14:paraId="505896D9">
      <w:pPr>
        <w:pStyle w:val="28"/>
        <w:adjustRightInd w:val="0"/>
        <w:snapToGrid w:val="0"/>
        <w:spacing w:before="0" w:beforeAutospacing="0" w:after="0" w:afterAutospacing="0"/>
        <w:jc w:val="center"/>
        <w:outlineLvl w:val="0"/>
        <w:rPr>
          <w:rFonts w:hint="default" w:ascii="Times New Roman" w:hAnsi="Times New Roman" w:eastAsia="宋体" w:cs="Times New Roman"/>
          <w:b/>
          <w:bCs/>
          <w:snapToGrid w:val="0"/>
          <w:color w:val="auto"/>
          <w:sz w:val="28"/>
          <w:szCs w:val="28"/>
        </w:rPr>
      </w:pPr>
      <w:bookmarkStart w:id="51" w:name="_Toc4279"/>
      <w:r>
        <w:rPr>
          <w:rFonts w:hint="default" w:ascii="Times New Roman" w:hAnsi="Times New Roman" w:eastAsia="宋体" w:cs="Times New Roman"/>
          <w:b/>
          <w:bCs/>
          <w:snapToGrid w:val="0"/>
          <w:color w:val="auto"/>
          <w:sz w:val="28"/>
          <w:szCs w:val="28"/>
        </w:rPr>
        <w:t>建设项目污染物排放量汇总表</w:t>
      </w:r>
      <w:bookmarkEnd w:id="51"/>
    </w:p>
    <w:p w14:paraId="771EFEC2">
      <w:pPr>
        <w:bidi w:val="0"/>
        <w:rPr>
          <w:rFonts w:hint="default" w:ascii="Times New Roman" w:hAnsi="Times New Roman" w:cs="Times New Roman"/>
          <w:color w:val="auto"/>
        </w:rPr>
      </w:pPr>
    </w:p>
    <w:tbl>
      <w:tblPr>
        <w:tblStyle w:val="32"/>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24"/>
        <w:gridCol w:w="2282"/>
        <w:gridCol w:w="1896"/>
        <w:gridCol w:w="1415"/>
        <w:gridCol w:w="1415"/>
        <w:gridCol w:w="1505"/>
        <w:gridCol w:w="1837"/>
        <w:gridCol w:w="1576"/>
        <w:gridCol w:w="918"/>
      </w:tblGrid>
      <w:tr w14:paraId="3BBFA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368DC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项目分类</w:t>
            </w:r>
          </w:p>
        </w:tc>
        <w:tc>
          <w:tcPr>
            <w:tcW w:w="8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848CF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污染物名称</w:t>
            </w:r>
          </w:p>
        </w:tc>
        <w:tc>
          <w:tcPr>
            <w:tcW w:w="669" w:type="pct"/>
            <w:vMerge w:val="restart"/>
            <w:tcBorders>
              <w:top w:val="single" w:color="000000" w:sz="4" w:space="0"/>
              <w:left w:val="single" w:color="000000" w:sz="4" w:space="0"/>
              <w:right w:val="single" w:color="000000" w:sz="4" w:space="0"/>
            </w:tcBorders>
            <w:shd w:val="clear" w:color="auto" w:fill="auto"/>
            <w:vAlign w:val="center"/>
          </w:tcPr>
          <w:p w14:paraId="7BDEE13E">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现有工程</w:t>
            </w:r>
          </w:p>
          <w:p w14:paraId="7D2387A8">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排放量（固体废物产生量）①t/a</w:t>
            </w:r>
          </w:p>
        </w:tc>
        <w:tc>
          <w:tcPr>
            <w:tcW w:w="499" w:type="pct"/>
            <w:vMerge w:val="restart"/>
            <w:tcBorders>
              <w:top w:val="single" w:color="000000" w:sz="4" w:space="0"/>
              <w:left w:val="single" w:color="000000" w:sz="4" w:space="0"/>
              <w:right w:val="single" w:color="000000" w:sz="4" w:space="0"/>
            </w:tcBorders>
            <w:shd w:val="clear" w:color="auto" w:fill="auto"/>
            <w:vAlign w:val="center"/>
          </w:tcPr>
          <w:p w14:paraId="308DD59D">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现有工程</w:t>
            </w:r>
          </w:p>
          <w:p w14:paraId="199E10F9">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许可排放量②t/a</w:t>
            </w:r>
          </w:p>
        </w:tc>
        <w:tc>
          <w:tcPr>
            <w:tcW w:w="499" w:type="pct"/>
            <w:vMerge w:val="restart"/>
            <w:tcBorders>
              <w:top w:val="single" w:color="000000" w:sz="4" w:space="0"/>
              <w:left w:val="single" w:color="000000" w:sz="4" w:space="0"/>
              <w:right w:val="single" w:color="000000" w:sz="4" w:space="0"/>
            </w:tcBorders>
            <w:shd w:val="clear" w:color="auto" w:fill="auto"/>
            <w:vAlign w:val="center"/>
          </w:tcPr>
          <w:p w14:paraId="6197B91F">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在建工程</w:t>
            </w:r>
          </w:p>
          <w:p w14:paraId="2A30DB4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排放量（固体废物产生量）③t/a</w:t>
            </w:r>
          </w:p>
        </w:tc>
        <w:tc>
          <w:tcPr>
            <w:tcW w:w="531" w:type="pct"/>
            <w:vMerge w:val="restart"/>
            <w:tcBorders>
              <w:top w:val="single" w:color="000000" w:sz="4" w:space="0"/>
              <w:left w:val="single" w:color="000000" w:sz="4" w:space="0"/>
              <w:right w:val="single" w:color="000000" w:sz="4" w:space="0"/>
            </w:tcBorders>
            <w:shd w:val="clear" w:color="auto" w:fill="auto"/>
            <w:vAlign w:val="center"/>
          </w:tcPr>
          <w:p w14:paraId="5948B779">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本项目</w:t>
            </w:r>
          </w:p>
          <w:p w14:paraId="01F598B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排放量（固体废物产生量）④t/a</w:t>
            </w:r>
          </w:p>
        </w:tc>
        <w:tc>
          <w:tcPr>
            <w:tcW w:w="648" w:type="pct"/>
            <w:vMerge w:val="restart"/>
            <w:tcBorders>
              <w:top w:val="single" w:color="000000" w:sz="4" w:space="0"/>
              <w:left w:val="single" w:color="000000" w:sz="4" w:space="0"/>
              <w:right w:val="single" w:color="000000" w:sz="4" w:space="0"/>
            </w:tcBorders>
            <w:shd w:val="clear" w:color="auto" w:fill="auto"/>
            <w:vAlign w:val="center"/>
          </w:tcPr>
          <w:p w14:paraId="7D847BE7">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以新带老削减量</w:t>
            </w:r>
          </w:p>
          <w:p w14:paraId="7D9AC9D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（新建项目不填）⑤t/a</w:t>
            </w:r>
          </w:p>
        </w:tc>
        <w:tc>
          <w:tcPr>
            <w:tcW w:w="556" w:type="pct"/>
            <w:vMerge w:val="restart"/>
            <w:tcBorders>
              <w:top w:val="single" w:color="000000" w:sz="4" w:space="0"/>
              <w:left w:val="single" w:color="000000" w:sz="4" w:space="0"/>
              <w:right w:val="single" w:color="000000" w:sz="4" w:space="0"/>
            </w:tcBorders>
            <w:shd w:val="clear" w:color="auto" w:fill="auto"/>
            <w:vAlign w:val="center"/>
          </w:tcPr>
          <w:p w14:paraId="59E83E7D">
            <w:pPr>
              <w:keepNext w:val="0"/>
              <w:keepLines w:val="0"/>
              <w:widowControl/>
              <w:suppressLineNumbers w:val="0"/>
              <w:jc w:val="center"/>
              <w:textAlignment w:val="center"/>
              <w:rPr>
                <w:rFonts w:hint="default" w:ascii="Times New Roman" w:hAnsi="Times New Roman" w:eastAsia="宋体" w:cs="Times New Roman"/>
                <w:b/>
                <w:bCs/>
                <w:i w:val="0"/>
                <w:iCs w:val="0"/>
                <w:color w:val="auto"/>
                <w:kern w:val="0"/>
                <w:sz w:val="21"/>
                <w:szCs w:val="21"/>
                <w:u w:val="none"/>
                <w:lang w:val="en-US" w:eastAsia="zh-CN" w:bidi="ar"/>
              </w:rPr>
            </w:pPr>
            <w:r>
              <w:rPr>
                <w:rFonts w:hint="default" w:ascii="Times New Roman" w:hAnsi="Times New Roman" w:eastAsia="宋体" w:cs="Times New Roman"/>
                <w:b/>
                <w:bCs/>
                <w:i w:val="0"/>
                <w:iCs w:val="0"/>
                <w:color w:val="auto"/>
                <w:kern w:val="0"/>
                <w:sz w:val="21"/>
                <w:szCs w:val="21"/>
                <w:u w:val="none"/>
                <w:lang w:val="en-US" w:eastAsia="zh-CN" w:bidi="ar"/>
              </w:rPr>
              <w:t>本项目建成后</w:t>
            </w:r>
          </w:p>
          <w:p w14:paraId="54D1319B">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全厂排放量（固体废物产生量）⑥t/a</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A1895">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变化量</w:t>
            </w:r>
          </w:p>
        </w:tc>
      </w:tr>
      <w:tr w14:paraId="6A0F6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5BE0A">
            <w:pPr>
              <w:jc w:val="center"/>
              <w:rPr>
                <w:rFonts w:hint="default" w:ascii="Times New Roman" w:hAnsi="Times New Roman" w:eastAsia="宋体" w:cs="Times New Roman"/>
                <w:b/>
                <w:bCs/>
                <w:i w:val="0"/>
                <w:iCs w:val="0"/>
                <w:color w:val="auto"/>
                <w:sz w:val="21"/>
                <w:szCs w:val="21"/>
                <w:u w:val="none"/>
              </w:rPr>
            </w:pPr>
          </w:p>
        </w:tc>
        <w:tc>
          <w:tcPr>
            <w:tcW w:w="8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305AC">
            <w:pPr>
              <w:jc w:val="center"/>
              <w:rPr>
                <w:rFonts w:hint="default" w:ascii="Times New Roman" w:hAnsi="Times New Roman" w:eastAsia="宋体" w:cs="Times New Roman"/>
                <w:b/>
                <w:bCs/>
                <w:i w:val="0"/>
                <w:iCs w:val="0"/>
                <w:color w:val="auto"/>
                <w:sz w:val="21"/>
                <w:szCs w:val="21"/>
                <w:u w:val="none"/>
              </w:rPr>
            </w:pPr>
          </w:p>
        </w:tc>
        <w:tc>
          <w:tcPr>
            <w:tcW w:w="669" w:type="pct"/>
            <w:vMerge w:val="continue"/>
            <w:tcBorders>
              <w:left w:val="single" w:color="000000" w:sz="4" w:space="0"/>
              <w:bottom w:val="single" w:color="000000" w:sz="4" w:space="0"/>
              <w:right w:val="single" w:color="000000" w:sz="4" w:space="0"/>
            </w:tcBorders>
            <w:shd w:val="clear" w:color="auto" w:fill="auto"/>
            <w:vAlign w:val="center"/>
          </w:tcPr>
          <w:p w14:paraId="1E42E6A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p>
        </w:tc>
        <w:tc>
          <w:tcPr>
            <w:tcW w:w="499" w:type="pct"/>
            <w:vMerge w:val="continue"/>
            <w:tcBorders>
              <w:left w:val="single" w:color="000000" w:sz="4" w:space="0"/>
              <w:bottom w:val="single" w:color="000000" w:sz="4" w:space="0"/>
              <w:right w:val="single" w:color="000000" w:sz="4" w:space="0"/>
            </w:tcBorders>
            <w:shd w:val="clear" w:color="auto" w:fill="auto"/>
            <w:vAlign w:val="center"/>
          </w:tcPr>
          <w:p w14:paraId="3137CD1E">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p>
        </w:tc>
        <w:tc>
          <w:tcPr>
            <w:tcW w:w="499" w:type="pct"/>
            <w:vMerge w:val="continue"/>
            <w:tcBorders>
              <w:left w:val="single" w:color="000000" w:sz="4" w:space="0"/>
              <w:bottom w:val="single" w:color="000000" w:sz="4" w:space="0"/>
              <w:right w:val="single" w:color="000000" w:sz="4" w:space="0"/>
            </w:tcBorders>
            <w:shd w:val="clear" w:color="auto" w:fill="auto"/>
            <w:vAlign w:val="center"/>
          </w:tcPr>
          <w:p w14:paraId="10898FF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p>
        </w:tc>
        <w:tc>
          <w:tcPr>
            <w:tcW w:w="531" w:type="pct"/>
            <w:vMerge w:val="continue"/>
            <w:tcBorders>
              <w:left w:val="single" w:color="000000" w:sz="4" w:space="0"/>
              <w:bottom w:val="single" w:color="000000" w:sz="4" w:space="0"/>
              <w:right w:val="single" w:color="000000" w:sz="4" w:space="0"/>
            </w:tcBorders>
            <w:shd w:val="clear" w:color="auto" w:fill="auto"/>
            <w:vAlign w:val="center"/>
          </w:tcPr>
          <w:p w14:paraId="50EA8FB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p>
        </w:tc>
        <w:tc>
          <w:tcPr>
            <w:tcW w:w="648" w:type="pct"/>
            <w:vMerge w:val="continue"/>
            <w:tcBorders>
              <w:left w:val="single" w:color="000000" w:sz="4" w:space="0"/>
              <w:bottom w:val="single" w:color="000000" w:sz="4" w:space="0"/>
              <w:right w:val="single" w:color="000000" w:sz="4" w:space="0"/>
            </w:tcBorders>
            <w:shd w:val="clear" w:color="auto" w:fill="auto"/>
            <w:vAlign w:val="center"/>
          </w:tcPr>
          <w:p w14:paraId="6BE94FD0">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p>
        </w:tc>
        <w:tc>
          <w:tcPr>
            <w:tcW w:w="556" w:type="pct"/>
            <w:vMerge w:val="continue"/>
            <w:tcBorders>
              <w:left w:val="single" w:color="000000" w:sz="4" w:space="0"/>
              <w:bottom w:val="single" w:color="000000" w:sz="4" w:space="0"/>
              <w:right w:val="single" w:color="000000" w:sz="4" w:space="0"/>
            </w:tcBorders>
            <w:shd w:val="clear" w:color="auto" w:fill="auto"/>
            <w:vAlign w:val="center"/>
          </w:tcPr>
          <w:p w14:paraId="3E2E00DC">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61613">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⑦t/a</w:t>
            </w:r>
          </w:p>
        </w:tc>
      </w:tr>
      <w:tr w14:paraId="6071B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AEF7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废气</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4AC9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颗粒物</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A6AE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BC17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5884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6684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3.555</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16BB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B3AE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3.555</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29D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0FA0C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B1FC6">
            <w:pPr>
              <w:jc w:val="center"/>
              <w:rPr>
                <w:rFonts w:hint="default" w:ascii="Times New Roman" w:hAnsi="Times New Roman" w:eastAsia="宋体" w:cs="Times New Roman"/>
                <w:i w:val="0"/>
                <w:iCs w:val="0"/>
                <w:color w:val="auto"/>
                <w:sz w:val="21"/>
                <w:szCs w:val="21"/>
                <w:u w:val="none"/>
              </w:rPr>
            </w:pP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B6E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氮氧化物</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899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C322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AD66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FB02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77.876</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116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9212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77.876</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184D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61117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 w:hRule="atLeast"/>
        </w:trPr>
        <w:tc>
          <w:tcPr>
            <w:tcW w:w="4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7716E">
            <w:pPr>
              <w:jc w:val="center"/>
              <w:rPr>
                <w:rFonts w:hint="default" w:ascii="Times New Roman" w:hAnsi="Times New Roman" w:eastAsia="宋体" w:cs="Times New Roman"/>
                <w:i w:val="0"/>
                <w:iCs w:val="0"/>
                <w:color w:val="auto"/>
                <w:sz w:val="21"/>
                <w:szCs w:val="21"/>
                <w:u w:val="none"/>
              </w:rPr>
            </w:pP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C12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二氧化硫</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E0D9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8C25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CE4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394F8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33.238</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B754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1B8A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33.238</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65C7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4981A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459CE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废水</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50E2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化学需氧量</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8B21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74A6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C41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03A6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42EC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395A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0.07</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535D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17305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4C78D">
            <w:pPr>
              <w:jc w:val="center"/>
              <w:rPr>
                <w:rFonts w:hint="default" w:ascii="Times New Roman" w:hAnsi="Times New Roman" w:eastAsia="宋体" w:cs="Times New Roman"/>
                <w:i w:val="0"/>
                <w:iCs w:val="0"/>
                <w:color w:val="auto"/>
                <w:sz w:val="21"/>
                <w:szCs w:val="21"/>
                <w:u w:val="none"/>
              </w:rPr>
            </w:pP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E30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氨氮</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EF09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F394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8B4C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C463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0.009</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36C78">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DFCA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0.009</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7E6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504D8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F89554">
            <w:pPr>
              <w:jc w:val="center"/>
              <w:rPr>
                <w:rFonts w:hint="default" w:ascii="Times New Roman" w:hAnsi="Times New Roman" w:eastAsia="宋体" w:cs="Times New Roman"/>
                <w:i w:val="0"/>
                <w:iCs w:val="0"/>
                <w:color w:val="auto"/>
                <w:sz w:val="21"/>
                <w:szCs w:val="21"/>
                <w:u w:val="none"/>
              </w:rPr>
            </w:pP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EFB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悬浮物</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38D4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F9F6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E5FF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4F49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0.031</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1EE8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E595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0.031</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B356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4933F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2CBF9">
            <w:pPr>
              <w:jc w:val="center"/>
              <w:rPr>
                <w:rFonts w:hint="default" w:ascii="Times New Roman" w:hAnsi="Times New Roman" w:eastAsia="宋体" w:cs="Times New Roman"/>
                <w:i w:val="0"/>
                <w:iCs w:val="0"/>
                <w:color w:val="auto"/>
                <w:sz w:val="21"/>
                <w:szCs w:val="21"/>
                <w:u w:val="none"/>
              </w:rPr>
            </w:pP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88BF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五日生化需氧量</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16A8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D26B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A2FB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C1F4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0.061</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F286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AFF2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0.061</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C384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4DCD3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CFB8C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一般工业固废</w:t>
            </w:r>
          </w:p>
        </w:tc>
        <w:tc>
          <w:tcPr>
            <w:tcW w:w="8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F520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脱硫石膏</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5BC2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A36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3279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9FCD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1698.42</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4B00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412F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1698.42</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45847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16286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AF3A0">
            <w:pPr>
              <w:jc w:val="center"/>
              <w:rPr>
                <w:rFonts w:hint="default" w:ascii="Times New Roman" w:hAnsi="Times New Roman" w:eastAsia="宋体" w:cs="Times New Roman"/>
                <w:i w:val="0"/>
                <w:iCs w:val="0"/>
                <w:color w:val="auto"/>
                <w:sz w:val="21"/>
                <w:szCs w:val="21"/>
                <w:u w:val="none"/>
              </w:rPr>
            </w:pP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0E6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废滤膜</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06B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5A13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DD2E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469A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2个/a</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B318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25F4B">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2个/a</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102A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346BE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C305A">
            <w:pPr>
              <w:jc w:val="center"/>
              <w:rPr>
                <w:rFonts w:hint="default" w:ascii="Times New Roman" w:hAnsi="Times New Roman" w:eastAsia="宋体" w:cs="Times New Roman"/>
                <w:i w:val="0"/>
                <w:iCs w:val="0"/>
                <w:color w:val="auto"/>
                <w:sz w:val="21"/>
                <w:szCs w:val="21"/>
                <w:u w:val="none"/>
              </w:rPr>
            </w:pP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417D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过滤废物</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BCD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6FB5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BFA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9BA9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AE28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4BA0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5C8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55666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4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F8AA7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危险废物</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367A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废机油</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78DD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451D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CA1D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07CF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E70E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1C87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1DD9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34FFD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F626D">
            <w:pPr>
              <w:jc w:val="center"/>
              <w:rPr>
                <w:rFonts w:hint="default" w:ascii="Times New Roman" w:hAnsi="Times New Roman" w:eastAsia="宋体" w:cs="Times New Roman"/>
                <w:i w:val="0"/>
                <w:iCs w:val="0"/>
                <w:color w:val="auto"/>
                <w:sz w:val="21"/>
                <w:szCs w:val="21"/>
                <w:u w:val="none"/>
              </w:rPr>
            </w:pP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AB32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废催化剂</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E857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54B8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687D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7160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62.300</w:t>
            </w:r>
            <w:r>
              <w:rPr>
                <w:rFonts w:hint="default" w:ascii="Times New Roman" w:hAnsi="Times New Roman" w:eastAsia="宋体" w:cs="Times New Roman"/>
                <w:i w:val="0"/>
                <w:iCs w:val="0"/>
                <w:color w:val="auto"/>
                <w:kern w:val="0"/>
                <w:sz w:val="21"/>
                <w:szCs w:val="21"/>
                <w:u w:val="none"/>
                <w:lang w:val="en-US" w:eastAsia="zh-CN" w:bidi="ar"/>
              </w:rPr>
              <w:t>t/3a</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3434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CD0E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62.300</w:t>
            </w:r>
            <w:r>
              <w:rPr>
                <w:rFonts w:hint="default" w:ascii="Times New Roman" w:hAnsi="Times New Roman" w:eastAsia="宋体" w:cs="Times New Roman"/>
                <w:i w:val="0"/>
                <w:iCs w:val="0"/>
                <w:color w:val="auto"/>
                <w:kern w:val="0"/>
                <w:sz w:val="21"/>
                <w:szCs w:val="21"/>
                <w:u w:val="none"/>
                <w:lang w:val="en-US" w:eastAsia="zh-CN" w:bidi="ar"/>
              </w:rPr>
              <w:t>t/3a</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DB10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3C685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4EAE0">
            <w:pPr>
              <w:jc w:val="center"/>
              <w:rPr>
                <w:rFonts w:hint="default" w:ascii="Times New Roman" w:hAnsi="Times New Roman" w:eastAsia="宋体" w:cs="Times New Roman"/>
                <w:i w:val="0"/>
                <w:iCs w:val="0"/>
                <w:color w:val="auto"/>
                <w:sz w:val="21"/>
                <w:szCs w:val="21"/>
                <w:u w:val="none"/>
              </w:rPr>
            </w:pP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F1E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实验室化验废液</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A796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6CA4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42A8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93BC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23.38</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362B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310F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23.38</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2E4D6">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r w14:paraId="22F99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4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55FA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生活垃圾</w:t>
            </w:r>
          </w:p>
        </w:tc>
        <w:tc>
          <w:tcPr>
            <w:tcW w:w="8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B8B6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生活垃圾</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DB43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14BE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DDB4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43A6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7.682</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5965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c>
          <w:tcPr>
            <w:tcW w:w="5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9E65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7.682</w:t>
            </w:r>
          </w:p>
        </w:tc>
        <w:tc>
          <w:tcPr>
            <w:tcW w:w="3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227E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w:t>
            </w:r>
          </w:p>
        </w:tc>
      </w:tr>
    </w:tbl>
    <w:p w14:paraId="796EE2EC">
      <w:pPr>
        <w:pageBreakBefore w:val="0"/>
        <w:kinsoku/>
        <w:wordWrap/>
        <w:topLinePunct w:val="0"/>
        <w:bidi w:val="0"/>
        <w:spacing w:line="360" w:lineRule="auto"/>
        <w:jc w:val="both"/>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注：⑥=①+③+④-⑤；⑦=⑥-①</w:t>
      </w:r>
    </w:p>
    <w:sectPr>
      <w:footerReference r:id="rId6" w:type="default"/>
      <w:pgSz w:w="16838" w:h="11906" w:orient="landscape"/>
      <w:pgMar w:top="1800" w:right="1440" w:bottom="1800" w:left="1440" w:header="851" w:footer="992"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CD697B6-00E9-41EE-AA01-8C2C6FC2B55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E8A3B675-BAF9-44AE-A2FA-DEDCEABCB806}"/>
  </w:font>
  <w:font w:name="仿宋">
    <w:panose1 w:val="02010609060101010101"/>
    <w:charset w:val="86"/>
    <w:family w:val="auto"/>
    <w:pitch w:val="default"/>
    <w:sig w:usb0="800002BF" w:usb1="38CF7CFA" w:usb2="00000016" w:usb3="00000000" w:csb0="00040001" w:csb1="00000000"/>
    <w:embedRegular r:id="rId3" w:fontKey="{701A85A2-3561-4C66-8D45-A9143D03E867}"/>
  </w:font>
  <w:font w:name="方正楷体_GBK">
    <w:altName w:val="微软雅黑"/>
    <w:panose1 w:val="02000000000000000000"/>
    <w:charset w:val="86"/>
    <w:family w:val="script"/>
    <w:pitch w:val="default"/>
    <w:sig w:usb0="00000000" w:usb1="00000000" w:usb2="00000016" w:usb3="00000000" w:csb0="00040000" w:csb1="00000000"/>
  </w:font>
  <w:font w:name="微软雅黑">
    <w:panose1 w:val="020B0503020204020204"/>
    <w:charset w:val="86"/>
    <w:family w:val="auto"/>
    <w:pitch w:val="default"/>
    <w:sig w:usb0="80000287" w:usb1="2ACF3C50" w:usb2="00000016" w:usb3="00000000" w:csb0="0004001F" w:csb1="00000000"/>
    <w:embedRegular r:id="rId4" w:fontKey="{9EF193C5-275E-4D5D-BBB4-4999AACD2B42}"/>
  </w:font>
  <w:font w:name="Tahoma">
    <w:panose1 w:val="020B0604030504040204"/>
    <w:charset w:val="00"/>
    <w:family w:val="swiss"/>
    <w:pitch w:val="default"/>
    <w:sig w:usb0="E1002EFF" w:usb1="C000605B" w:usb2="00000029" w:usb3="00000000" w:csb0="200101FF" w:csb1="20280000"/>
  </w:font>
  <w:font w:name="TimesNewRomanPSMT">
    <w:altName w:val="Times New Roman"/>
    <w:panose1 w:val="00000000000000000000"/>
    <w:charset w:val="00"/>
    <w:family w:val="roman"/>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embedRegular r:id="rId5" w:fontKey="{A28AB123-85D8-421B-996D-74706F18E8BC}"/>
  </w:font>
  <w:font w:name="方正小标宋_GBK">
    <w:panose1 w:val="02000000000000000000"/>
    <w:charset w:val="86"/>
    <w:family w:val="script"/>
    <w:pitch w:val="default"/>
    <w:sig w:usb0="A00002BF" w:usb1="38CF7CFA" w:usb2="00082016" w:usb3="00000000" w:csb0="00040001" w:csb1="00000000"/>
    <w:embedRegular r:id="rId6" w:fontKey="{E6993696-4C9C-47A4-BF34-DD3271DAE234}"/>
  </w:font>
  <w:font w:name="Cambria Math">
    <w:panose1 w:val="02040503050406030204"/>
    <w:charset w:val="00"/>
    <w:family w:val="auto"/>
    <w:pitch w:val="default"/>
    <w:sig w:usb0="E00006FF" w:usb1="420024FF" w:usb2="02000000" w:usb3="00000000" w:csb0="2000019F" w:csb1="00000000"/>
    <w:embedRegular r:id="rId7" w:fontKey="{2672061A-7142-47FB-8E5C-FFE0C6CA03C2}"/>
  </w:font>
  <w:font w:name="Segoe UI">
    <w:panose1 w:val="020B0502040204020203"/>
    <w:charset w:val="00"/>
    <w:family w:val="auto"/>
    <w:pitch w:val="default"/>
    <w:sig w:usb0="E4002EFF" w:usb1="C000E47F" w:usb2="00000009" w:usb3="00000000" w:csb0="200001FF" w:csb1="00000000"/>
    <w:embedRegular r:id="rId8" w:fontKey="{9FD19C55-B21F-45CB-9430-3BE976A9E54B}"/>
  </w:font>
  <w:font w:name="WPSEMBED2">
    <w:panose1 w:val="02010609030101010101"/>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99C08">
    <w:pPr>
      <w:pStyle w:val="1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8EC2E">
    <w:pPr>
      <w:pStyle w:val="18"/>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81257">
    <w:pPr>
      <w:pStyle w:val="18"/>
      <w:ind w:right="360" w:firstLine="360"/>
      <w:jc w:val="center"/>
      <w:rPr>
        <w:rFonts w:hint="eastAsia" w:eastAsia="宋体"/>
        <w:sz w:val="21"/>
        <w:szCs w:val="21"/>
        <w:lang w:val="en-US" w:eastAsia="zh-CN"/>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3CCED8">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063CCED8">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E83B5">
    <w:pPr>
      <w:pStyle w:val="18"/>
      <w:ind w:right="360" w:firstLine="360"/>
      <w:jc w:val="center"/>
      <w:rPr>
        <w:rFonts w:hint="eastAsia" w:eastAsia="宋体"/>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2CB3A1">
                          <w:pPr>
                            <w:pStyle w:val="18"/>
                          </w:pPr>
                          <w:r>
                            <w:fldChar w:fldCharType="begin"/>
                          </w:r>
                          <w:r>
                            <w:instrText xml:space="preserve"> PAGE  \* MERGEFORMAT </w:instrText>
                          </w:r>
                          <w:r>
                            <w:fldChar w:fldCharType="separate"/>
                          </w:r>
                          <w:r>
                            <w:t>92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142CB3A1">
                    <w:pPr>
                      <w:pStyle w:val="18"/>
                    </w:pPr>
                    <w:r>
                      <w:fldChar w:fldCharType="begin"/>
                    </w:r>
                    <w:r>
                      <w:instrText xml:space="preserve"> PAGE  \* MERGEFORMAT </w:instrText>
                    </w:r>
                    <w:r>
                      <w:fldChar w:fldCharType="separate"/>
                    </w:r>
                    <w:r>
                      <w:t>92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353FF8"/>
    <w:multiLevelType w:val="singleLevel"/>
    <w:tmpl w:val="85353FF8"/>
    <w:lvl w:ilvl="0" w:tentative="0">
      <w:start w:val="1"/>
      <w:numFmt w:val="bullet"/>
      <w:pStyle w:val="15"/>
      <w:lvlText w:val=""/>
      <w:lvlJc w:val="left"/>
      <w:pPr>
        <w:tabs>
          <w:tab w:val="left" w:pos="2040"/>
        </w:tabs>
        <w:ind w:left="2040" w:hanging="360"/>
      </w:pPr>
      <w:rPr>
        <w:rFonts w:hint="default" w:ascii="Wingdings" w:hAnsi="Wingdings"/>
      </w:rPr>
    </w:lvl>
  </w:abstractNum>
  <w:abstractNum w:abstractNumId="1">
    <w:nsid w:val="C2FBB5AF"/>
    <w:multiLevelType w:val="singleLevel"/>
    <w:tmpl w:val="C2FBB5AF"/>
    <w:lvl w:ilvl="0" w:tentative="0">
      <w:start w:val="6"/>
      <w:numFmt w:val="decimal"/>
      <w:lvlText w:val="%1."/>
      <w:lvlJc w:val="left"/>
      <w:pPr>
        <w:tabs>
          <w:tab w:val="left" w:pos="312"/>
        </w:tabs>
      </w:pPr>
    </w:lvl>
  </w:abstractNum>
  <w:abstractNum w:abstractNumId="2">
    <w:nsid w:val="CA0C0740"/>
    <w:multiLevelType w:val="singleLevel"/>
    <w:tmpl w:val="CA0C0740"/>
    <w:lvl w:ilvl="0" w:tentative="0">
      <w:start w:val="1"/>
      <w:numFmt w:val="decimal"/>
      <w:suff w:val="nothing"/>
      <w:lvlText w:val="%1）"/>
      <w:lvlJc w:val="left"/>
    </w:lvl>
  </w:abstractNum>
  <w:abstractNum w:abstractNumId="3">
    <w:nsid w:val="F3C57C0B"/>
    <w:multiLevelType w:val="singleLevel"/>
    <w:tmpl w:val="F3C57C0B"/>
    <w:lvl w:ilvl="0" w:tentative="0">
      <w:start w:val="1"/>
      <w:numFmt w:val="decimal"/>
      <w:suff w:val="nothing"/>
      <w:lvlText w:val="%1、"/>
      <w:lvlJc w:val="left"/>
    </w:lvl>
  </w:abstractNum>
  <w:abstractNum w:abstractNumId="4">
    <w:nsid w:val="F4F1E552"/>
    <w:multiLevelType w:val="singleLevel"/>
    <w:tmpl w:val="F4F1E552"/>
    <w:lvl w:ilvl="0" w:tentative="0">
      <w:start w:val="1"/>
      <w:numFmt w:val="decimal"/>
      <w:pStyle w:val="14"/>
      <w:lvlText w:val="%1."/>
      <w:lvlJc w:val="left"/>
      <w:pPr>
        <w:tabs>
          <w:tab w:val="left" w:pos="2040"/>
        </w:tabs>
        <w:ind w:left="2040" w:hanging="360"/>
      </w:pPr>
    </w:lvl>
  </w:abstractNum>
  <w:abstractNum w:abstractNumId="5">
    <w:nsid w:val="2E286FA6"/>
    <w:multiLevelType w:val="singleLevel"/>
    <w:tmpl w:val="2E286FA6"/>
    <w:lvl w:ilvl="0" w:tentative="0">
      <w:start w:val="1"/>
      <w:numFmt w:val="decimal"/>
      <w:suff w:val="nothing"/>
      <w:lvlText w:val="%1）"/>
      <w:lvlJc w:val="left"/>
    </w:lvl>
  </w:abstractNum>
  <w:abstractNum w:abstractNumId="6">
    <w:nsid w:val="645E2EC7"/>
    <w:multiLevelType w:val="singleLevel"/>
    <w:tmpl w:val="645E2EC7"/>
    <w:lvl w:ilvl="0" w:tentative="0">
      <w:start w:val="1"/>
      <w:numFmt w:val="decimal"/>
      <w:suff w:val="nothing"/>
      <w:lvlText w:val="（%1）"/>
      <w:lvlJc w:val="left"/>
    </w:lvl>
  </w:abstractNum>
  <w:abstractNum w:abstractNumId="7">
    <w:nsid w:val="764765B4"/>
    <w:multiLevelType w:val="multilevel"/>
    <w:tmpl w:val="764765B4"/>
    <w:lvl w:ilvl="0" w:tentative="0">
      <w:start w:val="1"/>
      <w:numFmt w:val="decimal"/>
      <w:lvlText w:val="%1."/>
      <w:lvlJc w:val="left"/>
      <w:pPr>
        <w:tabs>
          <w:tab w:val="left" w:pos="360"/>
        </w:tabs>
        <w:ind w:left="0" w:firstLine="0"/>
      </w:pPr>
      <w:rPr>
        <w:rFonts w:hint="default" w:ascii="Times New Roman" w:hAnsi="Times New Roman" w:eastAsia="黑体" w:cs="Times New Roman"/>
        <w:b w:val="0"/>
        <w:i w:val="0"/>
        <w:sz w:val="28"/>
        <w:szCs w:val="28"/>
      </w:rPr>
    </w:lvl>
    <w:lvl w:ilvl="1" w:tentative="0">
      <w:start w:val="1"/>
      <w:numFmt w:val="decimal"/>
      <w:lvlText w:val="%1.%2"/>
      <w:lvlJc w:val="left"/>
      <w:pPr>
        <w:tabs>
          <w:tab w:val="left" w:pos="720"/>
        </w:tabs>
        <w:ind w:left="0" w:firstLine="0"/>
      </w:pPr>
      <w:rPr>
        <w:rFonts w:hint="eastAsia" w:ascii="宋体" w:eastAsia="宋体"/>
        <w:b w:val="0"/>
        <w:i w:val="0"/>
        <w:kern w:val="16"/>
        <w:sz w:val="28"/>
      </w:rPr>
    </w:lvl>
    <w:lvl w:ilvl="2" w:tentative="0">
      <w:start w:val="1"/>
      <w:numFmt w:val="decimal"/>
      <w:pStyle w:val="84"/>
      <w:lvlText w:val="%1.%2.%3"/>
      <w:lvlJc w:val="left"/>
      <w:pPr>
        <w:tabs>
          <w:tab w:val="left" w:pos="720"/>
        </w:tabs>
        <w:ind w:left="0" w:firstLine="0"/>
      </w:pPr>
      <w:rPr>
        <w:rFonts w:hint="eastAsia" w:ascii="宋体" w:eastAsia="宋体"/>
        <w:b w:val="0"/>
        <w:i w:val="0"/>
        <w:sz w:val="28"/>
      </w:rPr>
    </w:lvl>
    <w:lvl w:ilvl="3" w:tentative="0">
      <w:start w:val="1"/>
      <w:numFmt w:val="decimal"/>
      <w:lvlText w:val="%1.%2.%3.%4"/>
      <w:lvlJc w:val="left"/>
      <w:pPr>
        <w:tabs>
          <w:tab w:val="left" w:pos="1080"/>
        </w:tabs>
        <w:ind w:left="0" w:firstLine="0"/>
      </w:pPr>
      <w:rPr>
        <w:rFonts w:hint="eastAsia"/>
      </w:rPr>
    </w:lvl>
    <w:lvl w:ilvl="4" w:tentative="0">
      <w:start w:val="1"/>
      <w:numFmt w:val="decimal"/>
      <w:lvlText w:val="(%5) "/>
      <w:lvlJc w:val="left"/>
      <w:pPr>
        <w:tabs>
          <w:tab w:val="left" w:pos="567"/>
        </w:tabs>
        <w:ind w:left="567" w:hanging="567"/>
      </w:pPr>
      <w:rPr>
        <w:rFonts w:hint="eastAsia" w:ascii="宋体" w:eastAsia="宋体"/>
        <w:b w:val="0"/>
        <w:i w:val="0"/>
        <w:sz w:val="28"/>
      </w:rPr>
    </w:lvl>
    <w:lvl w:ilvl="5" w:tentative="0">
      <w:start w:val="1"/>
      <w:numFmt w:val="decimal"/>
      <w:lvlText w:val="%1.%2.%3.%4.%5.%6"/>
      <w:lvlJc w:val="left"/>
      <w:pPr>
        <w:tabs>
          <w:tab w:val="left" w:pos="1800"/>
        </w:tabs>
        <w:ind w:left="1152" w:hanging="1152"/>
      </w:pPr>
      <w:rPr>
        <w:rFonts w:hint="eastAsia"/>
      </w:rPr>
    </w:lvl>
    <w:lvl w:ilvl="6" w:tentative="0">
      <w:start w:val="1"/>
      <w:numFmt w:val="decimal"/>
      <w:lvlText w:val="%1.%2.%3.%4.%5.%6.%7"/>
      <w:lvlJc w:val="left"/>
      <w:pPr>
        <w:tabs>
          <w:tab w:val="left" w:pos="1800"/>
        </w:tabs>
        <w:ind w:left="1296" w:hanging="1296"/>
      </w:pPr>
      <w:rPr>
        <w:rFonts w:hint="eastAsia"/>
      </w:rPr>
    </w:lvl>
    <w:lvl w:ilvl="7" w:tentative="0">
      <w:start w:val="1"/>
      <w:numFmt w:val="decimal"/>
      <w:lvlText w:val="%1.%2.%3.%4.%5.%6.%7.%8"/>
      <w:lvlJc w:val="left"/>
      <w:pPr>
        <w:tabs>
          <w:tab w:val="left" w:pos="2160"/>
        </w:tabs>
        <w:ind w:left="1440" w:hanging="1440"/>
      </w:pPr>
      <w:rPr>
        <w:rFonts w:hint="eastAsia"/>
      </w:rPr>
    </w:lvl>
    <w:lvl w:ilvl="8" w:tentative="0">
      <w:start w:val="1"/>
      <w:numFmt w:val="decimal"/>
      <w:lvlText w:val="表1-%9"/>
      <w:lvlJc w:val="left"/>
      <w:pPr>
        <w:tabs>
          <w:tab w:val="left" w:pos="1534"/>
        </w:tabs>
        <w:ind w:left="284" w:firstLine="170"/>
      </w:pPr>
      <w:rPr>
        <w:rFonts w:hint="eastAsia"/>
      </w:rPr>
    </w:lvl>
  </w:abstractNum>
  <w:num w:numId="1">
    <w:abstractNumId w:val="7"/>
  </w:num>
  <w:num w:numId="2">
    <w:abstractNumId w:val="4"/>
  </w:num>
  <w:num w:numId="3">
    <w:abstractNumId w:val="0"/>
  </w:num>
  <w:num w:numId="4">
    <w:abstractNumId w:val="3"/>
  </w:num>
  <w:num w:numId="5">
    <w:abstractNumId w:val="6"/>
  </w:num>
  <w:num w:numId="6">
    <w:abstractNumId w:val="1"/>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c4YmM2MjMxZWMzMjEzMmU1MmE3MjQwYWVlMjM2OGUifQ=="/>
  </w:docVars>
  <w:rsids>
    <w:rsidRoot w:val="00A1494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16988"/>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41853"/>
    <w:rsid w:val="00452738"/>
    <w:rsid w:val="00456091"/>
    <w:rsid w:val="00466321"/>
    <w:rsid w:val="00484B9B"/>
    <w:rsid w:val="004855F6"/>
    <w:rsid w:val="0048661E"/>
    <w:rsid w:val="00494670"/>
    <w:rsid w:val="004A3823"/>
    <w:rsid w:val="004E618D"/>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41E35"/>
    <w:rsid w:val="00643BE3"/>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10AE4"/>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376A0"/>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2799B"/>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042CD0"/>
    <w:rsid w:val="01266595"/>
    <w:rsid w:val="012810B4"/>
    <w:rsid w:val="01290F7E"/>
    <w:rsid w:val="015D1E09"/>
    <w:rsid w:val="01605FB3"/>
    <w:rsid w:val="01630AC8"/>
    <w:rsid w:val="017E5FA0"/>
    <w:rsid w:val="019E6496"/>
    <w:rsid w:val="01A249C3"/>
    <w:rsid w:val="01BE4DA9"/>
    <w:rsid w:val="021B6523"/>
    <w:rsid w:val="021E3140"/>
    <w:rsid w:val="02313B6C"/>
    <w:rsid w:val="02313F99"/>
    <w:rsid w:val="024A4418"/>
    <w:rsid w:val="02697903"/>
    <w:rsid w:val="02885666"/>
    <w:rsid w:val="02931FE6"/>
    <w:rsid w:val="02A76BEA"/>
    <w:rsid w:val="02AD6C29"/>
    <w:rsid w:val="02F96569"/>
    <w:rsid w:val="031805B1"/>
    <w:rsid w:val="0335158B"/>
    <w:rsid w:val="039667A9"/>
    <w:rsid w:val="03EA7B21"/>
    <w:rsid w:val="0400646D"/>
    <w:rsid w:val="04B70785"/>
    <w:rsid w:val="051552B2"/>
    <w:rsid w:val="056768E6"/>
    <w:rsid w:val="057B0AD9"/>
    <w:rsid w:val="05D859B8"/>
    <w:rsid w:val="05F83EAE"/>
    <w:rsid w:val="05F9301F"/>
    <w:rsid w:val="06113AEC"/>
    <w:rsid w:val="063E7D85"/>
    <w:rsid w:val="068722AB"/>
    <w:rsid w:val="068B0810"/>
    <w:rsid w:val="06C75DF5"/>
    <w:rsid w:val="06D6115A"/>
    <w:rsid w:val="06D97516"/>
    <w:rsid w:val="07293586"/>
    <w:rsid w:val="07295285"/>
    <w:rsid w:val="072C6D60"/>
    <w:rsid w:val="07636392"/>
    <w:rsid w:val="07710FE8"/>
    <w:rsid w:val="07770C56"/>
    <w:rsid w:val="07950B26"/>
    <w:rsid w:val="082A02BD"/>
    <w:rsid w:val="087702AB"/>
    <w:rsid w:val="08967659"/>
    <w:rsid w:val="08BF4B31"/>
    <w:rsid w:val="08C72F61"/>
    <w:rsid w:val="08CE1C41"/>
    <w:rsid w:val="08D4369D"/>
    <w:rsid w:val="092217DD"/>
    <w:rsid w:val="0939339D"/>
    <w:rsid w:val="093A7294"/>
    <w:rsid w:val="093C0C24"/>
    <w:rsid w:val="095C7B4D"/>
    <w:rsid w:val="097111E9"/>
    <w:rsid w:val="099E1F14"/>
    <w:rsid w:val="09DA36AC"/>
    <w:rsid w:val="0A001FA3"/>
    <w:rsid w:val="0A1141A0"/>
    <w:rsid w:val="0A263993"/>
    <w:rsid w:val="0A2D3AC2"/>
    <w:rsid w:val="0A7043FB"/>
    <w:rsid w:val="0A7D5788"/>
    <w:rsid w:val="0AA755DF"/>
    <w:rsid w:val="0AEF131B"/>
    <w:rsid w:val="0AFF4BD9"/>
    <w:rsid w:val="0B120D44"/>
    <w:rsid w:val="0B152302"/>
    <w:rsid w:val="0B6D2ABD"/>
    <w:rsid w:val="0B7078E0"/>
    <w:rsid w:val="0B93552E"/>
    <w:rsid w:val="0BB21CA6"/>
    <w:rsid w:val="0BC175D1"/>
    <w:rsid w:val="0BD07FE9"/>
    <w:rsid w:val="0BD27BF6"/>
    <w:rsid w:val="0BD460BB"/>
    <w:rsid w:val="0C310166"/>
    <w:rsid w:val="0C3B3C7D"/>
    <w:rsid w:val="0C5965C6"/>
    <w:rsid w:val="0C5F3F70"/>
    <w:rsid w:val="0C6A5828"/>
    <w:rsid w:val="0C7D5F80"/>
    <w:rsid w:val="0CAB2EAE"/>
    <w:rsid w:val="0CF55810"/>
    <w:rsid w:val="0D2658A2"/>
    <w:rsid w:val="0D621C7D"/>
    <w:rsid w:val="0DCC19FE"/>
    <w:rsid w:val="0DE13391"/>
    <w:rsid w:val="0E4D4E0B"/>
    <w:rsid w:val="0E73034D"/>
    <w:rsid w:val="0ECD1056"/>
    <w:rsid w:val="0F13775A"/>
    <w:rsid w:val="0F224302"/>
    <w:rsid w:val="0F34698A"/>
    <w:rsid w:val="0F5F45FE"/>
    <w:rsid w:val="0F9A112B"/>
    <w:rsid w:val="0FA45DE9"/>
    <w:rsid w:val="0FBB0783"/>
    <w:rsid w:val="0FC1695C"/>
    <w:rsid w:val="0FD10DAC"/>
    <w:rsid w:val="106D2F64"/>
    <w:rsid w:val="109E4032"/>
    <w:rsid w:val="10B63710"/>
    <w:rsid w:val="10F10820"/>
    <w:rsid w:val="10F468BD"/>
    <w:rsid w:val="1118310E"/>
    <w:rsid w:val="111C2F7A"/>
    <w:rsid w:val="11396B7C"/>
    <w:rsid w:val="114D6F70"/>
    <w:rsid w:val="11665CA1"/>
    <w:rsid w:val="118507E7"/>
    <w:rsid w:val="1186528E"/>
    <w:rsid w:val="11B65419"/>
    <w:rsid w:val="11DE4DB2"/>
    <w:rsid w:val="11FA37B6"/>
    <w:rsid w:val="12521AED"/>
    <w:rsid w:val="125F5139"/>
    <w:rsid w:val="12A544BA"/>
    <w:rsid w:val="12A566FF"/>
    <w:rsid w:val="12CC4AC2"/>
    <w:rsid w:val="12F6740D"/>
    <w:rsid w:val="13027A2A"/>
    <w:rsid w:val="131F2DBD"/>
    <w:rsid w:val="133A279F"/>
    <w:rsid w:val="13951726"/>
    <w:rsid w:val="13E364F2"/>
    <w:rsid w:val="14106A13"/>
    <w:rsid w:val="142C0FFB"/>
    <w:rsid w:val="14396509"/>
    <w:rsid w:val="14724991"/>
    <w:rsid w:val="14DD2C3C"/>
    <w:rsid w:val="151B6B0E"/>
    <w:rsid w:val="151D24BC"/>
    <w:rsid w:val="1527368D"/>
    <w:rsid w:val="15460A62"/>
    <w:rsid w:val="15655083"/>
    <w:rsid w:val="1590279E"/>
    <w:rsid w:val="15997A33"/>
    <w:rsid w:val="15D078F9"/>
    <w:rsid w:val="15EE7D7F"/>
    <w:rsid w:val="15F26767"/>
    <w:rsid w:val="15F35395"/>
    <w:rsid w:val="15F829C9"/>
    <w:rsid w:val="16087E1D"/>
    <w:rsid w:val="16693F08"/>
    <w:rsid w:val="16802D97"/>
    <w:rsid w:val="16AA22BF"/>
    <w:rsid w:val="16BB4159"/>
    <w:rsid w:val="16BE56D5"/>
    <w:rsid w:val="16D52D3B"/>
    <w:rsid w:val="16F21C87"/>
    <w:rsid w:val="175D1469"/>
    <w:rsid w:val="17701D14"/>
    <w:rsid w:val="17735226"/>
    <w:rsid w:val="1779133F"/>
    <w:rsid w:val="17976192"/>
    <w:rsid w:val="179A213C"/>
    <w:rsid w:val="179F6E52"/>
    <w:rsid w:val="17B61068"/>
    <w:rsid w:val="18132B62"/>
    <w:rsid w:val="18151845"/>
    <w:rsid w:val="18343899"/>
    <w:rsid w:val="18531588"/>
    <w:rsid w:val="1869181C"/>
    <w:rsid w:val="189F624C"/>
    <w:rsid w:val="191B28E0"/>
    <w:rsid w:val="194D300E"/>
    <w:rsid w:val="19691274"/>
    <w:rsid w:val="19710EC5"/>
    <w:rsid w:val="19A07E7C"/>
    <w:rsid w:val="19CF1C75"/>
    <w:rsid w:val="1A1C66C0"/>
    <w:rsid w:val="1A301635"/>
    <w:rsid w:val="1A42393B"/>
    <w:rsid w:val="1A7B5273"/>
    <w:rsid w:val="1A897E40"/>
    <w:rsid w:val="1AAD45DE"/>
    <w:rsid w:val="1AFA1B83"/>
    <w:rsid w:val="1B046F80"/>
    <w:rsid w:val="1B1F1301"/>
    <w:rsid w:val="1B3267B5"/>
    <w:rsid w:val="1B372A84"/>
    <w:rsid w:val="1B3E4C43"/>
    <w:rsid w:val="1B40161D"/>
    <w:rsid w:val="1B441859"/>
    <w:rsid w:val="1B6606B1"/>
    <w:rsid w:val="1B7B3ED4"/>
    <w:rsid w:val="1B7F1479"/>
    <w:rsid w:val="1B8E582B"/>
    <w:rsid w:val="1BED5CE0"/>
    <w:rsid w:val="1C1414D5"/>
    <w:rsid w:val="1C167AAF"/>
    <w:rsid w:val="1C5C1371"/>
    <w:rsid w:val="1C5E7925"/>
    <w:rsid w:val="1C941225"/>
    <w:rsid w:val="1CA06A08"/>
    <w:rsid w:val="1CA93E55"/>
    <w:rsid w:val="1CC0714B"/>
    <w:rsid w:val="1CEB1B15"/>
    <w:rsid w:val="1CFD070F"/>
    <w:rsid w:val="1D023F9A"/>
    <w:rsid w:val="1D146A4E"/>
    <w:rsid w:val="1D540A4C"/>
    <w:rsid w:val="1D5F6196"/>
    <w:rsid w:val="1D6132A5"/>
    <w:rsid w:val="1D8E56D5"/>
    <w:rsid w:val="1DAF2F10"/>
    <w:rsid w:val="1DE7675C"/>
    <w:rsid w:val="1E2A1D99"/>
    <w:rsid w:val="1E304777"/>
    <w:rsid w:val="1E33771D"/>
    <w:rsid w:val="1E391684"/>
    <w:rsid w:val="1E7219FD"/>
    <w:rsid w:val="1E7A43DA"/>
    <w:rsid w:val="1EC35C6C"/>
    <w:rsid w:val="1F3211FE"/>
    <w:rsid w:val="1F603042"/>
    <w:rsid w:val="1F6C7379"/>
    <w:rsid w:val="1F7A543D"/>
    <w:rsid w:val="1F7D7B84"/>
    <w:rsid w:val="1FE50445"/>
    <w:rsid w:val="1FE7539E"/>
    <w:rsid w:val="1FF3150A"/>
    <w:rsid w:val="1FF71F26"/>
    <w:rsid w:val="1FFF65F1"/>
    <w:rsid w:val="202B19A6"/>
    <w:rsid w:val="204D7D98"/>
    <w:rsid w:val="20671BE0"/>
    <w:rsid w:val="20963CB8"/>
    <w:rsid w:val="20A81A1B"/>
    <w:rsid w:val="20B07FB6"/>
    <w:rsid w:val="20B646FB"/>
    <w:rsid w:val="20BD4741"/>
    <w:rsid w:val="20C3473C"/>
    <w:rsid w:val="20E12061"/>
    <w:rsid w:val="213A0D0D"/>
    <w:rsid w:val="213B74B1"/>
    <w:rsid w:val="213F6CD7"/>
    <w:rsid w:val="215A2310"/>
    <w:rsid w:val="216607A9"/>
    <w:rsid w:val="21892293"/>
    <w:rsid w:val="21CB796E"/>
    <w:rsid w:val="21CF5FD7"/>
    <w:rsid w:val="21D43F4E"/>
    <w:rsid w:val="21DE25E9"/>
    <w:rsid w:val="21DE318A"/>
    <w:rsid w:val="21EF5B80"/>
    <w:rsid w:val="21F1038A"/>
    <w:rsid w:val="21F321E0"/>
    <w:rsid w:val="22576990"/>
    <w:rsid w:val="2268710B"/>
    <w:rsid w:val="227B299A"/>
    <w:rsid w:val="22A16179"/>
    <w:rsid w:val="22CD1470"/>
    <w:rsid w:val="22D04FA6"/>
    <w:rsid w:val="22F47480"/>
    <w:rsid w:val="23C0226D"/>
    <w:rsid w:val="23DE1C48"/>
    <w:rsid w:val="23EE1263"/>
    <w:rsid w:val="240210CD"/>
    <w:rsid w:val="24144896"/>
    <w:rsid w:val="24184126"/>
    <w:rsid w:val="241C1F5B"/>
    <w:rsid w:val="2423778D"/>
    <w:rsid w:val="249C66BD"/>
    <w:rsid w:val="24BF09F7"/>
    <w:rsid w:val="24CC7F91"/>
    <w:rsid w:val="24E979D0"/>
    <w:rsid w:val="25045F88"/>
    <w:rsid w:val="250B2A31"/>
    <w:rsid w:val="252D53FE"/>
    <w:rsid w:val="256339FD"/>
    <w:rsid w:val="25776A35"/>
    <w:rsid w:val="258316B6"/>
    <w:rsid w:val="25EC2D81"/>
    <w:rsid w:val="25EE6204"/>
    <w:rsid w:val="25FA2599"/>
    <w:rsid w:val="26172865"/>
    <w:rsid w:val="261E5AAC"/>
    <w:rsid w:val="26430F5C"/>
    <w:rsid w:val="264A1B0E"/>
    <w:rsid w:val="26962C68"/>
    <w:rsid w:val="26C62529"/>
    <w:rsid w:val="26C6368E"/>
    <w:rsid w:val="26EB68EA"/>
    <w:rsid w:val="26FE194D"/>
    <w:rsid w:val="27105DFE"/>
    <w:rsid w:val="275616C9"/>
    <w:rsid w:val="277057A2"/>
    <w:rsid w:val="2799051F"/>
    <w:rsid w:val="279F712B"/>
    <w:rsid w:val="27A1755D"/>
    <w:rsid w:val="27C5196E"/>
    <w:rsid w:val="27D05112"/>
    <w:rsid w:val="280B4FF2"/>
    <w:rsid w:val="28370309"/>
    <w:rsid w:val="2879737F"/>
    <w:rsid w:val="28884063"/>
    <w:rsid w:val="28EE4234"/>
    <w:rsid w:val="29206EB8"/>
    <w:rsid w:val="29595666"/>
    <w:rsid w:val="29874881"/>
    <w:rsid w:val="29C55DB6"/>
    <w:rsid w:val="29C63095"/>
    <w:rsid w:val="29CB3ABA"/>
    <w:rsid w:val="29E325E0"/>
    <w:rsid w:val="29E86A39"/>
    <w:rsid w:val="29EF5328"/>
    <w:rsid w:val="2A0F7F42"/>
    <w:rsid w:val="2A452503"/>
    <w:rsid w:val="2A8863DF"/>
    <w:rsid w:val="2AE90244"/>
    <w:rsid w:val="2B64300E"/>
    <w:rsid w:val="2BA936A8"/>
    <w:rsid w:val="2BD956F0"/>
    <w:rsid w:val="2BFE22E9"/>
    <w:rsid w:val="2C315A5A"/>
    <w:rsid w:val="2C4B1C25"/>
    <w:rsid w:val="2C6D7266"/>
    <w:rsid w:val="2C9E0B23"/>
    <w:rsid w:val="2CFF5FCC"/>
    <w:rsid w:val="2D494294"/>
    <w:rsid w:val="2D4B38B1"/>
    <w:rsid w:val="2D5D6575"/>
    <w:rsid w:val="2D78410E"/>
    <w:rsid w:val="2D93666E"/>
    <w:rsid w:val="2D95784D"/>
    <w:rsid w:val="2D9E56F5"/>
    <w:rsid w:val="2DAF2092"/>
    <w:rsid w:val="2DB045C4"/>
    <w:rsid w:val="2DBB26F9"/>
    <w:rsid w:val="2DCF2C67"/>
    <w:rsid w:val="2E0A72C8"/>
    <w:rsid w:val="2E365A93"/>
    <w:rsid w:val="2E3A195C"/>
    <w:rsid w:val="2E667F96"/>
    <w:rsid w:val="2E8226AB"/>
    <w:rsid w:val="2EA03FD4"/>
    <w:rsid w:val="2EA25753"/>
    <w:rsid w:val="2EC009AC"/>
    <w:rsid w:val="2EC51ECD"/>
    <w:rsid w:val="2EE4717D"/>
    <w:rsid w:val="2EFB6DA3"/>
    <w:rsid w:val="2F2E7809"/>
    <w:rsid w:val="2F352C69"/>
    <w:rsid w:val="2F3530AE"/>
    <w:rsid w:val="2F417517"/>
    <w:rsid w:val="2FB1612E"/>
    <w:rsid w:val="2FB27887"/>
    <w:rsid w:val="2FD065E6"/>
    <w:rsid w:val="2FD96870"/>
    <w:rsid w:val="304A079B"/>
    <w:rsid w:val="30580BC9"/>
    <w:rsid w:val="30BE0769"/>
    <w:rsid w:val="30D6008A"/>
    <w:rsid w:val="311E2ED7"/>
    <w:rsid w:val="315619EE"/>
    <w:rsid w:val="315C449C"/>
    <w:rsid w:val="31B82709"/>
    <w:rsid w:val="31C6088B"/>
    <w:rsid w:val="31D05482"/>
    <w:rsid w:val="31E9760C"/>
    <w:rsid w:val="3201484B"/>
    <w:rsid w:val="323507BB"/>
    <w:rsid w:val="323841CD"/>
    <w:rsid w:val="323A4C76"/>
    <w:rsid w:val="32400B34"/>
    <w:rsid w:val="32747963"/>
    <w:rsid w:val="329E6876"/>
    <w:rsid w:val="32C16A53"/>
    <w:rsid w:val="32E62B90"/>
    <w:rsid w:val="333015F2"/>
    <w:rsid w:val="334B6320"/>
    <w:rsid w:val="334B63B9"/>
    <w:rsid w:val="33B56D44"/>
    <w:rsid w:val="33C76378"/>
    <w:rsid w:val="33D934D4"/>
    <w:rsid w:val="33F86F46"/>
    <w:rsid w:val="33FE2F6A"/>
    <w:rsid w:val="340E07E5"/>
    <w:rsid w:val="34235BF7"/>
    <w:rsid w:val="34950213"/>
    <w:rsid w:val="34B202EC"/>
    <w:rsid w:val="353323D5"/>
    <w:rsid w:val="354A2A3E"/>
    <w:rsid w:val="35650BFF"/>
    <w:rsid w:val="356D7BD8"/>
    <w:rsid w:val="356E2C86"/>
    <w:rsid w:val="358C5FA8"/>
    <w:rsid w:val="359D6368"/>
    <w:rsid w:val="35BE7316"/>
    <w:rsid w:val="35C15DF1"/>
    <w:rsid w:val="35F835CD"/>
    <w:rsid w:val="36074A7F"/>
    <w:rsid w:val="36225A39"/>
    <w:rsid w:val="36302E58"/>
    <w:rsid w:val="36923549"/>
    <w:rsid w:val="369D456C"/>
    <w:rsid w:val="36B75FBF"/>
    <w:rsid w:val="36BD0C45"/>
    <w:rsid w:val="36C335DA"/>
    <w:rsid w:val="36D671F3"/>
    <w:rsid w:val="36E01803"/>
    <w:rsid w:val="36E80182"/>
    <w:rsid w:val="372B3318"/>
    <w:rsid w:val="37C126BA"/>
    <w:rsid w:val="37C16C4A"/>
    <w:rsid w:val="37DC6121"/>
    <w:rsid w:val="37E00298"/>
    <w:rsid w:val="37F86D4F"/>
    <w:rsid w:val="389F4C97"/>
    <w:rsid w:val="38B302F9"/>
    <w:rsid w:val="38C47B48"/>
    <w:rsid w:val="38C5525B"/>
    <w:rsid w:val="38D02CC2"/>
    <w:rsid w:val="38E23E18"/>
    <w:rsid w:val="38F12CD3"/>
    <w:rsid w:val="38F94775"/>
    <w:rsid w:val="392971ED"/>
    <w:rsid w:val="39325651"/>
    <w:rsid w:val="39861365"/>
    <w:rsid w:val="39A415B8"/>
    <w:rsid w:val="39E527ED"/>
    <w:rsid w:val="3A1F5EA9"/>
    <w:rsid w:val="3A433F47"/>
    <w:rsid w:val="3A513FEB"/>
    <w:rsid w:val="3A5426B5"/>
    <w:rsid w:val="3A872856"/>
    <w:rsid w:val="3ADF7F71"/>
    <w:rsid w:val="3AE24BAA"/>
    <w:rsid w:val="3B1279D1"/>
    <w:rsid w:val="3B1F0857"/>
    <w:rsid w:val="3B3763D1"/>
    <w:rsid w:val="3B6355AE"/>
    <w:rsid w:val="3B6B65A1"/>
    <w:rsid w:val="3BB56F81"/>
    <w:rsid w:val="3C2F6E1E"/>
    <w:rsid w:val="3C4F64BA"/>
    <w:rsid w:val="3C86449E"/>
    <w:rsid w:val="3C8A7F52"/>
    <w:rsid w:val="3CA76734"/>
    <w:rsid w:val="3CDA245A"/>
    <w:rsid w:val="3CF90EE9"/>
    <w:rsid w:val="3D046F96"/>
    <w:rsid w:val="3D1E06B7"/>
    <w:rsid w:val="3D231C22"/>
    <w:rsid w:val="3D2870E6"/>
    <w:rsid w:val="3D6C3750"/>
    <w:rsid w:val="3D6E0B5B"/>
    <w:rsid w:val="3D785FFC"/>
    <w:rsid w:val="3D7B3274"/>
    <w:rsid w:val="3D8517C0"/>
    <w:rsid w:val="3D8A4BA3"/>
    <w:rsid w:val="3DA90DC1"/>
    <w:rsid w:val="3DAD3D0E"/>
    <w:rsid w:val="3DB40237"/>
    <w:rsid w:val="3DDE2039"/>
    <w:rsid w:val="3DE71F98"/>
    <w:rsid w:val="3E4C2724"/>
    <w:rsid w:val="3EAB0654"/>
    <w:rsid w:val="3EC97404"/>
    <w:rsid w:val="3EDA0523"/>
    <w:rsid w:val="3F0100D5"/>
    <w:rsid w:val="3F12422F"/>
    <w:rsid w:val="3F251264"/>
    <w:rsid w:val="3F4C5993"/>
    <w:rsid w:val="3F7C478A"/>
    <w:rsid w:val="3F81253C"/>
    <w:rsid w:val="3FA6509D"/>
    <w:rsid w:val="3FCB1CA2"/>
    <w:rsid w:val="406E3376"/>
    <w:rsid w:val="40761925"/>
    <w:rsid w:val="407A6407"/>
    <w:rsid w:val="40AA35A9"/>
    <w:rsid w:val="40E32906"/>
    <w:rsid w:val="417A0B91"/>
    <w:rsid w:val="418C651A"/>
    <w:rsid w:val="41B8730F"/>
    <w:rsid w:val="4200449D"/>
    <w:rsid w:val="42285C68"/>
    <w:rsid w:val="42377EA0"/>
    <w:rsid w:val="423A3BCC"/>
    <w:rsid w:val="424E57D2"/>
    <w:rsid w:val="4267771E"/>
    <w:rsid w:val="42A470D5"/>
    <w:rsid w:val="42B26C49"/>
    <w:rsid w:val="42EA6B4F"/>
    <w:rsid w:val="42ED4682"/>
    <w:rsid w:val="43143E18"/>
    <w:rsid w:val="433A6FE6"/>
    <w:rsid w:val="43480868"/>
    <w:rsid w:val="4350713C"/>
    <w:rsid w:val="43525542"/>
    <w:rsid w:val="436653E0"/>
    <w:rsid w:val="43A14B1F"/>
    <w:rsid w:val="43C4431A"/>
    <w:rsid w:val="43C71A8C"/>
    <w:rsid w:val="43FB6067"/>
    <w:rsid w:val="440A7DFB"/>
    <w:rsid w:val="446F6001"/>
    <w:rsid w:val="449143C4"/>
    <w:rsid w:val="44B951CC"/>
    <w:rsid w:val="44CD1324"/>
    <w:rsid w:val="44CD14E0"/>
    <w:rsid w:val="44F20B0B"/>
    <w:rsid w:val="452E5F4C"/>
    <w:rsid w:val="453A628D"/>
    <w:rsid w:val="45570ACB"/>
    <w:rsid w:val="45612018"/>
    <w:rsid w:val="456B1A5D"/>
    <w:rsid w:val="457013CF"/>
    <w:rsid w:val="458946E9"/>
    <w:rsid w:val="458F7AE9"/>
    <w:rsid w:val="45923B3A"/>
    <w:rsid w:val="45A47C0E"/>
    <w:rsid w:val="45A95CD9"/>
    <w:rsid w:val="45E86F41"/>
    <w:rsid w:val="461F39FC"/>
    <w:rsid w:val="46366D49"/>
    <w:rsid w:val="46577FD6"/>
    <w:rsid w:val="466B634C"/>
    <w:rsid w:val="466F1362"/>
    <w:rsid w:val="46AD5455"/>
    <w:rsid w:val="46C2478C"/>
    <w:rsid w:val="46C610DC"/>
    <w:rsid w:val="46D955A7"/>
    <w:rsid w:val="47133957"/>
    <w:rsid w:val="472A20F4"/>
    <w:rsid w:val="478778CF"/>
    <w:rsid w:val="47A07E0C"/>
    <w:rsid w:val="481449F8"/>
    <w:rsid w:val="484A4A39"/>
    <w:rsid w:val="4870272E"/>
    <w:rsid w:val="487241CC"/>
    <w:rsid w:val="488225AD"/>
    <w:rsid w:val="488A0416"/>
    <w:rsid w:val="488F7938"/>
    <w:rsid w:val="48A30F88"/>
    <w:rsid w:val="48AF2FAE"/>
    <w:rsid w:val="48D30562"/>
    <w:rsid w:val="48D442CD"/>
    <w:rsid w:val="490643D5"/>
    <w:rsid w:val="494725DB"/>
    <w:rsid w:val="495E4B39"/>
    <w:rsid w:val="49883ABB"/>
    <w:rsid w:val="49DC7715"/>
    <w:rsid w:val="4A023139"/>
    <w:rsid w:val="4A080885"/>
    <w:rsid w:val="4A365275"/>
    <w:rsid w:val="4A7B576F"/>
    <w:rsid w:val="4ABD0ED1"/>
    <w:rsid w:val="4AC277AC"/>
    <w:rsid w:val="4AD6546A"/>
    <w:rsid w:val="4AE20F59"/>
    <w:rsid w:val="4AF561A9"/>
    <w:rsid w:val="4B0240E8"/>
    <w:rsid w:val="4B2019A4"/>
    <w:rsid w:val="4B8264B7"/>
    <w:rsid w:val="4B920F18"/>
    <w:rsid w:val="4C4A0649"/>
    <w:rsid w:val="4C74286F"/>
    <w:rsid w:val="4C7E5ECA"/>
    <w:rsid w:val="4C876AA5"/>
    <w:rsid w:val="4CEF0170"/>
    <w:rsid w:val="4D0E00FB"/>
    <w:rsid w:val="4D176606"/>
    <w:rsid w:val="4D1E38D8"/>
    <w:rsid w:val="4D2A13A7"/>
    <w:rsid w:val="4D974DAD"/>
    <w:rsid w:val="4DEC4FB0"/>
    <w:rsid w:val="4E075D8A"/>
    <w:rsid w:val="4E2C7AD7"/>
    <w:rsid w:val="4E2E3FCE"/>
    <w:rsid w:val="4E486157"/>
    <w:rsid w:val="4E540BE7"/>
    <w:rsid w:val="4E7C7EEF"/>
    <w:rsid w:val="4EC00FAD"/>
    <w:rsid w:val="4EF91967"/>
    <w:rsid w:val="4F53779D"/>
    <w:rsid w:val="4F7A20A8"/>
    <w:rsid w:val="4F922DA9"/>
    <w:rsid w:val="4F9843DC"/>
    <w:rsid w:val="4FA03331"/>
    <w:rsid w:val="4FA92BB1"/>
    <w:rsid w:val="4FC62A8C"/>
    <w:rsid w:val="4FE20F0D"/>
    <w:rsid w:val="4FE51552"/>
    <w:rsid w:val="50504C4B"/>
    <w:rsid w:val="507F66A0"/>
    <w:rsid w:val="509C6E7C"/>
    <w:rsid w:val="50D7260F"/>
    <w:rsid w:val="50E30FE9"/>
    <w:rsid w:val="510E347C"/>
    <w:rsid w:val="5162104E"/>
    <w:rsid w:val="5199720D"/>
    <w:rsid w:val="51CA4827"/>
    <w:rsid w:val="523C6AE1"/>
    <w:rsid w:val="525C1893"/>
    <w:rsid w:val="526B611C"/>
    <w:rsid w:val="52750905"/>
    <w:rsid w:val="528306BB"/>
    <w:rsid w:val="52AA6995"/>
    <w:rsid w:val="5319468E"/>
    <w:rsid w:val="53361BB5"/>
    <w:rsid w:val="533D5E1F"/>
    <w:rsid w:val="533E1B33"/>
    <w:rsid w:val="53610379"/>
    <w:rsid w:val="539D51A2"/>
    <w:rsid w:val="539D614D"/>
    <w:rsid w:val="53A039CC"/>
    <w:rsid w:val="53A1505A"/>
    <w:rsid w:val="54010618"/>
    <w:rsid w:val="54063E08"/>
    <w:rsid w:val="54143714"/>
    <w:rsid w:val="54256204"/>
    <w:rsid w:val="543437E8"/>
    <w:rsid w:val="546F50A2"/>
    <w:rsid w:val="54A352D7"/>
    <w:rsid w:val="54AB4AB2"/>
    <w:rsid w:val="54E426AF"/>
    <w:rsid w:val="54F73313"/>
    <w:rsid w:val="54F80955"/>
    <w:rsid w:val="552C147D"/>
    <w:rsid w:val="555170A7"/>
    <w:rsid w:val="556D6D1E"/>
    <w:rsid w:val="5587536D"/>
    <w:rsid w:val="559B174B"/>
    <w:rsid w:val="55CE0CF4"/>
    <w:rsid w:val="56166505"/>
    <w:rsid w:val="56B22A9C"/>
    <w:rsid w:val="57790E97"/>
    <w:rsid w:val="57B72A76"/>
    <w:rsid w:val="57C3426C"/>
    <w:rsid w:val="57CE1F93"/>
    <w:rsid w:val="57D4339C"/>
    <w:rsid w:val="57D51C4F"/>
    <w:rsid w:val="57EB0F0E"/>
    <w:rsid w:val="580E24FF"/>
    <w:rsid w:val="582571FA"/>
    <w:rsid w:val="5855720E"/>
    <w:rsid w:val="5870701B"/>
    <w:rsid w:val="587C13DB"/>
    <w:rsid w:val="588743D1"/>
    <w:rsid w:val="5887701A"/>
    <w:rsid w:val="589259C2"/>
    <w:rsid w:val="589F0489"/>
    <w:rsid w:val="58B3306A"/>
    <w:rsid w:val="592A00D8"/>
    <w:rsid w:val="594D2A6F"/>
    <w:rsid w:val="597B2CA5"/>
    <w:rsid w:val="59941FB8"/>
    <w:rsid w:val="59A9717D"/>
    <w:rsid w:val="59B3135A"/>
    <w:rsid w:val="59C0439F"/>
    <w:rsid w:val="5A056A12"/>
    <w:rsid w:val="5A092D0A"/>
    <w:rsid w:val="5A462F0F"/>
    <w:rsid w:val="5A5C0D28"/>
    <w:rsid w:val="5A722482"/>
    <w:rsid w:val="5A8701F7"/>
    <w:rsid w:val="5A962550"/>
    <w:rsid w:val="5ABE2233"/>
    <w:rsid w:val="5ACB2B8F"/>
    <w:rsid w:val="5ADB421C"/>
    <w:rsid w:val="5ADE2214"/>
    <w:rsid w:val="5B047FB3"/>
    <w:rsid w:val="5B0E563D"/>
    <w:rsid w:val="5B4B1C7F"/>
    <w:rsid w:val="5B4F2F92"/>
    <w:rsid w:val="5B9F1712"/>
    <w:rsid w:val="5BDF5D95"/>
    <w:rsid w:val="5BFE7528"/>
    <w:rsid w:val="5C55083D"/>
    <w:rsid w:val="5C7A19E4"/>
    <w:rsid w:val="5CEC5C67"/>
    <w:rsid w:val="5D4A41B1"/>
    <w:rsid w:val="5D641CA2"/>
    <w:rsid w:val="5D681792"/>
    <w:rsid w:val="5D6B5332"/>
    <w:rsid w:val="5D6F7B0C"/>
    <w:rsid w:val="5D7C4B89"/>
    <w:rsid w:val="5D833A00"/>
    <w:rsid w:val="5DE33923"/>
    <w:rsid w:val="5E2279FC"/>
    <w:rsid w:val="5E2467F1"/>
    <w:rsid w:val="5E6E1B79"/>
    <w:rsid w:val="5E8C0C2F"/>
    <w:rsid w:val="5EC724E8"/>
    <w:rsid w:val="5F1A2B43"/>
    <w:rsid w:val="5F501242"/>
    <w:rsid w:val="5F777281"/>
    <w:rsid w:val="5F8F1138"/>
    <w:rsid w:val="5FB837BB"/>
    <w:rsid w:val="5FBD5758"/>
    <w:rsid w:val="5FBF2ADD"/>
    <w:rsid w:val="5FC15D80"/>
    <w:rsid w:val="6051034A"/>
    <w:rsid w:val="60B70AF5"/>
    <w:rsid w:val="60C35D0E"/>
    <w:rsid w:val="60CC405A"/>
    <w:rsid w:val="60E87279"/>
    <w:rsid w:val="613C751D"/>
    <w:rsid w:val="615150FA"/>
    <w:rsid w:val="6191443E"/>
    <w:rsid w:val="61D70C94"/>
    <w:rsid w:val="61E215D8"/>
    <w:rsid w:val="61E85482"/>
    <w:rsid w:val="621B3775"/>
    <w:rsid w:val="622F1255"/>
    <w:rsid w:val="62364782"/>
    <w:rsid w:val="62764951"/>
    <w:rsid w:val="627A3766"/>
    <w:rsid w:val="627D3CE6"/>
    <w:rsid w:val="628C1BCA"/>
    <w:rsid w:val="62B92A90"/>
    <w:rsid w:val="62CF7ED9"/>
    <w:rsid w:val="62F403BA"/>
    <w:rsid w:val="62FB049C"/>
    <w:rsid w:val="62FE04A2"/>
    <w:rsid w:val="62FF1883"/>
    <w:rsid w:val="634461C1"/>
    <w:rsid w:val="63476464"/>
    <w:rsid w:val="6366109A"/>
    <w:rsid w:val="637618C5"/>
    <w:rsid w:val="637B2F6F"/>
    <w:rsid w:val="6394356A"/>
    <w:rsid w:val="63C61B2C"/>
    <w:rsid w:val="63D40BE9"/>
    <w:rsid w:val="63DA1AAF"/>
    <w:rsid w:val="63EF7A8B"/>
    <w:rsid w:val="63F672D6"/>
    <w:rsid w:val="64102431"/>
    <w:rsid w:val="64315D93"/>
    <w:rsid w:val="6458536B"/>
    <w:rsid w:val="645D2102"/>
    <w:rsid w:val="647A63B4"/>
    <w:rsid w:val="64943062"/>
    <w:rsid w:val="64A5243A"/>
    <w:rsid w:val="64C87ABA"/>
    <w:rsid w:val="64E600DB"/>
    <w:rsid w:val="64F531DE"/>
    <w:rsid w:val="651A6297"/>
    <w:rsid w:val="65373578"/>
    <w:rsid w:val="65386C6F"/>
    <w:rsid w:val="654A5CBA"/>
    <w:rsid w:val="6558033E"/>
    <w:rsid w:val="65E87073"/>
    <w:rsid w:val="667E4DB2"/>
    <w:rsid w:val="66A75CE9"/>
    <w:rsid w:val="66B03ADD"/>
    <w:rsid w:val="66F77CA8"/>
    <w:rsid w:val="66FF1151"/>
    <w:rsid w:val="67047F09"/>
    <w:rsid w:val="671F124A"/>
    <w:rsid w:val="67302604"/>
    <w:rsid w:val="67395F4D"/>
    <w:rsid w:val="67410ADD"/>
    <w:rsid w:val="674943E2"/>
    <w:rsid w:val="676F1B18"/>
    <w:rsid w:val="677A33C6"/>
    <w:rsid w:val="677A6A75"/>
    <w:rsid w:val="67803F9F"/>
    <w:rsid w:val="679A01CF"/>
    <w:rsid w:val="67B06F39"/>
    <w:rsid w:val="67BE672F"/>
    <w:rsid w:val="67E37BA4"/>
    <w:rsid w:val="681F6961"/>
    <w:rsid w:val="68474DB8"/>
    <w:rsid w:val="684F1469"/>
    <w:rsid w:val="68577084"/>
    <w:rsid w:val="68610A2F"/>
    <w:rsid w:val="6861624C"/>
    <w:rsid w:val="68805514"/>
    <w:rsid w:val="68835EC9"/>
    <w:rsid w:val="68863414"/>
    <w:rsid w:val="6897206D"/>
    <w:rsid w:val="68C32854"/>
    <w:rsid w:val="68DC3034"/>
    <w:rsid w:val="68EB3277"/>
    <w:rsid w:val="68F20C96"/>
    <w:rsid w:val="68FE6EB4"/>
    <w:rsid w:val="69270594"/>
    <w:rsid w:val="69316E2F"/>
    <w:rsid w:val="69453321"/>
    <w:rsid w:val="694E2071"/>
    <w:rsid w:val="69766163"/>
    <w:rsid w:val="697A3B33"/>
    <w:rsid w:val="6986561E"/>
    <w:rsid w:val="69A17079"/>
    <w:rsid w:val="69AB1384"/>
    <w:rsid w:val="69D44760"/>
    <w:rsid w:val="69D90FBA"/>
    <w:rsid w:val="69DE574A"/>
    <w:rsid w:val="69F65C23"/>
    <w:rsid w:val="69FB1026"/>
    <w:rsid w:val="69FC6272"/>
    <w:rsid w:val="6A116821"/>
    <w:rsid w:val="6A373317"/>
    <w:rsid w:val="6A515DD0"/>
    <w:rsid w:val="6A520EC7"/>
    <w:rsid w:val="6A6A014D"/>
    <w:rsid w:val="6A7028CF"/>
    <w:rsid w:val="6A707ED8"/>
    <w:rsid w:val="6A8D4E45"/>
    <w:rsid w:val="6ABC24CE"/>
    <w:rsid w:val="6AEA0B3C"/>
    <w:rsid w:val="6AF87E20"/>
    <w:rsid w:val="6B013226"/>
    <w:rsid w:val="6B032AFA"/>
    <w:rsid w:val="6B322639"/>
    <w:rsid w:val="6BDB6883"/>
    <w:rsid w:val="6BE31A41"/>
    <w:rsid w:val="6BFF7E53"/>
    <w:rsid w:val="6C4B4B3C"/>
    <w:rsid w:val="6C4F5D06"/>
    <w:rsid w:val="6C5D623A"/>
    <w:rsid w:val="6C636C38"/>
    <w:rsid w:val="6C894EA2"/>
    <w:rsid w:val="6CB73B9C"/>
    <w:rsid w:val="6CDB1F80"/>
    <w:rsid w:val="6CF941B4"/>
    <w:rsid w:val="6D1C0DB3"/>
    <w:rsid w:val="6D47256C"/>
    <w:rsid w:val="6D576C80"/>
    <w:rsid w:val="6DB34098"/>
    <w:rsid w:val="6DB545B6"/>
    <w:rsid w:val="6DC94C4C"/>
    <w:rsid w:val="6DE02FB4"/>
    <w:rsid w:val="6E4F0506"/>
    <w:rsid w:val="6E50156F"/>
    <w:rsid w:val="6E514CED"/>
    <w:rsid w:val="6E781A51"/>
    <w:rsid w:val="6EB563D5"/>
    <w:rsid w:val="6ED92677"/>
    <w:rsid w:val="6ED963DF"/>
    <w:rsid w:val="6EE1124D"/>
    <w:rsid w:val="6F225983"/>
    <w:rsid w:val="6F5F0599"/>
    <w:rsid w:val="6F717598"/>
    <w:rsid w:val="6FC24E12"/>
    <w:rsid w:val="6FFC5590"/>
    <w:rsid w:val="6FFE658D"/>
    <w:rsid w:val="70142C29"/>
    <w:rsid w:val="702901F3"/>
    <w:rsid w:val="703267E8"/>
    <w:rsid w:val="703679D8"/>
    <w:rsid w:val="703E4652"/>
    <w:rsid w:val="705522DE"/>
    <w:rsid w:val="70625A92"/>
    <w:rsid w:val="706C2F1E"/>
    <w:rsid w:val="706D1DD0"/>
    <w:rsid w:val="707E719E"/>
    <w:rsid w:val="70856B87"/>
    <w:rsid w:val="70A42689"/>
    <w:rsid w:val="70AB7EBB"/>
    <w:rsid w:val="70D527EE"/>
    <w:rsid w:val="71451F25"/>
    <w:rsid w:val="715B5300"/>
    <w:rsid w:val="71D27F8A"/>
    <w:rsid w:val="71DA5AC3"/>
    <w:rsid w:val="72085BC5"/>
    <w:rsid w:val="721E5499"/>
    <w:rsid w:val="723A6FC5"/>
    <w:rsid w:val="724B5F6C"/>
    <w:rsid w:val="72553024"/>
    <w:rsid w:val="728B2F42"/>
    <w:rsid w:val="72A725C8"/>
    <w:rsid w:val="72C60402"/>
    <w:rsid w:val="72E360A4"/>
    <w:rsid w:val="73122968"/>
    <w:rsid w:val="731F5D5E"/>
    <w:rsid w:val="73281A91"/>
    <w:rsid w:val="733567EF"/>
    <w:rsid w:val="73BA2723"/>
    <w:rsid w:val="73C51AD5"/>
    <w:rsid w:val="73CB44C1"/>
    <w:rsid w:val="73EB10C8"/>
    <w:rsid w:val="73EC1AA2"/>
    <w:rsid w:val="73F0360B"/>
    <w:rsid w:val="741E793C"/>
    <w:rsid w:val="74227AA4"/>
    <w:rsid w:val="74493C73"/>
    <w:rsid w:val="744B25AF"/>
    <w:rsid w:val="745E3944"/>
    <w:rsid w:val="74F8581B"/>
    <w:rsid w:val="75017111"/>
    <w:rsid w:val="750379B1"/>
    <w:rsid w:val="75343293"/>
    <w:rsid w:val="75823D9F"/>
    <w:rsid w:val="75A32580"/>
    <w:rsid w:val="75AB662E"/>
    <w:rsid w:val="7635099D"/>
    <w:rsid w:val="76A67006"/>
    <w:rsid w:val="7733710D"/>
    <w:rsid w:val="77466106"/>
    <w:rsid w:val="777153E7"/>
    <w:rsid w:val="77762421"/>
    <w:rsid w:val="77782978"/>
    <w:rsid w:val="779A2D71"/>
    <w:rsid w:val="77B56B1F"/>
    <w:rsid w:val="77DA6DF5"/>
    <w:rsid w:val="780F09F4"/>
    <w:rsid w:val="78850FF2"/>
    <w:rsid w:val="78A90480"/>
    <w:rsid w:val="78D26237"/>
    <w:rsid w:val="78E52AB1"/>
    <w:rsid w:val="79374309"/>
    <w:rsid w:val="794519BF"/>
    <w:rsid w:val="79811B4C"/>
    <w:rsid w:val="798B088A"/>
    <w:rsid w:val="799061D5"/>
    <w:rsid w:val="79A57791"/>
    <w:rsid w:val="79AD5763"/>
    <w:rsid w:val="79AF51FF"/>
    <w:rsid w:val="79D12C77"/>
    <w:rsid w:val="79D22368"/>
    <w:rsid w:val="79D8414E"/>
    <w:rsid w:val="79FE73B0"/>
    <w:rsid w:val="7A10221B"/>
    <w:rsid w:val="7A205D55"/>
    <w:rsid w:val="7A364017"/>
    <w:rsid w:val="7A3B7A0F"/>
    <w:rsid w:val="7A465513"/>
    <w:rsid w:val="7A8265E1"/>
    <w:rsid w:val="7A843B98"/>
    <w:rsid w:val="7AAC6D0A"/>
    <w:rsid w:val="7AAF3D7E"/>
    <w:rsid w:val="7B152B01"/>
    <w:rsid w:val="7B1D28A1"/>
    <w:rsid w:val="7B2F5245"/>
    <w:rsid w:val="7B3311D9"/>
    <w:rsid w:val="7B367B0A"/>
    <w:rsid w:val="7B3867F0"/>
    <w:rsid w:val="7B686D42"/>
    <w:rsid w:val="7B6F730F"/>
    <w:rsid w:val="7B7A6E08"/>
    <w:rsid w:val="7B841746"/>
    <w:rsid w:val="7B9F061D"/>
    <w:rsid w:val="7BA14395"/>
    <w:rsid w:val="7BD61B65"/>
    <w:rsid w:val="7BE2499A"/>
    <w:rsid w:val="7C6C5AC7"/>
    <w:rsid w:val="7C710B5C"/>
    <w:rsid w:val="7CC6544B"/>
    <w:rsid w:val="7CDA4005"/>
    <w:rsid w:val="7CE20B11"/>
    <w:rsid w:val="7CE31E50"/>
    <w:rsid w:val="7D0239FF"/>
    <w:rsid w:val="7D120A68"/>
    <w:rsid w:val="7D37313C"/>
    <w:rsid w:val="7D5E40CD"/>
    <w:rsid w:val="7D79177D"/>
    <w:rsid w:val="7D80447E"/>
    <w:rsid w:val="7DCD56F2"/>
    <w:rsid w:val="7E1661B1"/>
    <w:rsid w:val="7E307C52"/>
    <w:rsid w:val="7E4C2F38"/>
    <w:rsid w:val="7E5538BB"/>
    <w:rsid w:val="7E6D5E59"/>
    <w:rsid w:val="7EC86E2C"/>
    <w:rsid w:val="7ED33EB6"/>
    <w:rsid w:val="7F001CE7"/>
    <w:rsid w:val="7F044D9C"/>
    <w:rsid w:val="7F397EF6"/>
    <w:rsid w:val="7F900AD3"/>
    <w:rsid w:val="7FA06711"/>
    <w:rsid w:val="7FCB3342"/>
    <w:rsid w:val="7FE47E50"/>
    <w:rsid w:val="7FFC4CDB"/>
  </w:rsids>
  <m:mathPr>
    <m:mathFont m:val="Times New Roman"/>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qFormat/>
    <w:uiPriority w:val="0"/>
    <w:pPr>
      <w:keepNext/>
      <w:keepLines/>
      <w:spacing w:before="120" w:after="120" w:line="480" w:lineRule="exact"/>
      <w:ind w:firstLine="0" w:firstLineChars="0"/>
      <w:outlineLvl w:val="1"/>
    </w:pPr>
    <w:rPr>
      <w:rFonts w:ascii="Times New Roman" w:hAnsi="Times New Roman" w:cs="Times New Roman"/>
      <w:b/>
      <w:bCs/>
      <w:sz w:val="28"/>
      <w:szCs w:val="32"/>
    </w:rPr>
  </w:style>
  <w:style w:type="paragraph" w:styleId="4">
    <w:name w:val="heading 3"/>
    <w:basedOn w:val="1"/>
    <w:next w:val="1"/>
    <w:qFormat/>
    <w:uiPriority w:val="0"/>
    <w:pPr>
      <w:keepLines/>
      <w:numPr>
        <w:ilvl w:val="2"/>
        <w:numId w:val="1"/>
      </w:numPr>
      <w:tabs>
        <w:tab w:val="left" w:pos="851"/>
      </w:tabs>
      <w:adjustRightInd w:val="0"/>
      <w:spacing w:line="360" w:lineRule="auto"/>
      <w:textAlignment w:val="bottom"/>
      <w:outlineLvl w:val="2"/>
    </w:pPr>
    <w:rPr>
      <w:kern w:val="0"/>
      <w:sz w:val="28"/>
      <w:szCs w:val="20"/>
    </w:rPr>
  </w:style>
  <w:style w:type="paragraph" w:styleId="5">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4">
    <w:name w:val="Default Paragraph Font"/>
    <w:link w:val="35"/>
    <w:semiHidden/>
    <w:qFormat/>
    <w:uiPriority w:val="0"/>
    <w:rPr>
      <w:rFonts w:ascii="宋体" w:hAnsi="宋体" w:cs="宋体"/>
      <w:sz w:val="24"/>
      <w:szCs w:val="24"/>
    </w:rPr>
  </w:style>
  <w:style w:type="table" w:default="1" w:styleId="32">
    <w:name w:val="Normal Table"/>
    <w:semiHidden/>
    <w:qFormat/>
    <w:uiPriority w:val="0"/>
    <w:tblPr>
      <w:tblCellMar>
        <w:top w:w="0" w:type="dxa"/>
        <w:left w:w="108" w:type="dxa"/>
        <w:bottom w:w="0" w:type="dxa"/>
        <w:right w:w="108" w:type="dxa"/>
      </w:tblCellMar>
    </w:tblPr>
  </w:style>
  <w:style w:type="paragraph" w:styleId="6">
    <w:name w:val="Normal Indent"/>
    <w:basedOn w:val="1"/>
    <w:qFormat/>
    <w:uiPriority w:val="0"/>
    <w:pPr>
      <w:spacing w:line="600" w:lineRule="exact"/>
      <w:ind w:firstLine="420"/>
    </w:pPr>
    <w:rPr>
      <w:rFonts w:ascii="宋体"/>
      <w:sz w:val="32"/>
    </w:rPr>
  </w:style>
  <w:style w:type="paragraph" w:styleId="7">
    <w:name w:val="caption"/>
    <w:basedOn w:val="1"/>
    <w:next w:val="1"/>
    <w:qFormat/>
    <w:uiPriority w:val="0"/>
    <w:rPr>
      <w:rFonts w:ascii="Cambria" w:hAnsi="Cambria" w:eastAsia="黑体"/>
      <w:kern w:val="0"/>
      <w:sz w:val="20"/>
    </w:rPr>
  </w:style>
  <w:style w:type="paragraph" w:styleId="8">
    <w:name w:val="annotation text"/>
    <w:basedOn w:val="1"/>
    <w:link w:val="51"/>
    <w:semiHidden/>
    <w:qFormat/>
    <w:uiPriority w:val="0"/>
    <w:pPr>
      <w:jc w:val="left"/>
    </w:pPr>
    <w:rPr>
      <w:kern w:val="0"/>
      <w:sz w:val="24"/>
      <w:szCs w:val="20"/>
    </w:rPr>
  </w:style>
  <w:style w:type="paragraph" w:styleId="9">
    <w:name w:val="Body Text"/>
    <w:basedOn w:val="1"/>
    <w:link w:val="41"/>
    <w:qFormat/>
    <w:uiPriority w:val="0"/>
    <w:pPr>
      <w:widowControl/>
      <w:snapToGrid w:val="0"/>
      <w:spacing w:before="60" w:after="160" w:line="259" w:lineRule="auto"/>
      <w:ind w:right="113"/>
    </w:pPr>
    <w:rPr>
      <w:kern w:val="0"/>
      <w:sz w:val="18"/>
      <w:szCs w:val="20"/>
    </w:rPr>
  </w:style>
  <w:style w:type="paragraph" w:styleId="10">
    <w:name w:val="Body Text Indent"/>
    <w:basedOn w:val="1"/>
    <w:link w:val="52"/>
    <w:qFormat/>
    <w:uiPriority w:val="0"/>
    <w:pPr>
      <w:spacing w:after="120"/>
      <w:ind w:left="420" w:leftChars="200"/>
    </w:pPr>
    <w:rPr>
      <w:kern w:val="0"/>
      <w:sz w:val="24"/>
      <w:szCs w:val="20"/>
    </w:rPr>
  </w:style>
  <w:style w:type="paragraph" w:styleId="11">
    <w:name w:val="Block Text"/>
    <w:basedOn w:val="1"/>
    <w:qFormat/>
    <w:uiPriority w:val="0"/>
    <w:pPr>
      <w:snapToGrid w:val="0"/>
      <w:spacing w:line="440" w:lineRule="exact"/>
      <w:ind w:left="210" w:leftChars="100" w:right="210" w:rightChars="100" w:firstLine="573"/>
    </w:pPr>
    <w:rPr>
      <w:rFonts w:ascii="宋体" w:hAnsi="宋体"/>
      <w:sz w:val="28"/>
    </w:rPr>
  </w:style>
  <w:style w:type="paragraph" w:styleId="12">
    <w:name w:val="HTML Address"/>
    <w:basedOn w:val="1"/>
    <w:qFormat/>
    <w:uiPriority w:val="0"/>
    <w:rPr>
      <w:i/>
    </w:rPr>
  </w:style>
  <w:style w:type="paragraph" w:styleId="13">
    <w:name w:val="Plain Text"/>
    <w:basedOn w:val="1"/>
    <w:next w:val="14"/>
    <w:qFormat/>
    <w:uiPriority w:val="0"/>
    <w:rPr>
      <w:rFonts w:ascii="宋体" w:hAnsi="Courier New"/>
      <w:szCs w:val="20"/>
    </w:rPr>
  </w:style>
  <w:style w:type="paragraph" w:styleId="14">
    <w:name w:val="List Number 5"/>
    <w:basedOn w:val="1"/>
    <w:qFormat/>
    <w:uiPriority w:val="0"/>
    <w:pPr>
      <w:numPr>
        <w:ilvl w:val="0"/>
        <w:numId w:val="2"/>
      </w:numPr>
    </w:pPr>
  </w:style>
  <w:style w:type="paragraph" w:styleId="15">
    <w:name w:val="List Bullet 5"/>
    <w:basedOn w:val="1"/>
    <w:qFormat/>
    <w:uiPriority w:val="0"/>
    <w:pPr>
      <w:numPr>
        <w:ilvl w:val="0"/>
        <w:numId w:val="3"/>
      </w:numPr>
    </w:pPr>
  </w:style>
  <w:style w:type="paragraph" w:styleId="16">
    <w:name w:val="Date"/>
    <w:basedOn w:val="1"/>
    <w:next w:val="1"/>
    <w:link w:val="53"/>
    <w:qFormat/>
    <w:uiPriority w:val="0"/>
    <w:pPr>
      <w:ind w:left="100" w:leftChars="2500"/>
    </w:pPr>
    <w:rPr>
      <w:kern w:val="0"/>
      <w:sz w:val="24"/>
      <w:szCs w:val="20"/>
    </w:rPr>
  </w:style>
  <w:style w:type="paragraph" w:styleId="17">
    <w:name w:val="Balloon Text"/>
    <w:basedOn w:val="1"/>
    <w:link w:val="54"/>
    <w:semiHidden/>
    <w:qFormat/>
    <w:uiPriority w:val="0"/>
    <w:rPr>
      <w:kern w:val="0"/>
      <w:sz w:val="18"/>
      <w:szCs w:val="20"/>
    </w:rPr>
  </w:style>
  <w:style w:type="paragraph" w:styleId="18">
    <w:name w:val="footer"/>
    <w:basedOn w:val="1"/>
    <w:link w:val="55"/>
    <w:qFormat/>
    <w:uiPriority w:val="99"/>
    <w:pPr>
      <w:tabs>
        <w:tab w:val="center" w:pos="4153"/>
        <w:tab w:val="right" w:pos="8306"/>
      </w:tabs>
      <w:snapToGrid w:val="0"/>
      <w:jc w:val="left"/>
    </w:pPr>
    <w:rPr>
      <w:kern w:val="0"/>
      <w:sz w:val="18"/>
      <w:szCs w:val="20"/>
    </w:rPr>
  </w:style>
  <w:style w:type="paragraph" w:styleId="19">
    <w:name w:val="header"/>
    <w:basedOn w:val="1"/>
    <w:next w:val="20"/>
    <w:link w:val="56"/>
    <w:qFormat/>
    <w:uiPriority w:val="0"/>
    <w:pPr>
      <w:pBdr>
        <w:bottom w:val="single" w:color="auto" w:sz="6" w:space="1"/>
      </w:pBdr>
      <w:tabs>
        <w:tab w:val="center" w:pos="4153"/>
        <w:tab w:val="right" w:pos="8306"/>
      </w:tabs>
      <w:snapToGrid w:val="0"/>
      <w:jc w:val="center"/>
    </w:pPr>
    <w:rPr>
      <w:kern w:val="0"/>
      <w:sz w:val="18"/>
      <w:szCs w:val="20"/>
    </w:rPr>
  </w:style>
  <w:style w:type="paragraph" w:customStyle="1" w:styleId="20">
    <w:name w:val="样式5"/>
    <w:basedOn w:val="21"/>
    <w:qFormat/>
    <w:uiPriority w:val="0"/>
    <w:pPr>
      <w:spacing w:line="360" w:lineRule="auto"/>
    </w:pPr>
    <w:rPr>
      <w:rFonts w:ascii="Times New Roman" w:hAnsi="Times New Roman"/>
      <w:sz w:val="24"/>
      <w:szCs w:val="22"/>
    </w:rPr>
  </w:style>
  <w:style w:type="paragraph" w:customStyle="1" w:styleId="21">
    <w:name w:val="正文1"/>
    <w:basedOn w:val="6"/>
    <w:next w:val="1"/>
    <w:qFormat/>
    <w:uiPriority w:val="0"/>
    <w:pPr>
      <w:spacing w:before="78" w:beforeLines="25" w:after="78" w:afterLines="25" w:line="360" w:lineRule="auto"/>
      <w:ind w:firstLine="480" w:firstLineChars="200"/>
    </w:pPr>
    <w:rPr>
      <w:sz w:val="24"/>
    </w:rPr>
  </w:style>
  <w:style w:type="paragraph" w:styleId="22">
    <w:name w:val="toc 1"/>
    <w:basedOn w:val="1"/>
    <w:next w:val="1"/>
    <w:unhideWhenUsed/>
    <w:qFormat/>
    <w:uiPriority w:val="39"/>
  </w:style>
  <w:style w:type="paragraph" w:styleId="23">
    <w:name w:val="index heading"/>
    <w:basedOn w:val="1"/>
    <w:next w:val="24"/>
    <w:qFormat/>
    <w:uiPriority w:val="0"/>
    <w:pPr>
      <w:adjustRightInd w:val="0"/>
      <w:spacing w:line="360" w:lineRule="auto"/>
      <w:ind w:firstLine="561"/>
      <w:textAlignment w:val="baseline"/>
    </w:pPr>
    <w:rPr>
      <w:rFonts w:eastAsia="宋体"/>
      <w:kern w:val="0"/>
    </w:rPr>
  </w:style>
  <w:style w:type="paragraph" w:styleId="24">
    <w:name w:val="index 1"/>
    <w:basedOn w:val="1"/>
    <w:next w:val="1"/>
    <w:qFormat/>
    <w:uiPriority w:val="0"/>
  </w:style>
  <w:style w:type="paragraph" w:styleId="25">
    <w:name w:val="List"/>
    <w:basedOn w:val="1"/>
    <w:next w:val="1"/>
    <w:unhideWhenUsed/>
    <w:qFormat/>
    <w:uiPriority w:val="0"/>
    <w:pPr>
      <w:adjustRightInd w:val="0"/>
      <w:ind w:left="-2" w:leftChars="-1" w:right="-108" w:rightChars="-45" w:firstLine="420"/>
      <w:jc w:val="left"/>
    </w:pPr>
    <w:rPr>
      <w:rFonts w:ascii="黑体" w:eastAsia="黑体"/>
      <w:kern w:val="0"/>
      <w:sz w:val="20"/>
      <w:szCs w:val="20"/>
    </w:rPr>
  </w:style>
  <w:style w:type="paragraph" w:styleId="26">
    <w:name w:val="toc 2"/>
    <w:basedOn w:val="1"/>
    <w:next w:val="1"/>
    <w:semiHidden/>
    <w:qFormat/>
    <w:uiPriority w:val="0"/>
    <w:pPr>
      <w:ind w:left="420" w:leftChars="200"/>
    </w:pPr>
  </w:style>
  <w:style w:type="paragraph" w:styleId="27">
    <w:name w:val="Body Text 2"/>
    <w:basedOn w:val="1"/>
    <w:qFormat/>
    <w:uiPriority w:val="0"/>
    <w:pPr>
      <w:spacing w:after="120" w:afterLines="0" w:line="480" w:lineRule="auto"/>
    </w:pPr>
    <w:rPr>
      <w:szCs w:val="24"/>
    </w:rPr>
  </w:style>
  <w:style w:type="paragraph" w:styleId="28">
    <w:name w:val="Normal (Web)"/>
    <w:basedOn w:val="1"/>
    <w:link w:val="57"/>
    <w:qFormat/>
    <w:uiPriority w:val="0"/>
    <w:pPr>
      <w:widowControl/>
      <w:spacing w:before="100" w:beforeAutospacing="1" w:after="100" w:afterAutospacing="1"/>
      <w:jc w:val="left"/>
    </w:pPr>
    <w:rPr>
      <w:rFonts w:ascii="宋体" w:hAnsi="宋体"/>
      <w:kern w:val="0"/>
      <w:sz w:val="24"/>
      <w:szCs w:val="20"/>
    </w:rPr>
  </w:style>
  <w:style w:type="paragraph" w:styleId="29">
    <w:name w:val="annotation subject"/>
    <w:basedOn w:val="8"/>
    <w:next w:val="8"/>
    <w:link w:val="58"/>
    <w:semiHidden/>
    <w:qFormat/>
    <w:uiPriority w:val="0"/>
    <w:rPr>
      <w:b/>
      <w:sz w:val="24"/>
      <w:szCs w:val="20"/>
    </w:rPr>
  </w:style>
  <w:style w:type="paragraph" w:styleId="30">
    <w:name w:val="Body Text First Indent"/>
    <w:basedOn w:val="9"/>
    <w:next w:val="1"/>
    <w:qFormat/>
    <w:uiPriority w:val="0"/>
    <w:pPr>
      <w:spacing w:after="120"/>
      <w:ind w:firstLine="420" w:firstLineChars="100"/>
    </w:pPr>
    <w:rPr>
      <w:rFonts w:eastAsia="宋体"/>
      <w:sz w:val="21"/>
    </w:rPr>
  </w:style>
  <w:style w:type="paragraph" w:styleId="31">
    <w:name w:val="Body Text First Indent 2"/>
    <w:basedOn w:val="10"/>
    <w:qFormat/>
    <w:uiPriority w:val="0"/>
    <w:pPr>
      <w:spacing w:after="120" w:line="240" w:lineRule="auto"/>
      <w:ind w:left="420" w:leftChars="200" w:firstLine="420" w:firstLineChars="200"/>
    </w:pPr>
    <w:rPr>
      <w:rFonts w:eastAsia="宋体"/>
      <w:szCs w:val="24"/>
    </w:rPr>
  </w:style>
  <w:style w:type="table" w:styleId="33">
    <w:name w:val="Table Grid"/>
    <w:basedOn w:val="32"/>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5">
    <w:name w:val="默认段落字体 Para Char"/>
    <w:basedOn w:val="1"/>
    <w:next w:val="1"/>
    <w:link w:val="34"/>
    <w:qFormat/>
    <w:uiPriority w:val="0"/>
    <w:pPr>
      <w:spacing w:line="360" w:lineRule="auto"/>
      <w:ind w:firstLine="200" w:firstLineChars="200"/>
    </w:pPr>
    <w:rPr>
      <w:rFonts w:ascii="宋体" w:hAnsi="宋体" w:cs="宋体"/>
      <w:sz w:val="24"/>
      <w:szCs w:val="24"/>
    </w:rPr>
  </w:style>
  <w:style w:type="character" w:styleId="36">
    <w:name w:val="Strong"/>
    <w:basedOn w:val="34"/>
    <w:qFormat/>
    <w:uiPriority w:val="0"/>
    <w:rPr>
      <w:b/>
    </w:rPr>
  </w:style>
  <w:style w:type="character" w:styleId="37">
    <w:name w:val="page number"/>
    <w:basedOn w:val="34"/>
    <w:qFormat/>
    <w:uiPriority w:val="0"/>
  </w:style>
  <w:style w:type="character" w:styleId="38">
    <w:name w:val="Emphasis"/>
    <w:basedOn w:val="34"/>
    <w:qFormat/>
    <w:uiPriority w:val="0"/>
    <w:rPr>
      <w:i/>
    </w:rPr>
  </w:style>
  <w:style w:type="character" w:styleId="39">
    <w:name w:val="Hyperlink"/>
    <w:basedOn w:val="34"/>
    <w:qFormat/>
    <w:uiPriority w:val="0"/>
    <w:rPr>
      <w:color w:val="0000FF"/>
      <w:u w:val="single"/>
    </w:rPr>
  </w:style>
  <w:style w:type="character" w:styleId="40">
    <w:name w:val="annotation reference"/>
    <w:semiHidden/>
    <w:qFormat/>
    <w:uiPriority w:val="0"/>
    <w:rPr>
      <w:sz w:val="21"/>
    </w:rPr>
  </w:style>
  <w:style w:type="character" w:customStyle="1" w:styleId="41">
    <w:name w:val="正文文本 Char"/>
    <w:link w:val="9"/>
    <w:qFormat/>
    <w:uiPriority w:val="0"/>
    <w:rPr>
      <w:sz w:val="18"/>
    </w:rPr>
  </w:style>
  <w:style w:type="paragraph" w:customStyle="1" w:styleId="42">
    <w:name w:val="表头"/>
    <w:basedOn w:val="6"/>
    <w:next w:val="1"/>
    <w:qFormat/>
    <w:uiPriority w:val="0"/>
    <w:pPr>
      <w:tabs>
        <w:tab w:val="left" w:pos="6840"/>
      </w:tabs>
      <w:topLinePunct/>
      <w:snapToGrid w:val="0"/>
      <w:spacing w:line="529" w:lineRule="exact"/>
      <w:jc w:val="center"/>
    </w:pPr>
    <w:rPr>
      <w:rFonts w:ascii="宋体" w:hAnsi="宋体" w:cs="宋体"/>
      <w:b/>
      <w:bCs/>
      <w:kern w:val="24"/>
      <w:sz w:val="24"/>
      <w:szCs w:val="28"/>
    </w:rPr>
  </w:style>
  <w:style w:type="paragraph" w:customStyle="1" w:styleId="43">
    <w:name w:val="Default"/>
    <w:basedOn w:val="44"/>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44">
    <w:name w:val="表格标题"/>
    <w:basedOn w:val="7"/>
    <w:next w:val="1"/>
    <w:qFormat/>
    <w:uiPriority w:val="0"/>
    <w:pPr>
      <w:spacing w:before="120"/>
      <w:jc w:val="center"/>
    </w:pPr>
    <w:rPr>
      <w:rFonts w:ascii="Calibri" w:hAnsi="Calibri" w:eastAsia="仿宋_GB2312"/>
      <w:sz w:val="24"/>
      <w:szCs w:val="20"/>
    </w:rPr>
  </w:style>
  <w:style w:type="paragraph" w:customStyle="1" w:styleId="45">
    <w:name w:val="样式 正文文本 + 首行缩进:  2 字符"/>
    <w:qFormat/>
    <w:uiPriority w:val="99"/>
    <w:pPr>
      <w:spacing w:after="200" w:line="480" w:lineRule="exact"/>
      <w:ind w:firstLine="480" w:firstLineChars="200"/>
      <w:jc w:val="center"/>
    </w:pPr>
    <w:rPr>
      <w:rFonts w:ascii="宋体" w:hAnsi="宋体" w:eastAsia="Calibri" w:cs="Times New Roman"/>
      <w:sz w:val="24"/>
      <w:szCs w:val="22"/>
      <w:lang w:val="en-US" w:eastAsia="zh-CN" w:bidi="ar-SA"/>
    </w:rPr>
  </w:style>
  <w:style w:type="paragraph" w:customStyle="1" w:styleId="46">
    <w:name w:val="表格内"/>
    <w:basedOn w:val="1"/>
    <w:qFormat/>
    <w:uiPriority w:val="0"/>
    <w:pPr>
      <w:spacing w:line="360" w:lineRule="exact"/>
      <w:jc w:val="center"/>
    </w:pPr>
    <w:rPr>
      <w:rFonts w:ascii="Times New Roman" w:hAnsi="Times New Roman"/>
      <w:snapToGrid w:val="0"/>
      <w:szCs w:val="21"/>
    </w:rPr>
  </w:style>
  <w:style w:type="paragraph" w:customStyle="1" w:styleId="47">
    <w:name w:val="样式4"/>
    <w:basedOn w:val="1"/>
    <w:qFormat/>
    <w:uiPriority w:val="0"/>
    <w:pPr>
      <w:tabs>
        <w:tab w:val="left" w:pos="9128"/>
      </w:tabs>
      <w:adjustRightInd w:val="0"/>
      <w:snapToGrid w:val="0"/>
      <w:spacing w:line="500" w:lineRule="exact"/>
      <w:jc w:val="center"/>
    </w:pPr>
  </w:style>
  <w:style w:type="paragraph" w:customStyle="1" w:styleId="48">
    <w:name w:val="表格"/>
    <w:basedOn w:val="25"/>
    <w:next w:val="27"/>
    <w:link w:val="59"/>
    <w:qFormat/>
    <w:uiPriority w:val="0"/>
    <w:pPr>
      <w:adjustRightInd w:val="0"/>
      <w:snapToGrid w:val="0"/>
      <w:spacing w:beforeLines="10" w:afterLines="10" w:line="259" w:lineRule="auto"/>
      <w:jc w:val="center"/>
    </w:pPr>
    <w:rPr>
      <w:rFonts w:ascii="宋体"/>
      <w:kern w:val="0"/>
      <w:szCs w:val="20"/>
    </w:rPr>
  </w:style>
  <w:style w:type="paragraph" w:customStyle="1" w:styleId="49">
    <w:name w:val="1 表头"/>
    <w:basedOn w:val="1"/>
    <w:qFormat/>
    <w:uiPriority w:val="0"/>
    <w:pPr>
      <w:adjustRightInd w:val="0"/>
      <w:snapToGrid w:val="0"/>
      <w:spacing w:line="240" w:lineRule="auto"/>
      <w:ind w:firstLine="0" w:firstLineChars="0"/>
      <w:jc w:val="center"/>
    </w:pPr>
    <w:rPr>
      <w:b/>
      <w:color w:val="000000"/>
      <w:sz w:val="21"/>
      <w:szCs w:val="21"/>
    </w:rPr>
  </w:style>
  <w:style w:type="paragraph" w:customStyle="1" w:styleId="50">
    <w:name w:val="纯文本1"/>
    <w:basedOn w:val="1"/>
    <w:qFormat/>
    <w:uiPriority w:val="0"/>
    <w:pPr>
      <w:adjustRightInd w:val="0"/>
      <w:textAlignment w:val="baseline"/>
    </w:pPr>
    <w:rPr>
      <w:rFonts w:ascii="宋体" w:hAnsi="Courier New"/>
      <w:szCs w:val="20"/>
    </w:rPr>
  </w:style>
  <w:style w:type="character" w:customStyle="1" w:styleId="51">
    <w:name w:val="批注文字 Char"/>
    <w:link w:val="8"/>
    <w:qFormat/>
    <w:uiPriority w:val="0"/>
    <w:rPr>
      <w:rFonts w:ascii="Times New Roman" w:hAnsi="Times New Roman" w:eastAsia="宋体"/>
      <w:sz w:val="24"/>
    </w:rPr>
  </w:style>
  <w:style w:type="character" w:customStyle="1" w:styleId="52">
    <w:name w:val="正文文本缩进 Char"/>
    <w:link w:val="10"/>
    <w:semiHidden/>
    <w:qFormat/>
    <w:uiPriority w:val="0"/>
    <w:rPr>
      <w:rFonts w:ascii="Times New Roman" w:hAnsi="Times New Roman" w:eastAsia="宋体"/>
      <w:sz w:val="24"/>
    </w:rPr>
  </w:style>
  <w:style w:type="character" w:customStyle="1" w:styleId="53">
    <w:name w:val="日期 Char"/>
    <w:link w:val="16"/>
    <w:qFormat/>
    <w:uiPriority w:val="0"/>
    <w:rPr>
      <w:rFonts w:ascii="Times New Roman" w:hAnsi="Times New Roman" w:eastAsia="宋体"/>
      <w:sz w:val="24"/>
    </w:rPr>
  </w:style>
  <w:style w:type="character" w:customStyle="1" w:styleId="54">
    <w:name w:val="批注框文本 Char"/>
    <w:link w:val="17"/>
    <w:semiHidden/>
    <w:qFormat/>
    <w:uiPriority w:val="0"/>
    <w:rPr>
      <w:rFonts w:ascii="Times New Roman" w:hAnsi="Times New Roman" w:eastAsia="宋体"/>
      <w:sz w:val="18"/>
    </w:rPr>
  </w:style>
  <w:style w:type="character" w:customStyle="1" w:styleId="55">
    <w:name w:val="页脚 Char"/>
    <w:link w:val="18"/>
    <w:qFormat/>
    <w:uiPriority w:val="99"/>
    <w:rPr>
      <w:sz w:val="18"/>
    </w:rPr>
  </w:style>
  <w:style w:type="character" w:customStyle="1" w:styleId="56">
    <w:name w:val="页眉 Char"/>
    <w:link w:val="19"/>
    <w:qFormat/>
    <w:uiPriority w:val="0"/>
    <w:rPr>
      <w:sz w:val="18"/>
    </w:rPr>
  </w:style>
  <w:style w:type="character" w:customStyle="1" w:styleId="57">
    <w:name w:val="普通(网站) Char"/>
    <w:link w:val="28"/>
    <w:qFormat/>
    <w:uiPriority w:val="0"/>
    <w:rPr>
      <w:rFonts w:ascii="宋体" w:hAnsi="宋体" w:eastAsia="宋体"/>
      <w:sz w:val="24"/>
    </w:rPr>
  </w:style>
  <w:style w:type="character" w:customStyle="1" w:styleId="58">
    <w:name w:val="批注主题 Char"/>
    <w:link w:val="29"/>
    <w:semiHidden/>
    <w:qFormat/>
    <w:uiPriority w:val="0"/>
    <w:rPr>
      <w:rFonts w:ascii="Times New Roman" w:hAnsi="Times New Roman" w:eastAsia="宋体"/>
      <w:b/>
      <w:kern w:val="2"/>
      <w:sz w:val="24"/>
    </w:rPr>
  </w:style>
  <w:style w:type="character" w:customStyle="1" w:styleId="59">
    <w:name w:val="表格 Char"/>
    <w:link w:val="48"/>
    <w:qFormat/>
    <w:uiPriority w:val="0"/>
    <w:rPr>
      <w:rFonts w:ascii="宋体"/>
      <w:sz w:val="21"/>
    </w:rPr>
  </w:style>
  <w:style w:type="paragraph" w:customStyle="1" w:styleId="60">
    <w:name w:val="Body Text 21"/>
    <w:basedOn w:val="1"/>
    <w:qFormat/>
    <w:uiPriority w:val="0"/>
    <w:pPr>
      <w:spacing w:after="120" w:line="480" w:lineRule="auto"/>
    </w:pPr>
  </w:style>
  <w:style w:type="paragraph" w:customStyle="1" w:styleId="61">
    <w:name w:val="样式 首行缩进:  2 字符1"/>
    <w:basedOn w:val="1"/>
    <w:qFormat/>
    <w:uiPriority w:val="0"/>
    <w:pPr>
      <w:spacing w:before="120" w:beforeLines="0" w:line="400" w:lineRule="exact"/>
      <w:ind w:firstLine="200" w:firstLineChars="200"/>
    </w:pPr>
    <w:rPr>
      <w:rFonts w:ascii="宋体"/>
      <w:sz w:val="24"/>
      <w:szCs w:val="20"/>
    </w:rPr>
  </w:style>
  <w:style w:type="character" w:customStyle="1" w:styleId="62">
    <w:name w:val="font81"/>
    <w:basedOn w:val="34"/>
    <w:qFormat/>
    <w:uiPriority w:val="0"/>
    <w:rPr>
      <w:rFonts w:hint="default" w:ascii="Times New Roman" w:hAnsi="Times New Roman" w:cs="Times New Roman"/>
      <w:b/>
      <w:color w:val="FF0000"/>
      <w:sz w:val="21"/>
      <w:szCs w:val="21"/>
      <w:u w:val="none"/>
    </w:rPr>
  </w:style>
  <w:style w:type="character" w:customStyle="1" w:styleId="63">
    <w:name w:val="font51"/>
    <w:basedOn w:val="34"/>
    <w:qFormat/>
    <w:uiPriority w:val="0"/>
    <w:rPr>
      <w:rFonts w:hint="default" w:ascii="Times New Roman" w:hAnsi="Times New Roman" w:cs="Times New Roman"/>
      <w:b/>
      <w:color w:val="FF0000"/>
      <w:sz w:val="21"/>
      <w:szCs w:val="21"/>
      <w:u w:val="none"/>
    </w:rPr>
  </w:style>
  <w:style w:type="character" w:customStyle="1" w:styleId="64">
    <w:name w:val="样式 四号"/>
    <w:qFormat/>
    <w:uiPriority w:val="0"/>
    <w:rPr>
      <w:sz w:val="28"/>
    </w:rPr>
  </w:style>
  <w:style w:type="character" w:customStyle="1" w:styleId="65">
    <w:name w:val="NormalCharacter"/>
    <w:semiHidden/>
    <w:qFormat/>
    <w:uiPriority w:val="0"/>
    <w:rPr>
      <w:kern w:val="2"/>
      <w:sz w:val="21"/>
      <w:szCs w:val="24"/>
      <w:lang w:val="en-US" w:eastAsia="zh-CN" w:bidi="ar-SA"/>
    </w:rPr>
  </w:style>
  <w:style w:type="character" w:customStyle="1" w:styleId="66">
    <w:name w:val="日期 字符"/>
    <w:semiHidden/>
    <w:qFormat/>
    <w:uiPriority w:val="0"/>
    <w:rPr>
      <w:rFonts w:ascii="Times New Roman" w:hAnsi="Times New Roman" w:eastAsia="宋体"/>
      <w:sz w:val="24"/>
    </w:rPr>
  </w:style>
  <w:style w:type="character" w:customStyle="1" w:styleId="67">
    <w:name w:val="font61"/>
    <w:basedOn w:val="34"/>
    <w:qFormat/>
    <w:uiPriority w:val="0"/>
    <w:rPr>
      <w:rFonts w:hint="default" w:ascii="Times New Roman" w:hAnsi="Times New Roman" w:cs="Times New Roman"/>
      <w:color w:val="FF0000"/>
      <w:sz w:val="21"/>
      <w:szCs w:val="21"/>
      <w:u w:val="none"/>
    </w:rPr>
  </w:style>
  <w:style w:type="character" w:customStyle="1" w:styleId="68">
    <w:name w:val="font41"/>
    <w:basedOn w:val="34"/>
    <w:qFormat/>
    <w:uiPriority w:val="0"/>
    <w:rPr>
      <w:rFonts w:hint="default" w:ascii="Times New Roman" w:hAnsi="Times New Roman" w:cs="Times New Roman"/>
      <w:color w:val="000000"/>
      <w:sz w:val="21"/>
      <w:szCs w:val="21"/>
      <w:u w:val="none"/>
      <w:vertAlign w:val="superscript"/>
    </w:rPr>
  </w:style>
  <w:style w:type="character" w:customStyle="1" w:styleId="69">
    <w:name w:val="font21"/>
    <w:basedOn w:val="34"/>
    <w:qFormat/>
    <w:uiPriority w:val="0"/>
    <w:rPr>
      <w:rFonts w:hint="default" w:ascii="Times New Roman" w:hAnsi="Times New Roman" w:cs="Times New Roman"/>
      <w:b/>
      <w:color w:val="FF0000"/>
      <w:sz w:val="21"/>
      <w:szCs w:val="21"/>
      <w:u w:val="none"/>
      <w:vertAlign w:val="subscript"/>
    </w:rPr>
  </w:style>
  <w:style w:type="character" w:customStyle="1" w:styleId="70">
    <w:name w:val="font01"/>
    <w:basedOn w:val="34"/>
    <w:qFormat/>
    <w:uiPriority w:val="0"/>
    <w:rPr>
      <w:rFonts w:hint="default" w:ascii="Times New Roman" w:hAnsi="Times New Roman" w:cs="Times New Roman"/>
      <w:color w:val="000000"/>
      <w:sz w:val="24"/>
      <w:szCs w:val="24"/>
      <w:u w:val="none"/>
      <w:vertAlign w:val="subscript"/>
    </w:rPr>
  </w:style>
  <w:style w:type="character" w:customStyle="1" w:styleId="71">
    <w:name w:val="font31"/>
    <w:basedOn w:val="34"/>
    <w:qFormat/>
    <w:uiPriority w:val="0"/>
    <w:rPr>
      <w:rFonts w:hint="default" w:ascii="Times New Roman" w:hAnsi="Times New Roman" w:cs="Times New Roman"/>
      <w:b/>
      <w:color w:val="FF0000"/>
      <w:sz w:val="21"/>
      <w:szCs w:val="21"/>
      <w:u w:val="none"/>
      <w:vertAlign w:val="subscript"/>
    </w:rPr>
  </w:style>
  <w:style w:type="character" w:customStyle="1" w:styleId="72">
    <w:name w:val="正文文本 字符1"/>
    <w:semiHidden/>
    <w:qFormat/>
    <w:uiPriority w:val="0"/>
    <w:rPr>
      <w:rFonts w:ascii="Times New Roman" w:hAnsi="Times New Roman" w:eastAsia="宋体"/>
      <w:sz w:val="24"/>
    </w:rPr>
  </w:style>
  <w:style w:type="character" w:customStyle="1" w:styleId="73">
    <w:name w:val="font71"/>
    <w:basedOn w:val="34"/>
    <w:qFormat/>
    <w:uiPriority w:val="0"/>
    <w:rPr>
      <w:rFonts w:hint="eastAsia" w:ascii="宋体" w:hAnsi="宋体" w:eastAsia="宋体" w:cs="宋体"/>
      <w:color w:val="FF0000"/>
      <w:sz w:val="21"/>
      <w:szCs w:val="21"/>
      <w:u w:val="none"/>
    </w:rPr>
  </w:style>
  <w:style w:type="character" w:customStyle="1" w:styleId="74">
    <w:name w:val="fontstyle01"/>
    <w:basedOn w:val="34"/>
    <w:qFormat/>
    <w:uiPriority w:val="0"/>
    <w:rPr>
      <w:rFonts w:ascii="黑体" w:hAnsi="宋体" w:eastAsia="黑体" w:cs="黑体"/>
      <w:color w:val="000000"/>
      <w:sz w:val="22"/>
      <w:szCs w:val="22"/>
    </w:rPr>
  </w:style>
  <w:style w:type="character" w:customStyle="1" w:styleId="75">
    <w:name w:val="font11"/>
    <w:basedOn w:val="34"/>
    <w:qFormat/>
    <w:uiPriority w:val="0"/>
    <w:rPr>
      <w:rFonts w:hint="default" w:ascii="Times New Roman" w:hAnsi="Times New Roman" w:cs="Times New Roman"/>
      <w:color w:val="000000"/>
      <w:sz w:val="21"/>
      <w:szCs w:val="21"/>
      <w:u w:val="none"/>
    </w:rPr>
  </w:style>
  <w:style w:type="character" w:customStyle="1" w:styleId="76">
    <w:name w:val="批注文字 字符1"/>
    <w:semiHidden/>
    <w:qFormat/>
    <w:uiPriority w:val="0"/>
    <w:rPr>
      <w:rFonts w:ascii="Times New Roman" w:hAnsi="Times New Roman" w:eastAsia="宋体"/>
      <w:sz w:val="24"/>
    </w:rPr>
  </w:style>
  <w:style w:type="character" w:customStyle="1" w:styleId="77">
    <w:name w:val="页脚 字符"/>
    <w:basedOn w:val="34"/>
    <w:qFormat/>
    <w:uiPriority w:val="99"/>
  </w:style>
  <w:style w:type="paragraph" w:customStyle="1" w:styleId="78">
    <w:name w:val="正文(首行缩进)"/>
    <w:basedOn w:val="1"/>
    <w:next w:val="1"/>
    <w:qFormat/>
    <w:uiPriority w:val="0"/>
    <w:pPr>
      <w:spacing w:line="360" w:lineRule="auto"/>
      <w:ind w:firstLine="540" w:firstLineChars="225"/>
    </w:pPr>
    <w:rPr>
      <w:snapToGrid w:val="0"/>
      <w:color w:val="000000"/>
      <w:kern w:val="0"/>
      <w:sz w:val="24"/>
      <w:szCs w:val="24"/>
    </w:rPr>
  </w:style>
  <w:style w:type="paragraph" w:customStyle="1" w:styleId="79">
    <w:name w:val="我"/>
    <w:basedOn w:val="1"/>
    <w:qFormat/>
    <w:uiPriority w:val="0"/>
    <w:pPr>
      <w:spacing w:line="360" w:lineRule="auto"/>
      <w:ind w:firstLine="640" w:firstLineChars="200"/>
    </w:pPr>
    <w:rPr>
      <w:kern w:val="0"/>
      <w:sz w:val="24"/>
      <w:szCs w:val="20"/>
    </w:rPr>
  </w:style>
  <w:style w:type="paragraph" w:customStyle="1" w:styleId="80">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81">
    <w:name w:val="Char Char Char Char Char Char Char Char Char"/>
    <w:basedOn w:val="1"/>
    <w:qFormat/>
    <w:uiPriority w:val="99"/>
    <w:rPr>
      <w:rFonts w:ascii="Times New Roman" w:hAnsi="Times New Roman" w:eastAsia="宋体" w:cs="Times New Roman"/>
      <w:sz w:val="24"/>
      <w:szCs w:val="24"/>
    </w:rPr>
  </w:style>
  <w:style w:type="paragraph" w:customStyle="1" w:styleId="82">
    <w:name w:val="Table Paragraph"/>
    <w:basedOn w:val="1"/>
    <w:qFormat/>
    <w:uiPriority w:val="1"/>
    <w:rPr>
      <w:rFonts w:ascii="仿宋" w:hAnsi="仿宋" w:eastAsia="仿宋" w:cs="仿宋"/>
      <w:lang w:val="zh-CN" w:eastAsia="zh-CN" w:bidi="zh-CN"/>
    </w:rPr>
  </w:style>
  <w:style w:type="paragraph" w:customStyle="1" w:styleId="83">
    <w:name w:val="表头、图号"/>
    <w:basedOn w:val="1"/>
    <w:qFormat/>
    <w:uiPriority w:val="0"/>
    <w:pPr>
      <w:jc w:val="center"/>
    </w:pPr>
    <w:rPr>
      <w:rFonts w:eastAsia="黑体"/>
      <w:b/>
      <w:szCs w:val="22"/>
    </w:rPr>
  </w:style>
  <w:style w:type="paragraph" w:customStyle="1" w:styleId="84">
    <w:name w:val="Heading3"/>
    <w:basedOn w:val="1"/>
    <w:next w:val="1"/>
    <w:qFormat/>
    <w:uiPriority w:val="0"/>
    <w:pPr>
      <w:keepLines/>
      <w:numPr>
        <w:ilvl w:val="2"/>
        <w:numId w:val="1"/>
      </w:numPr>
      <w:tabs>
        <w:tab w:val="left" w:pos="851"/>
      </w:tabs>
      <w:spacing w:line="360" w:lineRule="auto"/>
      <w:jc w:val="both"/>
      <w:textAlignment w:val="bottom"/>
    </w:pPr>
    <w:rPr>
      <w:rFonts w:ascii="Calibri" w:hAnsi="Calibri" w:eastAsia="宋体"/>
      <w:kern w:val="0"/>
      <w:sz w:val="28"/>
      <w:szCs w:val="20"/>
      <w:lang w:val="en-US" w:eastAsia="zh-CN" w:bidi="ar-SA"/>
    </w:rPr>
  </w:style>
  <w:style w:type="paragraph" w:customStyle="1" w:styleId="85">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6">
    <w:name w:val="1正文"/>
    <w:basedOn w:val="1"/>
    <w:qFormat/>
    <w:uiPriority w:val="0"/>
    <w:pPr>
      <w:widowControl/>
      <w:spacing w:line="360" w:lineRule="auto"/>
      <w:ind w:firstLine="200" w:firstLineChars="200"/>
    </w:pPr>
    <w:rPr>
      <w:kern w:val="0"/>
      <w:sz w:val="24"/>
      <w:lang w:val="en-GB"/>
    </w:rPr>
  </w:style>
  <w:style w:type="paragraph" w:customStyle="1" w:styleId="87">
    <w:name w:val="Heading4"/>
    <w:basedOn w:val="1"/>
    <w:next w:val="1"/>
    <w:qFormat/>
    <w:uiPriority w:val="0"/>
    <w:pPr>
      <w:keepNext/>
      <w:keepLines/>
      <w:spacing w:before="280" w:after="290" w:line="376" w:lineRule="auto"/>
      <w:jc w:val="both"/>
      <w:textAlignment w:val="baseline"/>
    </w:pPr>
    <w:rPr>
      <w:rFonts w:ascii="Cambria" w:hAnsi="Cambria" w:eastAsia="宋体" w:cs="Times New Roman"/>
      <w:b/>
      <w:bCs/>
      <w:kern w:val="2"/>
      <w:sz w:val="28"/>
      <w:szCs w:val="28"/>
      <w:lang w:val="en-US" w:eastAsia="zh-CN" w:bidi="ar-SA"/>
    </w:rPr>
  </w:style>
  <w:style w:type="paragraph" w:customStyle="1" w:styleId="88">
    <w:name w:val="环5表格"/>
    <w:basedOn w:val="1"/>
    <w:qFormat/>
    <w:uiPriority w:val="0"/>
    <w:pPr>
      <w:jc w:val="center"/>
    </w:pPr>
    <w:rPr>
      <w:rFonts w:eastAsia="黑体"/>
    </w:rPr>
  </w:style>
  <w:style w:type="paragraph" w:customStyle="1" w:styleId="89">
    <w:name w:val="样式 表、图名 + Times New Roman1"/>
    <w:basedOn w:val="90"/>
    <w:qFormat/>
    <w:uiPriority w:val="0"/>
    <w:pPr>
      <w:snapToGrid/>
      <w:spacing w:before="31" w:beforeLines="10" w:after="31" w:afterLines="10" w:line="360" w:lineRule="auto"/>
      <w:ind w:firstLine="200" w:firstLineChars="200"/>
      <w:jc w:val="left"/>
    </w:pPr>
    <w:rPr>
      <w:rFonts w:cs="宋体"/>
      <w:color w:val="000000"/>
    </w:rPr>
  </w:style>
  <w:style w:type="paragraph" w:customStyle="1" w:styleId="90">
    <w:name w:val="表、图名"/>
    <w:basedOn w:val="1"/>
    <w:qFormat/>
    <w:uiPriority w:val="0"/>
    <w:pPr>
      <w:adjustRightInd w:val="0"/>
      <w:snapToGrid w:val="0"/>
      <w:jc w:val="center"/>
    </w:pPr>
    <w:rPr>
      <w:rFonts w:ascii="黑体" w:hAnsi="宋体" w:eastAsia="黑体"/>
      <w:kern w:val="2"/>
      <w:szCs w:val="24"/>
      <w:lang w:eastAsia="zh-CN"/>
    </w:rPr>
  </w:style>
  <w:style w:type="paragraph" w:customStyle="1" w:styleId="91">
    <w:name w:val="0正文"/>
    <w:basedOn w:val="1"/>
    <w:qFormat/>
    <w:uiPriority w:val="0"/>
    <w:pPr>
      <w:adjustRightInd w:val="0"/>
      <w:snapToGrid w:val="0"/>
      <w:spacing w:line="360" w:lineRule="auto"/>
      <w:ind w:firstLine="200" w:firstLineChars="200"/>
    </w:pPr>
    <w:rPr>
      <w:color w:val="000000"/>
      <w:kern w:val="0"/>
      <w:sz w:val="24"/>
      <w:szCs w:val="20"/>
    </w:rPr>
  </w:style>
  <w:style w:type="paragraph" w:customStyle="1" w:styleId="92">
    <w:name w:val="！正文"/>
    <w:basedOn w:val="1"/>
    <w:qFormat/>
    <w:uiPriority w:val="0"/>
    <w:pPr>
      <w:adjustRightInd/>
      <w:snapToGrid/>
      <w:spacing w:line="360" w:lineRule="auto"/>
      <w:ind w:firstLine="480" w:firstLineChars="200"/>
    </w:pPr>
    <w:rPr>
      <w:rFonts w:ascii="Times New Roman" w:eastAsia="宋体"/>
      <w:sz w:val="24"/>
      <w:szCs w:val="20"/>
    </w:rPr>
  </w:style>
  <w:style w:type="character" w:customStyle="1" w:styleId="93">
    <w:name w:val="textbig1"/>
    <w:basedOn w:val="34"/>
    <w:qFormat/>
    <w:uiPriority w:val="0"/>
    <w:rPr>
      <w:rFonts w:ascii="宋体" w:hAnsi="宋体" w:cs="宋体"/>
      <w:sz w:val="18"/>
      <w:szCs w:val="18"/>
    </w:rPr>
  </w:style>
  <w:style w:type="paragraph" w:customStyle="1" w:styleId="94">
    <w:name w:val="表头标题格式"/>
    <w:basedOn w:val="1"/>
    <w:qFormat/>
    <w:uiPriority w:val="0"/>
    <w:pPr>
      <w:widowControl/>
      <w:tabs>
        <w:tab w:val="left" w:pos="360"/>
        <w:tab w:val="left" w:pos="1620"/>
      </w:tabs>
      <w:spacing w:line="360" w:lineRule="auto"/>
      <w:jc w:val="center"/>
    </w:pPr>
    <w:rPr>
      <w:rFonts w:ascii="黑体" w:hAnsi="宋体" w:eastAsia="黑体"/>
      <w:b/>
      <w:bCs/>
      <w:spacing w:val="0"/>
      <w:kern w:val="0"/>
      <w:sz w:val="24"/>
      <w:szCs w:val="20"/>
    </w:rPr>
  </w:style>
  <w:style w:type="paragraph" w:customStyle="1" w:styleId="95">
    <w:name w:val="文化街二期正文"/>
    <w:basedOn w:val="1"/>
    <w:qFormat/>
    <w:uiPriority w:val="0"/>
    <w:pPr>
      <w:adjustRightInd w:val="0"/>
      <w:snapToGrid w:val="0"/>
      <w:spacing w:line="360" w:lineRule="auto"/>
      <w:ind w:firstLine="480" w:firstLineChars="200"/>
    </w:pPr>
    <w:rPr>
      <w:rFonts w:hAnsi="宋体"/>
      <w:sz w:val="24"/>
      <w:szCs w:val="20"/>
    </w:rPr>
  </w:style>
  <w:style w:type="table" w:customStyle="1" w:styleId="96">
    <w:name w:val="Table Normal"/>
    <w:semiHidden/>
    <w:qFormat/>
    <w:uiPriority w:val="2"/>
    <w:pPr>
      <w:widowControl w:val="0"/>
      <w:autoSpaceDE w:val="0"/>
      <w:autoSpaceDN w:val="0"/>
    </w:pPr>
    <w:rPr>
      <w:rFonts w:ascii="Calibri" w:hAnsi="Calibri" w:eastAsia="Times New Roman" w:cs="Times New Roman"/>
      <w:sz w:val="22"/>
      <w:szCs w:val="22"/>
      <w:lang w:eastAsia="en-US"/>
    </w:rPr>
    <w:tblPr>
      <w:tblCellMar>
        <w:top w:w="0" w:type="dxa"/>
        <w:left w:w="0" w:type="dxa"/>
        <w:bottom w:w="0" w:type="dxa"/>
        <w:right w:w="0" w:type="dxa"/>
      </w:tblCellMar>
    </w:tblPr>
  </w:style>
  <w:style w:type="paragraph" w:customStyle="1" w:styleId="97">
    <w:name w:val="正文我"/>
    <w:qFormat/>
    <w:uiPriority w:val="0"/>
    <w:pPr>
      <w:widowControl w:val="0"/>
      <w:adjustRightInd w:val="0"/>
      <w:snapToGrid w:val="0"/>
      <w:spacing w:line="360" w:lineRule="auto"/>
      <w:ind w:firstLine="480" w:firstLineChars="200"/>
    </w:pPr>
    <w:rPr>
      <w:rFonts w:ascii="宋体" w:hAnsi="Times New Roman" w:eastAsia="仿宋_GB2312" w:cs="Times New Roman"/>
      <w:snapToGrid w:val="0"/>
      <w:color w:val="000000"/>
      <w:kern w:val="2"/>
      <w:sz w:val="24"/>
      <w:szCs w:val="24"/>
      <w:lang w:val="en-US" w:eastAsia="zh-CN" w:bidi="ar-SA"/>
    </w:rPr>
  </w:style>
  <w:style w:type="paragraph" w:customStyle="1" w:styleId="98">
    <w:name w:val="样式 正文文本缩进 + 行距: 1.5 倍行距"/>
    <w:basedOn w:val="10"/>
    <w:qFormat/>
    <w:uiPriority w:val="0"/>
    <w:pPr>
      <w:spacing w:line="360" w:lineRule="auto"/>
      <w:ind w:left="90" w:leftChars="32" w:firstLine="560"/>
    </w:pPr>
    <w:rPr>
      <w:rFonts w:cs="宋体"/>
      <w:szCs w:val="20"/>
    </w:rPr>
  </w:style>
  <w:style w:type="paragraph" w:customStyle="1" w:styleId="99">
    <w:name w:val="正文 首行缩进:  2 字符"/>
    <w:basedOn w:val="1"/>
    <w:semiHidden/>
    <w:qFormat/>
    <w:uiPriority w:val="0"/>
    <w:pPr>
      <w:spacing w:line="520" w:lineRule="exact"/>
      <w:ind w:firstLine="480" w:firstLineChars="200"/>
    </w:pPr>
    <w:rPr>
      <w:kern w:val="44"/>
      <w:sz w:val="24"/>
      <w:szCs w:val="20"/>
    </w:rPr>
  </w:style>
  <w:style w:type="paragraph" w:customStyle="1" w:styleId="100">
    <w:name w:val="表格文字2"/>
    <w:basedOn w:val="1"/>
    <w:qFormat/>
    <w:uiPriority w:val="0"/>
    <w:pPr>
      <w:tabs>
        <w:tab w:val="left" w:pos="277"/>
        <w:tab w:val="left" w:pos="600"/>
        <w:tab w:val="left" w:pos="780"/>
        <w:tab w:val="left" w:pos="2517"/>
      </w:tabs>
      <w:adjustRightInd w:val="0"/>
      <w:spacing w:line="240" w:lineRule="auto"/>
      <w:ind w:firstLine="0" w:firstLineChars="0"/>
      <w:jc w:val="center"/>
      <w:textAlignment w:val="baseline"/>
    </w:pPr>
    <w:rPr>
      <w:rFonts w:ascii="Times New Roman" w:hAnsi="Times New Roman" w:eastAsia="宋体"/>
      <w:kern w:val="0"/>
      <w:sz w:val="21"/>
      <w:szCs w:val="21"/>
    </w:rPr>
  </w:style>
  <w:style w:type="paragraph" w:customStyle="1" w:styleId="101">
    <w:name w:val="标题2"/>
    <w:basedOn w:val="1"/>
    <w:next w:val="1"/>
    <w:qFormat/>
    <w:uiPriority w:val="0"/>
    <w:pPr>
      <w:autoSpaceDE w:val="0"/>
      <w:autoSpaceDN w:val="0"/>
      <w:snapToGrid w:val="0"/>
      <w:spacing w:line="590" w:lineRule="atLeast"/>
      <w:jc w:val="center"/>
    </w:pPr>
    <w:rPr>
      <w:rFonts w:eastAsia="方正楷体_GBK"/>
      <w:snapToGrid w:val="0"/>
      <w:kern w:val="0"/>
      <w:sz w:val="32"/>
    </w:rPr>
  </w:style>
  <w:style w:type="paragraph" w:customStyle="1" w:styleId="102">
    <w:name w:val="样式35"/>
    <w:basedOn w:val="1"/>
    <w:qFormat/>
    <w:uiPriority w:val="0"/>
    <w:pPr>
      <w:adjustRightInd w:val="0"/>
      <w:spacing w:line="312" w:lineRule="auto"/>
      <w:ind w:firstLine="567"/>
    </w:pPr>
    <w:rPr>
      <w:rFonts w:ascii="宋体"/>
      <w:kern w:val="0"/>
      <w:sz w:val="28"/>
    </w:rPr>
  </w:style>
  <w:style w:type="paragraph" w:customStyle="1" w:styleId="103">
    <w:name w:val="段落"/>
    <w:basedOn w:val="1"/>
    <w:qFormat/>
    <w:uiPriority w:val="0"/>
    <w:pPr>
      <w:ind w:firstLine="560" w:firstLineChars="200"/>
    </w:pPr>
    <w:rPr>
      <w:rFonts w:cs="宋体"/>
      <w:sz w:val="28"/>
      <w:szCs w:val="20"/>
    </w:rPr>
  </w:style>
  <w:style w:type="paragraph" w:customStyle="1" w:styleId="104">
    <w:name w:val="翔一表格"/>
    <w:basedOn w:val="1"/>
    <w:next w:val="1"/>
    <w:semiHidden/>
    <w:qFormat/>
    <w:uiPriority w:val="0"/>
    <w:pPr>
      <w:autoSpaceDE w:val="0"/>
      <w:autoSpaceDN w:val="0"/>
      <w:jc w:val="center"/>
      <w:textAlignment w:val="baseline"/>
    </w:pPr>
    <w:rPr>
      <w:kern w:val="0"/>
      <w:szCs w:val="21"/>
    </w:rPr>
  </w:style>
  <w:style w:type="paragraph" w:customStyle="1" w:styleId="105">
    <w:name w:val="表格文字"/>
    <w:basedOn w:val="6"/>
    <w:next w:val="1"/>
    <w:qFormat/>
    <w:uiPriority w:val="0"/>
    <w:pPr>
      <w:tabs>
        <w:tab w:val="left" w:pos="5530"/>
      </w:tabs>
      <w:spacing w:line="240" w:lineRule="auto"/>
      <w:ind w:firstLine="0" w:firstLineChars="0"/>
      <w:jc w:val="center"/>
    </w:pPr>
    <w:rPr>
      <w:rFonts w:ascii="Times New Roman" w:hAnsi="Times New Roman" w:eastAsia="宋体" w:cs="Tahoma"/>
      <w:color w:val="000000"/>
      <w:sz w:val="21"/>
    </w:rPr>
  </w:style>
  <w:style w:type="character" w:customStyle="1" w:styleId="106">
    <w:name w:val="fontstyle21"/>
    <w:qFormat/>
    <w:uiPriority w:val="0"/>
    <w:rPr>
      <w:rFonts w:hint="default" w:ascii="TimesNewRomanPSMT" w:hAnsi="TimesNewRomanPSMT"/>
      <w:color w:val="000000"/>
      <w:sz w:val="28"/>
      <w:szCs w:val="28"/>
    </w:rPr>
  </w:style>
  <w:style w:type="character" w:customStyle="1" w:styleId="107">
    <w:name w:val="content1"/>
    <w:qFormat/>
    <w:uiPriority w:val="0"/>
    <w:rPr>
      <w:sz w:val="21"/>
      <w:szCs w:val="21"/>
    </w:rPr>
  </w:style>
  <w:style w:type="paragraph" w:customStyle="1" w:styleId="108">
    <w:name w:val="表头-ly"/>
    <w:basedOn w:val="28"/>
    <w:qFormat/>
    <w:uiPriority w:val="0"/>
    <w:pPr>
      <w:widowControl w:val="0"/>
      <w:autoSpaceDE w:val="0"/>
      <w:spacing w:before="0" w:beforeAutospacing="0" w:after="0" w:afterAutospacing="0"/>
      <w:ind w:firstLine="200" w:firstLineChars="200"/>
      <w:jc w:val="both"/>
    </w:pPr>
    <w:rPr>
      <w:rFonts w:ascii="黑体" w:hAnsi="黑体" w:eastAsia="黑体"/>
      <w:bCs/>
      <w:kern w:val="2"/>
      <w:sz w:val="21"/>
      <w:szCs w:val="24"/>
    </w:rPr>
  </w:style>
  <w:style w:type="paragraph" w:customStyle="1" w:styleId="109">
    <w:name w:val="Table Text"/>
    <w:basedOn w:val="1"/>
    <w:semiHidden/>
    <w:qFormat/>
    <w:uiPriority w:val="0"/>
    <w:rPr>
      <w:rFonts w:ascii="宋体" w:hAnsi="宋体" w:eastAsia="宋体" w:cs="宋体"/>
      <w:sz w:val="20"/>
      <w:szCs w:val="20"/>
      <w:lang w:val="en-US" w:eastAsia="en-US" w:bidi="ar-SA"/>
    </w:rPr>
  </w:style>
  <w:style w:type="character" w:customStyle="1" w:styleId="110">
    <w:name w:val="font91"/>
    <w:basedOn w:val="34"/>
    <w:qFormat/>
    <w:uiPriority w:val="0"/>
    <w:rPr>
      <w:rFonts w:hint="eastAsia" w:ascii="宋体" w:hAnsi="宋体" w:eastAsia="宋体" w:cs="宋体"/>
      <w:b/>
      <w:bCs/>
      <w:color w:val="000000"/>
      <w:sz w:val="20"/>
      <w:szCs w:val="20"/>
      <w:u w:val="none"/>
    </w:rPr>
  </w:style>
  <w:style w:type="character" w:customStyle="1" w:styleId="111">
    <w:name w:val="font101"/>
    <w:basedOn w:val="34"/>
    <w:qFormat/>
    <w:uiPriority w:val="0"/>
    <w:rPr>
      <w:rFonts w:hint="default" w:ascii="Times New Roman" w:hAnsi="Times New Roman" w:cs="Times New Roman"/>
      <w:b/>
      <w:bCs/>
      <w:color w:val="000000"/>
      <w:sz w:val="24"/>
      <w:szCs w:val="24"/>
      <w:u w:val="none"/>
      <w:vertAlign w:val="superscript"/>
    </w:rPr>
  </w:style>
  <w:style w:type="paragraph" w:customStyle="1" w:styleId="112">
    <w:name w:val="A-表格文字"/>
    <w:basedOn w:val="1"/>
    <w:qFormat/>
    <w:uiPriority w:val="0"/>
    <w:pPr>
      <w:autoSpaceDE w:val="0"/>
      <w:autoSpaceDN w:val="0"/>
      <w:adjustRightInd w:val="0"/>
      <w:spacing w:line="240" w:lineRule="auto"/>
      <w:ind w:firstLine="0" w:firstLineChars="0"/>
      <w:jc w:val="center"/>
      <w:textAlignment w:val="center"/>
    </w:pPr>
    <w:rPr>
      <w:color w:val="000000"/>
      <w:kern w:val="0"/>
      <w:sz w:val="21"/>
    </w:rPr>
  </w:style>
  <w:style w:type="paragraph" w:customStyle="1" w:styleId="113">
    <w:name w:val="!正文(alt+c)"/>
    <w:qFormat/>
    <w:uiPriority w:val="0"/>
    <w:pPr>
      <w:spacing w:line="360" w:lineRule="auto"/>
      <w:ind w:firstLine="200" w:firstLineChars="200"/>
      <w:jc w:val="both"/>
    </w:pPr>
    <w:rPr>
      <w:rFonts w:ascii="Times New Roman" w:hAnsi="Times New Roman" w:eastAsia="宋体" w:cs="Times New Roman"/>
      <w:sz w:val="24"/>
      <w:lang w:val="en-US" w:eastAsia="zh-CN" w:bidi="ar-SA"/>
    </w:rPr>
  </w:style>
  <w:style w:type="paragraph" w:customStyle="1" w:styleId="114">
    <w:name w:val="1"/>
    <w:basedOn w:val="22"/>
    <w:next w:val="10"/>
    <w:qFormat/>
    <w:uiPriority w:val="99"/>
    <w:pPr>
      <w:tabs>
        <w:tab w:val="right" w:leader="dot" w:pos="8494"/>
      </w:tabs>
      <w:spacing w:line="400" w:lineRule="exact"/>
      <w:ind w:firstLine="200" w:firstLineChars="200"/>
    </w:pPr>
    <w:rPr>
      <w:rFonts w:ascii="宋体" w:hAnsi="宋体" w:eastAsia="宋体" w:cs="宋体"/>
      <w:sz w:val="24"/>
      <w:szCs w:val="24"/>
      <w:lang w:val="en-US" w:eastAsia="zh-CN" w:bidi="ar-SA"/>
    </w:rPr>
  </w:style>
  <w:style w:type="paragraph" w:customStyle="1" w:styleId="115">
    <w:name w:val="A-z正文"/>
    <w:basedOn w:val="1"/>
    <w:qFormat/>
    <w:uiPriority w:val="0"/>
    <w:pPr>
      <w:spacing w:line="360" w:lineRule="auto"/>
      <w:ind w:firstLine="200" w:firstLineChars="200"/>
    </w:pPr>
    <w:rPr>
      <w:rFonts w:ascii="Times New Roman" w:hAnsi="Times New Roman" w:cs="宋体"/>
      <w:sz w:val="24"/>
      <w:szCs w:val="20"/>
    </w:rPr>
  </w:style>
  <w:style w:type="paragraph" w:customStyle="1" w:styleId="116">
    <w:name w:val="正文A"/>
    <w:basedOn w:val="117"/>
    <w:qFormat/>
    <w:uiPriority w:val="0"/>
    <w:pPr>
      <w:spacing w:line="500" w:lineRule="exact"/>
      <w:ind w:firstLine="480" w:firstLineChars="200"/>
    </w:pPr>
    <w:rPr>
      <w:rFonts w:cs="华文仿宋"/>
      <w:sz w:val="24"/>
      <w:szCs w:val="24"/>
    </w:rPr>
  </w:style>
  <w:style w:type="paragraph" w:customStyle="1" w:styleId="117">
    <w:name w:val="正文!!!!!!!!!!!"/>
    <w:basedOn w:val="118"/>
    <w:qFormat/>
    <w:uiPriority w:val="0"/>
    <w:pPr>
      <w:ind w:firstLine="480"/>
    </w:pPr>
    <w:rPr>
      <w:rFonts w:ascii="Times New Roman" w:hAnsi="Times New Roman" w:eastAsia="宋体" w:cs="Times New Roman"/>
    </w:rPr>
  </w:style>
  <w:style w:type="paragraph" w:customStyle="1" w:styleId="118">
    <w:name w:val="正文 楷体"/>
    <w:basedOn w:val="1"/>
    <w:qFormat/>
    <w:uiPriority w:val="0"/>
    <w:pPr>
      <w:spacing w:line="500" w:lineRule="exact"/>
      <w:ind w:firstLine="200" w:firstLineChars="200"/>
    </w:pPr>
    <w:rPr>
      <w:rFonts w:ascii="楷体_GB2312" w:hAnsi="楷体_GB2312" w:eastAsia="楷体_GB2312" w:cs="宋体"/>
      <w:sz w:val="24"/>
      <w:szCs w:val="24"/>
    </w:rPr>
  </w:style>
  <w:style w:type="paragraph" w:customStyle="1" w:styleId="119">
    <w:name w:val="表内字"/>
    <w:basedOn w:val="1"/>
    <w:qFormat/>
    <w:uiPriority w:val="0"/>
    <w:pPr>
      <w:spacing w:line="320" w:lineRule="exact"/>
      <w:jc w:val="center"/>
    </w:pPr>
    <w:rPr>
      <w:kern w:val="0"/>
      <w:szCs w:val="21"/>
    </w:rPr>
  </w:style>
  <w:style w:type="paragraph" w:customStyle="1" w:styleId="120">
    <w:name w:val="Other|1"/>
    <w:basedOn w:val="1"/>
    <w:qFormat/>
    <w:uiPriority w:val="0"/>
    <w:pPr>
      <w:widowControl w:val="0"/>
      <w:shd w:val="clear" w:color="auto" w:fill="auto"/>
      <w:spacing w:line="475" w:lineRule="auto"/>
      <w:ind w:firstLine="400"/>
    </w:pPr>
    <w:rPr>
      <w:rFonts w:ascii="宋体" w:hAnsi="宋体" w:eastAsia="宋体" w:cs="宋体"/>
      <w:sz w:val="20"/>
      <w:szCs w:val="20"/>
      <w:u w:val="none"/>
      <w:shd w:val="clear" w:color="auto" w:fill="auto"/>
      <w:lang w:val="zh-TW" w:eastAsia="zh-TW" w:bidi="zh-TW"/>
    </w:rPr>
  </w:style>
  <w:style w:type="paragraph" w:customStyle="1" w:styleId="121">
    <w:name w:val="表格内容"/>
    <w:basedOn w:val="1"/>
    <w:qFormat/>
    <w:uiPriority w:val="0"/>
    <w:pPr>
      <w:spacing w:line="240" w:lineRule="auto"/>
      <w:jc w:val="center"/>
    </w:pPr>
    <w:rPr>
      <w:sz w:val="21"/>
    </w:rPr>
  </w:style>
  <w:style w:type="paragraph" w:customStyle="1" w:styleId="122">
    <w:name w:val="Body text|1"/>
    <w:basedOn w:val="1"/>
    <w:qFormat/>
    <w:uiPriority w:val="0"/>
    <w:pPr>
      <w:spacing w:after="220"/>
      <w:jc w:val="center"/>
    </w:pPr>
    <w:rPr>
      <w:rFonts w:cs="宋体"/>
      <w:sz w:val="26"/>
      <w:szCs w:val="26"/>
      <w:lang w:val="zh-TW" w:eastAsia="zh-TW" w:bidi="zh-TW"/>
    </w:rPr>
  </w:style>
  <w:style w:type="paragraph" w:customStyle="1" w:styleId="123">
    <w:name w:val="Body text|3"/>
    <w:basedOn w:val="1"/>
    <w:qFormat/>
    <w:uiPriority w:val="0"/>
    <w:pPr>
      <w:widowControl w:val="0"/>
      <w:shd w:val="clear" w:color="auto" w:fill="auto"/>
      <w:spacing w:line="560" w:lineRule="exact"/>
      <w:ind w:firstLine="580"/>
    </w:pPr>
    <w:rPr>
      <w:sz w:val="28"/>
      <w:szCs w:val="28"/>
      <w:u w:val="none"/>
      <w:shd w:val="clear" w:color="auto" w:fill="auto"/>
    </w:rPr>
  </w:style>
  <w:style w:type="paragraph" w:customStyle="1" w:styleId="124">
    <w:name w:val="B正文"/>
    <w:basedOn w:val="1"/>
    <w:qFormat/>
    <w:uiPriority w:val="0"/>
    <w:pPr>
      <w:widowControl/>
      <w:spacing w:line="360" w:lineRule="auto"/>
      <w:ind w:firstLine="200" w:firstLineChars="200"/>
      <w:jc w:val="left"/>
    </w:pPr>
    <w:rPr>
      <w:rFonts w:cs="宋体"/>
      <w:kern w:val="0"/>
      <w:sz w:val="24"/>
    </w:rPr>
  </w:style>
  <w:style w:type="paragraph" w:customStyle="1" w:styleId="125">
    <w:name w:val="任表格文字"/>
    <w:next w:val="1"/>
    <w:qFormat/>
    <w:uiPriority w:val="0"/>
    <w:pPr>
      <w:tabs>
        <w:tab w:val="left" w:pos="1119"/>
      </w:tabs>
      <w:spacing w:line="360" w:lineRule="exact"/>
      <w:ind w:left="0" w:leftChars="0" w:firstLine="0" w:firstLineChars="0"/>
      <w:jc w:val="center"/>
    </w:pPr>
    <w:rPr>
      <w:rFonts w:ascii="Times New Roman" w:hAnsi="Times New Roman" w:eastAsia="宋体" w:cs="Times New Roman"/>
      <w:snapToGrid w:val="0"/>
      <w:color w:val="000000"/>
      <w:sz w:val="21"/>
      <w:szCs w:val="18"/>
    </w:rPr>
  </w:style>
  <w:style w:type="character" w:customStyle="1" w:styleId="126">
    <w:name w:val="font112"/>
    <w:basedOn w:val="34"/>
    <w:qFormat/>
    <w:uiPriority w:val="0"/>
    <w:rPr>
      <w:rFonts w:hint="eastAsia" w:ascii="宋体" w:hAnsi="宋体" w:eastAsia="宋体" w:cs="宋体"/>
      <w:b/>
      <w:bCs/>
      <w:color w:val="FF0000"/>
      <w:sz w:val="20"/>
      <w:szCs w:val="20"/>
      <w:u w:val="none"/>
    </w:rPr>
  </w:style>
  <w:style w:type="paragraph" w:customStyle="1" w:styleId="127">
    <w:name w:val="样式1"/>
    <w:basedOn w:val="23"/>
    <w:next w:val="1"/>
    <w:qFormat/>
    <w:uiPriority w:val="0"/>
    <w:pPr>
      <w:adjustRightInd w:val="0"/>
      <w:spacing w:line="440" w:lineRule="exact"/>
      <w:ind w:firstLine="480" w:firstLineChars="200"/>
      <w:textAlignment w:val="baseline"/>
    </w:pPr>
    <w:rPr>
      <w:rFonts w:ascii="宋体"/>
      <w:color w:val="000000"/>
      <w:kern w:val="0"/>
      <w:szCs w:val="20"/>
    </w:rPr>
  </w:style>
  <w:style w:type="paragraph" w:customStyle="1" w:styleId="128">
    <w:name w:val="缩进"/>
    <w:basedOn w:val="1"/>
    <w:qFormat/>
    <w:uiPriority w:val="0"/>
    <w:pPr>
      <w:spacing w:line="360" w:lineRule="auto"/>
      <w:ind w:firstLine="200" w:firstLineChars="200"/>
    </w:pPr>
    <w:rPr>
      <w:rFonts w:ascii="Calibri" w:hAnsi="Calibri" w:eastAsia="宋体" w:cs="Times New Roman"/>
      <w:sz w:val="24"/>
    </w:rPr>
  </w:style>
  <w:style w:type="paragraph" w:customStyle="1" w:styleId="129">
    <w:name w:val="M正文"/>
    <w:basedOn w:val="1"/>
    <w:next w:val="1"/>
    <w:qFormat/>
    <w:uiPriority w:val="0"/>
    <w:pPr>
      <w:spacing w:line="360" w:lineRule="auto"/>
      <w:ind w:firstLine="496" w:firstLineChars="200"/>
    </w:pPr>
    <w:rPr>
      <w:bCs/>
      <w:spacing w:val="4"/>
      <w:sz w:val="24"/>
      <w:szCs w:val="28"/>
    </w:rPr>
  </w:style>
  <w:style w:type="paragraph" w:customStyle="1" w:styleId="130">
    <w:name w:val="表格名"/>
    <w:basedOn w:val="1"/>
    <w:autoRedefine/>
    <w:qFormat/>
    <w:uiPriority w:val="0"/>
    <w:pPr>
      <w:spacing w:line="240" w:lineRule="auto"/>
      <w:ind w:firstLine="0" w:firstLineChars="0"/>
      <w:jc w:val="center"/>
    </w:pPr>
    <w:rPr>
      <w:rFonts w:ascii="Times New Roman" w:hAnsi="Times New Roman" w:eastAsia="宋体"/>
      <w:b/>
      <w:sz w:val="21"/>
    </w:rPr>
  </w:style>
  <w:style w:type="paragraph" w:customStyle="1" w:styleId="131">
    <w:name w:val="表中文字"/>
    <w:next w:val="1"/>
    <w:qFormat/>
    <w:uiPriority w:val="0"/>
    <w:pPr>
      <w:spacing w:line="360" w:lineRule="exact"/>
      <w:jc w:val="center"/>
    </w:pPr>
    <w:rPr>
      <w:rFonts w:ascii="Times New Roman" w:hAnsi="Times New Roman" w:eastAsia="宋体" w:cs="Times New Roman"/>
      <w:color w:val="000000"/>
      <w:kern w:val="2"/>
      <w:sz w:val="21"/>
      <w:szCs w:val="24"/>
      <w:lang w:val="en-US" w:eastAsia="zh-CN" w:bidi="ar-SA"/>
    </w:rPr>
  </w:style>
  <w:style w:type="paragraph" w:customStyle="1" w:styleId="132">
    <w:name w:val="正文缩进1"/>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4.xml"/><Relationship Id="rId51" Type="http://schemas.openxmlformats.org/officeDocument/2006/relationships/fontTable" Target="fontTable.xml"/><Relationship Id="rId50" Type="http://schemas.openxmlformats.org/officeDocument/2006/relationships/customXml" Target="../customXml/item2.xml"/><Relationship Id="rId5" Type="http://schemas.openxmlformats.org/officeDocument/2006/relationships/footer" Target="footer3.xml"/><Relationship Id="rId49" Type="http://schemas.openxmlformats.org/officeDocument/2006/relationships/numbering" Target="numbering.xml"/><Relationship Id="rId48" Type="http://schemas.openxmlformats.org/officeDocument/2006/relationships/customXml" Target="../customXml/item1.xml"/><Relationship Id="rId47" Type="http://schemas.openxmlformats.org/officeDocument/2006/relationships/image" Target="media/image32.png"/><Relationship Id="rId46" Type="http://schemas.openxmlformats.org/officeDocument/2006/relationships/image" Target="media/image31.png"/><Relationship Id="rId45" Type="http://schemas.openxmlformats.org/officeDocument/2006/relationships/image" Target="media/image30.png"/><Relationship Id="rId44" Type="http://schemas.openxmlformats.org/officeDocument/2006/relationships/image" Target="media/image29.png"/><Relationship Id="rId43" Type="http://schemas.openxmlformats.org/officeDocument/2006/relationships/image" Target="media/image28.png"/><Relationship Id="rId42" Type="http://schemas.openxmlformats.org/officeDocument/2006/relationships/image" Target="media/image27.png"/><Relationship Id="rId41" Type="http://schemas.openxmlformats.org/officeDocument/2006/relationships/image" Target="media/image26.png"/><Relationship Id="rId40" Type="http://schemas.openxmlformats.org/officeDocument/2006/relationships/image" Target="media/image25.wmf"/><Relationship Id="rId4" Type="http://schemas.openxmlformats.org/officeDocument/2006/relationships/footer" Target="footer2.xml"/><Relationship Id="rId39" Type="http://schemas.openxmlformats.org/officeDocument/2006/relationships/oleObject" Target="embeddings/oleObject8.bin"/><Relationship Id="rId38" Type="http://schemas.openxmlformats.org/officeDocument/2006/relationships/image" Target="media/image24.wmf"/><Relationship Id="rId37" Type="http://schemas.openxmlformats.org/officeDocument/2006/relationships/oleObject" Target="embeddings/oleObject7.bin"/><Relationship Id="rId36" Type="http://schemas.openxmlformats.org/officeDocument/2006/relationships/image" Target="media/image23.wmf"/><Relationship Id="rId35" Type="http://schemas.openxmlformats.org/officeDocument/2006/relationships/oleObject" Target="embeddings/oleObject6.bin"/><Relationship Id="rId34" Type="http://schemas.openxmlformats.org/officeDocument/2006/relationships/image" Target="media/image22.wmf"/><Relationship Id="rId33" Type="http://schemas.openxmlformats.org/officeDocument/2006/relationships/oleObject" Target="embeddings/oleObject5.bin"/><Relationship Id="rId32" Type="http://schemas.openxmlformats.org/officeDocument/2006/relationships/image" Target="media/image21.wmf"/><Relationship Id="rId31" Type="http://schemas.openxmlformats.org/officeDocument/2006/relationships/oleObject" Target="embeddings/oleObject4.bin"/><Relationship Id="rId30" Type="http://schemas.openxmlformats.org/officeDocument/2006/relationships/image" Target="media/image20.wmf"/><Relationship Id="rId3" Type="http://schemas.openxmlformats.org/officeDocument/2006/relationships/footer" Target="footer1.xml"/><Relationship Id="rId29" Type="http://schemas.openxmlformats.org/officeDocument/2006/relationships/oleObject" Target="embeddings/oleObject3.bin"/><Relationship Id="rId28" Type="http://schemas.openxmlformats.org/officeDocument/2006/relationships/image" Target="media/image19.wmf"/><Relationship Id="rId27" Type="http://schemas.openxmlformats.org/officeDocument/2006/relationships/oleObject" Target="embeddings/oleObject2.bin"/><Relationship Id="rId26" Type="http://schemas.openxmlformats.org/officeDocument/2006/relationships/image" Target="media/image18.wmf"/><Relationship Id="rId25" Type="http://schemas.openxmlformats.org/officeDocument/2006/relationships/oleObject" Target="embeddings/oleObject1.bin"/><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png"/><Relationship Id="rId20" Type="http://schemas.openxmlformats.org/officeDocument/2006/relationships/image" Target="media/image13.png"/><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"/>
    </extobj>
    <extobj name="ECB019B1-382A-4266-B25C-5B523AA43C14-2">
      <extobjdata type="ECB019B1-382A-4266-B25C-5B523AA43C14" data="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"/>
    </extobj>
  </extobj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35807f-3691-40a7-8051-95f48972ae3e}">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110</Pages>
  <Words>150</Words>
  <Characters>158</Characters>
  <Lines>13</Lines>
  <Paragraphs>3</Paragraphs>
  <TotalTime>1</TotalTime>
  <ScaleCrop>false</ScaleCrop>
  <LinksUpToDate>false</LinksUpToDate>
  <CharactersWithSpaces>205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小麦啾</cp:lastModifiedBy>
  <cp:lastPrinted>2020-12-29T02:43:00Z</cp:lastPrinted>
  <dcterms:modified xsi:type="dcterms:W3CDTF">2026-09-24T02:46:22Z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477306C5FB144A20BC77DDF23A8D409D_13</vt:lpwstr>
  </property>
  <property fmtid="{D5CDD505-2E9C-101B-9397-08002B2CF9AE}" pid="4" name="KSOTemplateDocerSaveRecord">
    <vt:lpwstr>eyJoZGlkIjoiZGZmMjg3MDQ2MzExNDk0OWY5M2UwNzBmOWViMDBkMGMiLCJ1c2VySWQiOiIzMjQ5NjUzODcifQ==</vt:lpwstr>
  </property>
</Properties>
</file>