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F8754">
      <w:pPr>
        <w:pStyle w:val="42"/>
        <w:ind w:firstLine="480"/>
      </w:pPr>
      <w:bookmarkStart w:id="33" w:name="_GoBack"/>
      <w:bookmarkEnd w:id="33"/>
    </w:p>
    <w:p w14:paraId="5C177B34">
      <w:pPr>
        <w:rPr>
          <w:rFonts w:hint="eastAsia" w:ascii="仿宋_GB2312" w:hAnsi="仿宋_GB2312" w:eastAsia="仿宋_GB2312" w:cs="仿宋_GB2312"/>
          <w:sz w:val="36"/>
          <w:szCs w:val="36"/>
        </w:rPr>
      </w:pPr>
    </w:p>
    <w:p w14:paraId="0BDE63FE">
      <w:pPr>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drawing>
          <wp:anchor distT="0" distB="0" distL="114300" distR="114300" simplePos="0" relativeHeight="251659264" behindDoc="0" locked="0" layoutInCell="1" allowOverlap="1">
            <wp:simplePos x="0" y="0"/>
            <wp:positionH relativeFrom="column">
              <wp:posOffset>5204460</wp:posOffset>
            </wp:positionH>
            <wp:positionV relativeFrom="paragraph">
              <wp:posOffset>3175</wp:posOffset>
            </wp:positionV>
            <wp:extent cx="720090" cy="619125"/>
            <wp:effectExtent l="0" t="0" r="3810" b="9525"/>
            <wp:wrapNone/>
            <wp:docPr id="20359209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20938" name="图片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720090" cy="619125"/>
                    </a:xfrm>
                    <a:prstGeom prst="rect">
                      <a:avLst/>
                    </a:prstGeom>
                    <a:noFill/>
                    <a:ln>
                      <a:noFill/>
                    </a:ln>
                  </pic:spPr>
                </pic:pic>
              </a:graphicData>
            </a:graphic>
          </wp:anchor>
        </w:drawing>
      </w:r>
    </w:p>
    <w:p w14:paraId="6DAEC28A">
      <w:pPr>
        <w:rPr>
          <w:rFonts w:hint="eastAsia" w:ascii="仿宋_GB2312" w:hAnsi="仿宋_GB2312" w:eastAsia="仿宋_GB2312" w:cs="仿宋_GB2312"/>
          <w:sz w:val="36"/>
          <w:szCs w:val="36"/>
        </w:rPr>
      </w:pPr>
    </w:p>
    <w:p w14:paraId="646A1BF8">
      <w:pPr>
        <w:rPr>
          <w:rFonts w:hint="eastAsia" w:ascii="仿宋_GB2312" w:hAnsi="仿宋_GB2312" w:eastAsia="仿宋_GB2312" w:cs="仿宋_GB2312"/>
          <w:sz w:val="36"/>
          <w:szCs w:val="36"/>
        </w:rPr>
      </w:pPr>
    </w:p>
    <w:p w14:paraId="55BFF267">
      <w:pPr>
        <w:adjustRightInd w:val="0"/>
        <w:snapToGrid w:val="0"/>
        <w:jc w:val="center"/>
        <w:outlineLvl w:val="0"/>
        <w:rPr>
          <w:rFonts w:hint="eastAsia" w:ascii="方正小标宋_GBK" w:eastAsia="方正小标宋_GBK"/>
          <w:bCs/>
          <w:sz w:val="72"/>
          <w:szCs w:val="72"/>
        </w:rPr>
      </w:pPr>
      <w:r>
        <w:rPr>
          <w:rFonts w:hint="eastAsia" w:ascii="方正小标宋_GBK" w:eastAsia="方正小标宋_GBK"/>
          <w:bCs/>
          <w:sz w:val="72"/>
          <w:szCs w:val="72"/>
        </w:rPr>
        <w:t>建设项目生态环境影响报告表</w:t>
      </w:r>
    </w:p>
    <w:p w14:paraId="57E7A76E">
      <w:pPr>
        <w:adjustRightInd w:val="0"/>
        <w:snapToGrid w:val="0"/>
        <w:spacing w:before="192" w:beforeLines="80"/>
        <w:jc w:val="center"/>
        <w:rPr>
          <w:rFonts w:hint="eastAsia" w:ascii="楷体_GB2312" w:eastAsia="楷体_GB2312"/>
          <w:bCs/>
          <w:sz w:val="48"/>
          <w:szCs w:val="48"/>
        </w:rPr>
      </w:pPr>
      <w:r>
        <w:rPr>
          <w:rFonts w:hint="eastAsia" w:ascii="楷体_GB2312" w:eastAsia="楷体_GB2312"/>
          <w:bCs/>
          <w:sz w:val="48"/>
          <w:szCs w:val="48"/>
        </w:rPr>
        <w:t>（污染影响类）</w:t>
      </w:r>
    </w:p>
    <w:p w14:paraId="6D0F03CB">
      <w:pPr>
        <w:ind w:firstLine="1040"/>
        <w:rPr>
          <w:rFonts w:hint="eastAsia" w:eastAsia="仿宋"/>
          <w:sz w:val="44"/>
          <w:szCs w:val="44"/>
        </w:rPr>
      </w:pPr>
    </w:p>
    <w:p w14:paraId="741184F8">
      <w:pPr>
        <w:ind w:firstLine="1040"/>
        <w:rPr>
          <w:rFonts w:hint="eastAsia" w:eastAsia="仿宋"/>
          <w:sz w:val="44"/>
          <w:szCs w:val="44"/>
        </w:rPr>
      </w:pPr>
    </w:p>
    <w:p w14:paraId="5F27129B">
      <w:pPr>
        <w:ind w:firstLine="1040"/>
        <w:rPr>
          <w:rFonts w:hint="eastAsia" w:eastAsia="仿宋"/>
          <w:sz w:val="44"/>
          <w:szCs w:val="44"/>
        </w:rPr>
      </w:pPr>
    </w:p>
    <w:p w14:paraId="7901AF87">
      <w:pPr>
        <w:ind w:firstLine="1040"/>
        <w:rPr>
          <w:rFonts w:hint="eastAsia" w:eastAsia="仿宋"/>
          <w:sz w:val="44"/>
          <w:szCs w:val="44"/>
        </w:rPr>
      </w:pPr>
    </w:p>
    <w:p w14:paraId="50B7CB79">
      <w:pPr>
        <w:adjustRightInd w:val="0"/>
        <w:snapToGrid w:val="0"/>
        <w:spacing w:line="288" w:lineRule="auto"/>
        <w:ind w:firstLine="1040"/>
        <w:rPr>
          <w:rFonts w:hint="eastAsia" w:ascii="仿宋_GB2312" w:eastAsia="仿宋_GB2312"/>
          <w:sz w:val="36"/>
          <w:szCs w:val="36"/>
          <w:u w:val="single"/>
        </w:rPr>
      </w:pPr>
      <w:r>
        <w:rPr>
          <w:rFonts w:hint="eastAsia" w:ascii="仿宋_GB2312" w:eastAsia="仿宋_GB2312"/>
          <w:sz w:val="36"/>
          <w:szCs w:val="36"/>
        </w:rPr>
        <w:t>项目名称：</w:t>
      </w:r>
      <w:r>
        <w:rPr>
          <w:rFonts w:hint="eastAsia" w:ascii="仿宋_GB2312" w:eastAsia="仿宋_GB2312"/>
          <w:sz w:val="36"/>
          <w:szCs w:val="36"/>
          <w:u w:val="single"/>
        </w:rPr>
        <w:t>新疆龙都石油化工有限公司20万吨</w:t>
      </w:r>
      <w:r>
        <w:rPr>
          <w:rFonts w:ascii="仿宋_GB2312" w:eastAsia="仿宋_GB2312"/>
          <w:sz w:val="36"/>
          <w:szCs w:val="36"/>
          <w:u w:val="single"/>
        </w:rPr>
        <w:t>/</w:t>
      </w:r>
      <w:r>
        <w:rPr>
          <w:rFonts w:hint="eastAsia" w:ascii="仿宋_GB2312" w:eastAsia="仿宋_GB2312"/>
          <w:sz w:val="36"/>
          <w:szCs w:val="36"/>
          <w:u w:val="single"/>
        </w:rPr>
        <w:t>年</w:t>
      </w:r>
      <w:r>
        <w:rPr>
          <w:rFonts w:hint="eastAsia" w:ascii="仿宋_GB2312" w:eastAsia="仿宋_GB2312"/>
          <w:bCs/>
          <w:sz w:val="36"/>
          <w:szCs w:val="36"/>
          <w:u w:val="single"/>
        </w:rPr>
        <w:t>劣质苯类物综合利用项目</w:t>
      </w:r>
      <w:r>
        <w:rPr>
          <w:rFonts w:hint="eastAsia" w:ascii="仿宋_GB2312" w:eastAsia="仿宋_GB2312"/>
          <w:sz w:val="36"/>
          <w:szCs w:val="36"/>
          <w:u w:val="single"/>
        </w:rPr>
        <w:t>（二期）</w:t>
      </w:r>
    </w:p>
    <w:p w14:paraId="3605BD7F">
      <w:pPr>
        <w:adjustRightInd w:val="0"/>
        <w:snapToGrid w:val="0"/>
        <w:spacing w:line="288" w:lineRule="auto"/>
        <w:ind w:firstLine="1040"/>
        <w:rPr>
          <w:rFonts w:hint="eastAsia" w:ascii="仿宋_GB2312" w:eastAsia="仿宋_GB2312"/>
          <w:sz w:val="36"/>
          <w:szCs w:val="36"/>
          <w:u w:val="single"/>
        </w:rPr>
      </w:pPr>
      <w:r>
        <w:rPr>
          <w:rFonts w:hint="eastAsia" w:ascii="仿宋_GB2312" w:eastAsia="仿宋_GB2312"/>
          <w:sz w:val="36"/>
          <w:szCs w:val="36"/>
        </w:rPr>
        <w:t>建设单位（盖章）：</w:t>
      </w:r>
      <w:r>
        <w:rPr>
          <w:rFonts w:hint="eastAsia" w:ascii="仿宋_GB2312" w:eastAsia="仿宋_GB2312"/>
          <w:sz w:val="36"/>
          <w:szCs w:val="36"/>
          <w:u w:val="single"/>
        </w:rPr>
        <w:t>新疆龙都石油化工有限公司</w:t>
      </w:r>
    </w:p>
    <w:p w14:paraId="15437121">
      <w:pPr>
        <w:adjustRightInd w:val="0"/>
        <w:snapToGrid w:val="0"/>
        <w:spacing w:line="288" w:lineRule="auto"/>
        <w:ind w:firstLine="1040"/>
        <w:rPr>
          <w:rFonts w:hint="eastAsia" w:ascii="仿宋_GB2312" w:eastAsia="仿宋_GB2312"/>
          <w:sz w:val="36"/>
          <w:szCs w:val="36"/>
          <w:u w:val="single"/>
        </w:rPr>
      </w:pPr>
      <w:r>
        <w:rPr>
          <w:rFonts w:hint="eastAsia" w:ascii="仿宋_GB2312" w:eastAsia="仿宋_GB2312"/>
          <w:sz w:val="36"/>
          <w:szCs w:val="36"/>
        </w:rPr>
        <w:t>编制日期：</w:t>
      </w:r>
      <w:r>
        <w:rPr>
          <w:rFonts w:hint="eastAsia" w:ascii="仿宋_GB2312" w:eastAsia="仿宋_GB2312"/>
          <w:sz w:val="36"/>
          <w:szCs w:val="36"/>
          <w:u w:val="single"/>
        </w:rPr>
        <w:t xml:space="preserve"> </w:t>
      </w:r>
      <w:r>
        <w:rPr>
          <w:rFonts w:ascii="仿宋_GB2312" w:eastAsia="仿宋_GB2312"/>
          <w:sz w:val="36"/>
          <w:szCs w:val="36"/>
          <w:u w:val="single"/>
        </w:rPr>
        <w:t xml:space="preserve">       </w:t>
      </w:r>
      <w:r>
        <w:rPr>
          <w:rFonts w:hint="eastAsia" w:ascii="仿宋_GB2312" w:eastAsia="仿宋_GB2312"/>
          <w:sz w:val="36"/>
          <w:szCs w:val="36"/>
          <w:u w:val="single"/>
        </w:rPr>
        <w:t xml:space="preserve">2026年5月     </w:t>
      </w:r>
    </w:p>
    <w:p w14:paraId="5757B71C">
      <w:pPr>
        <w:adjustRightInd w:val="0"/>
        <w:snapToGrid w:val="0"/>
        <w:spacing w:line="288" w:lineRule="auto"/>
        <w:ind w:firstLine="1040"/>
        <w:rPr>
          <w:rFonts w:hint="eastAsia" w:ascii="仿宋_GB2312" w:eastAsia="仿宋_GB2312"/>
          <w:sz w:val="36"/>
          <w:szCs w:val="36"/>
          <w:u w:val="single"/>
        </w:rPr>
      </w:pPr>
      <w:bookmarkStart w:id="0" w:name="_Hlk57884087"/>
    </w:p>
    <w:p w14:paraId="5B1888E2">
      <w:pPr>
        <w:adjustRightInd w:val="0"/>
        <w:snapToGrid w:val="0"/>
        <w:spacing w:line="288" w:lineRule="auto"/>
        <w:ind w:firstLine="1040"/>
        <w:rPr>
          <w:rFonts w:hint="eastAsia" w:ascii="仿宋_GB2312" w:eastAsia="仿宋_GB2312"/>
          <w:sz w:val="36"/>
          <w:szCs w:val="36"/>
        </w:rPr>
      </w:pPr>
    </w:p>
    <w:p w14:paraId="57482C87">
      <w:pPr>
        <w:adjustRightInd w:val="0"/>
        <w:snapToGrid w:val="0"/>
        <w:spacing w:line="288" w:lineRule="auto"/>
        <w:ind w:firstLine="1040"/>
        <w:rPr>
          <w:rFonts w:hint="eastAsia" w:ascii="仿宋_GB2312" w:eastAsia="仿宋_GB2312"/>
          <w:sz w:val="36"/>
          <w:szCs w:val="36"/>
        </w:rPr>
      </w:pPr>
    </w:p>
    <w:p w14:paraId="06E11C80">
      <w:pPr>
        <w:adjustRightInd w:val="0"/>
        <w:snapToGrid w:val="0"/>
        <w:spacing w:line="288" w:lineRule="auto"/>
        <w:ind w:firstLine="1040"/>
        <w:rPr>
          <w:rFonts w:hint="eastAsia" w:ascii="仿宋_GB2312" w:eastAsia="仿宋_GB2312"/>
          <w:sz w:val="36"/>
          <w:szCs w:val="36"/>
        </w:rPr>
      </w:pPr>
    </w:p>
    <w:bookmarkEnd w:id="0"/>
    <w:p w14:paraId="2D41C560">
      <w:pPr>
        <w:adjustRightInd w:val="0"/>
        <w:snapToGrid w:val="0"/>
        <w:spacing w:line="288" w:lineRule="auto"/>
        <w:jc w:val="center"/>
        <w:rPr>
          <w:rFonts w:hint="eastAsia" w:ascii="楷体_GB2312" w:eastAsia="楷体_GB2312"/>
          <w:sz w:val="36"/>
          <w:szCs w:val="36"/>
        </w:rPr>
      </w:pPr>
      <w:r>
        <w:rPr>
          <w:rFonts w:hint="eastAsia" w:ascii="楷体_GB2312" w:eastAsia="楷体_GB2312"/>
          <w:sz w:val="36"/>
          <w:szCs w:val="36"/>
        </w:rPr>
        <w:t>中华人民共和国生态环境部制</w:t>
      </w:r>
    </w:p>
    <w:p w14:paraId="0B6390EA">
      <w:pPr>
        <w:rPr>
          <w:rFonts w:hint="eastAsia" w:ascii="楷体_GB2312" w:eastAsia="楷体_GB2312"/>
          <w:sz w:val="36"/>
          <w:szCs w:val="36"/>
        </w:rPr>
      </w:pPr>
      <w:r>
        <w:rPr>
          <w:rFonts w:ascii="楷体_GB2312" w:eastAsia="楷体_GB2312"/>
          <w:sz w:val="36"/>
          <w:szCs w:val="36"/>
        </w:rPr>
        <w:br w:type="page"/>
      </w:r>
    </w:p>
    <w:p w14:paraId="43D69510">
      <w:pPr>
        <w:adjustRightInd w:val="0"/>
        <w:snapToGrid w:val="0"/>
        <w:spacing w:line="288" w:lineRule="auto"/>
        <w:jc w:val="center"/>
        <w:rPr>
          <w:rFonts w:hint="eastAsia" w:ascii="楷体_GB2312" w:eastAsia="楷体_GB2312"/>
          <w:sz w:val="36"/>
          <w:szCs w:val="36"/>
        </w:rPr>
      </w:pPr>
    </w:p>
    <w:p w14:paraId="40421FA1">
      <w:pPr>
        <w:adjustRightInd w:val="0"/>
        <w:snapToGrid w:val="0"/>
        <w:spacing w:line="288" w:lineRule="auto"/>
        <w:ind w:firstLine="1040"/>
        <w:rPr>
          <w:rFonts w:hint="eastAsia" w:ascii="仿宋_GB2312" w:eastAsia="仿宋_GB2312"/>
          <w:sz w:val="36"/>
          <w:szCs w:val="36"/>
        </w:rPr>
      </w:pPr>
    </w:p>
    <w:p w14:paraId="4F3DAF71">
      <w:pPr>
        <w:adjustRightInd w:val="0"/>
        <w:snapToGrid w:val="0"/>
        <w:spacing w:line="288" w:lineRule="auto"/>
        <w:ind w:firstLine="1040"/>
        <w:rPr>
          <w:rFonts w:hint="eastAsia" w:ascii="仿宋_GB2312" w:eastAsia="仿宋_GB2312"/>
          <w:sz w:val="36"/>
          <w:szCs w:val="36"/>
        </w:rPr>
        <w:sectPr>
          <w:footerReference r:id="rId3" w:type="default"/>
          <w:footerReference r:id="rId4" w:type="even"/>
          <w:pgSz w:w="11906" w:h="16838"/>
          <w:pgMar w:top="1701" w:right="1531" w:bottom="1701" w:left="1531" w:header="851" w:footer="1077" w:gutter="0"/>
          <w:pgNumType w:start="3"/>
          <w:cols w:space="720" w:num="1"/>
          <w:docGrid w:linePitch="312" w:charSpace="0"/>
        </w:sectPr>
      </w:pPr>
    </w:p>
    <w:p w14:paraId="0C806B67">
      <w:pPr>
        <w:pStyle w:val="13"/>
        <w:jc w:val="center"/>
        <w:outlineLvl w:val="0"/>
        <w:rPr>
          <w:rFonts w:hint="eastAsia" w:ascii="黑体" w:hAnsi="黑体" w:eastAsia="黑体"/>
          <w:snapToGrid w:val="0"/>
          <w:sz w:val="30"/>
          <w:szCs w:val="30"/>
        </w:rPr>
      </w:pPr>
      <w:r>
        <w:rPr>
          <w:rFonts w:hint="eastAsia" w:ascii="黑体" w:hAnsi="黑体" w:eastAsia="黑体"/>
          <w:snapToGrid w:val="0"/>
          <w:sz w:val="30"/>
          <w:szCs w:val="30"/>
        </w:rPr>
        <w:t>一、建设项目基本情况</w:t>
      </w:r>
    </w:p>
    <w:tbl>
      <w:tblPr>
        <w:tblStyle w:val="16"/>
        <w:tblW w:w="894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382"/>
        <w:gridCol w:w="1637"/>
        <w:gridCol w:w="2212"/>
        <w:gridCol w:w="2713"/>
      </w:tblGrid>
      <w:tr w14:paraId="741A01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35A510BB">
            <w:pPr>
              <w:adjustRightInd w:val="0"/>
              <w:snapToGrid w:val="0"/>
              <w:jc w:val="center"/>
              <w:rPr>
                <w:rFonts w:ascii="Times New Roman" w:hAnsi="Times New Roman" w:cs="Times New Roman"/>
                <w:szCs w:val="21"/>
              </w:rPr>
            </w:pPr>
            <w:r>
              <w:rPr>
                <w:rFonts w:ascii="Times New Roman" w:hAnsi="Times New Roman" w:cs="Times New Roman"/>
                <w:szCs w:val="21"/>
              </w:rPr>
              <w:t>建设项目名称</w:t>
            </w:r>
          </w:p>
        </w:tc>
        <w:tc>
          <w:tcPr>
            <w:tcW w:w="6562" w:type="dxa"/>
            <w:gridSpan w:val="3"/>
            <w:vAlign w:val="center"/>
          </w:tcPr>
          <w:p w14:paraId="187FA642">
            <w:pPr>
              <w:adjustRightInd w:val="0"/>
              <w:snapToGrid w:val="0"/>
              <w:jc w:val="center"/>
              <w:rPr>
                <w:rFonts w:ascii="Times New Roman" w:hAnsi="Times New Roman" w:cs="Times New Roman"/>
                <w:szCs w:val="21"/>
              </w:rPr>
            </w:pPr>
            <w:r>
              <w:rPr>
                <w:rFonts w:ascii="Times New Roman" w:hAnsi="Times New Roman" w:cs="Times New Roman"/>
                <w:szCs w:val="21"/>
              </w:rPr>
              <w:t>新疆龙都石油化工有限公司</w:t>
            </w:r>
            <w:r>
              <w:rPr>
                <w:rFonts w:ascii="Times New Roman" w:hAnsi="Times New Roman" w:cs="Times New Roman"/>
                <w:bCs/>
                <w:szCs w:val="21"/>
              </w:rPr>
              <w:t>20万吨/年劣质苯类物综合利用项目（二期）</w:t>
            </w:r>
          </w:p>
        </w:tc>
      </w:tr>
      <w:tr w14:paraId="224661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24A63539">
            <w:pPr>
              <w:adjustRightInd w:val="0"/>
              <w:snapToGrid w:val="0"/>
              <w:jc w:val="center"/>
              <w:rPr>
                <w:rFonts w:ascii="Times New Roman" w:hAnsi="Times New Roman" w:cs="Times New Roman"/>
                <w:szCs w:val="21"/>
              </w:rPr>
            </w:pPr>
            <w:r>
              <w:rPr>
                <w:rFonts w:ascii="Times New Roman" w:hAnsi="Times New Roman" w:cs="Times New Roman"/>
                <w:szCs w:val="21"/>
              </w:rPr>
              <w:t>项目代码</w:t>
            </w:r>
          </w:p>
        </w:tc>
        <w:tc>
          <w:tcPr>
            <w:tcW w:w="6562" w:type="dxa"/>
            <w:gridSpan w:val="3"/>
            <w:vAlign w:val="center"/>
          </w:tcPr>
          <w:p w14:paraId="175490DE">
            <w:pPr>
              <w:adjustRightInd w:val="0"/>
              <w:snapToGrid w:val="0"/>
              <w:jc w:val="center"/>
              <w:rPr>
                <w:rFonts w:ascii="Times New Roman" w:hAnsi="Times New Roman" w:cs="Times New Roman"/>
                <w:szCs w:val="21"/>
              </w:rPr>
            </w:pPr>
          </w:p>
        </w:tc>
      </w:tr>
      <w:tr w14:paraId="1AAD94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010CB9FA">
            <w:pPr>
              <w:adjustRightInd w:val="0"/>
              <w:snapToGrid w:val="0"/>
              <w:jc w:val="center"/>
              <w:rPr>
                <w:rFonts w:ascii="Times New Roman" w:hAnsi="Times New Roman" w:cs="Times New Roman"/>
                <w:szCs w:val="21"/>
              </w:rPr>
            </w:pPr>
            <w:r>
              <w:rPr>
                <w:rFonts w:ascii="Times New Roman" w:hAnsi="Times New Roman" w:cs="Times New Roman"/>
                <w:szCs w:val="21"/>
              </w:rPr>
              <w:t>建设单位联系人</w:t>
            </w:r>
          </w:p>
        </w:tc>
        <w:tc>
          <w:tcPr>
            <w:tcW w:w="1637" w:type="dxa"/>
            <w:vAlign w:val="center"/>
          </w:tcPr>
          <w:p w14:paraId="60475F5F">
            <w:pPr>
              <w:adjustRightInd w:val="0"/>
              <w:snapToGrid w:val="0"/>
              <w:jc w:val="center"/>
              <w:rPr>
                <w:rFonts w:ascii="Times New Roman" w:hAnsi="Times New Roman" w:cs="Times New Roman"/>
                <w:szCs w:val="21"/>
              </w:rPr>
            </w:pPr>
          </w:p>
        </w:tc>
        <w:tc>
          <w:tcPr>
            <w:tcW w:w="2212" w:type="dxa"/>
            <w:vAlign w:val="center"/>
          </w:tcPr>
          <w:p w14:paraId="2D229828">
            <w:pPr>
              <w:adjustRightInd w:val="0"/>
              <w:snapToGrid w:val="0"/>
              <w:jc w:val="center"/>
              <w:rPr>
                <w:rFonts w:ascii="Times New Roman" w:hAnsi="Times New Roman" w:cs="Times New Roman"/>
                <w:szCs w:val="21"/>
              </w:rPr>
            </w:pPr>
            <w:r>
              <w:rPr>
                <w:rFonts w:ascii="Times New Roman" w:hAnsi="Times New Roman" w:cs="Times New Roman"/>
                <w:szCs w:val="21"/>
              </w:rPr>
              <w:t>联系方式</w:t>
            </w:r>
          </w:p>
        </w:tc>
        <w:tc>
          <w:tcPr>
            <w:tcW w:w="2713" w:type="dxa"/>
            <w:vAlign w:val="center"/>
          </w:tcPr>
          <w:p w14:paraId="2333F0E7">
            <w:pPr>
              <w:adjustRightInd w:val="0"/>
              <w:snapToGrid w:val="0"/>
              <w:jc w:val="center"/>
              <w:rPr>
                <w:rFonts w:ascii="Times New Roman" w:hAnsi="Times New Roman" w:cs="Times New Roman"/>
                <w:szCs w:val="21"/>
              </w:rPr>
            </w:pPr>
          </w:p>
        </w:tc>
      </w:tr>
      <w:tr w14:paraId="13EA8E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1026D063">
            <w:pPr>
              <w:adjustRightInd w:val="0"/>
              <w:snapToGrid w:val="0"/>
              <w:jc w:val="center"/>
              <w:rPr>
                <w:rFonts w:ascii="Times New Roman" w:hAnsi="Times New Roman" w:cs="Times New Roman"/>
                <w:szCs w:val="21"/>
              </w:rPr>
            </w:pPr>
            <w:r>
              <w:rPr>
                <w:rFonts w:ascii="Times New Roman" w:hAnsi="Times New Roman" w:cs="Times New Roman"/>
                <w:szCs w:val="21"/>
              </w:rPr>
              <w:t>建设地点</w:t>
            </w:r>
          </w:p>
        </w:tc>
        <w:tc>
          <w:tcPr>
            <w:tcW w:w="6562" w:type="dxa"/>
            <w:gridSpan w:val="3"/>
            <w:vAlign w:val="center"/>
          </w:tcPr>
          <w:p w14:paraId="3C15304B">
            <w:pPr>
              <w:adjustRightInd w:val="0"/>
              <w:snapToGrid w:val="0"/>
              <w:jc w:val="center"/>
              <w:rPr>
                <w:rFonts w:ascii="Times New Roman" w:hAnsi="Times New Roman" w:cs="Times New Roman"/>
                <w:szCs w:val="21"/>
              </w:rPr>
            </w:pPr>
            <w:r>
              <w:rPr>
                <w:rFonts w:ascii="Times New Roman" w:hAnsi="Times New Roman" w:cs="Times New Roman"/>
                <w:szCs w:val="21"/>
                <w:u w:val="single"/>
              </w:rPr>
              <w:t>新疆昌吉回族自治州吉木萨尔县北庭工业园区</w:t>
            </w:r>
          </w:p>
        </w:tc>
      </w:tr>
      <w:tr w14:paraId="0F0B22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28611C40">
            <w:pPr>
              <w:adjustRightInd w:val="0"/>
              <w:snapToGrid w:val="0"/>
              <w:jc w:val="center"/>
              <w:rPr>
                <w:rFonts w:ascii="Times New Roman" w:hAnsi="Times New Roman" w:cs="Times New Roman"/>
                <w:szCs w:val="21"/>
              </w:rPr>
            </w:pPr>
            <w:r>
              <w:rPr>
                <w:rFonts w:ascii="Times New Roman" w:hAnsi="Times New Roman" w:cs="Times New Roman"/>
                <w:szCs w:val="21"/>
              </w:rPr>
              <w:t>地理坐标</w:t>
            </w:r>
          </w:p>
        </w:tc>
        <w:tc>
          <w:tcPr>
            <w:tcW w:w="6562" w:type="dxa"/>
            <w:gridSpan w:val="3"/>
            <w:vAlign w:val="center"/>
          </w:tcPr>
          <w:p w14:paraId="308590A7">
            <w:pPr>
              <w:jc w:val="center"/>
              <w:rPr>
                <w:rFonts w:ascii="Times New Roman" w:hAnsi="Times New Roman" w:cs="Times New Roman"/>
                <w:szCs w:val="21"/>
              </w:rPr>
            </w:pPr>
            <w:r>
              <w:rPr>
                <w:rFonts w:ascii="Times New Roman" w:hAnsi="Times New Roman" w:cs="Times New Roman"/>
                <w:szCs w:val="21"/>
              </w:rPr>
              <w:t>（</w:t>
            </w:r>
            <w:r>
              <w:rPr>
                <w:rFonts w:hint="eastAsia" w:ascii="Times New Roman" w:hAnsi="Times New Roman" w:cs="Times New Roman"/>
                <w:szCs w:val="21"/>
                <w:u w:val="single"/>
              </w:rPr>
              <w:t>XX</w:t>
            </w:r>
            <w:r>
              <w:rPr>
                <w:rFonts w:ascii="Times New Roman" w:hAnsi="Times New Roman" w:cs="Times New Roman"/>
                <w:szCs w:val="21"/>
              </w:rPr>
              <w:t>度</w:t>
            </w:r>
            <w:r>
              <w:rPr>
                <w:rFonts w:hint="eastAsia" w:ascii="Times New Roman" w:hAnsi="Times New Roman" w:cs="Times New Roman"/>
                <w:szCs w:val="21"/>
                <w:u w:val="single"/>
              </w:rPr>
              <w:t>XX</w:t>
            </w:r>
            <w:r>
              <w:rPr>
                <w:rFonts w:ascii="Times New Roman" w:hAnsi="Times New Roman" w:cs="Times New Roman"/>
                <w:szCs w:val="21"/>
              </w:rPr>
              <w:t>分</w:t>
            </w:r>
            <w:r>
              <w:rPr>
                <w:rFonts w:hint="eastAsia" w:ascii="Times New Roman" w:hAnsi="Times New Roman" w:cs="Times New Roman"/>
                <w:szCs w:val="21"/>
                <w:u w:val="single"/>
              </w:rPr>
              <w:t>XXX</w:t>
            </w:r>
            <w:r>
              <w:rPr>
                <w:rFonts w:ascii="Times New Roman" w:hAnsi="Times New Roman" w:cs="Times New Roman"/>
                <w:szCs w:val="21"/>
              </w:rPr>
              <w:t>秒，</w:t>
            </w:r>
            <w:r>
              <w:rPr>
                <w:rFonts w:hint="eastAsia" w:ascii="Times New Roman" w:hAnsi="Times New Roman" w:cs="Times New Roman"/>
                <w:szCs w:val="21"/>
                <w:u w:val="single"/>
              </w:rPr>
              <w:t>XX</w:t>
            </w:r>
            <w:r>
              <w:rPr>
                <w:rFonts w:ascii="Times New Roman" w:hAnsi="Times New Roman" w:cs="Times New Roman"/>
                <w:szCs w:val="21"/>
              </w:rPr>
              <w:t>度</w:t>
            </w:r>
            <w:r>
              <w:rPr>
                <w:rFonts w:hint="eastAsia" w:ascii="Times New Roman" w:hAnsi="Times New Roman" w:cs="Times New Roman"/>
                <w:szCs w:val="21"/>
                <w:u w:val="single"/>
              </w:rPr>
              <w:t>X</w:t>
            </w:r>
            <w:r>
              <w:rPr>
                <w:rFonts w:ascii="Times New Roman" w:hAnsi="Times New Roman" w:cs="Times New Roman"/>
                <w:szCs w:val="21"/>
              </w:rPr>
              <w:t>分</w:t>
            </w:r>
            <w:r>
              <w:rPr>
                <w:rFonts w:hint="eastAsia" w:ascii="Times New Roman" w:hAnsi="Times New Roman" w:cs="Times New Roman"/>
                <w:szCs w:val="21"/>
                <w:u w:val="single"/>
              </w:rPr>
              <w:t>XXX</w:t>
            </w:r>
            <w:r>
              <w:rPr>
                <w:rFonts w:ascii="Times New Roman" w:hAnsi="Times New Roman" w:cs="Times New Roman"/>
                <w:szCs w:val="21"/>
              </w:rPr>
              <w:t>秒）</w:t>
            </w:r>
          </w:p>
        </w:tc>
      </w:tr>
      <w:tr w14:paraId="7E3535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382" w:type="dxa"/>
            <w:tcMar>
              <w:top w:w="16" w:type="dxa"/>
              <w:left w:w="16" w:type="dxa"/>
              <w:right w:w="16" w:type="dxa"/>
            </w:tcMar>
            <w:vAlign w:val="center"/>
          </w:tcPr>
          <w:p w14:paraId="39373515">
            <w:pPr>
              <w:adjustRightInd w:val="0"/>
              <w:snapToGrid w:val="0"/>
              <w:jc w:val="center"/>
              <w:rPr>
                <w:rFonts w:ascii="Times New Roman" w:hAnsi="Times New Roman" w:cs="Times New Roman"/>
                <w:szCs w:val="21"/>
              </w:rPr>
            </w:pPr>
            <w:r>
              <w:rPr>
                <w:rFonts w:ascii="Times New Roman" w:hAnsi="Times New Roman" w:cs="Times New Roman"/>
                <w:szCs w:val="21"/>
              </w:rPr>
              <w:t>国民经济</w:t>
            </w:r>
          </w:p>
          <w:p w14:paraId="15FC4365">
            <w:pPr>
              <w:adjustRightInd w:val="0"/>
              <w:snapToGrid w:val="0"/>
              <w:jc w:val="center"/>
              <w:rPr>
                <w:rFonts w:ascii="Times New Roman" w:hAnsi="Times New Roman" w:cs="Times New Roman"/>
                <w:szCs w:val="21"/>
              </w:rPr>
            </w:pPr>
            <w:r>
              <w:rPr>
                <w:rFonts w:ascii="Times New Roman" w:hAnsi="Times New Roman" w:cs="Times New Roman"/>
                <w:szCs w:val="21"/>
              </w:rPr>
              <w:t>行业类别</w:t>
            </w:r>
          </w:p>
        </w:tc>
        <w:tc>
          <w:tcPr>
            <w:tcW w:w="1637" w:type="dxa"/>
            <w:vAlign w:val="center"/>
          </w:tcPr>
          <w:p w14:paraId="12BDE4D5">
            <w:pPr>
              <w:adjustRightInd w:val="0"/>
              <w:snapToGrid w:val="0"/>
              <w:jc w:val="center"/>
              <w:rPr>
                <w:rFonts w:ascii="Times New Roman" w:hAnsi="Times New Roman" w:cs="Times New Roman"/>
              </w:rPr>
            </w:pPr>
            <w:r>
              <w:rPr>
                <w:rFonts w:ascii="Times New Roman" w:hAnsi="Times New Roman" w:cs="Times New Roman"/>
                <w:szCs w:val="21"/>
              </w:rPr>
              <w:t>C2511 原油加工及石油制品制造</w:t>
            </w:r>
          </w:p>
        </w:tc>
        <w:tc>
          <w:tcPr>
            <w:tcW w:w="2212" w:type="dxa"/>
            <w:vAlign w:val="center"/>
          </w:tcPr>
          <w:p w14:paraId="1A0075DB">
            <w:pPr>
              <w:adjustRightInd w:val="0"/>
              <w:snapToGrid w:val="0"/>
              <w:jc w:val="center"/>
              <w:rPr>
                <w:rFonts w:ascii="Times New Roman" w:hAnsi="Times New Roman" w:cs="Times New Roman"/>
                <w:szCs w:val="21"/>
              </w:rPr>
            </w:pPr>
            <w:bookmarkStart w:id="1" w:name="_Hlk49843745"/>
            <w:r>
              <w:rPr>
                <w:rFonts w:ascii="Times New Roman" w:hAnsi="Times New Roman" w:cs="Times New Roman"/>
                <w:szCs w:val="21"/>
              </w:rPr>
              <w:t>建设项目</w:t>
            </w:r>
          </w:p>
          <w:p w14:paraId="1EB6080F">
            <w:pPr>
              <w:adjustRightInd w:val="0"/>
              <w:snapToGrid w:val="0"/>
              <w:jc w:val="center"/>
              <w:rPr>
                <w:rFonts w:ascii="Times New Roman" w:hAnsi="Times New Roman" w:cs="Times New Roman"/>
                <w:szCs w:val="21"/>
              </w:rPr>
            </w:pPr>
            <w:r>
              <w:rPr>
                <w:rFonts w:ascii="Times New Roman" w:hAnsi="Times New Roman" w:cs="Times New Roman"/>
                <w:szCs w:val="21"/>
              </w:rPr>
              <w:t>行业类别</w:t>
            </w:r>
            <w:bookmarkEnd w:id="1"/>
          </w:p>
        </w:tc>
        <w:tc>
          <w:tcPr>
            <w:tcW w:w="2713" w:type="dxa"/>
            <w:vAlign w:val="center"/>
          </w:tcPr>
          <w:p w14:paraId="3FF39202">
            <w:pPr>
              <w:adjustRightInd w:val="0"/>
              <w:snapToGrid w:val="0"/>
              <w:rPr>
                <w:rFonts w:ascii="Times New Roman" w:hAnsi="Times New Roman" w:cs="Times New Roman"/>
                <w:szCs w:val="21"/>
              </w:rPr>
            </w:pPr>
            <w:r>
              <w:rPr>
                <w:rFonts w:ascii="Times New Roman" w:hAnsi="Times New Roman" w:cs="Times New Roman"/>
                <w:sz w:val="22"/>
                <w:szCs w:val="22"/>
              </w:rPr>
              <w:t>二十二、石油、煤炭及其他燃料加工业-42.精炼石油产品制造251-单纯物理分离、物理提纯、混合、分装的</w:t>
            </w:r>
          </w:p>
        </w:tc>
      </w:tr>
      <w:tr w14:paraId="4C166F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382" w:type="dxa"/>
            <w:tcMar>
              <w:top w:w="16" w:type="dxa"/>
              <w:left w:w="16" w:type="dxa"/>
              <w:right w:w="16" w:type="dxa"/>
            </w:tcMar>
            <w:vAlign w:val="center"/>
          </w:tcPr>
          <w:p w14:paraId="5A5E334B">
            <w:pPr>
              <w:adjustRightInd w:val="0"/>
              <w:snapToGrid w:val="0"/>
              <w:jc w:val="center"/>
              <w:rPr>
                <w:rFonts w:ascii="Times New Roman" w:hAnsi="Times New Roman" w:cs="Times New Roman"/>
                <w:szCs w:val="21"/>
              </w:rPr>
            </w:pPr>
            <w:r>
              <w:rPr>
                <w:rFonts w:ascii="Times New Roman" w:hAnsi="Times New Roman" w:cs="Times New Roman"/>
                <w:szCs w:val="21"/>
              </w:rPr>
              <w:t>建设性质</w:t>
            </w:r>
          </w:p>
        </w:tc>
        <w:tc>
          <w:tcPr>
            <w:tcW w:w="1637" w:type="dxa"/>
            <w:vAlign w:val="center"/>
          </w:tcPr>
          <w:p w14:paraId="6AE2B011">
            <w:pPr>
              <w:rPr>
                <w:rFonts w:ascii="Times New Roman" w:hAnsi="Times New Roman" w:cs="Times New Roman"/>
                <w:szCs w:val="21"/>
              </w:rPr>
            </w:pPr>
            <w:r>
              <w:rPr>
                <w:rFonts w:ascii="Times New Roman" w:hAnsi="Times New Roman" w:cs="Times New Roman"/>
                <w:szCs w:val="21"/>
              </w:rPr>
              <w:sym w:font="Wingdings 2" w:char="F052"/>
            </w:r>
            <w:r>
              <w:rPr>
                <w:rFonts w:ascii="Times New Roman" w:hAnsi="Times New Roman" w:cs="Times New Roman"/>
                <w:szCs w:val="21"/>
              </w:rPr>
              <w:t>新建（迁建）</w:t>
            </w:r>
          </w:p>
          <w:p w14:paraId="158964A1">
            <w:pPr>
              <w:rPr>
                <w:rFonts w:ascii="Times New Roman" w:hAnsi="Times New Roman" w:cs="Times New Roman"/>
                <w:szCs w:val="21"/>
              </w:rPr>
            </w:pPr>
            <w:r>
              <w:rPr>
                <w:rFonts w:ascii="Times New Roman" w:hAnsi="Times New Roman" w:cs="Times New Roman"/>
                <w:szCs w:val="21"/>
              </w:rPr>
              <w:t>□改建</w:t>
            </w:r>
          </w:p>
          <w:p w14:paraId="52E6300E">
            <w:pPr>
              <w:rPr>
                <w:rFonts w:ascii="Times New Roman" w:hAnsi="Times New Roman" w:cs="Times New Roman"/>
                <w:szCs w:val="21"/>
              </w:rPr>
            </w:pPr>
            <w:r>
              <w:rPr>
                <w:rFonts w:ascii="Times New Roman" w:hAnsi="Times New Roman" w:cs="Times New Roman"/>
                <w:szCs w:val="21"/>
              </w:rPr>
              <w:t>□扩建</w:t>
            </w:r>
          </w:p>
          <w:p w14:paraId="63CE726F">
            <w:pPr>
              <w:rPr>
                <w:rFonts w:ascii="Times New Roman" w:hAnsi="Times New Roman" w:cs="Times New Roman"/>
                <w:szCs w:val="21"/>
              </w:rPr>
            </w:pPr>
            <w:r>
              <w:rPr>
                <w:rFonts w:ascii="Times New Roman" w:hAnsi="Times New Roman" w:cs="Times New Roman"/>
                <w:szCs w:val="21"/>
              </w:rPr>
              <w:t>□技术改造</w:t>
            </w:r>
          </w:p>
        </w:tc>
        <w:tc>
          <w:tcPr>
            <w:tcW w:w="2212" w:type="dxa"/>
            <w:vAlign w:val="center"/>
          </w:tcPr>
          <w:p w14:paraId="0208F501">
            <w:pPr>
              <w:adjustRightInd w:val="0"/>
              <w:snapToGrid w:val="0"/>
              <w:jc w:val="center"/>
              <w:rPr>
                <w:rFonts w:ascii="Times New Roman" w:hAnsi="Times New Roman" w:cs="Times New Roman"/>
                <w:szCs w:val="21"/>
              </w:rPr>
            </w:pPr>
            <w:r>
              <w:rPr>
                <w:rFonts w:ascii="Times New Roman" w:hAnsi="Times New Roman" w:cs="Times New Roman"/>
                <w:szCs w:val="21"/>
              </w:rPr>
              <w:t>建设项目</w:t>
            </w:r>
          </w:p>
          <w:p w14:paraId="2CABD153">
            <w:pPr>
              <w:adjustRightInd w:val="0"/>
              <w:snapToGrid w:val="0"/>
              <w:jc w:val="center"/>
              <w:rPr>
                <w:rFonts w:ascii="Times New Roman" w:hAnsi="Times New Roman" w:cs="Times New Roman"/>
                <w:szCs w:val="21"/>
              </w:rPr>
            </w:pPr>
            <w:r>
              <w:rPr>
                <w:rFonts w:ascii="Times New Roman" w:hAnsi="Times New Roman" w:cs="Times New Roman"/>
                <w:szCs w:val="21"/>
              </w:rPr>
              <w:t>申报情形</w:t>
            </w:r>
          </w:p>
        </w:tc>
        <w:tc>
          <w:tcPr>
            <w:tcW w:w="2713" w:type="dxa"/>
            <w:vAlign w:val="center"/>
          </w:tcPr>
          <w:p w14:paraId="568A2C34">
            <w:pPr>
              <w:rPr>
                <w:rFonts w:ascii="Times New Roman" w:hAnsi="Times New Roman" w:cs="Times New Roman"/>
                <w:szCs w:val="21"/>
              </w:rPr>
            </w:pPr>
            <w:r>
              <w:rPr>
                <w:rFonts w:ascii="Times New Roman" w:hAnsi="Times New Roman" w:cs="Times New Roman"/>
                <w:szCs w:val="21"/>
              </w:rPr>
              <w:sym w:font="Wingdings 2" w:char="F052"/>
            </w:r>
            <w:r>
              <w:rPr>
                <w:rFonts w:ascii="Times New Roman" w:hAnsi="Times New Roman" w:cs="Times New Roman"/>
                <w:szCs w:val="21"/>
              </w:rPr>
              <w:t xml:space="preserve">首次申报项目             </w:t>
            </w:r>
          </w:p>
          <w:p w14:paraId="0DCEA993">
            <w:pPr>
              <w:rPr>
                <w:rFonts w:ascii="Times New Roman" w:hAnsi="Times New Roman" w:cs="Times New Roman"/>
                <w:szCs w:val="21"/>
              </w:rPr>
            </w:pPr>
            <w:r>
              <w:rPr>
                <w:rFonts w:ascii="Times New Roman" w:hAnsi="Times New Roman" w:cs="Times New Roman"/>
                <w:szCs w:val="21"/>
              </w:rPr>
              <w:t>□不予批准后再次申报项目</w:t>
            </w:r>
          </w:p>
          <w:p w14:paraId="4C4C2858">
            <w:pPr>
              <w:rPr>
                <w:rFonts w:ascii="Times New Roman" w:hAnsi="Times New Roman" w:cs="Times New Roman"/>
                <w:szCs w:val="21"/>
              </w:rPr>
            </w:pPr>
            <w:r>
              <w:rPr>
                <w:rFonts w:ascii="Times New Roman" w:hAnsi="Times New Roman" w:cs="Times New Roman"/>
                <w:szCs w:val="21"/>
              </w:rPr>
              <w:sym w:font="Wingdings 2" w:char="00A3"/>
            </w:r>
            <w:r>
              <w:rPr>
                <w:rFonts w:ascii="Times New Roman" w:hAnsi="Times New Roman" w:cs="Times New Roman"/>
                <w:szCs w:val="21"/>
              </w:rPr>
              <w:t xml:space="preserve">超五年重新审核项目     </w:t>
            </w:r>
          </w:p>
          <w:p w14:paraId="20B49DCC">
            <w:pPr>
              <w:rPr>
                <w:rFonts w:ascii="Times New Roman" w:hAnsi="Times New Roman" w:cs="Times New Roman"/>
                <w:szCs w:val="21"/>
              </w:rPr>
            </w:pPr>
            <w:r>
              <w:rPr>
                <w:rFonts w:ascii="Times New Roman" w:hAnsi="Times New Roman" w:cs="Times New Roman"/>
                <w:szCs w:val="21"/>
              </w:rPr>
              <w:t>□重大变动重新报批项目</w:t>
            </w:r>
          </w:p>
        </w:tc>
      </w:tr>
      <w:tr w14:paraId="59F40F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382" w:type="dxa"/>
            <w:tcMar>
              <w:top w:w="16" w:type="dxa"/>
              <w:left w:w="16" w:type="dxa"/>
              <w:right w:w="16" w:type="dxa"/>
            </w:tcMar>
            <w:vAlign w:val="center"/>
          </w:tcPr>
          <w:p w14:paraId="13B409E9">
            <w:pPr>
              <w:adjustRightInd w:val="0"/>
              <w:snapToGrid w:val="0"/>
              <w:jc w:val="center"/>
              <w:rPr>
                <w:rFonts w:ascii="Times New Roman" w:hAnsi="Times New Roman" w:cs="Times New Roman"/>
                <w:szCs w:val="21"/>
              </w:rPr>
            </w:pPr>
            <w:r>
              <w:rPr>
                <w:rFonts w:ascii="Times New Roman" w:hAnsi="Times New Roman" w:cs="Times New Roman"/>
                <w:szCs w:val="21"/>
              </w:rPr>
              <w:t>项目审批（核准/</w:t>
            </w:r>
          </w:p>
          <w:p w14:paraId="7CECED15">
            <w:pPr>
              <w:adjustRightInd w:val="0"/>
              <w:snapToGrid w:val="0"/>
              <w:jc w:val="center"/>
              <w:rPr>
                <w:rFonts w:ascii="Times New Roman" w:hAnsi="Times New Roman" w:cs="Times New Roman"/>
                <w:szCs w:val="21"/>
              </w:rPr>
            </w:pPr>
            <w:r>
              <w:rPr>
                <w:rFonts w:ascii="Times New Roman" w:hAnsi="Times New Roman" w:cs="Times New Roman"/>
                <w:szCs w:val="21"/>
              </w:rPr>
              <w:t>备案）部门（选填）</w:t>
            </w:r>
          </w:p>
        </w:tc>
        <w:tc>
          <w:tcPr>
            <w:tcW w:w="1637" w:type="dxa"/>
            <w:vAlign w:val="center"/>
          </w:tcPr>
          <w:p w14:paraId="28503CBC">
            <w:pPr>
              <w:adjustRightInd w:val="0"/>
              <w:snapToGrid w:val="0"/>
              <w:jc w:val="center"/>
              <w:rPr>
                <w:rFonts w:ascii="Times New Roman" w:hAnsi="Times New Roman" w:cs="Times New Roman"/>
                <w:szCs w:val="21"/>
              </w:rPr>
            </w:pPr>
            <w:r>
              <w:rPr>
                <w:rFonts w:ascii="Times New Roman" w:hAnsi="Times New Roman" w:cs="Times New Roman"/>
                <w:szCs w:val="21"/>
              </w:rPr>
              <w:t>吉木萨尔县发展和改革委员会</w:t>
            </w:r>
          </w:p>
        </w:tc>
        <w:tc>
          <w:tcPr>
            <w:tcW w:w="2212" w:type="dxa"/>
            <w:vAlign w:val="center"/>
          </w:tcPr>
          <w:p w14:paraId="2936C6C0">
            <w:pPr>
              <w:adjustRightInd w:val="0"/>
              <w:snapToGrid w:val="0"/>
              <w:jc w:val="center"/>
              <w:rPr>
                <w:rFonts w:ascii="Times New Roman" w:hAnsi="Times New Roman" w:cs="Times New Roman"/>
                <w:szCs w:val="21"/>
              </w:rPr>
            </w:pPr>
            <w:r>
              <w:rPr>
                <w:rFonts w:ascii="Times New Roman" w:hAnsi="Times New Roman" w:cs="Times New Roman"/>
                <w:szCs w:val="21"/>
              </w:rPr>
              <w:t>项目审批（核准/</w:t>
            </w:r>
          </w:p>
          <w:p w14:paraId="35736E0C">
            <w:pPr>
              <w:adjustRightInd w:val="0"/>
              <w:snapToGrid w:val="0"/>
              <w:jc w:val="center"/>
              <w:rPr>
                <w:rFonts w:ascii="Times New Roman" w:hAnsi="Times New Roman" w:cs="Times New Roman"/>
                <w:szCs w:val="21"/>
              </w:rPr>
            </w:pPr>
            <w:r>
              <w:rPr>
                <w:rFonts w:ascii="Times New Roman" w:hAnsi="Times New Roman" w:cs="Times New Roman"/>
                <w:szCs w:val="21"/>
              </w:rPr>
              <w:t>备案）文号（选填）</w:t>
            </w:r>
          </w:p>
        </w:tc>
        <w:tc>
          <w:tcPr>
            <w:tcW w:w="2713" w:type="dxa"/>
            <w:vAlign w:val="center"/>
          </w:tcPr>
          <w:p w14:paraId="285181FA">
            <w:pPr>
              <w:adjustRightInd w:val="0"/>
              <w:snapToGrid w:val="0"/>
              <w:jc w:val="center"/>
              <w:rPr>
                <w:rFonts w:ascii="Times New Roman" w:hAnsi="Times New Roman" w:cs="Times New Roman"/>
                <w:szCs w:val="21"/>
              </w:rPr>
            </w:pPr>
          </w:p>
        </w:tc>
      </w:tr>
      <w:tr w14:paraId="724741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03021230">
            <w:pPr>
              <w:adjustRightInd w:val="0"/>
              <w:snapToGrid w:val="0"/>
              <w:jc w:val="center"/>
              <w:rPr>
                <w:rFonts w:ascii="Times New Roman" w:hAnsi="Times New Roman" w:cs="Times New Roman"/>
                <w:szCs w:val="21"/>
              </w:rPr>
            </w:pPr>
            <w:r>
              <w:rPr>
                <w:rFonts w:ascii="Times New Roman" w:hAnsi="Times New Roman" w:cs="Times New Roman"/>
                <w:szCs w:val="21"/>
              </w:rPr>
              <w:t>总投资（万元）</w:t>
            </w:r>
          </w:p>
        </w:tc>
        <w:tc>
          <w:tcPr>
            <w:tcW w:w="1637" w:type="dxa"/>
            <w:vAlign w:val="center"/>
          </w:tcPr>
          <w:p w14:paraId="018079A2">
            <w:pPr>
              <w:adjustRightInd w:val="0"/>
              <w:snapToGrid w:val="0"/>
              <w:jc w:val="center"/>
              <w:rPr>
                <w:rFonts w:ascii="Times New Roman" w:hAnsi="Times New Roman" w:cs="Times New Roman"/>
                <w:szCs w:val="21"/>
              </w:rPr>
            </w:pPr>
            <w:r>
              <w:rPr>
                <w:rFonts w:ascii="Times New Roman" w:hAnsi="Times New Roman" w:cs="Times New Roman"/>
                <w:szCs w:val="21"/>
              </w:rPr>
              <w:t>4007.24</w:t>
            </w:r>
          </w:p>
        </w:tc>
        <w:tc>
          <w:tcPr>
            <w:tcW w:w="2212" w:type="dxa"/>
            <w:tcMar>
              <w:top w:w="16" w:type="dxa"/>
              <w:left w:w="16" w:type="dxa"/>
              <w:right w:w="16" w:type="dxa"/>
            </w:tcMar>
            <w:vAlign w:val="center"/>
          </w:tcPr>
          <w:p w14:paraId="38C6E630">
            <w:pPr>
              <w:adjustRightInd w:val="0"/>
              <w:snapToGrid w:val="0"/>
              <w:jc w:val="center"/>
              <w:rPr>
                <w:rFonts w:ascii="Times New Roman" w:hAnsi="Times New Roman" w:cs="Times New Roman"/>
                <w:szCs w:val="21"/>
              </w:rPr>
            </w:pPr>
            <w:r>
              <w:rPr>
                <w:rFonts w:ascii="Times New Roman" w:hAnsi="Times New Roman" w:cs="Times New Roman"/>
                <w:szCs w:val="21"/>
              </w:rPr>
              <w:t>环保投资（万元）</w:t>
            </w:r>
          </w:p>
        </w:tc>
        <w:tc>
          <w:tcPr>
            <w:tcW w:w="2713" w:type="dxa"/>
            <w:vAlign w:val="center"/>
          </w:tcPr>
          <w:p w14:paraId="4179A1F6">
            <w:pPr>
              <w:adjustRightInd w:val="0"/>
              <w:snapToGrid w:val="0"/>
              <w:jc w:val="center"/>
              <w:rPr>
                <w:rFonts w:ascii="Times New Roman" w:hAnsi="Times New Roman" w:cs="Times New Roman"/>
                <w:szCs w:val="21"/>
              </w:rPr>
            </w:pPr>
            <w:r>
              <w:rPr>
                <w:rFonts w:ascii="Times New Roman" w:hAnsi="Times New Roman" w:cs="Times New Roman"/>
                <w:szCs w:val="21"/>
              </w:rPr>
              <w:t>173</w:t>
            </w:r>
          </w:p>
        </w:tc>
      </w:tr>
      <w:tr w14:paraId="74BCED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32BB8F22">
            <w:pPr>
              <w:adjustRightInd w:val="0"/>
              <w:snapToGrid w:val="0"/>
              <w:jc w:val="center"/>
              <w:rPr>
                <w:rFonts w:ascii="Times New Roman" w:hAnsi="Times New Roman" w:cs="Times New Roman"/>
                <w:szCs w:val="21"/>
              </w:rPr>
            </w:pPr>
            <w:r>
              <w:rPr>
                <w:rFonts w:ascii="Times New Roman" w:hAnsi="Times New Roman" w:cs="Times New Roman"/>
                <w:szCs w:val="21"/>
              </w:rPr>
              <w:t>环保投资占比（%）</w:t>
            </w:r>
          </w:p>
        </w:tc>
        <w:tc>
          <w:tcPr>
            <w:tcW w:w="1637" w:type="dxa"/>
            <w:vAlign w:val="center"/>
          </w:tcPr>
          <w:p w14:paraId="606EC784">
            <w:pPr>
              <w:adjustRightInd w:val="0"/>
              <w:snapToGrid w:val="0"/>
              <w:jc w:val="center"/>
              <w:rPr>
                <w:rFonts w:ascii="Times New Roman" w:hAnsi="Times New Roman" w:cs="Times New Roman"/>
                <w:szCs w:val="21"/>
              </w:rPr>
            </w:pPr>
            <w:r>
              <w:rPr>
                <w:rFonts w:ascii="Times New Roman" w:hAnsi="Times New Roman" w:cs="Times New Roman"/>
                <w:szCs w:val="21"/>
              </w:rPr>
              <w:t>4.32%</w:t>
            </w:r>
          </w:p>
        </w:tc>
        <w:tc>
          <w:tcPr>
            <w:tcW w:w="2212" w:type="dxa"/>
            <w:tcMar>
              <w:top w:w="16" w:type="dxa"/>
              <w:left w:w="16" w:type="dxa"/>
              <w:right w:w="16" w:type="dxa"/>
            </w:tcMar>
            <w:vAlign w:val="center"/>
          </w:tcPr>
          <w:p w14:paraId="14E90DB0">
            <w:pPr>
              <w:adjustRightInd w:val="0"/>
              <w:snapToGrid w:val="0"/>
              <w:jc w:val="center"/>
              <w:rPr>
                <w:rFonts w:ascii="Times New Roman" w:hAnsi="Times New Roman" w:cs="Times New Roman"/>
                <w:szCs w:val="21"/>
              </w:rPr>
            </w:pPr>
            <w:r>
              <w:rPr>
                <w:rFonts w:ascii="Times New Roman" w:hAnsi="Times New Roman" w:cs="Times New Roman"/>
                <w:szCs w:val="21"/>
              </w:rPr>
              <w:t>施工工期</w:t>
            </w:r>
          </w:p>
        </w:tc>
        <w:tc>
          <w:tcPr>
            <w:tcW w:w="2713" w:type="dxa"/>
            <w:vAlign w:val="center"/>
          </w:tcPr>
          <w:p w14:paraId="4BBEE0A5">
            <w:pPr>
              <w:adjustRightInd w:val="0"/>
              <w:snapToGrid w:val="0"/>
              <w:jc w:val="center"/>
              <w:rPr>
                <w:rFonts w:ascii="Times New Roman" w:hAnsi="Times New Roman" w:cs="Times New Roman"/>
                <w:szCs w:val="21"/>
              </w:rPr>
            </w:pPr>
            <w:r>
              <w:rPr>
                <w:rFonts w:ascii="Times New Roman" w:hAnsi="Times New Roman" w:cs="Times New Roman"/>
                <w:szCs w:val="21"/>
              </w:rPr>
              <w:t>16个月</w:t>
            </w:r>
          </w:p>
        </w:tc>
      </w:tr>
      <w:tr w14:paraId="5D03CD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0EE6FC95">
            <w:pPr>
              <w:adjustRightInd w:val="0"/>
              <w:snapToGrid w:val="0"/>
              <w:jc w:val="center"/>
              <w:rPr>
                <w:rFonts w:ascii="Times New Roman" w:hAnsi="Times New Roman" w:cs="Times New Roman"/>
                <w:szCs w:val="21"/>
              </w:rPr>
            </w:pPr>
            <w:r>
              <w:rPr>
                <w:rFonts w:ascii="Times New Roman" w:hAnsi="Times New Roman" w:cs="Times New Roman"/>
                <w:szCs w:val="21"/>
              </w:rPr>
              <w:t>是否开工建设</w:t>
            </w:r>
          </w:p>
        </w:tc>
        <w:tc>
          <w:tcPr>
            <w:tcW w:w="1637" w:type="dxa"/>
            <w:vAlign w:val="center"/>
          </w:tcPr>
          <w:p w14:paraId="4E74A07E">
            <w:pPr>
              <w:adjustRightInd w:val="0"/>
              <w:snapToGrid w:val="0"/>
              <w:rPr>
                <w:rFonts w:ascii="Times New Roman" w:hAnsi="Times New Roman" w:cs="Times New Roman"/>
                <w:szCs w:val="21"/>
              </w:rPr>
            </w:pPr>
            <w:r>
              <w:rPr>
                <w:rFonts w:ascii="Times New Roman" w:hAnsi="Times New Roman" w:cs="Times New Roman"/>
                <w:szCs w:val="21"/>
              </w:rPr>
              <w:sym w:font="Wingdings 2" w:char="F052"/>
            </w:r>
            <w:r>
              <w:rPr>
                <w:rFonts w:ascii="Times New Roman" w:hAnsi="Times New Roman" w:cs="Times New Roman"/>
                <w:szCs w:val="21"/>
              </w:rPr>
              <w:t>否</w:t>
            </w:r>
          </w:p>
          <w:p w14:paraId="6B3DDCBC">
            <w:pPr>
              <w:adjustRightInd w:val="0"/>
              <w:snapToGrid w:val="0"/>
              <w:rPr>
                <w:rFonts w:ascii="Times New Roman" w:hAnsi="Times New Roman" w:cs="Times New Roman"/>
                <w:szCs w:val="21"/>
              </w:rPr>
            </w:pPr>
            <w:r>
              <w:rPr>
                <w:rFonts w:ascii="Times New Roman" w:hAnsi="Times New Roman" w:cs="Times New Roman"/>
                <w:szCs w:val="21"/>
              </w:rPr>
              <w:sym w:font="Wingdings 2" w:char="00A3"/>
            </w:r>
            <w:r>
              <w:rPr>
                <w:rFonts w:ascii="Times New Roman" w:hAnsi="Times New Roman" w:cs="Times New Roman"/>
                <w:szCs w:val="21"/>
              </w:rPr>
              <w:t>是：</w:t>
            </w:r>
            <w:r>
              <w:rPr>
                <w:rFonts w:ascii="Times New Roman" w:hAnsi="Times New Roman" w:cs="Times New Roman"/>
                <w:szCs w:val="21"/>
                <w:u w:val="single"/>
              </w:rPr>
              <w:t xml:space="preserve">             </w:t>
            </w:r>
          </w:p>
        </w:tc>
        <w:tc>
          <w:tcPr>
            <w:tcW w:w="2212" w:type="dxa"/>
            <w:tcMar>
              <w:top w:w="16" w:type="dxa"/>
              <w:left w:w="16" w:type="dxa"/>
              <w:right w:w="16" w:type="dxa"/>
            </w:tcMar>
            <w:vAlign w:val="center"/>
          </w:tcPr>
          <w:p w14:paraId="3F4A05C4">
            <w:pPr>
              <w:adjustRightInd w:val="0"/>
              <w:snapToGrid w:val="0"/>
              <w:jc w:val="center"/>
              <w:rPr>
                <w:rFonts w:ascii="Times New Roman" w:hAnsi="Times New Roman" w:cs="Times New Roman"/>
                <w:spacing w:val="-6"/>
                <w:szCs w:val="21"/>
              </w:rPr>
            </w:pPr>
            <w:r>
              <w:rPr>
                <w:rFonts w:ascii="Times New Roman" w:hAnsi="Times New Roman" w:cs="Times New Roman"/>
                <w:spacing w:val="-6"/>
                <w:szCs w:val="21"/>
              </w:rPr>
              <w:t>用地（用海）</w:t>
            </w:r>
          </w:p>
          <w:p w14:paraId="15CC1895">
            <w:pPr>
              <w:adjustRightInd w:val="0"/>
              <w:snapToGrid w:val="0"/>
              <w:jc w:val="center"/>
              <w:rPr>
                <w:rFonts w:ascii="Times New Roman" w:hAnsi="Times New Roman" w:cs="Times New Roman"/>
                <w:szCs w:val="21"/>
              </w:rPr>
            </w:pPr>
            <w:r>
              <w:rPr>
                <w:rFonts w:ascii="Times New Roman" w:hAnsi="Times New Roman" w:cs="Times New Roman"/>
                <w:spacing w:val="-6"/>
                <w:szCs w:val="21"/>
              </w:rPr>
              <w:t>面积（m</w:t>
            </w:r>
            <w:r>
              <w:rPr>
                <w:rFonts w:ascii="Times New Roman" w:hAnsi="Times New Roman" w:cs="Times New Roman"/>
                <w:spacing w:val="-6"/>
                <w:szCs w:val="21"/>
                <w:vertAlign w:val="superscript"/>
              </w:rPr>
              <w:t>2</w:t>
            </w:r>
            <w:r>
              <w:rPr>
                <w:rFonts w:ascii="Times New Roman" w:hAnsi="Times New Roman" w:cs="Times New Roman"/>
                <w:spacing w:val="-6"/>
                <w:szCs w:val="21"/>
              </w:rPr>
              <w:t>）</w:t>
            </w:r>
          </w:p>
        </w:tc>
        <w:tc>
          <w:tcPr>
            <w:tcW w:w="2713" w:type="dxa"/>
            <w:vAlign w:val="center"/>
          </w:tcPr>
          <w:p w14:paraId="51D7C094">
            <w:pPr>
              <w:adjustRightInd w:val="0"/>
              <w:snapToGrid w:val="0"/>
              <w:jc w:val="center"/>
              <w:rPr>
                <w:rFonts w:ascii="Times New Roman" w:hAnsi="Times New Roman" w:cs="Times New Roman"/>
                <w:szCs w:val="21"/>
              </w:rPr>
            </w:pPr>
            <w:r>
              <w:rPr>
                <w:rFonts w:ascii="Times New Roman" w:hAnsi="Times New Roman" w:cs="Times New Roman"/>
                <w:szCs w:val="21"/>
              </w:rPr>
              <w:t>7215</w:t>
            </w:r>
          </w:p>
        </w:tc>
      </w:tr>
      <w:tr w14:paraId="0E6339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vAlign w:val="center"/>
          </w:tcPr>
          <w:p w14:paraId="75E7CD26">
            <w:pPr>
              <w:autoSpaceDE w:val="0"/>
              <w:autoSpaceDN w:val="0"/>
              <w:adjustRightInd w:val="0"/>
              <w:snapToGrid w:val="0"/>
              <w:jc w:val="center"/>
              <w:rPr>
                <w:rFonts w:ascii="Times New Roman" w:hAnsi="Times New Roman" w:cs="Times New Roman"/>
                <w:szCs w:val="21"/>
              </w:rPr>
            </w:pPr>
            <w:r>
              <w:rPr>
                <w:rFonts w:ascii="Times New Roman" w:hAnsi="Times New Roman" w:cs="Times New Roman"/>
                <w:szCs w:val="21"/>
              </w:rPr>
              <w:t>专项评价设置情况</w:t>
            </w:r>
          </w:p>
        </w:tc>
        <w:tc>
          <w:tcPr>
            <w:tcW w:w="6562" w:type="dxa"/>
            <w:gridSpan w:val="3"/>
            <w:vAlign w:val="center"/>
          </w:tcPr>
          <w:p w14:paraId="58B62443">
            <w:pPr>
              <w:autoSpaceDE w:val="0"/>
              <w:autoSpaceDN w:val="0"/>
              <w:adjustRightInd w:val="0"/>
              <w:snapToGrid w:val="0"/>
              <w:ind w:firstLine="480" w:firstLineChars="200"/>
              <w:rPr>
                <w:rFonts w:ascii="Times New Roman" w:hAnsi="Times New Roman" w:cs="Times New Roman"/>
                <w:lang w:val="en-GB"/>
              </w:rPr>
            </w:pPr>
            <w:r>
              <w:rPr>
                <w:rFonts w:ascii="Times New Roman" w:hAnsi="Times New Roman" w:cs="Times New Roman"/>
                <w:lang w:val="en-GB"/>
              </w:rPr>
              <w:t>对照《建设项目环境影响报告表编制技术指南》（污染影响类），大气、地表水、环境风险、生态和海洋专项评价具体设置原则见表1-1。</w:t>
            </w:r>
          </w:p>
          <w:p w14:paraId="5E9A091C">
            <w:pPr>
              <w:pStyle w:val="42"/>
              <w:ind w:firstLine="422"/>
              <w:jc w:val="center"/>
              <w:rPr>
                <w:b/>
                <w:spacing w:val="-10"/>
              </w:rPr>
            </w:pPr>
            <w:r>
              <w:rPr>
                <w:b/>
                <w:bCs/>
                <w:color w:val="000000"/>
                <w:sz w:val="21"/>
                <w:szCs w:val="18"/>
              </w:rPr>
              <w:t>表1-1  专项评价设置原则表</w:t>
            </w:r>
          </w:p>
          <w:tbl>
            <w:tblPr>
              <w:tblStyle w:val="16"/>
              <w:tblpPr w:leftFromText="180" w:rightFromText="180" w:vertAnchor="text" w:horzAnchor="margin" w:tblpY="359"/>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5"/>
              <w:gridCol w:w="5141"/>
            </w:tblGrid>
            <w:tr w14:paraId="185B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3" w:type="pct"/>
                  <w:tcBorders>
                    <w:top w:val="single" w:color="auto" w:sz="4" w:space="0"/>
                    <w:left w:val="single" w:color="auto" w:sz="4" w:space="0"/>
                    <w:bottom w:val="single" w:color="auto" w:sz="4" w:space="0"/>
                    <w:right w:val="single" w:color="auto" w:sz="4" w:space="0"/>
                  </w:tcBorders>
                  <w:vAlign w:val="center"/>
                </w:tcPr>
                <w:p w14:paraId="565C7127">
                  <w:pPr>
                    <w:autoSpaceDE w:val="0"/>
                    <w:autoSpaceDN w:val="0"/>
                    <w:adjustRightInd w:val="0"/>
                    <w:snapToGrid w:val="0"/>
                    <w:jc w:val="center"/>
                    <w:rPr>
                      <w:rFonts w:ascii="Times New Roman" w:hAnsi="Times New Roman" w:cs="Times New Roman"/>
                      <w:szCs w:val="21"/>
                      <w:lang w:val="en-GB"/>
                    </w:rPr>
                  </w:pPr>
                  <w:r>
                    <w:rPr>
                      <w:rFonts w:ascii="Times New Roman" w:hAnsi="Times New Roman" w:cs="Times New Roman"/>
                      <w:szCs w:val="21"/>
                      <w:lang w:val="en-GB"/>
                    </w:rPr>
                    <w:t>专项评价</w:t>
                  </w:r>
                </w:p>
              </w:tc>
              <w:tc>
                <w:tcPr>
                  <w:tcW w:w="4057" w:type="pct"/>
                  <w:tcBorders>
                    <w:top w:val="single" w:color="auto" w:sz="4" w:space="0"/>
                    <w:left w:val="single" w:color="auto" w:sz="4" w:space="0"/>
                    <w:bottom w:val="single" w:color="auto" w:sz="4" w:space="0"/>
                    <w:right w:val="single" w:color="auto" w:sz="4" w:space="0"/>
                  </w:tcBorders>
                  <w:vAlign w:val="center"/>
                </w:tcPr>
                <w:p w14:paraId="336DDA48">
                  <w:pPr>
                    <w:autoSpaceDE w:val="0"/>
                    <w:autoSpaceDN w:val="0"/>
                    <w:adjustRightInd w:val="0"/>
                    <w:snapToGrid w:val="0"/>
                    <w:jc w:val="center"/>
                    <w:rPr>
                      <w:rFonts w:ascii="Times New Roman" w:hAnsi="Times New Roman" w:cs="Times New Roman"/>
                      <w:szCs w:val="21"/>
                    </w:rPr>
                  </w:pPr>
                  <w:r>
                    <w:rPr>
                      <w:rFonts w:ascii="Times New Roman" w:hAnsi="Times New Roman" w:cs="Times New Roman"/>
                      <w:szCs w:val="21"/>
                      <w:lang w:val="en-GB"/>
                    </w:rPr>
                    <w:t>设置原则</w:t>
                  </w:r>
                </w:p>
              </w:tc>
            </w:tr>
            <w:tr w14:paraId="42B9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3" w:type="pct"/>
                  <w:tcBorders>
                    <w:top w:val="single" w:color="auto" w:sz="4" w:space="0"/>
                    <w:left w:val="single" w:color="auto" w:sz="4" w:space="0"/>
                    <w:bottom w:val="single" w:color="auto" w:sz="4" w:space="0"/>
                    <w:right w:val="single" w:color="auto" w:sz="4" w:space="0"/>
                  </w:tcBorders>
                  <w:vAlign w:val="center"/>
                </w:tcPr>
                <w:p w14:paraId="15A08FA6">
                  <w:pPr>
                    <w:autoSpaceDE w:val="0"/>
                    <w:autoSpaceDN w:val="0"/>
                    <w:adjustRightInd w:val="0"/>
                    <w:snapToGrid w:val="0"/>
                    <w:jc w:val="center"/>
                    <w:rPr>
                      <w:rFonts w:ascii="Times New Roman" w:hAnsi="Times New Roman" w:cs="Times New Roman"/>
                      <w:szCs w:val="21"/>
                      <w:lang w:val="en-GB"/>
                    </w:rPr>
                  </w:pPr>
                  <w:r>
                    <w:rPr>
                      <w:rFonts w:ascii="Times New Roman" w:hAnsi="Times New Roman" w:cs="Times New Roman"/>
                      <w:szCs w:val="21"/>
                      <w:lang w:val="en-GB"/>
                    </w:rPr>
                    <w:t>大气</w:t>
                  </w:r>
                </w:p>
              </w:tc>
              <w:tc>
                <w:tcPr>
                  <w:tcW w:w="4057" w:type="pct"/>
                  <w:tcBorders>
                    <w:top w:val="single" w:color="auto" w:sz="4" w:space="0"/>
                    <w:left w:val="single" w:color="auto" w:sz="4" w:space="0"/>
                    <w:bottom w:val="single" w:color="auto" w:sz="4" w:space="0"/>
                    <w:right w:val="single" w:color="auto" w:sz="4" w:space="0"/>
                  </w:tcBorders>
                  <w:vAlign w:val="center"/>
                </w:tcPr>
                <w:p w14:paraId="4BB39072">
                  <w:pPr>
                    <w:autoSpaceDE w:val="0"/>
                    <w:autoSpaceDN w:val="0"/>
                    <w:adjustRightInd w:val="0"/>
                    <w:snapToGrid w:val="0"/>
                    <w:rPr>
                      <w:rFonts w:ascii="Times New Roman" w:hAnsi="Times New Roman" w:cs="Times New Roman"/>
                      <w:szCs w:val="21"/>
                    </w:rPr>
                  </w:pPr>
                  <w:r>
                    <w:rPr>
                      <w:rFonts w:ascii="Times New Roman" w:hAnsi="Times New Roman" w:cs="Times New Roman"/>
                      <w:szCs w:val="21"/>
                      <w:lang w:val="en-GB"/>
                    </w:rPr>
                    <w:t>排放废气含有毒有害污染物、二噁英、苯并[a]芘、氰化物、氯气且厂界外500米范围内有环境空气保护目标的建设项目</w:t>
                  </w:r>
                </w:p>
              </w:tc>
            </w:tr>
            <w:tr w14:paraId="29025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3" w:type="pct"/>
                  <w:tcBorders>
                    <w:top w:val="single" w:color="auto" w:sz="4" w:space="0"/>
                    <w:left w:val="single" w:color="auto" w:sz="4" w:space="0"/>
                    <w:bottom w:val="single" w:color="auto" w:sz="4" w:space="0"/>
                    <w:right w:val="single" w:color="auto" w:sz="4" w:space="0"/>
                  </w:tcBorders>
                  <w:vAlign w:val="center"/>
                </w:tcPr>
                <w:p w14:paraId="58FE63CD">
                  <w:pPr>
                    <w:autoSpaceDE w:val="0"/>
                    <w:autoSpaceDN w:val="0"/>
                    <w:adjustRightInd w:val="0"/>
                    <w:snapToGrid w:val="0"/>
                    <w:jc w:val="center"/>
                    <w:rPr>
                      <w:rFonts w:ascii="Times New Roman" w:hAnsi="Times New Roman" w:cs="Times New Roman"/>
                      <w:szCs w:val="21"/>
                      <w:lang w:val="en-GB"/>
                    </w:rPr>
                  </w:pPr>
                  <w:r>
                    <w:rPr>
                      <w:rFonts w:ascii="Times New Roman" w:hAnsi="Times New Roman" w:cs="Times New Roman"/>
                      <w:szCs w:val="21"/>
                      <w:lang w:val="en-GB"/>
                    </w:rPr>
                    <w:t>地表水</w:t>
                  </w:r>
                </w:p>
              </w:tc>
              <w:tc>
                <w:tcPr>
                  <w:tcW w:w="4057" w:type="pct"/>
                  <w:tcBorders>
                    <w:top w:val="single" w:color="auto" w:sz="4" w:space="0"/>
                    <w:left w:val="single" w:color="auto" w:sz="4" w:space="0"/>
                    <w:bottom w:val="single" w:color="auto" w:sz="4" w:space="0"/>
                    <w:right w:val="single" w:color="auto" w:sz="4" w:space="0"/>
                  </w:tcBorders>
                  <w:vAlign w:val="center"/>
                </w:tcPr>
                <w:p w14:paraId="324787AA">
                  <w:pPr>
                    <w:autoSpaceDE w:val="0"/>
                    <w:autoSpaceDN w:val="0"/>
                    <w:adjustRightInd w:val="0"/>
                    <w:snapToGrid w:val="0"/>
                    <w:rPr>
                      <w:rFonts w:ascii="Times New Roman" w:hAnsi="Times New Roman" w:cs="Times New Roman"/>
                      <w:szCs w:val="21"/>
                      <w:lang w:val="en-GB"/>
                    </w:rPr>
                  </w:pPr>
                  <w:r>
                    <w:rPr>
                      <w:rFonts w:ascii="Times New Roman" w:hAnsi="Times New Roman" w:cs="Times New Roman"/>
                      <w:szCs w:val="21"/>
                      <w:lang w:val="en-GB"/>
                    </w:rPr>
                    <w:t>新增工业废水直排建设项目（槽罐车外送污水处理厂的除外）；</w:t>
                  </w:r>
                </w:p>
                <w:p w14:paraId="7D2C5693">
                  <w:pPr>
                    <w:autoSpaceDE w:val="0"/>
                    <w:autoSpaceDN w:val="0"/>
                    <w:adjustRightInd w:val="0"/>
                    <w:snapToGrid w:val="0"/>
                    <w:rPr>
                      <w:rFonts w:ascii="Times New Roman" w:hAnsi="Times New Roman" w:cs="Times New Roman"/>
                      <w:szCs w:val="21"/>
                      <w:lang w:val="en-GB"/>
                    </w:rPr>
                  </w:pPr>
                  <w:r>
                    <w:rPr>
                      <w:rFonts w:ascii="Times New Roman" w:hAnsi="Times New Roman" w:cs="Times New Roman"/>
                      <w:szCs w:val="21"/>
                      <w:lang w:val="en-GB"/>
                    </w:rPr>
                    <w:t>新增废水直排的污水集中处理厂</w:t>
                  </w:r>
                </w:p>
              </w:tc>
            </w:tr>
            <w:tr w14:paraId="4C497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3" w:type="pct"/>
                  <w:tcBorders>
                    <w:top w:val="single" w:color="auto" w:sz="4" w:space="0"/>
                    <w:left w:val="single" w:color="auto" w:sz="4" w:space="0"/>
                    <w:bottom w:val="single" w:color="auto" w:sz="4" w:space="0"/>
                    <w:right w:val="single" w:color="auto" w:sz="4" w:space="0"/>
                  </w:tcBorders>
                  <w:vAlign w:val="center"/>
                </w:tcPr>
                <w:p w14:paraId="593A85C7">
                  <w:pPr>
                    <w:autoSpaceDE w:val="0"/>
                    <w:autoSpaceDN w:val="0"/>
                    <w:adjustRightInd w:val="0"/>
                    <w:snapToGrid w:val="0"/>
                    <w:jc w:val="center"/>
                    <w:rPr>
                      <w:rFonts w:ascii="Times New Roman" w:hAnsi="Times New Roman" w:cs="Times New Roman"/>
                      <w:szCs w:val="21"/>
                      <w:lang w:val="en-GB"/>
                    </w:rPr>
                  </w:pPr>
                  <w:r>
                    <w:rPr>
                      <w:rFonts w:ascii="Times New Roman" w:hAnsi="Times New Roman" w:cs="Times New Roman"/>
                      <w:szCs w:val="21"/>
                      <w:lang w:val="en-GB"/>
                    </w:rPr>
                    <w:t>环境风险</w:t>
                  </w:r>
                </w:p>
              </w:tc>
              <w:tc>
                <w:tcPr>
                  <w:tcW w:w="4057" w:type="pct"/>
                  <w:tcBorders>
                    <w:top w:val="single" w:color="auto" w:sz="4" w:space="0"/>
                    <w:left w:val="single" w:color="auto" w:sz="4" w:space="0"/>
                    <w:bottom w:val="single" w:color="auto" w:sz="4" w:space="0"/>
                    <w:right w:val="single" w:color="auto" w:sz="4" w:space="0"/>
                  </w:tcBorders>
                  <w:vAlign w:val="center"/>
                </w:tcPr>
                <w:p w14:paraId="352AF6C4">
                  <w:pPr>
                    <w:autoSpaceDE w:val="0"/>
                    <w:autoSpaceDN w:val="0"/>
                    <w:adjustRightInd w:val="0"/>
                    <w:snapToGrid w:val="0"/>
                    <w:rPr>
                      <w:rFonts w:ascii="Times New Roman" w:hAnsi="Times New Roman" w:cs="Times New Roman"/>
                      <w:szCs w:val="21"/>
                      <w:lang w:val="en-GB"/>
                    </w:rPr>
                  </w:pPr>
                  <w:r>
                    <w:rPr>
                      <w:rFonts w:ascii="Times New Roman" w:hAnsi="Times New Roman" w:cs="Times New Roman"/>
                      <w:szCs w:val="21"/>
                      <w:lang w:val="en-GB"/>
                    </w:rPr>
                    <w:t>有毒有害和易燃易爆危险物质存储量超过临界量的建设项目</w:t>
                  </w:r>
                </w:p>
              </w:tc>
            </w:tr>
            <w:tr w14:paraId="061E2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3" w:type="pct"/>
                  <w:tcBorders>
                    <w:top w:val="single" w:color="auto" w:sz="4" w:space="0"/>
                    <w:left w:val="single" w:color="auto" w:sz="4" w:space="0"/>
                    <w:bottom w:val="single" w:color="auto" w:sz="4" w:space="0"/>
                    <w:right w:val="single" w:color="auto" w:sz="4" w:space="0"/>
                  </w:tcBorders>
                  <w:vAlign w:val="center"/>
                </w:tcPr>
                <w:p w14:paraId="3A743DDD">
                  <w:pPr>
                    <w:autoSpaceDE w:val="0"/>
                    <w:autoSpaceDN w:val="0"/>
                    <w:adjustRightInd w:val="0"/>
                    <w:snapToGrid w:val="0"/>
                    <w:jc w:val="center"/>
                    <w:rPr>
                      <w:rFonts w:ascii="Times New Roman" w:hAnsi="Times New Roman" w:cs="Times New Roman"/>
                      <w:szCs w:val="21"/>
                      <w:lang w:val="en-GB"/>
                    </w:rPr>
                  </w:pPr>
                  <w:r>
                    <w:rPr>
                      <w:rFonts w:ascii="Times New Roman" w:hAnsi="Times New Roman" w:cs="Times New Roman"/>
                      <w:szCs w:val="21"/>
                      <w:lang w:val="en-GB"/>
                    </w:rPr>
                    <w:t>生态</w:t>
                  </w:r>
                </w:p>
              </w:tc>
              <w:tc>
                <w:tcPr>
                  <w:tcW w:w="4057" w:type="pct"/>
                  <w:tcBorders>
                    <w:top w:val="single" w:color="auto" w:sz="4" w:space="0"/>
                    <w:left w:val="single" w:color="auto" w:sz="4" w:space="0"/>
                    <w:bottom w:val="single" w:color="auto" w:sz="4" w:space="0"/>
                    <w:right w:val="single" w:color="auto" w:sz="4" w:space="0"/>
                  </w:tcBorders>
                  <w:vAlign w:val="center"/>
                </w:tcPr>
                <w:p w14:paraId="18761C08">
                  <w:pPr>
                    <w:autoSpaceDE w:val="0"/>
                    <w:autoSpaceDN w:val="0"/>
                    <w:adjustRightInd w:val="0"/>
                    <w:snapToGrid w:val="0"/>
                    <w:rPr>
                      <w:rFonts w:ascii="Times New Roman" w:hAnsi="Times New Roman" w:cs="Times New Roman"/>
                      <w:szCs w:val="21"/>
                      <w:lang w:val="en-GB"/>
                    </w:rPr>
                  </w:pPr>
                  <w:r>
                    <w:rPr>
                      <w:rFonts w:ascii="Times New Roman" w:hAnsi="Times New Roman" w:cs="Times New Roman"/>
                      <w:szCs w:val="21"/>
                      <w:lang w:val="en-GB"/>
                    </w:rPr>
                    <w:t>取水口下游500米范围内有重要水生生物的自然产卵场、索饵场、越冬场和洄游通道的新增河道取水的污染类建设项目</w:t>
                  </w:r>
                </w:p>
              </w:tc>
            </w:tr>
            <w:tr w14:paraId="11600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3" w:type="pct"/>
                  <w:tcBorders>
                    <w:top w:val="single" w:color="auto" w:sz="4" w:space="0"/>
                    <w:left w:val="single" w:color="auto" w:sz="4" w:space="0"/>
                    <w:bottom w:val="single" w:color="auto" w:sz="4" w:space="0"/>
                    <w:right w:val="single" w:color="auto" w:sz="4" w:space="0"/>
                  </w:tcBorders>
                  <w:vAlign w:val="center"/>
                </w:tcPr>
                <w:p w14:paraId="4D350E6F">
                  <w:pPr>
                    <w:autoSpaceDE w:val="0"/>
                    <w:autoSpaceDN w:val="0"/>
                    <w:adjustRightInd w:val="0"/>
                    <w:snapToGrid w:val="0"/>
                    <w:jc w:val="center"/>
                    <w:rPr>
                      <w:rFonts w:ascii="Times New Roman" w:hAnsi="Times New Roman" w:cs="Times New Roman"/>
                      <w:szCs w:val="21"/>
                      <w:lang w:val="en-GB"/>
                    </w:rPr>
                  </w:pPr>
                  <w:r>
                    <w:rPr>
                      <w:rFonts w:ascii="Times New Roman" w:hAnsi="Times New Roman" w:cs="Times New Roman"/>
                      <w:szCs w:val="21"/>
                      <w:lang w:val="en-GB"/>
                    </w:rPr>
                    <w:t>海洋</w:t>
                  </w:r>
                </w:p>
              </w:tc>
              <w:tc>
                <w:tcPr>
                  <w:tcW w:w="4057" w:type="pct"/>
                  <w:tcBorders>
                    <w:top w:val="single" w:color="auto" w:sz="4" w:space="0"/>
                    <w:left w:val="single" w:color="auto" w:sz="4" w:space="0"/>
                    <w:bottom w:val="single" w:color="auto" w:sz="4" w:space="0"/>
                    <w:right w:val="single" w:color="auto" w:sz="4" w:space="0"/>
                  </w:tcBorders>
                  <w:vAlign w:val="center"/>
                </w:tcPr>
                <w:p w14:paraId="07779371">
                  <w:pPr>
                    <w:autoSpaceDE w:val="0"/>
                    <w:autoSpaceDN w:val="0"/>
                    <w:adjustRightInd w:val="0"/>
                    <w:snapToGrid w:val="0"/>
                    <w:rPr>
                      <w:rFonts w:ascii="Times New Roman" w:hAnsi="Times New Roman" w:cs="Times New Roman"/>
                      <w:szCs w:val="21"/>
                      <w:lang w:val="en-GB"/>
                    </w:rPr>
                  </w:pPr>
                  <w:r>
                    <w:rPr>
                      <w:rFonts w:ascii="Times New Roman" w:hAnsi="Times New Roman" w:cs="Times New Roman"/>
                      <w:szCs w:val="21"/>
                      <w:lang w:val="en-GB"/>
                    </w:rPr>
                    <w:t>直接向海排放污染物的海洋工程建设项目</w:t>
                  </w:r>
                </w:p>
              </w:tc>
            </w:tr>
          </w:tbl>
          <w:p w14:paraId="2BA259FE">
            <w:pPr>
              <w:autoSpaceDE w:val="0"/>
              <w:autoSpaceDN w:val="0"/>
              <w:adjustRightInd w:val="0"/>
              <w:snapToGrid w:val="0"/>
              <w:spacing w:line="360" w:lineRule="auto"/>
              <w:ind w:firstLine="480" w:firstLineChars="200"/>
              <w:rPr>
                <w:rFonts w:ascii="Times New Roman" w:hAnsi="Times New Roman" w:cs="Times New Roman"/>
                <w:szCs w:val="21"/>
                <w:lang w:val="en-GB"/>
              </w:rPr>
            </w:pPr>
            <w:r>
              <w:rPr>
                <w:rFonts w:ascii="Times New Roman" w:hAnsi="Times New Roman" w:cs="Times New Roman"/>
              </w:rPr>
              <w:t>项目物料中的混合芳烃、石脑油、柴油、汽油、MTBE、异辛烷、轻质燃料油、煤基柴油等均属于有毒有害危险物质，最大存储量超过《建设项目环境风险评价技术导则》（HJ169-2018）附录B中的临界量，属于重大危险源，</w:t>
            </w:r>
            <w:r>
              <w:rPr>
                <w:rFonts w:ascii="Times New Roman" w:hAnsi="Times New Roman" w:cs="Times New Roman"/>
                <w:lang w:val="en-GB"/>
              </w:rPr>
              <w:t>因此需对本项目开展环境风险影响专项评价。</w:t>
            </w:r>
          </w:p>
        </w:tc>
      </w:tr>
      <w:tr w14:paraId="753037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vAlign w:val="center"/>
          </w:tcPr>
          <w:p w14:paraId="0FAFD643">
            <w:pPr>
              <w:autoSpaceDE w:val="0"/>
              <w:autoSpaceDN w:val="0"/>
              <w:adjustRightInd w:val="0"/>
              <w:snapToGrid w:val="0"/>
              <w:jc w:val="center"/>
              <w:rPr>
                <w:rFonts w:ascii="Times New Roman" w:hAnsi="Times New Roman" w:cs="Times New Roman"/>
                <w:szCs w:val="21"/>
              </w:rPr>
            </w:pPr>
            <w:r>
              <w:rPr>
                <w:rFonts w:ascii="Times New Roman" w:hAnsi="Times New Roman" w:cs="Times New Roman"/>
                <w:szCs w:val="21"/>
              </w:rPr>
              <w:t>规划情况</w:t>
            </w:r>
          </w:p>
        </w:tc>
        <w:tc>
          <w:tcPr>
            <w:tcW w:w="6562" w:type="dxa"/>
            <w:gridSpan w:val="3"/>
            <w:vAlign w:val="center"/>
          </w:tcPr>
          <w:p w14:paraId="1478EEFA">
            <w:pPr>
              <w:pStyle w:val="42"/>
              <w:ind w:firstLine="480"/>
              <w:rPr>
                <w:color w:val="000000"/>
              </w:rPr>
            </w:pPr>
            <w:r>
              <w:t>规划名称：</w:t>
            </w:r>
            <w:r>
              <w:rPr>
                <w:color w:val="000000"/>
              </w:rPr>
              <w:t>《吉木萨尔北庭工业园区国土空间专项规划（2025-2035年）》</w:t>
            </w:r>
          </w:p>
          <w:p w14:paraId="6A511C26">
            <w:pPr>
              <w:pStyle w:val="42"/>
              <w:ind w:firstLine="480"/>
              <w:rPr>
                <w:color w:val="000000"/>
              </w:rPr>
            </w:pPr>
            <w:r>
              <w:rPr>
                <w:color w:val="000000"/>
              </w:rPr>
              <w:t>审批机关：吉木萨尔县人民政府</w:t>
            </w:r>
          </w:p>
          <w:p w14:paraId="44B1C282">
            <w:pPr>
              <w:pStyle w:val="42"/>
              <w:ind w:firstLine="480"/>
              <w:rPr>
                <w:color w:val="000000"/>
              </w:rPr>
            </w:pPr>
            <w:r>
              <w:rPr>
                <w:color w:val="000000"/>
              </w:rPr>
              <w:t>审批文件名称：《关于对</w:t>
            </w:r>
            <w:r>
              <w:rPr>
                <w:color w:val="000000"/>
                <w:lang w:val="de-DE"/>
              </w:rPr>
              <w:t>&lt;</w:t>
            </w:r>
            <w:r>
              <w:rPr>
                <w:color w:val="000000"/>
              </w:rPr>
              <w:t>吉木萨尔北庭工业园区国土空间专项规划（2025-2035年）</w:t>
            </w:r>
            <w:r>
              <w:rPr>
                <w:color w:val="000000"/>
                <w:lang w:val="de-DE"/>
              </w:rPr>
              <w:t>&gt;</w:t>
            </w:r>
            <w:r>
              <w:rPr>
                <w:color w:val="000000"/>
              </w:rPr>
              <w:t>的批复》</w:t>
            </w:r>
          </w:p>
          <w:p w14:paraId="08566368">
            <w:pPr>
              <w:pStyle w:val="42"/>
              <w:ind w:firstLine="480"/>
              <w:rPr>
                <w:color w:val="000000"/>
              </w:rPr>
            </w:pPr>
            <w:r>
              <w:rPr>
                <w:color w:val="000000"/>
              </w:rPr>
              <w:t>审批文号：吉县政函〔2026〕55号</w:t>
            </w:r>
          </w:p>
        </w:tc>
      </w:tr>
      <w:tr w14:paraId="2D9E44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vAlign w:val="center"/>
          </w:tcPr>
          <w:p w14:paraId="55C5052B">
            <w:pPr>
              <w:adjustRightInd w:val="0"/>
              <w:snapToGrid w:val="0"/>
              <w:jc w:val="center"/>
              <w:rPr>
                <w:rFonts w:ascii="Times New Roman" w:hAnsi="Times New Roman" w:cs="Times New Roman"/>
                <w:szCs w:val="21"/>
              </w:rPr>
            </w:pPr>
            <w:r>
              <w:rPr>
                <w:rFonts w:ascii="Times New Roman" w:hAnsi="Times New Roman" w:cs="Times New Roman"/>
                <w:szCs w:val="21"/>
              </w:rPr>
              <w:t>规划环境影响</w:t>
            </w:r>
          </w:p>
          <w:p w14:paraId="026417F8">
            <w:pPr>
              <w:adjustRightInd w:val="0"/>
              <w:snapToGrid w:val="0"/>
              <w:jc w:val="center"/>
              <w:rPr>
                <w:rFonts w:ascii="Times New Roman" w:hAnsi="Times New Roman" w:cs="Times New Roman"/>
                <w:szCs w:val="21"/>
              </w:rPr>
            </w:pPr>
            <w:r>
              <w:rPr>
                <w:rFonts w:ascii="Times New Roman" w:hAnsi="Times New Roman" w:cs="Times New Roman"/>
                <w:szCs w:val="21"/>
              </w:rPr>
              <w:t>评价情况</w:t>
            </w:r>
          </w:p>
        </w:tc>
        <w:tc>
          <w:tcPr>
            <w:tcW w:w="6562" w:type="dxa"/>
            <w:gridSpan w:val="3"/>
            <w:vAlign w:val="center"/>
          </w:tcPr>
          <w:p w14:paraId="54E1BFC2">
            <w:pPr>
              <w:pStyle w:val="42"/>
              <w:ind w:firstLine="480"/>
            </w:pPr>
            <w:r>
              <w:t>规划环境影响评价名称：《</w:t>
            </w:r>
            <w:r>
              <w:rPr>
                <w:color w:val="000000"/>
              </w:rPr>
              <w:t>吉木萨尔北庭工业园区国土空间专项规划（2025-2035年）</w:t>
            </w:r>
            <w:r>
              <w:t>环境影响报告书》</w:t>
            </w:r>
          </w:p>
          <w:p w14:paraId="34FA8184">
            <w:pPr>
              <w:pStyle w:val="42"/>
              <w:ind w:firstLine="480"/>
              <w:rPr>
                <w:color w:val="000000"/>
              </w:rPr>
            </w:pPr>
            <w:r>
              <w:rPr>
                <w:color w:val="000000"/>
              </w:rPr>
              <w:t>审批机关：新疆维吾尔自治区生态环境厅</w:t>
            </w:r>
          </w:p>
          <w:p w14:paraId="094784F1">
            <w:pPr>
              <w:pStyle w:val="42"/>
              <w:ind w:firstLine="480"/>
              <w:rPr>
                <w:color w:val="000000"/>
              </w:rPr>
            </w:pPr>
            <w:r>
              <w:rPr>
                <w:color w:val="000000"/>
              </w:rPr>
              <w:t>审批文件名称：《</w:t>
            </w:r>
            <w:r>
              <w:rPr>
                <w:color w:val="000000"/>
                <w:lang w:val="de-DE"/>
              </w:rPr>
              <w:t>关于&lt;</w:t>
            </w:r>
            <w:r>
              <w:rPr>
                <w:color w:val="000000"/>
              </w:rPr>
              <w:t>吉木萨尔北庭工业园区国土空间专项规划（2025-2035年）环境影响报告书</w:t>
            </w:r>
            <w:r>
              <w:rPr>
                <w:color w:val="000000"/>
                <w:lang w:val="de-DE"/>
              </w:rPr>
              <w:t>&gt;的审查意见</w:t>
            </w:r>
            <w:r>
              <w:rPr>
                <w:color w:val="000000"/>
              </w:rPr>
              <w:t>》</w:t>
            </w:r>
          </w:p>
          <w:p w14:paraId="2B030331">
            <w:pPr>
              <w:pStyle w:val="42"/>
              <w:ind w:firstLine="480"/>
              <w:rPr>
                <w:color w:val="000000"/>
              </w:rPr>
            </w:pPr>
            <w:r>
              <w:rPr>
                <w:color w:val="000000"/>
              </w:rPr>
              <w:t>审批文号：新环审〔2026〕89号</w:t>
            </w:r>
          </w:p>
        </w:tc>
      </w:tr>
      <w:tr w14:paraId="085547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vAlign w:val="center"/>
          </w:tcPr>
          <w:p w14:paraId="2BAED4C1">
            <w:pPr>
              <w:autoSpaceDE w:val="0"/>
              <w:autoSpaceDN w:val="0"/>
              <w:adjustRightInd w:val="0"/>
              <w:snapToGrid w:val="0"/>
              <w:jc w:val="center"/>
              <w:rPr>
                <w:rFonts w:ascii="Times New Roman" w:hAnsi="Times New Roman" w:cs="Times New Roman"/>
                <w:szCs w:val="21"/>
              </w:rPr>
            </w:pPr>
            <w:r>
              <w:rPr>
                <w:rFonts w:ascii="Times New Roman" w:hAnsi="Times New Roman" w:cs="Times New Roman"/>
                <w:szCs w:val="21"/>
              </w:rPr>
              <w:t>规划及规划环境</w:t>
            </w:r>
          </w:p>
          <w:p w14:paraId="6D24ABFB">
            <w:pPr>
              <w:autoSpaceDE w:val="0"/>
              <w:autoSpaceDN w:val="0"/>
              <w:adjustRightInd w:val="0"/>
              <w:snapToGrid w:val="0"/>
              <w:jc w:val="center"/>
              <w:rPr>
                <w:rFonts w:ascii="Times New Roman" w:hAnsi="Times New Roman" w:cs="Times New Roman"/>
                <w:szCs w:val="21"/>
              </w:rPr>
            </w:pPr>
            <w:r>
              <w:rPr>
                <w:rFonts w:ascii="Times New Roman" w:hAnsi="Times New Roman" w:cs="Times New Roman"/>
                <w:szCs w:val="21"/>
              </w:rPr>
              <w:t>影响评价符合性分析</w:t>
            </w:r>
          </w:p>
        </w:tc>
        <w:tc>
          <w:tcPr>
            <w:tcW w:w="6562" w:type="dxa"/>
            <w:gridSpan w:val="3"/>
            <w:vAlign w:val="center"/>
          </w:tcPr>
          <w:p w14:paraId="32E69B0B">
            <w:pPr>
              <w:pStyle w:val="42"/>
              <w:ind w:firstLine="0" w:firstLineChars="0"/>
              <w:rPr>
                <w:b/>
                <w:bCs/>
                <w:color w:val="000000"/>
              </w:rPr>
            </w:pPr>
            <w:r>
              <w:rPr>
                <w:b/>
                <w:bCs/>
                <w:color w:val="000000"/>
              </w:rPr>
              <w:t>1、与《吉木萨尔北庭工业园区国土空间专项规划（2025-2035年）》符合性分析</w:t>
            </w:r>
          </w:p>
          <w:p w14:paraId="53D6CD56">
            <w:pPr>
              <w:pStyle w:val="42"/>
              <w:ind w:firstLine="480"/>
              <w:rPr>
                <w:color w:val="000000"/>
              </w:rPr>
            </w:pPr>
            <w:r>
              <w:rPr>
                <w:color w:val="000000"/>
              </w:rPr>
              <w:t>《吉木萨尔北庭工业园区国土空间专项规划（2025-2035年））》对吉木萨尔县北庭工业园区的定位为：自治区重要的能源资源开发和利用基地、昌吉州新质生产力重要实践基地、准东经济技术开发区重要的联动发展基地、吉木萨尔县经济高质量发展主战场、解决就业和推动乡村振兴的主阵地。</w:t>
            </w:r>
          </w:p>
          <w:p w14:paraId="3536386A">
            <w:pPr>
              <w:pStyle w:val="42"/>
              <w:ind w:firstLine="480"/>
              <w:rPr>
                <w:color w:val="000000"/>
              </w:rPr>
            </w:pPr>
            <w:r>
              <w:rPr>
                <w:color w:val="000000"/>
              </w:rPr>
              <w:t>根据吉木萨尔县层面相关产业指引，吉木萨尔北庭工业园区为“3+4+2”现代化产业体系，即着力聚焦石油、煤炭及其他燃料加工业，金属制品业（装备制造业），废弃资源综合利用业三大主导产业；培育壮大化学原料和化学制品制造业、化学纤维制造业、新能源和新材料产业、农副食品加工和食品制造业四大配套产业；配套发展科学研究和技术服务业、仓储物流两大现代服务业。</w:t>
            </w:r>
          </w:p>
          <w:p w14:paraId="7C1EFA58">
            <w:pPr>
              <w:pStyle w:val="42"/>
              <w:ind w:firstLine="480"/>
              <w:rPr>
                <w:color w:val="000000"/>
              </w:rPr>
            </w:pPr>
            <w:r>
              <w:rPr>
                <w:color w:val="000000"/>
              </w:rPr>
              <w:t>化工产业区布局七片区即综合服务区、石油、煤炭及其他燃料加工业区、化学原料和化学制品制造业区、化学纤维制造业区、新能源和新材料产业区、物流仓储区、战略预留区。</w:t>
            </w:r>
          </w:p>
          <w:p w14:paraId="0B6231CE">
            <w:pPr>
              <w:pStyle w:val="42"/>
              <w:ind w:firstLine="480"/>
              <w:rPr>
                <w:color w:val="000000"/>
              </w:rPr>
            </w:pPr>
            <w:r>
              <w:rPr>
                <w:color w:val="000000"/>
              </w:rPr>
              <w:t>本项目为柴油调和及汽油调和，属于石油、煤炭及其他燃料加工业范畴。对照园区产业布局图、用地规划图，本项目选址坐落于吉木萨尔县北庭工业园区化工产业区内如图1-1，项目用地为规划的三类工业用地，用地属性与油品调和类工业项目建设要求完全匹配。项目仅外购石脑油、异辛烷、混合芳烃、MTBE等油品原料进行物理调和生产成品油，无重污染化工合成工序，符合园区石油燃料加工产业准入导向，选址片区功能、用地类型均与国土空间专项规划管控要求一致。</w:t>
            </w:r>
          </w:p>
          <w:p w14:paraId="07F9B7FA">
            <w:pPr>
              <w:pStyle w:val="42"/>
              <w:ind w:firstLine="0" w:firstLineChars="0"/>
              <w:rPr>
                <w:color w:val="000000"/>
              </w:rPr>
            </w:pPr>
          </w:p>
          <w:p w14:paraId="7968A284">
            <w:pPr>
              <w:adjustRightInd w:val="0"/>
              <w:snapToGrid w:val="0"/>
              <w:ind w:firstLine="480" w:firstLineChars="200"/>
              <w:jc w:val="center"/>
              <w:rPr>
                <w:rFonts w:ascii="Times New Roman" w:hAnsi="Times New Roman" w:cs="Times New Roman"/>
                <w:color w:val="000000"/>
              </w:rPr>
            </w:pPr>
          </w:p>
          <w:p w14:paraId="0C619A1B">
            <w:pPr>
              <w:adjustRightInd w:val="0"/>
              <w:snapToGrid w:val="0"/>
              <w:ind w:firstLine="442" w:firstLineChars="200"/>
              <w:jc w:val="center"/>
              <w:rPr>
                <w:rFonts w:ascii="Times New Roman" w:hAnsi="Times New Roman" w:cs="Times New Roman"/>
                <w:b/>
                <w:spacing w:val="-10"/>
                <w:szCs w:val="21"/>
              </w:rPr>
            </w:pPr>
            <w:r>
              <w:rPr>
                <w:rFonts w:ascii="Times New Roman" w:hAnsi="Times New Roman" w:cs="Times New Roman"/>
                <w:b/>
                <w:spacing w:val="-10"/>
                <w:szCs w:val="21"/>
              </w:rPr>
              <w:t>图1-1  吉木萨尔北庭工业园区产业布局图</w:t>
            </w:r>
          </w:p>
          <w:p w14:paraId="740F5CA2">
            <w:pPr>
              <w:adjustRightInd w:val="0"/>
              <w:snapToGrid w:val="0"/>
              <w:ind w:firstLine="480" w:firstLineChars="200"/>
              <w:jc w:val="center"/>
              <w:rPr>
                <w:rFonts w:ascii="Times New Roman" w:hAnsi="Times New Roman" w:cs="Times New Roman"/>
                <w:color w:val="000000"/>
              </w:rPr>
            </w:pPr>
          </w:p>
          <w:p w14:paraId="511D51E6">
            <w:pPr>
              <w:pStyle w:val="42"/>
              <w:ind w:firstLine="0" w:firstLineChars="0"/>
              <w:rPr>
                <w:b/>
                <w:bCs/>
                <w:color w:val="000000"/>
              </w:rPr>
            </w:pPr>
            <w:r>
              <w:rPr>
                <w:b/>
                <w:bCs/>
                <w:color w:val="000000"/>
              </w:rPr>
              <w:t>2、与《吉木萨尔北庭工业园区国土空间专项规划（2025-2035年）环境影响报告书》符合性分析</w:t>
            </w:r>
          </w:p>
          <w:p w14:paraId="6CDBC8E2">
            <w:pPr>
              <w:pStyle w:val="42"/>
              <w:ind w:firstLine="480"/>
              <w:rPr>
                <w:bCs/>
                <w:color w:val="000000"/>
              </w:rPr>
            </w:pPr>
            <w:r>
              <w:rPr>
                <w:bCs/>
                <w:color w:val="000000"/>
              </w:rPr>
              <w:t>本项目与《吉木萨尔北庭工业园区国土空间专项规划（2025-2035年）环境影响报告书》的符合性分析见表1-2。</w:t>
            </w:r>
          </w:p>
          <w:p w14:paraId="46B66842">
            <w:pPr>
              <w:pStyle w:val="42"/>
              <w:ind w:firstLine="480"/>
              <w:rPr>
                <w:bCs/>
                <w:color w:val="000000"/>
              </w:rPr>
            </w:pPr>
            <w:r>
              <w:rPr>
                <w:bCs/>
                <w:color w:val="000000"/>
              </w:rPr>
              <w:t>经分析，本项目符合《</w:t>
            </w:r>
            <w:r>
              <w:rPr>
                <w:color w:val="000000"/>
              </w:rPr>
              <w:t>吉木萨尔北庭工业园区国土空间专项规划（2025-2035年）</w:t>
            </w:r>
            <w:r>
              <w:t>环境影响报告书</w:t>
            </w:r>
            <w:r>
              <w:rPr>
                <w:bCs/>
                <w:color w:val="000000"/>
              </w:rPr>
              <w:t>》的要求。</w:t>
            </w:r>
          </w:p>
          <w:p w14:paraId="7F239CB4">
            <w:pPr>
              <w:pStyle w:val="42"/>
              <w:ind w:firstLine="422"/>
              <w:jc w:val="center"/>
              <w:rPr>
                <w:bCs/>
                <w:color w:val="000000"/>
              </w:rPr>
            </w:pPr>
            <w:r>
              <w:rPr>
                <w:b/>
                <w:bCs/>
                <w:color w:val="000000"/>
                <w:sz w:val="21"/>
                <w:szCs w:val="18"/>
              </w:rPr>
              <w:t>表1-2  与《吉木萨尔北庭工业园区国土空间专项规划（2025-2035年）环境影响报告书》的符合性分析</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3277"/>
              <w:gridCol w:w="1925"/>
              <w:gridCol w:w="645"/>
            </w:tblGrid>
            <w:tr w14:paraId="7217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83" w:type="dxa"/>
                  <w:vAlign w:val="center"/>
                </w:tcPr>
                <w:p w14:paraId="2F47E0A2">
                  <w:pPr>
                    <w:pStyle w:val="65"/>
                    <w:rPr>
                      <w:rFonts w:ascii="Times New Roman" w:hAnsi="Times New Roman" w:cs="Times New Roman"/>
                      <w:color w:val="000000"/>
                    </w:rPr>
                  </w:pPr>
                  <w:bookmarkStart w:id="2" w:name="_Hlk179626481"/>
                  <w:r>
                    <w:rPr>
                      <w:rFonts w:ascii="Times New Roman" w:hAnsi="Times New Roman" w:cs="Times New Roman"/>
                      <w:color w:val="000000"/>
                    </w:rPr>
                    <w:t>序号</w:t>
                  </w:r>
                </w:p>
              </w:tc>
              <w:tc>
                <w:tcPr>
                  <w:tcW w:w="3239" w:type="dxa"/>
                  <w:vAlign w:val="center"/>
                </w:tcPr>
                <w:p w14:paraId="738176DF">
                  <w:pPr>
                    <w:pStyle w:val="65"/>
                    <w:rPr>
                      <w:rFonts w:ascii="Times New Roman" w:hAnsi="Times New Roman" w:cs="Times New Roman"/>
                      <w:color w:val="000000"/>
                    </w:rPr>
                  </w:pPr>
                  <w:r>
                    <w:rPr>
                      <w:rFonts w:ascii="Times New Roman" w:hAnsi="Times New Roman" w:cs="Times New Roman"/>
                      <w:color w:val="000000"/>
                    </w:rPr>
                    <w:t>规划环评相关要求</w:t>
                  </w:r>
                </w:p>
              </w:tc>
              <w:tc>
                <w:tcPr>
                  <w:tcW w:w="1903" w:type="dxa"/>
                  <w:vAlign w:val="center"/>
                </w:tcPr>
                <w:p w14:paraId="48BA48EA">
                  <w:pPr>
                    <w:pStyle w:val="65"/>
                    <w:rPr>
                      <w:rFonts w:ascii="Times New Roman" w:hAnsi="Times New Roman" w:cs="Times New Roman"/>
                      <w:color w:val="000000"/>
                    </w:rPr>
                  </w:pPr>
                  <w:r>
                    <w:rPr>
                      <w:rFonts w:ascii="Times New Roman" w:hAnsi="Times New Roman" w:cs="Times New Roman"/>
                      <w:color w:val="000000"/>
                    </w:rPr>
                    <w:t>本项目情况</w:t>
                  </w:r>
                </w:p>
              </w:tc>
              <w:tc>
                <w:tcPr>
                  <w:tcW w:w="637" w:type="dxa"/>
                  <w:vAlign w:val="center"/>
                </w:tcPr>
                <w:p w14:paraId="2D8C153F">
                  <w:pPr>
                    <w:pStyle w:val="65"/>
                    <w:rPr>
                      <w:rFonts w:ascii="Times New Roman" w:hAnsi="Times New Roman" w:cs="Times New Roman"/>
                      <w:color w:val="000000"/>
                    </w:rPr>
                  </w:pPr>
                  <w:r>
                    <w:rPr>
                      <w:rFonts w:ascii="Times New Roman" w:hAnsi="Times New Roman" w:cs="Times New Roman"/>
                      <w:color w:val="000000"/>
                    </w:rPr>
                    <w:t>符合性</w:t>
                  </w:r>
                </w:p>
              </w:tc>
            </w:tr>
            <w:tr w14:paraId="0A728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3" w:type="dxa"/>
                  <w:vAlign w:val="center"/>
                </w:tcPr>
                <w:p w14:paraId="186DCAC2">
                  <w:pPr>
                    <w:pStyle w:val="65"/>
                    <w:rPr>
                      <w:rFonts w:ascii="Times New Roman" w:hAnsi="Times New Roman" w:cs="Times New Roman"/>
                      <w:color w:val="000000"/>
                    </w:rPr>
                  </w:pPr>
                  <w:r>
                    <w:rPr>
                      <w:rFonts w:ascii="Times New Roman" w:hAnsi="Times New Roman" w:cs="Times New Roman"/>
                      <w:color w:val="000000"/>
                    </w:rPr>
                    <w:t>1</w:t>
                  </w:r>
                </w:p>
              </w:tc>
              <w:tc>
                <w:tcPr>
                  <w:tcW w:w="3239" w:type="dxa"/>
                  <w:vAlign w:val="center"/>
                </w:tcPr>
                <w:p w14:paraId="47082867">
                  <w:pPr>
                    <w:pStyle w:val="65"/>
                    <w:jc w:val="both"/>
                    <w:rPr>
                      <w:rFonts w:ascii="Times New Roman" w:hAnsi="Times New Roman" w:cs="Times New Roman"/>
                      <w:color w:val="000000"/>
                    </w:rPr>
                  </w:pPr>
                  <w:r>
                    <w:rPr>
                      <w:rFonts w:ascii="Times New Roman" w:hAnsi="Times New Roman" w:cs="Times New Roman"/>
                      <w:color w:val="000000"/>
                    </w:rPr>
                    <w:t>规划范围：本次园区规划研究范围面积为48.29平方千米，包含5个区域：综合产业集聚区：用地面积为9.84平方千米；化工产业集聚区：用地面积为21.78平方千米；资源循环利用与铸造产业区：用地面积为3.88平方千米；远景区：4.37平方千米；荒山绿化：8.42平方千米。</w:t>
                  </w:r>
                </w:p>
              </w:tc>
              <w:tc>
                <w:tcPr>
                  <w:tcW w:w="1903" w:type="dxa"/>
                  <w:vAlign w:val="center"/>
                </w:tcPr>
                <w:p w14:paraId="1F02CC8A">
                  <w:pPr>
                    <w:pStyle w:val="65"/>
                    <w:jc w:val="both"/>
                    <w:rPr>
                      <w:rFonts w:ascii="Times New Roman" w:hAnsi="Times New Roman" w:cs="Times New Roman"/>
                      <w:color w:val="000000"/>
                    </w:rPr>
                  </w:pPr>
                  <w:r>
                    <w:rPr>
                      <w:rFonts w:ascii="Times New Roman" w:hAnsi="Times New Roman" w:cs="Times New Roman"/>
                      <w:color w:val="000000"/>
                    </w:rPr>
                    <w:t>本项目位于规划的吉木萨尔县北庭工业园区化工产业聚集区。</w:t>
                  </w:r>
                </w:p>
              </w:tc>
              <w:tc>
                <w:tcPr>
                  <w:tcW w:w="637" w:type="dxa"/>
                  <w:vAlign w:val="center"/>
                </w:tcPr>
                <w:p w14:paraId="496D8ACC">
                  <w:pPr>
                    <w:pStyle w:val="65"/>
                    <w:rPr>
                      <w:rFonts w:ascii="Times New Roman" w:hAnsi="Times New Roman" w:cs="Times New Roman"/>
                      <w:color w:val="000000"/>
                    </w:rPr>
                  </w:pPr>
                  <w:r>
                    <w:rPr>
                      <w:rFonts w:ascii="Times New Roman" w:hAnsi="Times New Roman" w:cs="Times New Roman"/>
                      <w:color w:val="000000"/>
                    </w:rPr>
                    <w:t>符合</w:t>
                  </w:r>
                </w:p>
              </w:tc>
            </w:tr>
            <w:tr w14:paraId="7DE60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3" w:type="dxa"/>
                  <w:vAlign w:val="center"/>
                </w:tcPr>
                <w:p w14:paraId="6655251D">
                  <w:pPr>
                    <w:pStyle w:val="65"/>
                    <w:rPr>
                      <w:rFonts w:ascii="Times New Roman" w:hAnsi="Times New Roman" w:cs="Times New Roman"/>
                      <w:color w:val="000000"/>
                    </w:rPr>
                  </w:pPr>
                  <w:r>
                    <w:rPr>
                      <w:rFonts w:ascii="Times New Roman" w:hAnsi="Times New Roman" w:cs="Times New Roman"/>
                      <w:color w:val="000000"/>
                    </w:rPr>
                    <w:t>2</w:t>
                  </w:r>
                </w:p>
              </w:tc>
              <w:tc>
                <w:tcPr>
                  <w:tcW w:w="3239" w:type="dxa"/>
                  <w:vAlign w:val="center"/>
                </w:tcPr>
                <w:p w14:paraId="6B7DB355">
                  <w:pPr>
                    <w:pStyle w:val="65"/>
                    <w:jc w:val="both"/>
                    <w:rPr>
                      <w:rFonts w:ascii="Times New Roman" w:hAnsi="Times New Roman" w:cs="Times New Roman"/>
                      <w:color w:val="000000"/>
                    </w:rPr>
                  </w:pPr>
                  <w:r>
                    <w:rPr>
                      <w:rFonts w:ascii="Times New Roman" w:hAnsi="Times New Roman" w:cs="Times New Roman"/>
                      <w:color w:val="000000"/>
                    </w:rPr>
                    <w:t>规划期限：2025～2035年，其中，近期：2025-2030年，远期：2031-2035年。</w:t>
                  </w:r>
                </w:p>
              </w:tc>
              <w:tc>
                <w:tcPr>
                  <w:tcW w:w="1903" w:type="dxa"/>
                  <w:vAlign w:val="center"/>
                </w:tcPr>
                <w:p w14:paraId="5055B000">
                  <w:pPr>
                    <w:pStyle w:val="65"/>
                    <w:jc w:val="both"/>
                    <w:rPr>
                      <w:rFonts w:ascii="Times New Roman" w:hAnsi="Times New Roman" w:cs="Times New Roman"/>
                      <w:color w:val="000000"/>
                    </w:rPr>
                  </w:pPr>
                  <w:r>
                    <w:rPr>
                      <w:rFonts w:ascii="Times New Roman" w:hAnsi="Times New Roman" w:cs="Times New Roman"/>
                      <w:color w:val="000000"/>
                    </w:rPr>
                    <w:t>本项目处于规划近期。</w:t>
                  </w:r>
                </w:p>
              </w:tc>
              <w:tc>
                <w:tcPr>
                  <w:tcW w:w="637" w:type="dxa"/>
                  <w:vAlign w:val="center"/>
                </w:tcPr>
                <w:p w14:paraId="024DCE0A">
                  <w:pPr>
                    <w:pStyle w:val="65"/>
                    <w:rPr>
                      <w:rFonts w:ascii="Times New Roman" w:hAnsi="Times New Roman" w:cs="Times New Roman"/>
                      <w:color w:val="000000"/>
                    </w:rPr>
                  </w:pPr>
                  <w:r>
                    <w:rPr>
                      <w:rFonts w:ascii="Times New Roman" w:hAnsi="Times New Roman" w:cs="Times New Roman"/>
                      <w:color w:val="000000"/>
                    </w:rPr>
                    <w:t>符合</w:t>
                  </w:r>
                </w:p>
              </w:tc>
            </w:tr>
            <w:tr w14:paraId="1972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3" w:type="dxa"/>
                  <w:vAlign w:val="center"/>
                </w:tcPr>
                <w:p w14:paraId="7CBBEB8F">
                  <w:pPr>
                    <w:pStyle w:val="65"/>
                    <w:rPr>
                      <w:rFonts w:ascii="Times New Roman" w:hAnsi="Times New Roman" w:cs="Times New Roman"/>
                      <w:color w:val="000000"/>
                    </w:rPr>
                  </w:pPr>
                  <w:r>
                    <w:rPr>
                      <w:rFonts w:ascii="Times New Roman" w:hAnsi="Times New Roman" w:cs="Times New Roman"/>
                      <w:color w:val="000000"/>
                    </w:rPr>
                    <w:t>3</w:t>
                  </w:r>
                </w:p>
              </w:tc>
              <w:tc>
                <w:tcPr>
                  <w:tcW w:w="3239" w:type="dxa"/>
                  <w:vAlign w:val="center"/>
                </w:tcPr>
                <w:p w14:paraId="5048C728">
                  <w:pPr>
                    <w:pStyle w:val="65"/>
                    <w:jc w:val="both"/>
                    <w:rPr>
                      <w:rFonts w:ascii="Times New Roman" w:hAnsi="Times New Roman" w:cs="Times New Roman"/>
                      <w:color w:val="000000"/>
                    </w:rPr>
                  </w:pPr>
                  <w:bookmarkStart w:id="3" w:name="_Hlk179625668"/>
                  <w:r>
                    <w:rPr>
                      <w:rFonts w:ascii="Times New Roman" w:hAnsi="Times New Roman" w:cs="Times New Roman"/>
                      <w:color w:val="000000"/>
                    </w:rPr>
                    <w:t>产业规划：化工产业区聚焦石油、煤炭及其他燃料加工业，金属制品业（装备制造业），废弃资源综合利用业三大主导产业；培育壮大化学原料和化学制品制造业、化学纤维制造业、新能源和新材料产业。</w:t>
                  </w:r>
                  <w:bookmarkEnd w:id="3"/>
                </w:p>
              </w:tc>
              <w:tc>
                <w:tcPr>
                  <w:tcW w:w="1903" w:type="dxa"/>
                  <w:vAlign w:val="center"/>
                </w:tcPr>
                <w:p w14:paraId="130D2D44">
                  <w:pPr>
                    <w:pStyle w:val="65"/>
                    <w:jc w:val="both"/>
                    <w:rPr>
                      <w:rFonts w:ascii="Times New Roman" w:hAnsi="Times New Roman" w:cs="Times New Roman"/>
                      <w:color w:val="000000"/>
                    </w:rPr>
                  </w:pPr>
                  <w:r>
                    <w:rPr>
                      <w:rFonts w:ascii="Times New Roman" w:hAnsi="Times New Roman" w:cs="Times New Roman"/>
                      <w:color w:val="000000"/>
                    </w:rPr>
                    <w:t>本项目为柴油、汽油物理调和项目，属于石油、煤炭及其他燃料加工业范畴，与化工产业区的产业定位相符。</w:t>
                  </w:r>
                </w:p>
              </w:tc>
              <w:tc>
                <w:tcPr>
                  <w:tcW w:w="637" w:type="dxa"/>
                  <w:vAlign w:val="center"/>
                </w:tcPr>
                <w:p w14:paraId="7B8E341C">
                  <w:pPr>
                    <w:pStyle w:val="65"/>
                    <w:rPr>
                      <w:rFonts w:ascii="Times New Roman" w:hAnsi="Times New Roman" w:cs="Times New Roman"/>
                      <w:color w:val="000000"/>
                    </w:rPr>
                  </w:pPr>
                  <w:r>
                    <w:rPr>
                      <w:rFonts w:ascii="Times New Roman" w:hAnsi="Times New Roman" w:cs="Times New Roman"/>
                      <w:color w:val="000000"/>
                    </w:rPr>
                    <w:t>符合</w:t>
                  </w:r>
                </w:p>
              </w:tc>
            </w:tr>
            <w:tr w14:paraId="7448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3" w:hRule="atLeast"/>
                <w:jc w:val="center"/>
              </w:trPr>
              <w:tc>
                <w:tcPr>
                  <w:tcW w:w="483" w:type="dxa"/>
                  <w:vAlign w:val="center"/>
                </w:tcPr>
                <w:p w14:paraId="47B77F4C">
                  <w:pPr>
                    <w:pStyle w:val="65"/>
                    <w:rPr>
                      <w:rFonts w:ascii="Times New Roman" w:hAnsi="Times New Roman" w:cs="Times New Roman"/>
                      <w:color w:val="000000"/>
                    </w:rPr>
                  </w:pPr>
                  <w:r>
                    <w:rPr>
                      <w:rFonts w:ascii="Times New Roman" w:hAnsi="Times New Roman" w:cs="Times New Roman"/>
                      <w:color w:val="000000"/>
                    </w:rPr>
                    <w:t>4</w:t>
                  </w:r>
                </w:p>
              </w:tc>
              <w:tc>
                <w:tcPr>
                  <w:tcW w:w="3239" w:type="dxa"/>
                  <w:vAlign w:val="center"/>
                </w:tcPr>
                <w:p w14:paraId="659B54D5">
                  <w:pPr>
                    <w:pStyle w:val="65"/>
                    <w:jc w:val="both"/>
                    <w:rPr>
                      <w:rFonts w:ascii="Times New Roman" w:hAnsi="Times New Roman" w:cs="Times New Roman"/>
                      <w:color w:val="000000"/>
                    </w:rPr>
                  </w:pPr>
                  <w:r>
                    <w:rPr>
                      <w:rFonts w:ascii="Times New Roman" w:hAnsi="Times New Roman" w:cs="Times New Roman"/>
                      <w:color w:val="000000"/>
                    </w:rPr>
                    <w:t>用地布局规划：园区内部土地使用性质分类主要分下列6类：</w:t>
                  </w:r>
                </w:p>
                <w:p w14:paraId="1312617F">
                  <w:pPr>
                    <w:pStyle w:val="65"/>
                    <w:jc w:val="both"/>
                    <w:rPr>
                      <w:rFonts w:ascii="Times New Roman" w:hAnsi="Times New Roman" w:cs="Times New Roman"/>
                      <w:color w:val="000000"/>
                    </w:rPr>
                  </w:pPr>
                  <w:r>
                    <w:rPr>
                      <w:rFonts w:ascii="Times New Roman" w:hAnsi="Times New Roman" w:cs="Times New Roman"/>
                      <w:color w:val="000000"/>
                    </w:rPr>
                    <w:t>（1）公共管理与公共服务用地：包括机关团体用地、文化用地、医疗卫生用地；（2）商业服务业用地：包括商业用地、公用设施营业网点用地；（3）工业用地：工业用地是整个工业园区的主体，占有比重较大，全部为三类工业用地。园区现有企业，规划的大部分产业用地属于此类；（4）交通运输用地：工业园区内外道路、停车场等设施的建设用地；（5）公用设施用地：水暖电供应、环境、安全等设施用地；</w:t>
                  </w:r>
                </w:p>
                <w:p w14:paraId="4333111D">
                  <w:pPr>
                    <w:pStyle w:val="65"/>
                    <w:jc w:val="both"/>
                    <w:rPr>
                      <w:rFonts w:ascii="Times New Roman" w:hAnsi="Times New Roman" w:cs="Times New Roman"/>
                      <w:color w:val="000000"/>
                    </w:rPr>
                  </w:pPr>
                  <w:r>
                    <w:rPr>
                      <w:rFonts w:ascii="Times New Roman" w:hAnsi="Times New Roman" w:cs="Times New Roman"/>
                      <w:color w:val="000000"/>
                    </w:rPr>
                    <w:t>（6）绿地与开敞空间用地：主要为防护绿地。</w:t>
                  </w:r>
                </w:p>
              </w:tc>
              <w:tc>
                <w:tcPr>
                  <w:tcW w:w="1903" w:type="dxa"/>
                  <w:vAlign w:val="center"/>
                </w:tcPr>
                <w:p w14:paraId="1924666C">
                  <w:pPr>
                    <w:pStyle w:val="65"/>
                    <w:jc w:val="both"/>
                    <w:rPr>
                      <w:rFonts w:ascii="Times New Roman" w:hAnsi="Times New Roman" w:cs="Times New Roman"/>
                      <w:color w:val="000000"/>
                    </w:rPr>
                  </w:pPr>
                  <w:bookmarkStart w:id="4" w:name="OLE_LINK18"/>
                  <w:r>
                    <w:rPr>
                      <w:rFonts w:ascii="Times New Roman" w:hAnsi="Times New Roman" w:cs="Times New Roman"/>
                      <w:color w:val="000000"/>
                    </w:rPr>
                    <w:t>本项目</w:t>
                  </w:r>
                  <w:bookmarkEnd w:id="4"/>
                  <w:r>
                    <w:rPr>
                      <w:rFonts w:ascii="Times New Roman" w:hAnsi="Times New Roman" w:cs="Times New Roman"/>
                      <w:color w:val="000000"/>
                    </w:rPr>
                    <w:t>占地类型属于三类工业用地。</w:t>
                  </w:r>
                </w:p>
              </w:tc>
              <w:tc>
                <w:tcPr>
                  <w:tcW w:w="637" w:type="dxa"/>
                  <w:vAlign w:val="center"/>
                </w:tcPr>
                <w:p w14:paraId="2479EB64">
                  <w:pPr>
                    <w:pStyle w:val="65"/>
                    <w:rPr>
                      <w:rFonts w:ascii="Times New Roman" w:hAnsi="Times New Roman" w:cs="Times New Roman"/>
                      <w:color w:val="000000"/>
                    </w:rPr>
                  </w:pPr>
                  <w:r>
                    <w:rPr>
                      <w:rFonts w:ascii="Times New Roman" w:hAnsi="Times New Roman" w:cs="Times New Roman"/>
                      <w:color w:val="000000"/>
                    </w:rPr>
                    <w:t>符合</w:t>
                  </w:r>
                </w:p>
              </w:tc>
            </w:tr>
            <w:tr w14:paraId="4B549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3" w:type="dxa"/>
                  <w:vAlign w:val="center"/>
                </w:tcPr>
                <w:p w14:paraId="108B8B8A">
                  <w:pPr>
                    <w:pStyle w:val="65"/>
                    <w:rPr>
                      <w:rFonts w:ascii="Times New Roman" w:hAnsi="Times New Roman" w:cs="Times New Roman"/>
                      <w:color w:val="000000"/>
                    </w:rPr>
                  </w:pPr>
                  <w:r>
                    <w:rPr>
                      <w:rFonts w:ascii="Times New Roman" w:hAnsi="Times New Roman" w:cs="Times New Roman"/>
                      <w:color w:val="000000"/>
                    </w:rPr>
                    <w:t>5</w:t>
                  </w:r>
                </w:p>
              </w:tc>
              <w:tc>
                <w:tcPr>
                  <w:tcW w:w="3239" w:type="dxa"/>
                  <w:vAlign w:val="center"/>
                </w:tcPr>
                <w:p w14:paraId="5474E0E8">
                  <w:pPr>
                    <w:pStyle w:val="65"/>
                    <w:jc w:val="both"/>
                    <w:rPr>
                      <w:rFonts w:ascii="Times New Roman" w:hAnsi="Times New Roman" w:cs="Times New Roman"/>
                      <w:color w:val="000000"/>
                    </w:rPr>
                  </w:pPr>
                  <w:r>
                    <w:rPr>
                      <w:rFonts w:ascii="Times New Roman" w:hAnsi="Times New Roman" w:cs="Times New Roman"/>
                      <w:color w:val="000000"/>
                    </w:rPr>
                    <w:t>废水污染防治措施：</w:t>
                  </w:r>
                </w:p>
                <w:p w14:paraId="22E511D4">
                  <w:pPr>
                    <w:pStyle w:val="65"/>
                    <w:jc w:val="both"/>
                    <w:rPr>
                      <w:rFonts w:ascii="Times New Roman" w:hAnsi="Times New Roman" w:cs="Times New Roman"/>
                      <w:color w:val="000000"/>
                    </w:rPr>
                  </w:pPr>
                  <w:r>
                    <w:rPr>
                      <w:rFonts w:ascii="Times New Roman" w:hAnsi="Times New Roman" w:cs="Times New Roman"/>
                      <w:color w:val="000000"/>
                    </w:rPr>
                    <w:t>（1）优化水资源利用结构，提高项目环境准入</w:t>
                  </w:r>
                </w:p>
                <w:p w14:paraId="48E9BAEC">
                  <w:pPr>
                    <w:pStyle w:val="65"/>
                    <w:jc w:val="both"/>
                    <w:rPr>
                      <w:rFonts w:ascii="Times New Roman" w:hAnsi="Times New Roman" w:cs="Times New Roman"/>
                      <w:color w:val="000000"/>
                    </w:rPr>
                  </w:pPr>
                  <w:r>
                    <w:rPr>
                      <w:rFonts w:ascii="Cambria Math" w:hAnsi="Cambria Math" w:cs="Cambria Math"/>
                      <w:color w:val="000000"/>
                    </w:rPr>
                    <w:t>①</w:t>
                  </w:r>
                  <w:r>
                    <w:rPr>
                      <w:rFonts w:ascii="Times New Roman" w:hAnsi="Times New Roman" w:cs="Times New Roman"/>
                      <w:color w:val="000000"/>
                    </w:rPr>
                    <w:t>节约用水，积极推行废水资源化</w:t>
                  </w:r>
                </w:p>
                <w:p w14:paraId="49B4BF75">
                  <w:pPr>
                    <w:pStyle w:val="65"/>
                    <w:jc w:val="both"/>
                    <w:rPr>
                      <w:rFonts w:ascii="Times New Roman" w:hAnsi="Times New Roman" w:cs="Times New Roman"/>
                      <w:color w:val="000000"/>
                    </w:rPr>
                  </w:pPr>
                  <w:r>
                    <w:rPr>
                      <w:rFonts w:ascii="Times New Roman" w:hAnsi="Times New Roman" w:cs="Times New Roman"/>
                      <w:color w:val="000000"/>
                    </w:rPr>
                    <w:t>园区企业要注重发展不用水或少用水的产业和生产工艺，发展循环用水、一水多用和废水回用等技术。各生产企业的新鲜耗水量应达到国内同行业的先进水平。</w:t>
                  </w:r>
                </w:p>
                <w:p w14:paraId="3621CF89">
                  <w:pPr>
                    <w:pStyle w:val="65"/>
                    <w:jc w:val="both"/>
                    <w:rPr>
                      <w:rFonts w:ascii="Times New Roman" w:hAnsi="Times New Roman" w:cs="Times New Roman"/>
                      <w:color w:val="000000"/>
                    </w:rPr>
                  </w:pPr>
                  <w:r>
                    <w:rPr>
                      <w:rFonts w:ascii="Cambria Math" w:hAnsi="Cambria Math" w:cs="Cambria Math"/>
                      <w:color w:val="000000"/>
                    </w:rPr>
                    <w:t>②</w:t>
                  </w:r>
                  <w:r>
                    <w:rPr>
                      <w:rFonts w:ascii="Times New Roman" w:hAnsi="Times New Roman" w:cs="Times New Roman"/>
                      <w:color w:val="000000"/>
                    </w:rPr>
                    <w:t>合理引进入区项目，提高环保门槛，推行清洁生产</w:t>
                  </w:r>
                </w:p>
                <w:p w14:paraId="4A23810D">
                  <w:pPr>
                    <w:pStyle w:val="65"/>
                    <w:jc w:val="both"/>
                    <w:rPr>
                      <w:rFonts w:ascii="Times New Roman" w:hAnsi="Times New Roman" w:cs="Times New Roman"/>
                      <w:color w:val="000000"/>
                    </w:rPr>
                  </w:pPr>
                  <w:r>
                    <w:rPr>
                      <w:rFonts w:ascii="Times New Roman" w:hAnsi="Times New Roman" w:cs="Times New Roman"/>
                      <w:color w:val="000000"/>
                    </w:rPr>
                    <w:t>根据国家的产业政策合理引进入园区项目，积极发展对水环境危害小、耗水量小的工业企业，依靠科技进步、技术支持，改进生产工艺，实行节水、减污。</w:t>
                  </w:r>
                </w:p>
                <w:p w14:paraId="4F1AB819">
                  <w:pPr>
                    <w:pStyle w:val="65"/>
                    <w:jc w:val="both"/>
                    <w:rPr>
                      <w:rFonts w:ascii="Times New Roman" w:hAnsi="Times New Roman" w:cs="Times New Roman"/>
                      <w:color w:val="000000"/>
                    </w:rPr>
                  </w:pPr>
                  <w:r>
                    <w:rPr>
                      <w:rFonts w:ascii="Times New Roman" w:hAnsi="Times New Roman" w:cs="Times New Roman"/>
                      <w:color w:val="000000"/>
                    </w:rPr>
                    <w:t>（2）强化工业污染控制</w:t>
                  </w:r>
                </w:p>
                <w:p w14:paraId="4F1571E5">
                  <w:pPr>
                    <w:pStyle w:val="65"/>
                    <w:jc w:val="both"/>
                    <w:rPr>
                      <w:rFonts w:ascii="Times New Roman" w:hAnsi="Times New Roman" w:cs="Times New Roman"/>
                      <w:color w:val="000000"/>
                    </w:rPr>
                  </w:pPr>
                  <w:r>
                    <w:rPr>
                      <w:rFonts w:ascii="Times New Roman" w:hAnsi="Times New Roman" w:cs="Times New Roman"/>
                      <w:color w:val="000000"/>
                    </w:rPr>
                    <w:t>规划项目废水种类主要是含盐废水、含酚废水、含硫废水、电镀废水以及生活辅助设施排放的生活污水，应根据清污分流、污污分治、深度处理、分质回用的原则设计废水处理处置方案；</w:t>
                  </w:r>
                </w:p>
                <w:p w14:paraId="04BF3DBB">
                  <w:pPr>
                    <w:pStyle w:val="65"/>
                    <w:jc w:val="both"/>
                    <w:rPr>
                      <w:rFonts w:ascii="Times New Roman" w:hAnsi="Times New Roman" w:cs="Times New Roman"/>
                      <w:color w:val="000000"/>
                    </w:rPr>
                  </w:pPr>
                  <w:r>
                    <w:rPr>
                      <w:rFonts w:ascii="Times New Roman" w:hAnsi="Times New Roman" w:cs="Times New Roman"/>
                      <w:color w:val="000000"/>
                    </w:rPr>
                    <w:t>（3）产业发展废水再生利用</w:t>
                  </w:r>
                </w:p>
                <w:p w14:paraId="37AFD2C0">
                  <w:pPr>
                    <w:pStyle w:val="65"/>
                    <w:jc w:val="both"/>
                    <w:rPr>
                      <w:rFonts w:ascii="Times New Roman" w:hAnsi="Times New Roman" w:cs="Times New Roman"/>
                      <w:color w:val="000000"/>
                    </w:rPr>
                  </w:pPr>
                  <w:r>
                    <w:rPr>
                      <w:rFonts w:ascii="Times New Roman" w:hAnsi="Times New Roman" w:cs="Times New Roman"/>
                      <w:color w:val="000000"/>
                    </w:rPr>
                    <w:t>园区排水经污水处理厂处理设施处理后，能达到回用水标准的要求，根据园区用水需求，达到相应再生水利用标准后，回用于生产、绿化、道路浇洒等，使废水实现</w:t>
                  </w:r>
                </w:p>
                <w:p w14:paraId="6F34E2D8">
                  <w:pPr>
                    <w:pStyle w:val="65"/>
                    <w:jc w:val="both"/>
                    <w:rPr>
                      <w:rFonts w:ascii="Times New Roman" w:hAnsi="Times New Roman" w:cs="Times New Roman"/>
                      <w:color w:val="000000"/>
                    </w:rPr>
                  </w:pPr>
                  <w:r>
                    <w:rPr>
                      <w:rFonts w:ascii="Times New Roman" w:hAnsi="Times New Roman" w:cs="Times New Roman"/>
                      <w:color w:val="000000"/>
                    </w:rPr>
                    <w:t>资源化利用。</w:t>
                  </w:r>
                </w:p>
              </w:tc>
              <w:tc>
                <w:tcPr>
                  <w:tcW w:w="1903" w:type="dxa"/>
                  <w:vAlign w:val="center"/>
                </w:tcPr>
                <w:p w14:paraId="5AEF632A">
                  <w:pPr>
                    <w:pStyle w:val="65"/>
                    <w:jc w:val="both"/>
                    <w:rPr>
                      <w:rFonts w:ascii="Times New Roman" w:hAnsi="Times New Roman" w:cs="Times New Roman"/>
                      <w:color w:val="000000"/>
                    </w:rPr>
                  </w:pPr>
                  <w:r>
                    <w:rPr>
                      <w:rFonts w:ascii="Times New Roman" w:hAnsi="Times New Roman" w:cs="Times New Roman"/>
                      <w:color w:val="000000"/>
                    </w:rPr>
                    <w:t>本项目为单纯物理调和，不涉及化学反应，仅产生地面冲洗水与清罐废水，经污水处理站处理后送至园区污水处理厂。</w:t>
                  </w:r>
                </w:p>
              </w:tc>
              <w:tc>
                <w:tcPr>
                  <w:tcW w:w="637" w:type="dxa"/>
                  <w:vAlign w:val="center"/>
                </w:tcPr>
                <w:p w14:paraId="2CBC3546">
                  <w:pPr>
                    <w:pStyle w:val="65"/>
                    <w:rPr>
                      <w:rFonts w:ascii="Times New Roman" w:hAnsi="Times New Roman" w:cs="Times New Roman"/>
                      <w:color w:val="000000"/>
                    </w:rPr>
                  </w:pPr>
                  <w:r>
                    <w:rPr>
                      <w:rFonts w:ascii="Times New Roman" w:hAnsi="Times New Roman" w:cs="Times New Roman"/>
                      <w:color w:val="000000"/>
                    </w:rPr>
                    <w:t>符合</w:t>
                  </w:r>
                </w:p>
              </w:tc>
            </w:tr>
            <w:tr w14:paraId="68675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3" w:type="dxa"/>
                  <w:vAlign w:val="center"/>
                </w:tcPr>
                <w:p w14:paraId="06570CC5">
                  <w:pPr>
                    <w:pStyle w:val="65"/>
                    <w:rPr>
                      <w:rFonts w:ascii="Times New Roman" w:hAnsi="Times New Roman" w:cs="Times New Roman"/>
                      <w:color w:val="000000"/>
                    </w:rPr>
                  </w:pPr>
                  <w:r>
                    <w:rPr>
                      <w:rFonts w:ascii="Times New Roman" w:hAnsi="Times New Roman" w:cs="Times New Roman"/>
                      <w:color w:val="000000"/>
                    </w:rPr>
                    <w:t>6</w:t>
                  </w:r>
                </w:p>
              </w:tc>
              <w:tc>
                <w:tcPr>
                  <w:tcW w:w="3239" w:type="dxa"/>
                  <w:vAlign w:val="center"/>
                </w:tcPr>
                <w:p w14:paraId="54919438">
                  <w:pPr>
                    <w:pStyle w:val="65"/>
                    <w:jc w:val="both"/>
                    <w:rPr>
                      <w:rFonts w:ascii="Times New Roman" w:hAnsi="Times New Roman" w:cs="Times New Roman"/>
                      <w:color w:val="000000"/>
                    </w:rPr>
                  </w:pPr>
                  <w:r>
                    <w:rPr>
                      <w:rFonts w:ascii="Times New Roman" w:hAnsi="Times New Roman" w:cs="Times New Roman"/>
                      <w:color w:val="000000"/>
                    </w:rPr>
                    <w:t>大气环境影响减缓措施：</w:t>
                  </w:r>
                </w:p>
                <w:p w14:paraId="6FEFFA17">
                  <w:pPr>
                    <w:pStyle w:val="65"/>
                    <w:jc w:val="both"/>
                    <w:rPr>
                      <w:rFonts w:ascii="Times New Roman" w:hAnsi="Times New Roman" w:cs="Times New Roman"/>
                      <w:color w:val="000000"/>
                    </w:rPr>
                  </w:pPr>
                  <w:r>
                    <w:rPr>
                      <w:rFonts w:ascii="Times New Roman" w:hAnsi="Times New Roman" w:cs="Times New Roman"/>
                      <w:color w:val="000000"/>
                    </w:rPr>
                    <w:t>实行全过程管控，实施</w:t>
                  </w:r>
                  <w:r>
                    <w:rPr>
                      <w:rFonts w:ascii="Times New Roman" w:hAnsi="Times New Roman" w:cs="Times New Roman"/>
                      <w:b/>
                      <w:bCs/>
                      <w:color w:val="000000"/>
                    </w:rPr>
                    <w:t>VOCs</w:t>
                  </w:r>
                  <w:r>
                    <w:rPr>
                      <w:rFonts w:ascii="Times New Roman" w:hAnsi="Times New Roman" w:cs="Times New Roman"/>
                      <w:color w:val="000000"/>
                    </w:rPr>
                    <w:t>深度减排治理行动</w:t>
                  </w:r>
                </w:p>
                <w:p w14:paraId="645A24B6">
                  <w:pPr>
                    <w:pStyle w:val="65"/>
                    <w:jc w:val="both"/>
                    <w:rPr>
                      <w:rFonts w:ascii="Times New Roman" w:hAnsi="Times New Roman" w:cs="Times New Roman"/>
                      <w:color w:val="000000"/>
                    </w:rPr>
                  </w:pPr>
                  <w:r>
                    <w:rPr>
                      <w:rFonts w:ascii="Times New Roman" w:hAnsi="Times New Roman" w:cs="Times New Roman"/>
                      <w:color w:val="000000"/>
                    </w:rPr>
                    <w:t>鼓励采用先进的清洁生产技术，实现煤炭高效、清洁转化，并重点识别、排查工艺装置和管线组件中VOCs泄漏的易发位置，制定预防VOCs泄漏和处置紧急事件的措施。</w:t>
                  </w:r>
                </w:p>
                <w:p w14:paraId="713F4ABB">
                  <w:pPr>
                    <w:pStyle w:val="65"/>
                    <w:jc w:val="both"/>
                    <w:rPr>
                      <w:rFonts w:ascii="Times New Roman" w:hAnsi="Times New Roman" w:cs="Times New Roman"/>
                      <w:color w:val="000000"/>
                    </w:rPr>
                  </w:pPr>
                  <w:r>
                    <w:rPr>
                      <w:rFonts w:ascii="Times New Roman" w:hAnsi="Times New Roman" w:cs="Times New Roman"/>
                      <w:color w:val="000000"/>
                    </w:rPr>
                    <w:t>相关企业需落实把挥发性有机物污染控制作为入园建设项目</w:t>
                  </w:r>
                  <w:r>
                    <w:rPr>
                      <w:rFonts w:hint="eastAsia" w:ascii="Times New Roman" w:hAnsi="Times New Roman" w:cs="Times New Roman"/>
                      <w:color w:val="000000"/>
                    </w:rPr>
                    <w:t>生态</w:t>
                  </w:r>
                  <w:r>
                    <w:rPr>
                      <w:rFonts w:ascii="Times New Roman" w:hAnsi="Times New Roman" w:cs="Times New Roman"/>
                      <w:color w:val="000000"/>
                    </w:rPr>
                    <w:t>环境影响评价的重要内容，从以下几个方面进行挥发性有机物控制。产业园涉及挥发性有机物（VOCs）的新、改（扩）建企业厂区内VOCs无组织排放监控点浓度执行《挥发性有机物无组织排放控制标准》（GB37822-2019）附录A“厂区内VOC</w:t>
                  </w:r>
                  <w:r>
                    <w:rPr>
                      <w:rFonts w:ascii="Times New Roman" w:hAnsi="Times New Roman" w:cs="Times New Roman"/>
                      <w:color w:val="000000"/>
                      <w:vertAlign w:val="subscript"/>
                    </w:rPr>
                    <w:t>S</w:t>
                  </w:r>
                  <w:r>
                    <w:rPr>
                      <w:rFonts w:ascii="Times New Roman" w:hAnsi="Times New Roman" w:cs="Times New Roman"/>
                      <w:color w:val="000000"/>
                    </w:rPr>
                    <w:t>无组织排放监控要求”的特别排放限值要求。</w:t>
                  </w:r>
                </w:p>
                <w:p w14:paraId="2422E85D">
                  <w:pPr>
                    <w:pStyle w:val="65"/>
                    <w:jc w:val="both"/>
                    <w:rPr>
                      <w:rFonts w:ascii="Times New Roman" w:hAnsi="Times New Roman" w:cs="Times New Roman"/>
                      <w:color w:val="000000"/>
                    </w:rPr>
                  </w:pPr>
                  <w:r>
                    <w:rPr>
                      <w:rFonts w:ascii="Times New Roman" w:hAnsi="Times New Roman" w:cs="Times New Roman"/>
                      <w:color w:val="000000"/>
                    </w:rPr>
                    <w:t>（1）大力推进源头控制：产业园内企业要推广使用低（无）VOCs含量、低反应活性的原辅材料，从源头减少VOCs产生。</w:t>
                  </w:r>
                </w:p>
                <w:p w14:paraId="6A38F825">
                  <w:pPr>
                    <w:pStyle w:val="65"/>
                    <w:jc w:val="both"/>
                    <w:rPr>
                      <w:rFonts w:ascii="Times New Roman" w:hAnsi="Times New Roman" w:cs="Times New Roman"/>
                      <w:color w:val="000000"/>
                    </w:rPr>
                  </w:pPr>
                  <w:r>
                    <w:rPr>
                      <w:rFonts w:ascii="Times New Roman" w:hAnsi="Times New Roman" w:cs="Times New Roman"/>
                      <w:color w:val="000000"/>
                    </w:rPr>
                    <w:t>（2）全面加强无组织排放控制：产业园内企业应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w:t>
                  </w:r>
                </w:p>
                <w:p w14:paraId="2694A4C5">
                  <w:pPr>
                    <w:pStyle w:val="65"/>
                    <w:jc w:val="both"/>
                    <w:rPr>
                      <w:rFonts w:ascii="Times New Roman" w:hAnsi="Times New Roman" w:cs="Times New Roman"/>
                      <w:color w:val="000000"/>
                    </w:rPr>
                  </w:pPr>
                  <w:r>
                    <w:rPr>
                      <w:rFonts w:ascii="Times New Roman" w:hAnsi="Times New Roman" w:cs="Times New Roman"/>
                      <w:color w:val="000000"/>
                    </w:rPr>
                    <w:t>（3）合理选择治理措施：企业新建治污设施，应依据排放废气的浓度、组分、风量，温度、湿度、压力，以及生产工况等，合理选择治理技术。鼓励企业采用多种技术的组合工艺，提高VOCs治理效率。</w:t>
                  </w:r>
                </w:p>
                <w:p w14:paraId="2F81E0AD">
                  <w:pPr>
                    <w:pStyle w:val="65"/>
                    <w:jc w:val="both"/>
                    <w:rPr>
                      <w:rFonts w:ascii="Times New Roman" w:hAnsi="Times New Roman" w:cs="Times New Roman"/>
                      <w:color w:val="000000"/>
                    </w:rPr>
                  </w:pPr>
                  <w:r>
                    <w:rPr>
                      <w:rFonts w:ascii="Times New Roman" w:hAnsi="Times New Roman" w:cs="Times New Roman"/>
                      <w:color w:val="000000"/>
                    </w:rPr>
                    <w:t>（4）实施精细化管控措施：实施“一企一策”制度，企业应编制切实可行的污染治理方案，明确原辅材料替代、工艺改进、无组织排放管控、废气收集、治污设施建设等全过程减排要求。企业应加强运行管理，系统梳理VOCs排放主要环节和工序，包括启停机、检维修作业等，制定具体操作规程，落实到具体责任人。健全内部考核制度。</w:t>
                  </w:r>
                </w:p>
                <w:p w14:paraId="24950EC9">
                  <w:pPr>
                    <w:pStyle w:val="65"/>
                    <w:jc w:val="both"/>
                    <w:rPr>
                      <w:rFonts w:ascii="Times New Roman" w:hAnsi="Times New Roman" w:cs="Times New Roman"/>
                      <w:color w:val="000000"/>
                    </w:rPr>
                  </w:pPr>
                  <w:r>
                    <w:rPr>
                      <w:rFonts w:ascii="Times New Roman" w:hAnsi="Times New Roman" w:cs="Times New Roman"/>
                      <w:color w:val="000000"/>
                    </w:rPr>
                    <w:t>加强人员能力培训和技术交流。建立管理台账，记录企业生产和治污设施运行的关键参数，在线监控参数要确保能够实时调取，相关台账记录至少保存三年。</w:t>
                  </w:r>
                </w:p>
              </w:tc>
              <w:tc>
                <w:tcPr>
                  <w:tcW w:w="1903" w:type="dxa"/>
                  <w:vAlign w:val="center"/>
                </w:tcPr>
                <w:p w14:paraId="056508DE">
                  <w:pPr>
                    <w:pStyle w:val="65"/>
                    <w:jc w:val="both"/>
                    <w:rPr>
                      <w:rFonts w:ascii="Times New Roman" w:hAnsi="Times New Roman" w:cs="Times New Roman"/>
                      <w:color w:val="000000"/>
                    </w:rPr>
                  </w:pPr>
                  <w:r>
                    <w:rPr>
                      <w:rFonts w:ascii="Times New Roman" w:hAnsi="Times New Roman" w:cs="Times New Roman"/>
                      <w:color w:val="000000"/>
                    </w:rPr>
                    <w:t>（1）本项目原辅料均符合国家相关质量标准。</w:t>
                  </w:r>
                </w:p>
                <w:p w14:paraId="1011E9F1">
                  <w:pPr>
                    <w:pStyle w:val="65"/>
                    <w:jc w:val="both"/>
                    <w:rPr>
                      <w:rFonts w:ascii="Times New Roman" w:hAnsi="Times New Roman" w:cs="Times New Roman"/>
                      <w:color w:val="000000"/>
                    </w:rPr>
                  </w:pPr>
                  <w:r>
                    <w:rPr>
                      <w:rFonts w:ascii="Times New Roman" w:hAnsi="Times New Roman" w:cs="Times New Roman"/>
                      <w:color w:val="000000"/>
                    </w:rPr>
                    <w:t>（2）</w:t>
                  </w:r>
                  <w:r>
                    <w:rPr>
                      <w:rFonts w:ascii="Times New Roman" w:hAnsi="Times New Roman" w:cs="Times New Roman"/>
                      <w:kern w:val="0"/>
                    </w:rPr>
                    <w:t>项目各储罐密闭，均为内浮顶罐，储罐均采取氮封措施，呼吸阀收集的废气采用油气回收系统（冷凝+活性炭吸附）处理措施，处理后废气经1根15m排气筒排放。</w:t>
                  </w:r>
                </w:p>
                <w:p w14:paraId="1A488C5C">
                  <w:pPr>
                    <w:pStyle w:val="65"/>
                    <w:jc w:val="both"/>
                    <w:rPr>
                      <w:rFonts w:ascii="Times New Roman" w:hAnsi="Times New Roman" w:cs="Times New Roman"/>
                      <w:color w:val="000000"/>
                    </w:rPr>
                  </w:pPr>
                  <w:r>
                    <w:rPr>
                      <w:rFonts w:ascii="Times New Roman" w:hAnsi="Times New Roman" w:cs="Times New Roman"/>
                      <w:color w:val="000000"/>
                    </w:rPr>
                    <w:t>（3）本项目废气治理依托一期项目油气回收装置，该装置在设计阶段已充分考虑了罐区排放气和装卸车排放气的废气特性，运行工况稳定，技术路线成熟可靠。</w:t>
                  </w:r>
                </w:p>
                <w:p w14:paraId="6C3D55AC">
                  <w:pPr>
                    <w:pStyle w:val="65"/>
                    <w:jc w:val="both"/>
                    <w:rPr>
                      <w:rFonts w:ascii="Times New Roman" w:hAnsi="Times New Roman" w:cs="Times New Roman"/>
                      <w:color w:val="000000"/>
                    </w:rPr>
                  </w:pPr>
                  <w:r>
                    <w:rPr>
                      <w:rFonts w:ascii="Times New Roman" w:hAnsi="Times New Roman" w:cs="Times New Roman"/>
                      <w:color w:val="000000"/>
                    </w:rPr>
                    <w:t>（4）项目投产后应开展环境管理台账记录和排污许可证执行报告的编制。</w:t>
                  </w:r>
                </w:p>
              </w:tc>
              <w:tc>
                <w:tcPr>
                  <w:tcW w:w="637" w:type="dxa"/>
                  <w:vAlign w:val="center"/>
                </w:tcPr>
                <w:p w14:paraId="080CA6CB">
                  <w:pPr>
                    <w:pStyle w:val="65"/>
                    <w:rPr>
                      <w:rFonts w:ascii="Times New Roman" w:hAnsi="Times New Roman" w:cs="Times New Roman"/>
                      <w:color w:val="000000"/>
                    </w:rPr>
                  </w:pPr>
                  <w:r>
                    <w:rPr>
                      <w:rFonts w:ascii="Times New Roman" w:hAnsi="Times New Roman" w:cs="Times New Roman"/>
                      <w:color w:val="000000"/>
                    </w:rPr>
                    <w:t>符合</w:t>
                  </w:r>
                </w:p>
              </w:tc>
            </w:tr>
            <w:bookmarkEnd w:id="2"/>
          </w:tbl>
          <w:p w14:paraId="5ECA8404">
            <w:pPr>
              <w:adjustRightInd w:val="0"/>
              <w:snapToGrid w:val="0"/>
              <w:ind w:firstLine="482" w:firstLineChars="200"/>
              <w:jc w:val="center"/>
              <w:rPr>
                <w:rFonts w:ascii="Times New Roman" w:hAnsi="Times New Roman" w:cs="Times New Roman"/>
                <w:b/>
                <w:color w:val="000000"/>
              </w:rPr>
            </w:pPr>
          </w:p>
          <w:p w14:paraId="3290FB8C">
            <w:pPr>
              <w:pStyle w:val="42"/>
              <w:ind w:firstLine="0" w:firstLineChars="0"/>
              <w:rPr>
                <w:b/>
                <w:bCs/>
                <w:color w:val="000000"/>
              </w:rPr>
            </w:pPr>
            <w:r>
              <w:rPr>
                <w:b/>
                <w:bCs/>
                <w:color w:val="000000"/>
              </w:rPr>
              <w:t>3、与《吉木萨尔北庭工业园区国土空间专项规划（2025-2035年）环境影响报告书》审查意见的符合性分析</w:t>
            </w:r>
          </w:p>
          <w:p w14:paraId="7F0EEC2B">
            <w:pPr>
              <w:pStyle w:val="42"/>
              <w:ind w:firstLine="422"/>
              <w:jc w:val="center"/>
              <w:rPr>
                <w:b/>
                <w:bCs/>
              </w:rPr>
            </w:pPr>
            <w:r>
              <w:rPr>
                <w:b/>
                <w:bCs/>
                <w:color w:val="000000"/>
                <w:sz w:val="21"/>
                <w:szCs w:val="18"/>
              </w:rPr>
              <w:t>表1-3  与《吉木萨尔北庭工业园区国土空间专项规划（2025-2035年）环境影响报告书》审查意见的符合性分析</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3"/>
              <w:gridCol w:w="3260"/>
              <w:gridCol w:w="1985"/>
              <w:gridCol w:w="618"/>
            </w:tblGrid>
            <w:tr w14:paraId="1C7C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tcPr>
                <w:p w14:paraId="7A87244E">
                  <w:pPr>
                    <w:pStyle w:val="42"/>
                    <w:ind w:firstLine="0" w:firstLineChars="0"/>
                    <w:rPr>
                      <w:color w:val="000000"/>
                    </w:rPr>
                  </w:pPr>
                  <w:r>
                    <w:rPr>
                      <w:color w:val="000000"/>
                    </w:rPr>
                    <w:t>序号</w:t>
                  </w:r>
                </w:p>
              </w:tc>
              <w:tc>
                <w:tcPr>
                  <w:tcW w:w="3260" w:type="dxa"/>
                  <w:vAlign w:val="center"/>
                </w:tcPr>
                <w:p w14:paraId="2D88B9C0">
                  <w:pPr>
                    <w:pStyle w:val="42"/>
                    <w:ind w:firstLine="0" w:firstLineChars="0"/>
                    <w:rPr>
                      <w:color w:val="000000"/>
                    </w:rPr>
                  </w:pPr>
                  <w:r>
                    <w:rPr>
                      <w:color w:val="000000"/>
                    </w:rPr>
                    <w:t>审查意见相关要求</w:t>
                  </w:r>
                </w:p>
              </w:tc>
              <w:tc>
                <w:tcPr>
                  <w:tcW w:w="1985" w:type="dxa"/>
                  <w:vAlign w:val="center"/>
                </w:tcPr>
                <w:p w14:paraId="714AC680">
                  <w:pPr>
                    <w:pStyle w:val="42"/>
                    <w:ind w:firstLine="0" w:firstLineChars="0"/>
                    <w:rPr>
                      <w:color w:val="000000"/>
                    </w:rPr>
                  </w:pPr>
                  <w:r>
                    <w:rPr>
                      <w:color w:val="000000"/>
                    </w:rPr>
                    <w:t>本项目情况</w:t>
                  </w:r>
                </w:p>
              </w:tc>
              <w:tc>
                <w:tcPr>
                  <w:tcW w:w="618" w:type="dxa"/>
                </w:tcPr>
                <w:p w14:paraId="5CAE0ED7">
                  <w:pPr>
                    <w:pStyle w:val="42"/>
                    <w:ind w:firstLine="0" w:firstLineChars="0"/>
                    <w:rPr>
                      <w:color w:val="000000"/>
                    </w:rPr>
                  </w:pPr>
                  <w:r>
                    <w:rPr>
                      <w:color w:val="000000"/>
                    </w:rPr>
                    <w:t>符合性</w:t>
                  </w:r>
                </w:p>
              </w:tc>
            </w:tr>
            <w:tr w14:paraId="2877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tcPr>
                <w:p w14:paraId="6329342B">
                  <w:pPr>
                    <w:pStyle w:val="42"/>
                    <w:ind w:firstLine="0" w:firstLineChars="0"/>
                    <w:rPr>
                      <w:color w:val="000000"/>
                    </w:rPr>
                  </w:pPr>
                  <w:r>
                    <w:rPr>
                      <w:color w:val="000000"/>
                    </w:rPr>
                    <w:t>1</w:t>
                  </w:r>
                </w:p>
              </w:tc>
              <w:tc>
                <w:tcPr>
                  <w:tcW w:w="3260" w:type="dxa"/>
                </w:tcPr>
                <w:p w14:paraId="3EC34963">
                  <w:pPr>
                    <w:pStyle w:val="65"/>
                    <w:jc w:val="both"/>
                    <w:rPr>
                      <w:rFonts w:ascii="Times New Roman" w:hAnsi="Times New Roman" w:cs="Times New Roman"/>
                      <w:color w:val="000000"/>
                    </w:rPr>
                  </w:pPr>
                  <w:r>
                    <w:rPr>
                      <w:rFonts w:ascii="Times New Roman" w:hAnsi="Times New Roman" w:cs="Times New Roman"/>
                      <w:color w:val="000000"/>
                    </w:rPr>
                    <w:t>吉木萨尔北庭工业园区（以下简称园区）按照“一园三区”模式布局，包括综合产业区、化工产业区、资源循环利用与铸造产业区。规划期限2025-2035年，其中近期2025-2030年，远期2031-2035年。园区规划近期面积13.78平方千米，远期面积48.29平方千米，重点发展石油、煤炭及燃料加工业、金属制品业（装备制造业）、废弃资源综合利用业三大主导产业，以及化学原料和化学制品制造业、化学纤维制造业、新能源和新材料产业、农副食品加工和食品制造业等配套产业。</w:t>
                  </w:r>
                </w:p>
              </w:tc>
              <w:tc>
                <w:tcPr>
                  <w:tcW w:w="1985" w:type="dxa"/>
                </w:tcPr>
                <w:p w14:paraId="64E326CA">
                  <w:pPr>
                    <w:pStyle w:val="65"/>
                    <w:jc w:val="both"/>
                    <w:rPr>
                      <w:rFonts w:ascii="Times New Roman" w:hAnsi="Times New Roman" w:cs="Times New Roman"/>
                      <w:color w:val="000000"/>
                    </w:rPr>
                  </w:pPr>
                  <w:r>
                    <w:rPr>
                      <w:rFonts w:ascii="Times New Roman" w:hAnsi="Times New Roman" w:cs="Times New Roman"/>
                      <w:color w:val="000000"/>
                    </w:rPr>
                    <w:t>本项目位于化工产业区；本项目为柴油调和及汽油调和，属于化工项目；处于规划近期。</w:t>
                  </w:r>
                </w:p>
              </w:tc>
              <w:tc>
                <w:tcPr>
                  <w:tcW w:w="618" w:type="dxa"/>
                </w:tcPr>
                <w:p w14:paraId="79540CB0">
                  <w:pPr>
                    <w:pStyle w:val="65"/>
                    <w:jc w:val="both"/>
                    <w:rPr>
                      <w:rFonts w:ascii="Times New Roman" w:hAnsi="Times New Roman" w:cs="Times New Roman"/>
                      <w:color w:val="000000"/>
                    </w:rPr>
                  </w:pPr>
                  <w:r>
                    <w:rPr>
                      <w:rFonts w:ascii="Times New Roman" w:hAnsi="Times New Roman" w:cs="Times New Roman"/>
                      <w:color w:val="000000"/>
                    </w:rPr>
                    <w:t>符合</w:t>
                  </w:r>
                </w:p>
              </w:tc>
            </w:tr>
            <w:tr w14:paraId="640C8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tcPr>
                <w:p w14:paraId="14E99DDC">
                  <w:pPr>
                    <w:pStyle w:val="42"/>
                    <w:ind w:firstLine="0" w:firstLineChars="0"/>
                    <w:rPr>
                      <w:color w:val="000000"/>
                    </w:rPr>
                  </w:pPr>
                  <w:r>
                    <w:rPr>
                      <w:color w:val="000000"/>
                    </w:rPr>
                    <w:t>2</w:t>
                  </w:r>
                </w:p>
              </w:tc>
              <w:tc>
                <w:tcPr>
                  <w:tcW w:w="3260" w:type="dxa"/>
                </w:tcPr>
                <w:p w14:paraId="6159BA9D">
                  <w:pPr>
                    <w:pStyle w:val="65"/>
                    <w:jc w:val="both"/>
                    <w:rPr>
                      <w:rFonts w:ascii="Times New Roman" w:hAnsi="Times New Roman" w:cs="Times New Roman"/>
                      <w:color w:val="000000"/>
                    </w:rPr>
                  </w:pPr>
                  <w:r>
                    <w:rPr>
                      <w:rFonts w:ascii="Times New Roman" w:hAnsi="Times New Roman" w:cs="Times New Roman"/>
                      <w:color w:val="000000"/>
                    </w:rPr>
                    <w:t>园区所在区域属于“阜康—木垒绿洲农业、荒漠草地保护生态功能区”，生态环境较为敏感，存在地下水超采、荒漠植被退化、土地沙化威胁等主要生态环境问题。区域环境空气质量为不达标区，可吸入颗粒物和细颗粒物日均浓度超标。大气环境容量（尤其是细颗粒物）、水资源承载能力、土地资源集约利用及周边环境敏感目标保护是园区发展的主要限制性因素。</w:t>
                  </w:r>
                </w:p>
                <w:p w14:paraId="4A5913FE">
                  <w:pPr>
                    <w:pStyle w:val="65"/>
                    <w:jc w:val="both"/>
                    <w:rPr>
                      <w:rFonts w:ascii="Times New Roman" w:hAnsi="Times New Roman" w:cs="Times New Roman"/>
                      <w:color w:val="000000"/>
                    </w:rPr>
                  </w:pPr>
                  <w:r>
                    <w:rPr>
                      <w:rFonts w:ascii="Times New Roman" w:hAnsi="Times New Roman" w:cs="Times New Roman"/>
                      <w:color w:val="000000"/>
                    </w:rPr>
                    <w:t>你单位应根据《报告书》及其审查意见，严格落实各项污染防治措施，采用先进的工艺装备技术，深入挖掘污染物减排潜力，实施最严格的环境风险防范措施、环境管理制度和环境监控计划，有效预防和减缓规划实施可能带来的不利环境影响。</w:t>
                  </w:r>
                </w:p>
                <w:p w14:paraId="5660D3E2">
                  <w:pPr>
                    <w:pStyle w:val="42"/>
                    <w:ind w:firstLine="0" w:firstLineChars="0"/>
                    <w:rPr>
                      <w:color w:val="000000"/>
                    </w:rPr>
                  </w:pPr>
                </w:p>
              </w:tc>
              <w:tc>
                <w:tcPr>
                  <w:tcW w:w="1985" w:type="dxa"/>
                  <w:vAlign w:val="center"/>
                </w:tcPr>
                <w:p w14:paraId="5BAD726C">
                  <w:pPr>
                    <w:pStyle w:val="65"/>
                    <w:jc w:val="both"/>
                    <w:rPr>
                      <w:rFonts w:ascii="Times New Roman" w:hAnsi="Times New Roman" w:cs="Times New Roman"/>
                      <w:color w:val="000000"/>
                    </w:rPr>
                  </w:pPr>
                  <w:r>
                    <w:rPr>
                      <w:rFonts w:ascii="Times New Roman" w:hAnsi="Times New Roman" w:cs="Times New Roman"/>
                      <w:color w:val="000000"/>
                    </w:rPr>
                    <w:t>（1）项目各储罐密闭，均为内浮顶罐，储罐均采取氮封措施，呼吸阀收集的废气采用油气回收系统（冷凝+活性炭吸附）处理，并严格按照行业污染物排放限值的要求规范排放，从源头减少VOCs产生。</w:t>
                  </w:r>
                </w:p>
                <w:p w14:paraId="280B739A">
                  <w:pPr>
                    <w:pStyle w:val="65"/>
                    <w:jc w:val="both"/>
                    <w:rPr>
                      <w:rFonts w:ascii="Times New Roman" w:hAnsi="Times New Roman" w:cs="Times New Roman"/>
                      <w:color w:val="000000"/>
                    </w:rPr>
                  </w:pPr>
                  <w:r>
                    <w:rPr>
                      <w:rFonts w:ascii="Times New Roman" w:hAnsi="Times New Roman" w:cs="Times New Roman"/>
                      <w:color w:val="000000"/>
                    </w:rPr>
                    <w:t>（2）本项目加强对装置设备的维护保养，保证装置上所有的储罐严密不漏；对规划区内装运车辆行驶限速，防止沿途有物料洒落，影响环境整洁；保持装卸场地干净清洁，对运输过程中洒落在路面上的物料要及时清扫，以减少运行过程中的扬尘。</w:t>
                  </w:r>
                </w:p>
                <w:p w14:paraId="5A5E90AB">
                  <w:pPr>
                    <w:pStyle w:val="65"/>
                    <w:jc w:val="both"/>
                    <w:rPr>
                      <w:rFonts w:ascii="Times New Roman" w:hAnsi="Times New Roman" w:cs="Times New Roman"/>
                      <w:color w:val="000000"/>
                    </w:rPr>
                  </w:pPr>
                </w:p>
              </w:tc>
              <w:tc>
                <w:tcPr>
                  <w:tcW w:w="618" w:type="dxa"/>
                </w:tcPr>
                <w:p w14:paraId="78E0D306">
                  <w:pPr>
                    <w:pStyle w:val="42"/>
                    <w:ind w:firstLine="0" w:firstLineChars="0"/>
                    <w:rPr>
                      <w:color w:val="000000"/>
                    </w:rPr>
                  </w:pPr>
                </w:p>
              </w:tc>
            </w:tr>
            <w:tr w14:paraId="2644F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tcPr>
                <w:p w14:paraId="4F3FC9DE">
                  <w:pPr>
                    <w:pStyle w:val="42"/>
                    <w:ind w:firstLine="0" w:firstLineChars="0"/>
                    <w:rPr>
                      <w:color w:val="000000"/>
                    </w:rPr>
                  </w:pPr>
                  <w:r>
                    <w:rPr>
                      <w:color w:val="000000"/>
                    </w:rPr>
                    <w:t>3</w:t>
                  </w:r>
                </w:p>
              </w:tc>
              <w:tc>
                <w:tcPr>
                  <w:tcW w:w="3260" w:type="dxa"/>
                </w:tcPr>
                <w:p w14:paraId="5D3025CF">
                  <w:pPr>
                    <w:pStyle w:val="65"/>
                    <w:jc w:val="both"/>
                    <w:rPr>
                      <w:rFonts w:ascii="Times New Roman" w:hAnsi="Times New Roman" w:cs="Times New Roman"/>
                      <w:color w:val="000000"/>
                    </w:rPr>
                  </w:pPr>
                  <w:r>
                    <w:rPr>
                      <w:rFonts w:ascii="Times New Roman" w:hAnsi="Times New Roman" w:cs="Times New Roman"/>
                      <w:color w:val="000000"/>
                    </w:rPr>
                    <w:t>《报告书》指出，园区存在以下主要环境问题：环境管理不健全，未按要求开展地下水、土壤等例行监测；部分企业存在“未批先建”“未验先投”“无证排污”等环境违法行为；基础设施不完善，未配套建设集中供热设施，中水回用工程未建成投运。近期规划范围外存在1.83平方千米建设用地（企业14家）未纳入城镇开发边界。</w:t>
                  </w:r>
                </w:p>
                <w:p w14:paraId="1B276013">
                  <w:pPr>
                    <w:pStyle w:val="65"/>
                    <w:jc w:val="both"/>
                    <w:rPr>
                      <w:rFonts w:ascii="Times New Roman" w:hAnsi="Times New Roman" w:cs="Times New Roman"/>
                      <w:color w:val="000000"/>
                    </w:rPr>
                  </w:pPr>
                  <w:r>
                    <w:rPr>
                      <w:rFonts w:ascii="Times New Roman" w:hAnsi="Times New Roman" w:cs="Times New Roman"/>
                      <w:color w:val="000000"/>
                    </w:rPr>
                    <w:t>对上述问题，你单位应严格按照《地方党政领导干部生态环境保护责任制规定（试行）》，认真贯彻执行《中华人民共和国环境保护法》《中华人民共和国环境影响评价法》《新疆维吾尔自治区环境保护条例》等法律法规及相关要求，切实落实产业园区管理主体责任，高度重视园区存在的问题，制定并落实整改措施，控制规划实施对生态环境的影响。</w:t>
                  </w:r>
                </w:p>
                <w:p w14:paraId="509D85A1">
                  <w:pPr>
                    <w:pStyle w:val="65"/>
                    <w:jc w:val="both"/>
                    <w:rPr>
                      <w:rFonts w:ascii="Times New Roman" w:hAnsi="Times New Roman" w:cs="Times New Roman"/>
                      <w:color w:val="000000"/>
                    </w:rPr>
                  </w:pPr>
                  <w:r>
                    <w:rPr>
                      <w:rFonts w:ascii="Times New Roman" w:hAnsi="Times New Roman" w:cs="Times New Roman"/>
                      <w:color w:val="000000"/>
                    </w:rPr>
                    <w:t>（一）建立健全常态化的地下水、土壤、大气等环境监测网络，制定并落实例行监测计划，重点加强化工产业区周边及下风向敏感目标的土壤和地下水监测。</w:t>
                  </w:r>
                </w:p>
                <w:p w14:paraId="461C4B54">
                  <w:pPr>
                    <w:pStyle w:val="65"/>
                    <w:jc w:val="both"/>
                    <w:rPr>
                      <w:rFonts w:ascii="Times New Roman" w:hAnsi="Times New Roman" w:cs="Times New Roman"/>
                      <w:color w:val="000000"/>
                    </w:rPr>
                  </w:pPr>
                  <w:r>
                    <w:rPr>
                      <w:rFonts w:ascii="Times New Roman" w:hAnsi="Times New Roman" w:cs="Times New Roman"/>
                      <w:color w:val="000000"/>
                    </w:rPr>
                    <w:t>（二）对“未批先建”“未验先投”“无证排污”等环境违法行为，依法处罚并限期整改。</w:t>
                  </w:r>
                </w:p>
                <w:p w14:paraId="4682A730">
                  <w:pPr>
                    <w:pStyle w:val="65"/>
                    <w:jc w:val="both"/>
                    <w:rPr>
                      <w:rFonts w:ascii="Times New Roman" w:hAnsi="Times New Roman" w:cs="Times New Roman"/>
                      <w:color w:val="000000"/>
                    </w:rPr>
                  </w:pPr>
                  <w:r>
                    <w:rPr>
                      <w:rFonts w:ascii="Times New Roman" w:hAnsi="Times New Roman" w:cs="Times New Roman"/>
                      <w:color w:val="000000"/>
                    </w:rPr>
                    <w:t>（三）加快推进园区集中供热、中水回用工程的建设及运行。</w:t>
                  </w:r>
                </w:p>
                <w:p w14:paraId="1D54B5D4">
                  <w:pPr>
                    <w:pStyle w:val="65"/>
                    <w:jc w:val="both"/>
                    <w:rPr>
                      <w:rFonts w:ascii="Times New Roman" w:hAnsi="Times New Roman" w:cs="Times New Roman"/>
                      <w:color w:val="000000"/>
                    </w:rPr>
                  </w:pPr>
                  <w:r>
                    <w:rPr>
                      <w:rFonts w:ascii="Times New Roman" w:hAnsi="Times New Roman" w:cs="Times New Roman"/>
                      <w:color w:val="000000"/>
                    </w:rPr>
                    <w:t>（四）园区范围外未纳入城镇开发边界的1.83平方千米土地，尽快按程序纳入城镇开发边界。</w:t>
                  </w:r>
                </w:p>
                <w:p w14:paraId="55D0543D">
                  <w:pPr>
                    <w:pStyle w:val="65"/>
                    <w:jc w:val="both"/>
                    <w:rPr>
                      <w:rFonts w:ascii="Times New Roman" w:hAnsi="Times New Roman" w:cs="Times New Roman"/>
                      <w:color w:val="000000"/>
                    </w:rPr>
                  </w:pPr>
                </w:p>
              </w:tc>
              <w:tc>
                <w:tcPr>
                  <w:tcW w:w="1985" w:type="dxa"/>
                </w:tcPr>
                <w:p w14:paraId="343C9A47">
                  <w:pPr>
                    <w:pStyle w:val="65"/>
                    <w:jc w:val="both"/>
                    <w:rPr>
                      <w:rFonts w:ascii="Times New Roman" w:hAnsi="Times New Roman" w:cs="Times New Roman"/>
                      <w:color w:val="000000"/>
                    </w:rPr>
                  </w:pPr>
                  <w:r>
                    <w:rPr>
                      <w:rFonts w:ascii="Times New Roman" w:hAnsi="Times New Roman" w:cs="Times New Roman"/>
                      <w:color w:val="000000"/>
                    </w:rPr>
                    <w:t>（1）项目建成后，将严格落实各项监测要求，按规范保存监测数据并定期上报，可有效支撑园区环境监测网络建设，满足化工产业区周边环境敏感目标的监测管控需求。</w:t>
                  </w:r>
                </w:p>
                <w:p w14:paraId="13F761C6">
                  <w:pPr>
                    <w:pStyle w:val="65"/>
                    <w:jc w:val="both"/>
                    <w:rPr>
                      <w:rFonts w:ascii="Times New Roman" w:hAnsi="Times New Roman" w:cs="Times New Roman"/>
                      <w:color w:val="000000"/>
                    </w:rPr>
                  </w:pPr>
                  <w:r>
                    <w:rPr>
                      <w:rFonts w:ascii="Times New Roman" w:hAnsi="Times New Roman" w:cs="Times New Roman"/>
                      <w:color w:val="000000"/>
                    </w:rPr>
                    <w:t>（2）本项目依法履行环评审批程序，不存在未批先建、未验先投。</w:t>
                  </w:r>
                </w:p>
                <w:p w14:paraId="146EA374">
                  <w:pPr>
                    <w:pStyle w:val="65"/>
                    <w:jc w:val="both"/>
                    <w:rPr>
                      <w:rFonts w:ascii="Times New Roman" w:hAnsi="Times New Roman" w:cs="Times New Roman"/>
                      <w:color w:val="000000"/>
                    </w:rPr>
                  </w:pPr>
                  <w:r>
                    <w:rPr>
                      <w:rFonts w:ascii="Times New Roman" w:hAnsi="Times New Roman" w:cs="Times New Roman"/>
                      <w:color w:val="000000"/>
                    </w:rPr>
                    <w:t>（3）本项目不涉及园区供热、中水回用等。</w:t>
                  </w:r>
                </w:p>
                <w:p w14:paraId="7381474B">
                  <w:pPr>
                    <w:pStyle w:val="65"/>
                    <w:jc w:val="both"/>
                    <w:rPr>
                      <w:rFonts w:ascii="Times New Roman" w:hAnsi="Times New Roman" w:cs="Times New Roman"/>
                      <w:color w:val="000000"/>
                    </w:rPr>
                  </w:pPr>
                  <w:r>
                    <w:rPr>
                      <w:rFonts w:ascii="Times New Roman" w:hAnsi="Times New Roman" w:cs="Times New Roman"/>
                      <w:color w:val="000000"/>
                    </w:rPr>
                    <w:t>（4）本项目位于龙都石油化工厂区内，属于城镇开发边界内。</w:t>
                  </w:r>
                </w:p>
              </w:tc>
              <w:tc>
                <w:tcPr>
                  <w:tcW w:w="618" w:type="dxa"/>
                </w:tcPr>
                <w:p w14:paraId="41990441">
                  <w:pPr>
                    <w:pStyle w:val="42"/>
                    <w:ind w:firstLine="0" w:firstLineChars="0"/>
                    <w:rPr>
                      <w:color w:val="000000"/>
                    </w:rPr>
                  </w:pPr>
                </w:p>
              </w:tc>
            </w:tr>
            <w:tr w14:paraId="0E3C7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tcPr>
                <w:p w14:paraId="3FA1CC29">
                  <w:pPr>
                    <w:pStyle w:val="42"/>
                    <w:ind w:firstLine="0" w:firstLineChars="0"/>
                    <w:rPr>
                      <w:color w:val="000000"/>
                    </w:rPr>
                  </w:pPr>
                  <w:r>
                    <w:rPr>
                      <w:color w:val="000000"/>
                    </w:rPr>
                    <w:t>4</w:t>
                  </w:r>
                </w:p>
              </w:tc>
              <w:tc>
                <w:tcPr>
                  <w:tcW w:w="3260" w:type="dxa"/>
                </w:tcPr>
                <w:p w14:paraId="3D221C62">
                  <w:pPr>
                    <w:pStyle w:val="65"/>
                    <w:jc w:val="both"/>
                    <w:rPr>
                      <w:rFonts w:ascii="Times New Roman" w:hAnsi="Times New Roman" w:cs="Times New Roman"/>
                      <w:color w:val="000000"/>
                    </w:rPr>
                  </w:pPr>
                  <w:r>
                    <w:rPr>
                      <w:rFonts w:ascii="Times New Roman" w:hAnsi="Times New Roman" w:cs="Times New Roman"/>
                      <w:color w:val="000000"/>
                    </w:rPr>
                    <w:t>（一）坚持绿色发展，优化产业布局与结构。立足区域生态环境敏感性，严格限制“两高一低”项目发展。化工产业区周边应设置足够的缓冲防护距离，涉重金属排放项目须远离居民区、农田等敏感目标。综合产业区应严格避让吉木萨尔县国家湿地公园，严禁挤占湿地生态用水。严禁新增钢铁、水泥熟料、平板玻璃、电解铝等产能。</w:t>
                  </w:r>
                </w:p>
                <w:p w14:paraId="60A7AD1F">
                  <w:pPr>
                    <w:pStyle w:val="65"/>
                    <w:jc w:val="both"/>
                    <w:rPr>
                      <w:rFonts w:ascii="Times New Roman" w:hAnsi="Times New Roman" w:cs="Times New Roman"/>
                      <w:color w:val="000000"/>
                    </w:rPr>
                  </w:pPr>
                  <w:r>
                    <w:rPr>
                      <w:rFonts w:ascii="Times New Roman" w:hAnsi="Times New Roman" w:cs="Times New Roman"/>
                      <w:color w:val="000000"/>
                    </w:rPr>
                    <w:t>（二）严格入园产业准入，细化生态环境准入清单。入园项目须符合规划产业定位及功能布局，清洁生产水平须达到国内同行业先进水平。制定并动态更新产业发展负面清单，禁止引进不符合产业政策、行业准入条件及自治区明令禁止的项目。精细化工、煤化工等项目须满足《现代煤化工建设项目环境影响评价文件审批原则》等相关要求。</w:t>
                  </w:r>
                </w:p>
                <w:p w14:paraId="1BA97015">
                  <w:pPr>
                    <w:pStyle w:val="65"/>
                    <w:jc w:val="both"/>
                    <w:rPr>
                      <w:rFonts w:ascii="Times New Roman" w:hAnsi="Times New Roman" w:cs="Times New Roman"/>
                      <w:color w:val="000000"/>
                    </w:rPr>
                  </w:pPr>
                  <w:r>
                    <w:rPr>
                      <w:rFonts w:ascii="Times New Roman" w:hAnsi="Times New Roman" w:cs="Times New Roman"/>
                      <w:color w:val="000000"/>
                    </w:rPr>
                    <w:t>（三）严守生态保护红线，加强空间管控。园区规划范围不得占用生态保护红线和永久基本农田。综合产业区南侧边界须与吉木萨尔县国家湿地公园保育区保持足够的安全距离，严格保护湿地生态系统。园区开发应严格控制在城镇开发边界内，提高土地集约利用水平。</w:t>
                  </w:r>
                </w:p>
                <w:p w14:paraId="4E3D85BB">
                  <w:pPr>
                    <w:pStyle w:val="65"/>
                    <w:jc w:val="both"/>
                    <w:rPr>
                      <w:rFonts w:ascii="Times New Roman" w:hAnsi="Times New Roman" w:cs="Times New Roman"/>
                      <w:color w:val="000000"/>
                    </w:rPr>
                  </w:pPr>
                  <w:r>
                    <w:rPr>
                      <w:rFonts w:ascii="Times New Roman" w:hAnsi="Times New Roman" w:cs="Times New Roman"/>
                      <w:color w:val="000000"/>
                    </w:rPr>
                    <w:t>（四）强化污染物总量管控，落实倍量削减。园区所在区域为环境空气质量不达标区，新建、改建、扩建项目须严格落实二氧化硫、氮氧化物、颗粒物、挥发性有机物等主要污染物区域倍量削减替代要求。火电及燃煤供热项目、水泥行业须严格执行超低排放限值。涉重金属行业须落实“等量替代”或“减量替代”原则，确保全面达标排放。</w:t>
                  </w:r>
                </w:p>
                <w:p w14:paraId="2940484D">
                  <w:pPr>
                    <w:pStyle w:val="65"/>
                    <w:jc w:val="both"/>
                    <w:rPr>
                      <w:rFonts w:ascii="Times New Roman" w:hAnsi="Times New Roman" w:cs="Times New Roman"/>
                      <w:color w:val="000000"/>
                    </w:rPr>
                  </w:pPr>
                  <w:r>
                    <w:rPr>
                      <w:rFonts w:ascii="Times New Roman" w:hAnsi="Times New Roman" w:cs="Times New Roman"/>
                      <w:color w:val="000000"/>
                    </w:rPr>
                    <w:t>（五）加快基础设施建设，推进水资源循环利用。尽快建成化工产业区集中供热设施，淘汰现有分散燃煤锅炉。综合产业区按期关停北庭热力现有锅炉。坚持 “以水定产”，严禁开采地下水。加快建设中水回用设施，确保园区生产废水处理后全部回用。化工产业区高盐废水须采用有效处理工艺，严禁建设晾晒池、蒸发塘。</w:t>
                  </w:r>
                </w:p>
                <w:p w14:paraId="222284FF">
                  <w:pPr>
                    <w:pStyle w:val="65"/>
                    <w:jc w:val="both"/>
                    <w:rPr>
                      <w:rFonts w:ascii="Times New Roman" w:hAnsi="Times New Roman" w:cs="Times New Roman"/>
                      <w:color w:val="000000"/>
                    </w:rPr>
                  </w:pPr>
                  <w:r>
                    <w:rPr>
                      <w:rFonts w:ascii="Times New Roman" w:hAnsi="Times New Roman" w:cs="Times New Roman"/>
                      <w:color w:val="000000"/>
                    </w:rPr>
                    <w:t>（六）强化环境风险防控，保障生态环境安全。建立企业—园区—区域三级环境风险应急联动体系，建设完善园区公共事故应急水池。加强对重大危险源（液氨、甲醇、煤气等）的监控，完善有毒有害气体预警体系。按照《报告书》要求，煤化工项目应加强3.5千米、化工项目加强2.5千米范围内的风险管控。落实地下水、土壤跟踪监测计划，重点加强对化工产业区周边农田土壤的监测。</w:t>
                  </w:r>
                </w:p>
                <w:p w14:paraId="2154E801">
                  <w:pPr>
                    <w:pStyle w:val="65"/>
                    <w:jc w:val="both"/>
                    <w:rPr>
                      <w:rFonts w:ascii="Times New Roman" w:hAnsi="Times New Roman" w:cs="Times New Roman"/>
                      <w:color w:val="000000"/>
                    </w:rPr>
                  </w:pPr>
                  <w:r>
                    <w:rPr>
                      <w:rFonts w:ascii="Times New Roman" w:hAnsi="Times New Roman" w:cs="Times New Roman"/>
                      <w:color w:val="000000"/>
                    </w:rPr>
                    <w:t>（七）推动减污降碳协同增效，创建绿色低碳园区。严控煤炭消费总量，推动能源结构优化，鼓励使用绿电、绿氢等清洁能源。引导重点企业开展节能降碳改造，落实碳排放报告制度，确保完成自治区下达的碳达峰目标。大力推进循环经济，构建企业间副产物、余热、固废等资源循环利用体系。</w:t>
                  </w:r>
                </w:p>
                <w:p w14:paraId="51553F23">
                  <w:pPr>
                    <w:pStyle w:val="65"/>
                    <w:jc w:val="both"/>
                    <w:rPr>
                      <w:rFonts w:ascii="Times New Roman" w:hAnsi="Times New Roman" w:cs="Times New Roman"/>
                      <w:color w:val="000000"/>
                      <w:kern w:val="0"/>
                      <w:sz w:val="24"/>
                    </w:rPr>
                  </w:pPr>
                  <w:r>
                    <w:rPr>
                      <w:rFonts w:ascii="Times New Roman" w:hAnsi="Times New Roman" w:cs="Times New Roman"/>
                      <w:color w:val="000000"/>
                    </w:rPr>
                    <w:t>（八）建立畅通的公众参与平台。及时解决公众合理的环保诉求，定期发布园区环境信息，主动接受社会监督。</w:t>
                  </w:r>
                </w:p>
                <w:p w14:paraId="4E63F436">
                  <w:pPr>
                    <w:pStyle w:val="42"/>
                    <w:ind w:firstLine="0" w:firstLineChars="0"/>
                    <w:rPr>
                      <w:color w:val="000000"/>
                    </w:rPr>
                  </w:pPr>
                </w:p>
              </w:tc>
              <w:tc>
                <w:tcPr>
                  <w:tcW w:w="1985" w:type="dxa"/>
                </w:tcPr>
                <w:p w14:paraId="6B9C94EE">
                  <w:pPr>
                    <w:pStyle w:val="65"/>
                    <w:jc w:val="both"/>
                    <w:rPr>
                      <w:rFonts w:ascii="Times New Roman" w:hAnsi="Times New Roman" w:cs="Times New Roman"/>
                      <w:color w:val="000000"/>
                    </w:rPr>
                  </w:pPr>
                  <w:r>
                    <w:rPr>
                      <w:rFonts w:ascii="Times New Roman" w:hAnsi="Times New Roman" w:cs="Times New Roman"/>
                      <w:color w:val="000000"/>
                    </w:rPr>
                    <w:t>（1）本项目为物理调和项目，不涉及化学反应，不属于高耗能、高排放、低附加值的“两高一低”项目；选址位于园区化工产业区，周边已设置足够缓冲防护距离，项目不涉及重金属排放；项目不涉及钢铁、水泥、平板玻璃、电解铝等落后产能，完全符合绿色发展及产业布局优化要求。</w:t>
                  </w:r>
                </w:p>
                <w:p w14:paraId="710A5C14">
                  <w:pPr>
                    <w:pStyle w:val="65"/>
                    <w:jc w:val="both"/>
                    <w:rPr>
                      <w:rFonts w:ascii="Times New Roman" w:hAnsi="Times New Roman" w:cs="Times New Roman"/>
                      <w:color w:val="000000"/>
                    </w:rPr>
                  </w:pPr>
                  <w:r>
                    <w:rPr>
                      <w:rFonts w:ascii="Times New Roman" w:hAnsi="Times New Roman" w:cs="Times New Roman"/>
                      <w:color w:val="000000"/>
                    </w:rPr>
                    <w:t>（2）项目采用外购油品组分进行物理调和，生产工艺简单、污染物产生量小、能耗较低，资源利用水平较高，完全符合园区主导产业定位及功能布局；项目采用密闭储罐、氮封、油气回收、防渗围堰等控制措施，清洁生产水平达到国内同行业先进水平；不属于产业政策及自治区明令禁止类项目，不在园区负面清单内；本项目为物理调和，非煤化工/精细化工生产装置，无需满足煤化工审批原则，符合入园准入要求。</w:t>
                  </w:r>
                </w:p>
                <w:p w14:paraId="357B6194">
                  <w:pPr>
                    <w:pStyle w:val="65"/>
                    <w:jc w:val="both"/>
                    <w:rPr>
                      <w:rFonts w:ascii="Times New Roman" w:hAnsi="Times New Roman" w:cs="Times New Roman"/>
                      <w:color w:val="000000"/>
                    </w:rPr>
                  </w:pPr>
                  <w:r>
                    <w:rPr>
                      <w:rFonts w:ascii="Times New Roman" w:hAnsi="Times New Roman" w:cs="Times New Roman"/>
                      <w:color w:val="000000"/>
                    </w:rPr>
                    <w:t>（3）本项目选址位于吉木萨尔县北庭工业园区化工产业区，属于城镇开发边界内，不占用生态保护红线、永久基本农田；远离国家湿地公园，不挤占湿地生态用水；用地符合国土空间规划，土地集约利用，满足空间管控要求。</w:t>
                  </w:r>
                </w:p>
                <w:p w14:paraId="595B3D69">
                  <w:pPr>
                    <w:pStyle w:val="65"/>
                    <w:jc w:val="both"/>
                    <w:rPr>
                      <w:rFonts w:ascii="Times New Roman" w:hAnsi="Times New Roman" w:cs="Times New Roman"/>
                      <w:color w:val="000000"/>
                    </w:rPr>
                  </w:pPr>
                  <w:r>
                    <w:rPr>
                      <w:rFonts w:ascii="Times New Roman" w:hAnsi="Times New Roman" w:cs="Times New Roman"/>
                      <w:color w:val="000000"/>
                    </w:rPr>
                    <w:t>（4）本项目无SO₂、NOₓ、颗粒物排放；仅储罐呼吸和装卸过程产生少量VOCs（非甲烷总烃），符合总量管控政策。</w:t>
                  </w:r>
                </w:p>
                <w:p w14:paraId="1C4FCC66">
                  <w:pPr>
                    <w:pStyle w:val="65"/>
                    <w:jc w:val="both"/>
                    <w:rPr>
                      <w:rFonts w:ascii="Times New Roman" w:hAnsi="Times New Roman" w:cs="Times New Roman"/>
                      <w:color w:val="000000"/>
                    </w:rPr>
                  </w:pPr>
                  <w:r>
                    <w:rPr>
                      <w:rFonts w:ascii="Times New Roman" w:hAnsi="Times New Roman" w:cs="Times New Roman"/>
                      <w:color w:val="000000"/>
                    </w:rPr>
                    <w:t>（5）本项目地面冲洗水与清罐废水，经污水处理站处理后送至园区污水处理厂；不新增供热需求；初期雨水、事故废水全部收集进入园区事故应急系统，不外排，符合水资源循环利用及基础设施依托要求。</w:t>
                  </w:r>
                </w:p>
                <w:p w14:paraId="3C612412">
                  <w:pPr>
                    <w:pStyle w:val="65"/>
                    <w:jc w:val="both"/>
                    <w:rPr>
                      <w:rFonts w:ascii="Times New Roman" w:hAnsi="Times New Roman" w:cs="Times New Roman"/>
                      <w:color w:val="000000"/>
                    </w:rPr>
                  </w:pPr>
                  <w:r>
                    <w:rPr>
                      <w:rFonts w:ascii="Times New Roman" w:hAnsi="Times New Roman" w:cs="Times New Roman"/>
                      <w:color w:val="000000"/>
                    </w:rPr>
                    <w:t>（6）本项目储罐储存柴油、汽油及其原辅料，属于重大危险源；罐区设置防渗围堰、事故废水收集池、消防设施、氮封系统、泄漏检测及有毒有害气体预警装置；项目边界2.5km范围内无敏感目标，满足化工项目风险管控距离。</w:t>
                  </w:r>
                </w:p>
                <w:p w14:paraId="75B19729">
                  <w:pPr>
                    <w:pStyle w:val="65"/>
                    <w:jc w:val="both"/>
                    <w:rPr>
                      <w:rFonts w:ascii="Times New Roman" w:hAnsi="Times New Roman" w:cs="Times New Roman"/>
                      <w:color w:val="000000"/>
                    </w:rPr>
                  </w:pPr>
                  <w:r>
                    <w:rPr>
                      <w:rFonts w:ascii="Times New Roman" w:hAnsi="Times New Roman" w:cs="Times New Roman"/>
                      <w:color w:val="000000"/>
                    </w:rPr>
                    <w:t>（7）本项目为物理调和项目，无燃煤设施、不新增煤炭消费；用电依托园区绿电等清洁能源；项目能耗极低，无高耗能设备，无需额外节能改造，符合绿色低碳园区建设方向。</w:t>
                  </w:r>
                </w:p>
                <w:p w14:paraId="3900EAD1">
                  <w:pPr>
                    <w:pStyle w:val="65"/>
                    <w:jc w:val="both"/>
                    <w:rPr>
                      <w:rFonts w:ascii="Times New Roman" w:hAnsi="Times New Roman" w:cs="Times New Roman"/>
                      <w:color w:val="000000"/>
                    </w:rPr>
                  </w:pPr>
                  <w:r>
                    <w:rPr>
                      <w:rFonts w:ascii="Times New Roman" w:hAnsi="Times New Roman" w:cs="Times New Roman"/>
                      <w:color w:val="000000"/>
                    </w:rPr>
                    <w:t>（8）本项目依法开展公示、征求意见；项目运营后，配合园区定期公开环境信息，主动接受公众及社会监督，符合相关要求。</w:t>
                  </w:r>
                </w:p>
              </w:tc>
              <w:tc>
                <w:tcPr>
                  <w:tcW w:w="618" w:type="dxa"/>
                </w:tcPr>
                <w:p w14:paraId="733D358E">
                  <w:pPr>
                    <w:pStyle w:val="42"/>
                    <w:ind w:firstLine="0" w:firstLineChars="0"/>
                    <w:rPr>
                      <w:color w:val="000000"/>
                    </w:rPr>
                  </w:pPr>
                </w:p>
              </w:tc>
            </w:tr>
            <w:tr w14:paraId="072CC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tcPr>
                <w:p w14:paraId="417E348B">
                  <w:pPr>
                    <w:pStyle w:val="42"/>
                    <w:ind w:firstLine="0" w:firstLineChars="0"/>
                    <w:rPr>
                      <w:color w:val="000000"/>
                    </w:rPr>
                  </w:pPr>
                  <w:r>
                    <w:rPr>
                      <w:color w:val="000000"/>
                    </w:rPr>
                    <w:t>5</w:t>
                  </w:r>
                </w:p>
              </w:tc>
              <w:tc>
                <w:tcPr>
                  <w:tcW w:w="3260" w:type="dxa"/>
                </w:tcPr>
                <w:p w14:paraId="21B29542">
                  <w:pPr>
                    <w:pStyle w:val="65"/>
                    <w:jc w:val="both"/>
                    <w:rPr>
                      <w:rFonts w:ascii="Times New Roman" w:hAnsi="Times New Roman" w:cs="Times New Roman"/>
                      <w:color w:val="000000"/>
                    </w:rPr>
                  </w:pPr>
                  <w:r>
                    <w:rPr>
                      <w:rFonts w:ascii="Times New Roman" w:hAnsi="Times New Roman" w:cs="Times New Roman"/>
                      <w:color w:val="000000"/>
                    </w:rPr>
                    <w:t>园区近期拟入园建设项目，开展环境影响评价应严格按照《关于加强规划环境影响评价与建设项目环境影响评价联动工作的意见》（环发〔2015〕178号）要求，强化规划环评与建设项目环评联动，严格将园区整改完成情况作为建设项目环评审批审查内容，确保与规划环评审查意见及园区整改工作衔接一致：园区常态化环境监测网络（地下水、土壤、大气等）已建立并运行，监测数据可支撑项目环境影响预测；集中供热、中水回用、污水处理等基础设施已按审查意见要求的时限投运；园区“未批先建”“未验先投”等环境违法行为已限期整改到位。对建设项目违法行为未整改到位的，环境影响评价不予受理；基础设施未正常运行的，依托园区基础设施的建设项目不得投入运行。对未纳入城镇开发边界的1.83平方千米土地，在未按程序纳入城镇开发边界前，不得办理新（改、扩）建项目环评手续。</w:t>
                  </w:r>
                </w:p>
                <w:p w14:paraId="5B14D9DE">
                  <w:pPr>
                    <w:pStyle w:val="65"/>
                    <w:jc w:val="both"/>
                    <w:rPr>
                      <w:rFonts w:ascii="Times New Roman" w:hAnsi="Times New Roman" w:cs="Times New Roman"/>
                      <w:color w:val="000000"/>
                    </w:rPr>
                  </w:pPr>
                  <w:r>
                    <w:rPr>
                      <w:rFonts w:ascii="Times New Roman" w:hAnsi="Times New Roman" w:cs="Times New Roman"/>
                      <w:color w:val="000000"/>
                    </w:rPr>
                    <w:t>在符合受理条件的前提下，近期建设项目环评可重点开展工程分析、环境影响预测、环境风险评价和环保措施可行性论证。规划环评结论及审查意见被采纳的，入园建设项目环评内容可适当简化，包括政策符合性分析、选址环境合理性论证、区域环境现状调查评价（环境质量未明显下降的）以及依托基础设施可行性评价等内容。</w:t>
                  </w:r>
                </w:p>
                <w:p w14:paraId="49F71222">
                  <w:pPr>
                    <w:pStyle w:val="42"/>
                    <w:ind w:firstLine="0" w:firstLineChars="0"/>
                    <w:rPr>
                      <w:color w:val="000000"/>
                    </w:rPr>
                  </w:pPr>
                </w:p>
              </w:tc>
              <w:tc>
                <w:tcPr>
                  <w:tcW w:w="1985" w:type="dxa"/>
                </w:tcPr>
                <w:p w14:paraId="267F7F31">
                  <w:pPr>
                    <w:pStyle w:val="65"/>
                    <w:jc w:val="both"/>
                    <w:rPr>
                      <w:rFonts w:ascii="Times New Roman" w:hAnsi="Times New Roman" w:cs="Times New Roman"/>
                      <w:color w:val="000000"/>
                    </w:rPr>
                  </w:pPr>
                  <w:r>
                    <w:rPr>
                      <w:rFonts w:ascii="Times New Roman" w:hAnsi="Times New Roman" w:cs="Times New Roman"/>
                      <w:color w:val="000000"/>
                    </w:rPr>
                    <w:t>项目符合规划环评与建设项目环评联动要求，满足园区环评受理条件。在环评编制中，重点开展工程分析、</w:t>
                  </w:r>
                  <w:r>
                    <w:rPr>
                      <w:rFonts w:hint="eastAsia" w:ascii="Times New Roman" w:hAnsi="Times New Roman" w:cs="Times New Roman"/>
                      <w:color w:val="000000"/>
                    </w:rPr>
                    <w:t>生态</w:t>
                  </w:r>
                  <w:r>
                    <w:rPr>
                      <w:rFonts w:ascii="Times New Roman" w:hAnsi="Times New Roman" w:cs="Times New Roman"/>
                      <w:color w:val="000000"/>
                    </w:rPr>
                    <w:t>环境影响预测、环境风险评价、环保措施可行性论证；结合规划环评结论及审查意见，简化政策符合性、选址合理性、区域环境现状、依托设施可行性等内容，符合入园项目环评简化要求。</w:t>
                  </w:r>
                </w:p>
              </w:tc>
              <w:tc>
                <w:tcPr>
                  <w:tcW w:w="618" w:type="dxa"/>
                </w:tcPr>
                <w:p w14:paraId="043F304E">
                  <w:pPr>
                    <w:pStyle w:val="42"/>
                    <w:ind w:firstLine="0" w:firstLineChars="0"/>
                    <w:rPr>
                      <w:color w:val="000000"/>
                    </w:rPr>
                  </w:pPr>
                </w:p>
              </w:tc>
            </w:tr>
          </w:tbl>
          <w:p w14:paraId="520797BE">
            <w:pPr>
              <w:pStyle w:val="42"/>
              <w:ind w:firstLine="0" w:firstLineChars="0"/>
            </w:pPr>
          </w:p>
        </w:tc>
      </w:tr>
      <w:tr w14:paraId="5D77B9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vAlign w:val="center"/>
          </w:tcPr>
          <w:p w14:paraId="4AACFC57">
            <w:pPr>
              <w:autoSpaceDE w:val="0"/>
              <w:autoSpaceDN w:val="0"/>
              <w:adjustRightInd w:val="0"/>
              <w:snapToGrid w:val="0"/>
              <w:jc w:val="center"/>
              <w:rPr>
                <w:rFonts w:ascii="Times New Roman" w:hAnsi="Times New Roman" w:cs="Times New Roman"/>
                <w:szCs w:val="21"/>
              </w:rPr>
            </w:pPr>
            <w:r>
              <w:rPr>
                <w:rFonts w:ascii="Times New Roman" w:hAnsi="Times New Roman" w:cs="Times New Roman"/>
                <w:szCs w:val="21"/>
              </w:rPr>
              <w:t>其他符合性分析</w:t>
            </w:r>
          </w:p>
        </w:tc>
        <w:tc>
          <w:tcPr>
            <w:tcW w:w="6562" w:type="dxa"/>
            <w:gridSpan w:val="3"/>
            <w:vAlign w:val="center"/>
          </w:tcPr>
          <w:p w14:paraId="69596CAC">
            <w:pPr>
              <w:pStyle w:val="42"/>
              <w:ind w:firstLine="0" w:firstLineChars="0"/>
              <w:rPr>
                <w:color w:val="000000"/>
              </w:rPr>
            </w:pPr>
            <w:r>
              <w:rPr>
                <w:b/>
                <w:bCs/>
                <w:color w:val="000000"/>
              </w:rPr>
              <w:t>1、与产业政策符合性分析</w:t>
            </w:r>
          </w:p>
          <w:p w14:paraId="26AADEDF">
            <w:pPr>
              <w:pStyle w:val="42"/>
              <w:ind w:firstLine="480"/>
              <w:rPr>
                <w:b/>
                <w:bCs/>
                <w:color w:val="000000"/>
              </w:rPr>
            </w:pPr>
            <w:r>
              <w:rPr>
                <w:color w:val="000000"/>
              </w:rPr>
              <w:t>本项目以MTBE、异辛烷、轻质石脑油、混合芳烃、轻质燃料油、煤基柴油等为原料，通过调和罐的均匀调和后生成车用柴油、92号车用汽油（VIB）和95号车用汽油（VIB）。本项目与一期工程同属整体规划建设内容，已于2025年1月7日统一完成项目备案，共用同一备案证，备案证号：。</w:t>
            </w:r>
          </w:p>
          <w:p w14:paraId="0434E96E">
            <w:pPr>
              <w:pStyle w:val="42"/>
              <w:ind w:firstLine="480"/>
              <w:rPr>
                <w:color w:val="000000"/>
              </w:rPr>
            </w:pPr>
            <w:r>
              <w:rPr>
                <w:color w:val="000000"/>
              </w:rPr>
              <w:t>根据《产业结构调整指导目录（2024年本）》，本项目不属于鼓励类、限制类和淘汰类。在鼓励类、限制类和淘汰类之外的，且符合国家有关法律法规和政策规定的属于允许类，</w:t>
            </w:r>
            <w:r>
              <w:rPr>
                <w:szCs w:val="24"/>
              </w:rPr>
              <w:t>符合产业政策要求</w:t>
            </w:r>
            <w:r>
              <w:rPr>
                <w:color w:val="000000"/>
              </w:rPr>
              <w:t>。</w:t>
            </w:r>
          </w:p>
          <w:p w14:paraId="7CEBE152">
            <w:pPr>
              <w:pStyle w:val="42"/>
              <w:ind w:firstLine="480"/>
              <w:rPr>
                <w:color w:val="000000"/>
              </w:rPr>
            </w:pPr>
            <w:r>
              <w:rPr>
                <w:color w:val="000000"/>
              </w:rPr>
              <w:t>对照《关于印发市场准入负面清单（2025 年版）的通知》（发改体改规〔2025〕466号），清单分为禁止准入类、许可准入类；凡未列入负面清单的行业、领域、业务，各类市场主体皆可依法平等进入。本项目汽油、柴油物理调和不在《市场准入负面清单（2025 年版）》禁止准入类条目内，项目生产运营依法取得安全、环保等相关审批手续后即可实施，属于清单以外依法平等准入领域。</w:t>
            </w:r>
          </w:p>
          <w:p w14:paraId="0030081F">
            <w:pPr>
              <w:pStyle w:val="42"/>
              <w:ind w:firstLine="480"/>
              <w:rPr>
                <w:color w:val="000000"/>
              </w:rPr>
            </w:pPr>
            <w:r>
              <w:rPr>
                <w:color w:val="000000"/>
              </w:rPr>
              <w:t>综上，本项目建设符合国家现行产业政策。</w:t>
            </w:r>
          </w:p>
          <w:p w14:paraId="4DB42E28">
            <w:pPr>
              <w:pStyle w:val="42"/>
              <w:ind w:firstLine="0" w:firstLineChars="0"/>
            </w:pPr>
            <w:r>
              <w:rPr>
                <w:b/>
                <w:bCs/>
                <w:color w:val="000000"/>
              </w:rPr>
              <w:t>2、生态环境分区管控符合性分析</w:t>
            </w:r>
          </w:p>
          <w:p w14:paraId="145B8469">
            <w:pPr>
              <w:pStyle w:val="42"/>
              <w:ind w:firstLine="480"/>
              <w:rPr>
                <w:lang w:val="en-GB"/>
              </w:rPr>
            </w:pPr>
            <w:r>
              <w:rPr>
                <w:lang w:val="en-GB"/>
              </w:rPr>
              <w:t>根据</w:t>
            </w:r>
            <w:r>
              <w:t>《关于印发&lt;新疆维吾尔自治区生态环境分区管控动态更新成果&gt;的通知》（新环环评发</w:t>
            </w:r>
            <w:r>
              <w:rPr>
                <w:lang w:val="en-GB"/>
              </w:rPr>
              <w:t>[</w:t>
            </w:r>
            <w:r>
              <w:t>2024</w:t>
            </w:r>
            <w:r>
              <w:rPr>
                <w:lang w:val="en-GB"/>
              </w:rPr>
              <w:t>]</w:t>
            </w:r>
            <w:r>
              <w:t>157号）</w:t>
            </w:r>
            <w:r>
              <w:rPr>
                <w:color w:val="000000"/>
              </w:rPr>
              <w:t>及《关于发布昌吉回族自治州生态环境分区管控动态更新成果的公告》，</w:t>
            </w:r>
            <w:r>
              <w:rPr>
                <w:lang w:val="en-GB"/>
              </w:rPr>
              <w:t>本项目不在生态保护红线范围内，</w:t>
            </w:r>
            <w:r>
              <w:rPr>
                <w:color w:val="000000"/>
              </w:rPr>
              <w:t>也不在一般生态空间范围内，属于生态环境重点管控单元。</w:t>
            </w:r>
            <w:r>
              <w:rPr>
                <w:lang w:val="en-GB"/>
              </w:rPr>
              <w:t>本项目与生态环境分区管控方案对比分析见表1-4，与</w:t>
            </w:r>
            <w:r>
              <w:t>自治区总体管控要求更新说明的符合性分析见表1-5。</w:t>
            </w:r>
            <w:r>
              <w:rPr>
                <w:lang w:val="en-GB"/>
              </w:rPr>
              <w:t>由以下两表可以看出，项目建设符合生态环境分区管控的相关要求。</w:t>
            </w:r>
          </w:p>
          <w:p w14:paraId="15F363C6">
            <w:pPr>
              <w:pStyle w:val="42"/>
              <w:ind w:firstLine="422"/>
              <w:jc w:val="center"/>
              <w:rPr>
                <w:b/>
                <w:bCs/>
                <w:color w:val="000000"/>
                <w:szCs w:val="18"/>
              </w:rPr>
            </w:pPr>
            <w:r>
              <w:rPr>
                <w:b/>
                <w:bCs/>
                <w:color w:val="000000"/>
                <w:sz w:val="21"/>
                <w:szCs w:val="18"/>
              </w:rPr>
              <w:t>表1-4  生态环境分区管控符合性分析一览表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2693"/>
              <w:gridCol w:w="2954"/>
            </w:tblGrid>
            <w:tr w14:paraId="31BF4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7" w:type="dxa"/>
                  <w:gridSpan w:val="2"/>
                  <w:vAlign w:val="center"/>
                </w:tcPr>
                <w:p w14:paraId="0DA7FB80">
                  <w:pPr>
                    <w:pStyle w:val="42"/>
                    <w:ind w:firstLine="0" w:firstLineChars="0"/>
                    <w:jc w:val="center"/>
                    <w:rPr>
                      <w:color w:val="000000"/>
                      <w:sz w:val="21"/>
                    </w:rPr>
                  </w:pPr>
                  <w:r>
                    <w:rPr>
                      <w:color w:val="000000"/>
                      <w:sz w:val="21"/>
                    </w:rPr>
                    <w:t>内容</w:t>
                  </w:r>
                </w:p>
              </w:tc>
              <w:tc>
                <w:tcPr>
                  <w:tcW w:w="2954" w:type="dxa"/>
                  <w:vAlign w:val="center"/>
                </w:tcPr>
                <w:p w14:paraId="0068061E">
                  <w:pPr>
                    <w:pStyle w:val="42"/>
                    <w:ind w:firstLine="0" w:firstLineChars="0"/>
                    <w:jc w:val="center"/>
                    <w:rPr>
                      <w:color w:val="000000"/>
                      <w:sz w:val="21"/>
                    </w:rPr>
                  </w:pPr>
                  <w:r>
                    <w:rPr>
                      <w:color w:val="000000"/>
                      <w:sz w:val="21"/>
                    </w:rPr>
                    <w:t>符合性分析</w:t>
                  </w:r>
                </w:p>
              </w:tc>
            </w:tr>
            <w:tr w14:paraId="60FAC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Align w:val="center"/>
                </w:tcPr>
                <w:p w14:paraId="12B67905">
                  <w:pPr>
                    <w:pStyle w:val="42"/>
                    <w:ind w:firstLine="0" w:firstLineChars="0"/>
                    <w:jc w:val="center"/>
                    <w:rPr>
                      <w:color w:val="000000"/>
                      <w:sz w:val="21"/>
                    </w:rPr>
                  </w:pPr>
                  <w:r>
                    <w:rPr>
                      <w:color w:val="000000"/>
                      <w:sz w:val="21"/>
                    </w:rPr>
                    <w:t>生态保护红线</w:t>
                  </w:r>
                </w:p>
              </w:tc>
              <w:tc>
                <w:tcPr>
                  <w:tcW w:w="2693" w:type="dxa"/>
                  <w:vAlign w:val="center"/>
                </w:tcPr>
                <w:p w14:paraId="7D4D8177">
                  <w:pPr>
                    <w:pStyle w:val="42"/>
                    <w:ind w:firstLine="0" w:firstLineChars="0"/>
                    <w:jc w:val="center"/>
                    <w:rPr>
                      <w:color w:val="000000"/>
                      <w:sz w:val="21"/>
                    </w:rPr>
                  </w:pPr>
                  <w:r>
                    <w:rPr>
                      <w:color w:val="000000"/>
                      <w:sz w:val="21"/>
                    </w:rPr>
                    <w:t>指在生态空间范围内具有特殊重要生态功能、必须强制性严格保护的区域，是保障和维护国家生态安全的底线和生命线，通常包括具有重要水源涵养、生物多样性维护、水土保持、防风固沙、海岸生态稳定等功能的生态功能重要区域，以及水土流失、土地沙化、石漠化、盐渍化等生态环境敏感脆弱区域。</w:t>
                  </w:r>
                </w:p>
              </w:tc>
              <w:tc>
                <w:tcPr>
                  <w:tcW w:w="2954" w:type="dxa"/>
                  <w:vAlign w:val="center"/>
                </w:tcPr>
                <w:p w14:paraId="216CAB77">
                  <w:pPr>
                    <w:pStyle w:val="42"/>
                    <w:ind w:firstLine="0" w:firstLineChars="0"/>
                    <w:jc w:val="center"/>
                    <w:rPr>
                      <w:color w:val="000000"/>
                      <w:sz w:val="21"/>
                    </w:rPr>
                  </w:pPr>
                  <w:r>
                    <w:rPr>
                      <w:color w:val="000000"/>
                      <w:sz w:val="21"/>
                      <w:lang w:val="en-GB"/>
                    </w:rPr>
                    <w:t>本项目不在生态保护红线范围内，</w:t>
                  </w:r>
                  <w:r>
                    <w:rPr>
                      <w:color w:val="000000"/>
                      <w:sz w:val="21"/>
                    </w:rPr>
                    <w:t>也不在一般生态空间范围内，属于生态环境重点管控单元。</w:t>
                  </w:r>
                </w:p>
              </w:tc>
            </w:tr>
            <w:tr w14:paraId="58940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Align w:val="center"/>
                </w:tcPr>
                <w:p w14:paraId="102AE0F0">
                  <w:pPr>
                    <w:pStyle w:val="42"/>
                    <w:ind w:firstLine="0" w:firstLineChars="0"/>
                    <w:jc w:val="center"/>
                    <w:rPr>
                      <w:color w:val="000000"/>
                      <w:sz w:val="21"/>
                    </w:rPr>
                  </w:pPr>
                  <w:r>
                    <w:rPr>
                      <w:color w:val="000000"/>
                      <w:sz w:val="21"/>
                    </w:rPr>
                    <w:t>资源利用上线</w:t>
                  </w:r>
                </w:p>
              </w:tc>
              <w:tc>
                <w:tcPr>
                  <w:tcW w:w="2693" w:type="dxa"/>
                  <w:vAlign w:val="center"/>
                </w:tcPr>
                <w:p w14:paraId="580420B1">
                  <w:pPr>
                    <w:pStyle w:val="42"/>
                    <w:ind w:firstLine="0" w:firstLineChars="0"/>
                    <w:jc w:val="center"/>
                    <w:rPr>
                      <w:color w:val="000000"/>
                      <w:sz w:val="21"/>
                    </w:rPr>
                  </w:pPr>
                  <w:r>
                    <w:rPr>
                      <w:color w:val="000000"/>
                      <w:sz w:val="21"/>
                    </w:rPr>
                    <w:t>指按照自然资源资产“只能增值、不能贬值”的原则，以保障生态安全和改善环境质量为目的，利用自然资源资产负债表，结合自然资源开发管控，提出的分区域分阶段的资源开发利用总量、强度、效率等上线管控要求。</w:t>
                  </w:r>
                </w:p>
              </w:tc>
              <w:tc>
                <w:tcPr>
                  <w:tcW w:w="2954" w:type="dxa"/>
                  <w:vAlign w:val="center"/>
                </w:tcPr>
                <w:p w14:paraId="31670769">
                  <w:pPr>
                    <w:pStyle w:val="42"/>
                    <w:ind w:firstLine="0" w:firstLineChars="0"/>
                    <w:jc w:val="center"/>
                    <w:rPr>
                      <w:color w:val="000000"/>
                      <w:sz w:val="21"/>
                    </w:rPr>
                  </w:pPr>
                  <w:r>
                    <w:rPr>
                      <w:color w:val="000000"/>
                      <w:sz w:val="21"/>
                    </w:rPr>
                    <w:t>本项目以MTBE、异辛烷、轻质石脑油、混合芳烃、轻质燃料油、煤基柴油等为原料，通过调和罐的均匀调和后生成车用柴油、92号车用汽油（VIB）和95号车用汽油（VIB）。项目运行后应开展清洁生产审核，做好项目节能降耗工作，符合资源利用上线的要求。</w:t>
                  </w:r>
                </w:p>
              </w:tc>
            </w:tr>
            <w:tr w14:paraId="6908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Align w:val="center"/>
                </w:tcPr>
                <w:p w14:paraId="42585C89">
                  <w:pPr>
                    <w:pStyle w:val="42"/>
                    <w:ind w:firstLine="0" w:firstLineChars="0"/>
                    <w:jc w:val="center"/>
                    <w:rPr>
                      <w:color w:val="000000"/>
                      <w:sz w:val="21"/>
                    </w:rPr>
                  </w:pPr>
                  <w:r>
                    <w:rPr>
                      <w:color w:val="000000"/>
                      <w:sz w:val="21"/>
                    </w:rPr>
                    <w:t>环境质量底线</w:t>
                  </w:r>
                </w:p>
              </w:tc>
              <w:tc>
                <w:tcPr>
                  <w:tcW w:w="2693" w:type="dxa"/>
                  <w:vAlign w:val="center"/>
                </w:tcPr>
                <w:p w14:paraId="52E2BFF9">
                  <w:pPr>
                    <w:pStyle w:val="42"/>
                    <w:ind w:firstLine="0" w:firstLineChars="0"/>
                    <w:jc w:val="center"/>
                    <w:rPr>
                      <w:color w:val="000000"/>
                      <w:sz w:val="21"/>
                    </w:rPr>
                  </w:pPr>
                  <w:r>
                    <w:rPr>
                      <w:color w:val="000000"/>
                      <w:sz w:val="21"/>
                    </w:rPr>
                    <w:t>指按照水、大气、土壤环境质量不断优化的原则，结合环境质量现状和相关规划、功能区划要求，考虑环境质量改善潜力，确定的分区域分阶段环境质量目标及相应的环境管控、污染物排放控制等要求。</w:t>
                  </w:r>
                </w:p>
              </w:tc>
              <w:tc>
                <w:tcPr>
                  <w:tcW w:w="2954" w:type="dxa"/>
                  <w:vAlign w:val="center"/>
                </w:tcPr>
                <w:p w14:paraId="5FEB82E1">
                  <w:pPr>
                    <w:pStyle w:val="42"/>
                    <w:ind w:firstLine="420"/>
                    <w:jc w:val="center"/>
                    <w:rPr>
                      <w:color w:val="000000"/>
                      <w:sz w:val="21"/>
                      <w:szCs w:val="18"/>
                    </w:rPr>
                  </w:pPr>
                  <w:r>
                    <w:rPr>
                      <w:color w:val="000000"/>
                      <w:sz w:val="21"/>
                      <w:szCs w:val="18"/>
                    </w:rPr>
                    <w:t>本项目对产生的废气均采用了成熟可行的治理措施，保证废气达标排放，不会对区域大气环境造成明显影响。项目地面冲洗水与清罐废水，经污水处理站处理后送至园区污水处理厂，不会对周围水体造成影响。通过采取基础减振、距离衰减等降噪措施后，可以确保厂界噪声达标。</w:t>
                  </w:r>
                </w:p>
              </w:tc>
            </w:tr>
          </w:tbl>
          <w:p w14:paraId="6E6B7F45">
            <w:pPr>
              <w:adjustRightInd w:val="0"/>
              <w:snapToGrid w:val="0"/>
              <w:rPr>
                <w:rFonts w:ascii="Times New Roman" w:hAnsi="Times New Roman" w:cs="Times New Roman"/>
                <w:b/>
                <w:bCs/>
                <w:color w:val="000000"/>
              </w:rPr>
            </w:pPr>
          </w:p>
          <w:p w14:paraId="392CC03F">
            <w:pPr>
              <w:pStyle w:val="42"/>
              <w:ind w:firstLine="482"/>
              <w:rPr>
                <w:b/>
                <w:bCs/>
                <w:color w:val="000000"/>
              </w:rPr>
            </w:pPr>
          </w:p>
          <w:p w14:paraId="5329F74B">
            <w:pPr>
              <w:pStyle w:val="42"/>
              <w:ind w:firstLine="422"/>
              <w:jc w:val="center"/>
              <w:rPr>
                <w:b/>
                <w:spacing w:val="-10"/>
              </w:rPr>
            </w:pPr>
            <w:r>
              <w:rPr>
                <w:b/>
                <w:bCs/>
                <w:color w:val="000000"/>
                <w:sz w:val="21"/>
                <w:szCs w:val="18"/>
              </w:rPr>
              <w:t>表1-5  自治区总体管控要求更新说明符合性分析一览表</w:t>
            </w:r>
          </w:p>
          <w:tbl>
            <w:tblPr>
              <w:tblStyle w:val="17"/>
              <w:tblW w:w="48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
              <w:gridCol w:w="567"/>
              <w:gridCol w:w="2368"/>
              <w:gridCol w:w="2034"/>
              <w:gridCol w:w="708"/>
            </w:tblGrid>
            <w:tr w14:paraId="6227F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13" w:type="pct"/>
                  <w:gridSpan w:val="2"/>
                </w:tcPr>
                <w:p w14:paraId="7FCA83BC">
                  <w:pPr>
                    <w:pStyle w:val="78"/>
                    <w:rPr>
                      <w:rFonts w:cs="Times New Roman"/>
                      <w:color w:val="auto"/>
                    </w:rPr>
                  </w:pPr>
                  <w:r>
                    <w:rPr>
                      <w:rFonts w:cs="Times New Roman"/>
                      <w:color w:val="auto"/>
                    </w:rPr>
                    <w:t>管控维度</w:t>
                  </w:r>
                </w:p>
              </w:tc>
              <w:tc>
                <w:tcPr>
                  <w:tcW w:w="1940" w:type="pct"/>
                </w:tcPr>
                <w:p w14:paraId="172CB4E4">
                  <w:pPr>
                    <w:pStyle w:val="78"/>
                    <w:rPr>
                      <w:rFonts w:cs="Times New Roman"/>
                      <w:color w:val="auto"/>
                    </w:rPr>
                  </w:pPr>
                  <w:r>
                    <w:rPr>
                      <w:rFonts w:cs="Times New Roman"/>
                      <w:color w:val="auto"/>
                    </w:rPr>
                    <w:t>管控要求</w:t>
                  </w:r>
                </w:p>
              </w:tc>
              <w:tc>
                <w:tcPr>
                  <w:tcW w:w="1667" w:type="pct"/>
                </w:tcPr>
                <w:p w14:paraId="29245064">
                  <w:pPr>
                    <w:pStyle w:val="78"/>
                    <w:rPr>
                      <w:rFonts w:cs="Times New Roman"/>
                      <w:color w:val="auto"/>
                    </w:rPr>
                  </w:pPr>
                  <w:r>
                    <w:rPr>
                      <w:rFonts w:cs="Times New Roman"/>
                      <w:color w:val="auto"/>
                    </w:rPr>
                    <w:t>本项目情况</w:t>
                  </w:r>
                </w:p>
              </w:tc>
              <w:tc>
                <w:tcPr>
                  <w:tcW w:w="580" w:type="pct"/>
                </w:tcPr>
                <w:p w14:paraId="712CE3B1">
                  <w:pPr>
                    <w:pStyle w:val="78"/>
                    <w:rPr>
                      <w:rFonts w:cs="Times New Roman"/>
                      <w:color w:val="auto"/>
                    </w:rPr>
                  </w:pPr>
                  <w:r>
                    <w:rPr>
                      <w:rFonts w:cs="Times New Roman"/>
                      <w:color w:val="auto"/>
                    </w:rPr>
                    <w:t>符合性</w:t>
                  </w:r>
                </w:p>
              </w:tc>
            </w:tr>
            <w:tr w14:paraId="7FCDB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 w:type="pct"/>
                  <w:vMerge w:val="restart"/>
                </w:tcPr>
                <w:p w14:paraId="32045D52">
                  <w:pPr>
                    <w:pStyle w:val="78"/>
                    <w:rPr>
                      <w:rFonts w:cs="Times New Roman"/>
                      <w:color w:val="auto"/>
                    </w:rPr>
                  </w:pPr>
                  <w:r>
                    <w:rPr>
                      <w:rFonts w:cs="Times New Roman"/>
                      <w:color w:val="auto"/>
                    </w:rPr>
                    <w:t>A1空间布局约束</w:t>
                  </w:r>
                </w:p>
              </w:tc>
              <w:tc>
                <w:tcPr>
                  <w:tcW w:w="465" w:type="pct"/>
                  <w:vMerge w:val="restart"/>
                </w:tcPr>
                <w:p w14:paraId="6C7CDB9E">
                  <w:pPr>
                    <w:pStyle w:val="78"/>
                    <w:rPr>
                      <w:rFonts w:cs="Times New Roman"/>
                      <w:color w:val="auto"/>
                    </w:rPr>
                  </w:pPr>
                  <w:r>
                    <w:rPr>
                      <w:rFonts w:cs="Times New Roman"/>
                      <w:color w:val="auto"/>
                    </w:rPr>
                    <w:t>A1.1禁止开发建设的活动</w:t>
                  </w:r>
                </w:p>
              </w:tc>
              <w:tc>
                <w:tcPr>
                  <w:tcW w:w="1940" w:type="pct"/>
                </w:tcPr>
                <w:p w14:paraId="0D022B85">
                  <w:pPr>
                    <w:pStyle w:val="78"/>
                    <w:rPr>
                      <w:rFonts w:cs="Times New Roman"/>
                      <w:color w:val="auto"/>
                    </w:rPr>
                  </w:pPr>
                  <w:r>
                    <w:rPr>
                      <w:rFonts w:cs="Times New Roman"/>
                      <w:color w:val="auto"/>
                    </w:rPr>
                    <w:t>〔A1.1-1〕禁止新建、扩建《产业结构调整指导目录（2024年本）》中淘汰类项目。禁止引入《市场准入负面清单（2022年版）》禁止准入类事项。</w:t>
                  </w:r>
                </w:p>
              </w:tc>
              <w:tc>
                <w:tcPr>
                  <w:tcW w:w="1667" w:type="pct"/>
                </w:tcPr>
                <w:p w14:paraId="274C4F2E">
                  <w:pPr>
                    <w:pStyle w:val="78"/>
                    <w:rPr>
                      <w:rFonts w:cs="Times New Roman"/>
                      <w:color w:val="auto"/>
                    </w:rPr>
                  </w:pPr>
                  <w:r>
                    <w:rPr>
                      <w:rFonts w:cs="Times New Roman"/>
                      <w:color w:val="auto"/>
                    </w:rPr>
                    <w:t>本项目符合《产业结构调整指导目录（2024年本）》《市场准入负面清单（2025年版）》。</w:t>
                  </w:r>
                </w:p>
              </w:tc>
              <w:tc>
                <w:tcPr>
                  <w:tcW w:w="580" w:type="pct"/>
                </w:tcPr>
                <w:p w14:paraId="35866497">
                  <w:pPr>
                    <w:pStyle w:val="78"/>
                    <w:rPr>
                      <w:rFonts w:cs="Times New Roman"/>
                      <w:color w:val="auto"/>
                    </w:rPr>
                  </w:pPr>
                  <w:r>
                    <w:rPr>
                      <w:rFonts w:cs="Times New Roman"/>
                      <w:color w:val="auto"/>
                    </w:rPr>
                    <w:t>符合</w:t>
                  </w:r>
                </w:p>
              </w:tc>
            </w:tr>
            <w:tr w14:paraId="5CEA2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 w:type="pct"/>
                  <w:vMerge w:val="continue"/>
                </w:tcPr>
                <w:p w14:paraId="11D63E80">
                  <w:pPr>
                    <w:pStyle w:val="78"/>
                    <w:rPr>
                      <w:rFonts w:cs="Times New Roman"/>
                      <w:color w:val="auto"/>
                    </w:rPr>
                  </w:pPr>
                </w:p>
              </w:tc>
              <w:tc>
                <w:tcPr>
                  <w:tcW w:w="465" w:type="pct"/>
                  <w:vMerge w:val="continue"/>
                </w:tcPr>
                <w:p w14:paraId="63286846">
                  <w:pPr>
                    <w:pStyle w:val="78"/>
                    <w:rPr>
                      <w:rFonts w:cs="Times New Roman"/>
                      <w:color w:val="auto"/>
                    </w:rPr>
                  </w:pPr>
                </w:p>
              </w:tc>
              <w:tc>
                <w:tcPr>
                  <w:tcW w:w="1940" w:type="pct"/>
                </w:tcPr>
                <w:p w14:paraId="203532FA">
                  <w:pPr>
                    <w:pStyle w:val="78"/>
                    <w:rPr>
                      <w:rFonts w:cs="Times New Roman"/>
                      <w:color w:val="auto"/>
                    </w:rPr>
                  </w:pPr>
                  <w:r>
                    <w:rPr>
                      <w:rFonts w:cs="Times New Roman"/>
                      <w:color w:val="auto"/>
                    </w:rPr>
                    <w:t>〔A1.1-2〕禁止建设不符合国家和自治区环境保护标准的项目。</w:t>
                  </w:r>
                </w:p>
              </w:tc>
              <w:tc>
                <w:tcPr>
                  <w:tcW w:w="1667" w:type="pct"/>
                </w:tcPr>
                <w:p w14:paraId="33F169BA">
                  <w:pPr>
                    <w:pStyle w:val="78"/>
                    <w:rPr>
                      <w:rFonts w:cs="Times New Roman"/>
                      <w:color w:val="auto"/>
                    </w:rPr>
                  </w:pPr>
                  <w:r>
                    <w:rPr>
                      <w:rFonts w:cs="Times New Roman"/>
                      <w:color w:val="auto"/>
                    </w:rPr>
                    <w:t>本项目符合《新疆维吾尔自治区环境保护条例（2018年修改）》。</w:t>
                  </w:r>
                </w:p>
              </w:tc>
              <w:tc>
                <w:tcPr>
                  <w:tcW w:w="580" w:type="pct"/>
                </w:tcPr>
                <w:p w14:paraId="4F71D44B">
                  <w:pPr>
                    <w:pStyle w:val="78"/>
                    <w:rPr>
                      <w:rFonts w:cs="Times New Roman"/>
                      <w:color w:val="auto"/>
                    </w:rPr>
                  </w:pPr>
                  <w:r>
                    <w:rPr>
                      <w:rFonts w:cs="Times New Roman"/>
                      <w:color w:val="auto"/>
                    </w:rPr>
                    <w:t>符合</w:t>
                  </w:r>
                </w:p>
              </w:tc>
            </w:tr>
            <w:tr w14:paraId="28D40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 w:type="pct"/>
                  <w:vMerge w:val="continue"/>
                </w:tcPr>
                <w:p w14:paraId="1DA4DB14">
                  <w:pPr>
                    <w:pStyle w:val="78"/>
                    <w:rPr>
                      <w:rFonts w:cs="Times New Roman"/>
                      <w:color w:val="auto"/>
                    </w:rPr>
                  </w:pPr>
                </w:p>
              </w:tc>
              <w:tc>
                <w:tcPr>
                  <w:tcW w:w="465" w:type="pct"/>
                  <w:vMerge w:val="continue"/>
                </w:tcPr>
                <w:p w14:paraId="58755047">
                  <w:pPr>
                    <w:pStyle w:val="78"/>
                    <w:rPr>
                      <w:rFonts w:cs="Times New Roman"/>
                      <w:color w:val="auto"/>
                    </w:rPr>
                  </w:pPr>
                </w:p>
              </w:tc>
              <w:tc>
                <w:tcPr>
                  <w:tcW w:w="1940" w:type="pct"/>
                </w:tcPr>
                <w:p w14:paraId="27958E9C">
                  <w:pPr>
                    <w:pStyle w:val="78"/>
                    <w:rPr>
                      <w:rFonts w:cs="Times New Roman"/>
                      <w:color w:val="auto"/>
                    </w:rPr>
                  </w:pPr>
                  <w:r>
                    <w:rPr>
                      <w:rFonts w:cs="Times New Roman"/>
                      <w:color w:val="auto"/>
                    </w:rPr>
                    <w:t>〔A1.1-7〕</w:t>
                  </w:r>
                  <w:r>
                    <w:rPr>
                      <w:rFonts w:ascii="Cambria Math" w:hAnsi="Cambria Math" w:cs="Cambria Math"/>
                      <w:color w:val="auto"/>
                    </w:rPr>
                    <w:t>①</w:t>
                  </w:r>
                  <w:r>
                    <w:rPr>
                      <w:rFonts w:cs="Times New Roman"/>
                      <w:color w:val="auto"/>
                    </w:rPr>
                    <w:t>坚决遏制高耗能高排放低水平项目盲目发展。严把高耗能高排放低水平项目准入关口，严格落实污染物排放区域削减要求，对不符合规定的项目坚决停批停建。依法依规淘汰落后产能和化解过剩产能。</w:t>
                  </w:r>
                  <w:r>
                    <w:rPr>
                      <w:rFonts w:ascii="Cambria Math" w:hAnsi="Cambria Math" w:cs="Cambria Math"/>
                      <w:color w:val="auto"/>
                    </w:rPr>
                    <w:t>②</w:t>
                  </w:r>
                  <w:r>
                    <w:rPr>
                      <w:rFonts w:cs="Times New Roman"/>
                      <w:color w:val="auto"/>
                    </w:rPr>
                    <w:t>重点行业企业纳入重污染天气绩效分级，制定“一厂一策”应急减排清单，实现应纳尽纳；引导重点企业在秋冬季安排停产检修计划，减少冬季和采暖期排放。推进重点行业深度治理，实施全工况脱硫脱硝提标改造，加大无组织排放治理力度，深度开展工业炉窑综合整治，全面提升电解铝、活性炭、硅冶炼、纯碱、电石、聚氯乙烯、石化等行业污染治理水平。</w:t>
                  </w:r>
                </w:p>
              </w:tc>
              <w:tc>
                <w:tcPr>
                  <w:tcW w:w="1667" w:type="pct"/>
                </w:tcPr>
                <w:p w14:paraId="4342BBA6">
                  <w:pPr>
                    <w:pStyle w:val="78"/>
                    <w:rPr>
                      <w:rFonts w:cs="Times New Roman"/>
                      <w:color w:val="auto"/>
                    </w:rPr>
                  </w:pPr>
                  <w:r>
                    <w:rPr>
                      <w:rFonts w:cs="Times New Roman"/>
                      <w:color w:val="auto"/>
                    </w:rPr>
                    <w:t>本项目为物理调和项目，不属于高耗能高排放低水平项目，不涉及产能扩张；项目VOCs采用吸收+冷凝+吸附三级油气回收深度治理，落实污染物区域削减要求；项目罐区全面落实氮封、密闭装车等无组织排放管控措施，属于石化行业深度治理范畴。</w:t>
                  </w:r>
                </w:p>
              </w:tc>
              <w:tc>
                <w:tcPr>
                  <w:tcW w:w="580" w:type="pct"/>
                </w:tcPr>
                <w:p w14:paraId="7225A266">
                  <w:pPr>
                    <w:pStyle w:val="78"/>
                    <w:rPr>
                      <w:rFonts w:cs="Times New Roman"/>
                      <w:color w:val="auto"/>
                    </w:rPr>
                  </w:pPr>
                  <w:r>
                    <w:rPr>
                      <w:rFonts w:cs="Times New Roman"/>
                      <w:color w:val="auto"/>
                    </w:rPr>
                    <w:t>符合</w:t>
                  </w:r>
                </w:p>
              </w:tc>
            </w:tr>
            <w:tr w14:paraId="39F1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1" w:hRule="atLeast"/>
                <w:jc w:val="center"/>
              </w:trPr>
              <w:tc>
                <w:tcPr>
                  <w:tcW w:w="348" w:type="pct"/>
                  <w:vMerge w:val="continue"/>
                </w:tcPr>
                <w:p w14:paraId="6A2071C3">
                  <w:pPr>
                    <w:pStyle w:val="78"/>
                    <w:rPr>
                      <w:rFonts w:cs="Times New Roman"/>
                      <w:color w:val="auto"/>
                    </w:rPr>
                  </w:pPr>
                </w:p>
              </w:tc>
              <w:tc>
                <w:tcPr>
                  <w:tcW w:w="465" w:type="pct"/>
                  <w:vMerge w:val="continue"/>
                </w:tcPr>
                <w:p w14:paraId="79B93F12">
                  <w:pPr>
                    <w:pStyle w:val="78"/>
                    <w:rPr>
                      <w:rFonts w:cs="Times New Roman"/>
                      <w:color w:val="auto"/>
                    </w:rPr>
                  </w:pPr>
                </w:p>
              </w:tc>
              <w:tc>
                <w:tcPr>
                  <w:tcW w:w="1940" w:type="pct"/>
                </w:tcPr>
                <w:p w14:paraId="52B591B2">
                  <w:pPr>
                    <w:pStyle w:val="78"/>
                    <w:rPr>
                      <w:rFonts w:cs="Times New Roman"/>
                      <w:color w:val="auto"/>
                    </w:rPr>
                  </w:pPr>
                  <w:r>
                    <w:rPr>
                      <w:rFonts w:cs="Times New Roman"/>
                      <w:color w:val="auto"/>
                    </w:rPr>
                    <w:t>〔A1.1-8〕严格执行危险化学品“禁限控”目录，新建危险化学品生产项目必须进入一般或较低安全风险的化工园区（与其他行业生产装置配套建设的项目除外），引导其他石化化工项目在化工园区发展。</w:t>
                  </w:r>
                </w:p>
              </w:tc>
              <w:tc>
                <w:tcPr>
                  <w:tcW w:w="1667" w:type="pct"/>
                </w:tcPr>
                <w:p w14:paraId="1AA332C2">
                  <w:pPr>
                    <w:pStyle w:val="78"/>
                    <w:jc w:val="both"/>
                    <w:rPr>
                      <w:rFonts w:cs="Times New Roman"/>
                      <w:color w:val="auto"/>
                    </w:rPr>
                  </w:pPr>
                </w:p>
                <w:p w14:paraId="01DEEED5">
                  <w:pPr>
                    <w:pStyle w:val="78"/>
                    <w:jc w:val="both"/>
                    <w:rPr>
                      <w:rFonts w:cs="Times New Roman"/>
                      <w:color w:val="auto"/>
                    </w:rPr>
                  </w:pPr>
                </w:p>
              </w:tc>
              <w:tc>
                <w:tcPr>
                  <w:tcW w:w="580" w:type="pct"/>
                </w:tcPr>
                <w:p w14:paraId="607D1740">
                  <w:pPr>
                    <w:pStyle w:val="78"/>
                    <w:rPr>
                      <w:rFonts w:cs="Times New Roman"/>
                      <w:color w:val="auto"/>
                    </w:rPr>
                  </w:pPr>
                  <w:r>
                    <w:rPr>
                      <w:rFonts w:cs="Times New Roman"/>
                      <w:color w:val="auto"/>
                    </w:rPr>
                    <w:t>符合</w:t>
                  </w:r>
                </w:p>
              </w:tc>
            </w:tr>
            <w:tr w14:paraId="12BA5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 w:type="pct"/>
                  <w:vMerge w:val="continue"/>
                </w:tcPr>
                <w:p w14:paraId="0FA1EF55">
                  <w:pPr>
                    <w:pStyle w:val="78"/>
                    <w:rPr>
                      <w:rFonts w:cs="Times New Roman"/>
                      <w:color w:val="auto"/>
                    </w:rPr>
                  </w:pPr>
                </w:p>
              </w:tc>
              <w:tc>
                <w:tcPr>
                  <w:tcW w:w="465" w:type="pct"/>
                  <w:vMerge w:val="restart"/>
                </w:tcPr>
                <w:p w14:paraId="52673AAA">
                  <w:pPr>
                    <w:pStyle w:val="78"/>
                    <w:rPr>
                      <w:rFonts w:cs="Times New Roman"/>
                      <w:color w:val="auto"/>
                    </w:rPr>
                  </w:pPr>
                  <w:r>
                    <w:rPr>
                      <w:rFonts w:cs="Times New Roman"/>
                      <w:color w:val="auto"/>
                    </w:rPr>
                    <w:t>A1.2限制开发建设的活动</w:t>
                  </w:r>
                </w:p>
              </w:tc>
              <w:tc>
                <w:tcPr>
                  <w:tcW w:w="1940" w:type="pct"/>
                </w:tcPr>
                <w:p w14:paraId="5D425ABB">
                  <w:pPr>
                    <w:pStyle w:val="78"/>
                    <w:rPr>
                      <w:rFonts w:cs="Times New Roman"/>
                      <w:color w:val="auto"/>
                    </w:rPr>
                  </w:pPr>
                  <w:r>
                    <w:rPr>
                      <w:rFonts w:cs="Times New Roman"/>
                      <w:color w:val="auto"/>
                    </w:rPr>
                    <w:t>〔A1.2-1〕严格控制缺水地区、水污染严重区域和敏感区域高耗水、高污染行业发展。</w:t>
                  </w:r>
                </w:p>
              </w:tc>
              <w:tc>
                <w:tcPr>
                  <w:tcW w:w="1667" w:type="pct"/>
                </w:tcPr>
                <w:p w14:paraId="559FA301">
                  <w:pPr>
                    <w:pStyle w:val="78"/>
                    <w:jc w:val="both"/>
                    <w:rPr>
                      <w:rFonts w:cs="Times New Roman"/>
                      <w:color w:val="auto"/>
                    </w:rPr>
                  </w:pPr>
                  <w:r>
                    <w:rPr>
                      <w:rFonts w:cs="Times New Roman"/>
                      <w:color w:val="auto"/>
                    </w:rPr>
                    <w:t>本项目污水依托一期工程污水处理站处理后，送园区污水处理厂处理，不会对周围水体造成影响。</w:t>
                  </w:r>
                </w:p>
              </w:tc>
              <w:tc>
                <w:tcPr>
                  <w:tcW w:w="580" w:type="pct"/>
                </w:tcPr>
                <w:p w14:paraId="683D4CDB">
                  <w:pPr>
                    <w:pStyle w:val="78"/>
                    <w:rPr>
                      <w:rFonts w:cs="Times New Roman"/>
                      <w:color w:val="auto"/>
                    </w:rPr>
                  </w:pPr>
                  <w:r>
                    <w:rPr>
                      <w:rFonts w:cs="Times New Roman"/>
                      <w:color w:val="auto"/>
                    </w:rPr>
                    <w:t>符合</w:t>
                  </w:r>
                </w:p>
              </w:tc>
            </w:tr>
            <w:tr w14:paraId="75B0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 w:type="pct"/>
                  <w:vMerge w:val="continue"/>
                </w:tcPr>
                <w:p w14:paraId="10EFD31B">
                  <w:pPr>
                    <w:pStyle w:val="78"/>
                    <w:rPr>
                      <w:rFonts w:cs="Times New Roman"/>
                      <w:color w:val="auto"/>
                    </w:rPr>
                  </w:pPr>
                </w:p>
              </w:tc>
              <w:tc>
                <w:tcPr>
                  <w:tcW w:w="465" w:type="pct"/>
                  <w:vMerge w:val="continue"/>
                </w:tcPr>
                <w:p w14:paraId="5B827A37">
                  <w:pPr>
                    <w:pStyle w:val="78"/>
                    <w:rPr>
                      <w:rFonts w:cs="Times New Roman"/>
                      <w:color w:val="auto"/>
                    </w:rPr>
                  </w:pPr>
                </w:p>
              </w:tc>
              <w:tc>
                <w:tcPr>
                  <w:tcW w:w="1940" w:type="pct"/>
                </w:tcPr>
                <w:p w14:paraId="37976DCB">
                  <w:pPr>
                    <w:pStyle w:val="78"/>
                    <w:rPr>
                      <w:rFonts w:cs="Times New Roman"/>
                      <w:color w:val="auto"/>
                    </w:rPr>
                  </w:pPr>
                  <w:r>
                    <w:rPr>
                      <w:rFonts w:cs="Times New Roman"/>
                      <w:color w:val="auto"/>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1667" w:type="pct"/>
                </w:tcPr>
                <w:p w14:paraId="475BC81B">
                  <w:pPr>
                    <w:pStyle w:val="78"/>
                    <w:jc w:val="both"/>
                    <w:rPr>
                      <w:rFonts w:cs="Times New Roman"/>
                      <w:color w:val="auto"/>
                    </w:rPr>
                  </w:pPr>
                  <w:r>
                    <w:rPr>
                      <w:rFonts w:cs="Times New Roman"/>
                      <w:color w:val="auto"/>
                    </w:rPr>
                    <w:t>本项目位于吉木萨尔县北庭工业园区龙都化工厂区内，不占用耕地及农田。</w:t>
                  </w:r>
                </w:p>
              </w:tc>
              <w:tc>
                <w:tcPr>
                  <w:tcW w:w="580" w:type="pct"/>
                </w:tcPr>
                <w:p w14:paraId="271898F7">
                  <w:pPr>
                    <w:pStyle w:val="78"/>
                    <w:rPr>
                      <w:rFonts w:cs="Times New Roman"/>
                      <w:color w:val="auto"/>
                    </w:rPr>
                  </w:pPr>
                  <w:r>
                    <w:rPr>
                      <w:rFonts w:cs="Times New Roman"/>
                      <w:color w:val="auto"/>
                    </w:rPr>
                    <w:t>符合</w:t>
                  </w:r>
                </w:p>
              </w:tc>
            </w:tr>
            <w:tr w14:paraId="61C7D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 w:type="pct"/>
                  <w:vMerge w:val="continue"/>
                </w:tcPr>
                <w:p w14:paraId="2111C7B4">
                  <w:pPr>
                    <w:pStyle w:val="78"/>
                    <w:rPr>
                      <w:rFonts w:cs="Times New Roman"/>
                      <w:color w:val="auto"/>
                    </w:rPr>
                  </w:pPr>
                </w:p>
              </w:tc>
              <w:tc>
                <w:tcPr>
                  <w:tcW w:w="465" w:type="pct"/>
                  <w:vMerge w:val="restart"/>
                </w:tcPr>
                <w:p w14:paraId="4226FE76">
                  <w:pPr>
                    <w:pStyle w:val="78"/>
                    <w:rPr>
                      <w:rFonts w:cs="Times New Roman"/>
                      <w:color w:val="auto"/>
                    </w:rPr>
                  </w:pPr>
                  <w:r>
                    <w:rPr>
                      <w:rFonts w:cs="Times New Roman"/>
                      <w:color w:val="auto"/>
                    </w:rPr>
                    <w:t>A1.4其它布局要求</w:t>
                  </w:r>
                </w:p>
              </w:tc>
              <w:tc>
                <w:tcPr>
                  <w:tcW w:w="1940" w:type="pct"/>
                </w:tcPr>
                <w:p w14:paraId="6CFCC5F0">
                  <w:pPr>
                    <w:pStyle w:val="78"/>
                    <w:rPr>
                      <w:rFonts w:cs="Times New Roman"/>
                      <w:color w:val="auto"/>
                    </w:rPr>
                  </w:pPr>
                  <w:r>
                    <w:rPr>
                      <w:rFonts w:cs="Times New Roman"/>
                      <w:color w:val="auto"/>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1667" w:type="pct"/>
                  <w:vMerge w:val="restart"/>
                </w:tcPr>
                <w:p w14:paraId="77C77AB8">
                  <w:pPr>
                    <w:pStyle w:val="78"/>
                    <w:jc w:val="both"/>
                    <w:rPr>
                      <w:rFonts w:cs="Times New Roman"/>
                      <w:color w:val="auto"/>
                      <w:szCs w:val="21"/>
                    </w:rPr>
                  </w:pPr>
                  <w:r>
                    <w:rPr>
                      <w:rFonts w:cs="Times New Roman"/>
                      <w:color w:val="auto"/>
                      <w:szCs w:val="21"/>
                    </w:rPr>
                    <w:t>（1）本项目符合</w:t>
                  </w:r>
                  <w:r>
                    <w:rPr>
                      <w:rFonts w:cs="Times New Roman"/>
                    </w:rPr>
                    <w:t>《吉木萨尔北庭工业园区国土空间专项规划（2025-2035年）》</w:t>
                  </w:r>
                  <w:r>
                    <w:rPr>
                      <w:rFonts w:cs="Times New Roman"/>
                      <w:color w:val="auto"/>
                      <w:szCs w:val="21"/>
                    </w:rPr>
                    <w:t>及批复、</w:t>
                  </w:r>
                  <w:r>
                    <w:rPr>
                      <w:rFonts w:cs="Times New Roman"/>
                      <w:color w:val="auto"/>
                    </w:rPr>
                    <w:t>《吉木萨尔北庭工业园区国土空间专项规划（2025-2035年）环境影响报告书》及审查意见。</w:t>
                  </w:r>
                </w:p>
                <w:p w14:paraId="68CB14DA">
                  <w:pPr>
                    <w:pStyle w:val="78"/>
                    <w:jc w:val="both"/>
                    <w:rPr>
                      <w:rFonts w:cs="Times New Roman"/>
                      <w:color w:val="auto"/>
                    </w:rPr>
                  </w:pPr>
                  <w:r>
                    <w:rPr>
                      <w:rFonts w:cs="Times New Roman"/>
                      <w:color w:val="auto"/>
                      <w:szCs w:val="21"/>
                    </w:rPr>
                    <w:t>（2）本项目符合《产业结构调整指导目录（2024本）》，符合国家及地方的相关产业政策。</w:t>
                  </w:r>
                </w:p>
              </w:tc>
              <w:tc>
                <w:tcPr>
                  <w:tcW w:w="580" w:type="pct"/>
                  <w:vMerge w:val="restart"/>
                </w:tcPr>
                <w:p w14:paraId="51EBE548">
                  <w:pPr>
                    <w:pStyle w:val="78"/>
                    <w:rPr>
                      <w:rFonts w:cs="Times New Roman"/>
                      <w:color w:val="auto"/>
                    </w:rPr>
                  </w:pPr>
                  <w:r>
                    <w:rPr>
                      <w:rFonts w:cs="Times New Roman"/>
                      <w:color w:val="auto"/>
                    </w:rPr>
                    <w:t>符合</w:t>
                  </w:r>
                </w:p>
              </w:tc>
            </w:tr>
            <w:tr w14:paraId="54E71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 w:type="pct"/>
                  <w:vMerge w:val="continue"/>
                </w:tcPr>
                <w:p w14:paraId="4BC9FAB8">
                  <w:pPr>
                    <w:pStyle w:val="78"/>
                    <w:rPr>
                      <w:rFonts w:cs="Times New Roman"/>
                      <w:color w:val="auto"/>
                    </w:rPr>
                  </w:pPr>
                </w:p>
              </w:tc>
              <w:tc>
                <w:tcPr>
                  <w:tcW w:w="465" w:type="pct"/>
                  <w:vMerge w:val="continue"/>
                </w:tcPr>
                <w:p w14:paraId="1EA44D39">
                  <w:pPr>
                    <w:pStyle w:val="78"/>
                    <w:rPr>
                      <w:rFonts w:cs="Times New Roman"/>
                      <w:color w:val="auto"/>
                    </w:rPr>
                  </w:pPr>
                </w:p>
              </w:tc>
              <w:tc>
                <w:tcPr>
                  <w:tcW w:w="1940" w:type="pct"/>
                </w:tcPr>
                <w:p w14:paraId="20333829">
                  <w:pPr>
                    <w:pStyle w:val="78"/>
                    <w:rPr>
                      <w:rFonts w:cs="Times New Roman"/>
                      <w:color w:val="auto"/>
                    </w:rPr>
                  </w:pPr>
                  <w:r>
                    <w:rPr>
                      <w:rFonts w:cs="Times New Roman"/>
                      <w:color w:val="auto"/>
                    </w:rPr>
                    <w:t>〔A1.4-2〕新建、扩建石化、化工、焦化、有色金属冶炼、平板玻璃项目应布设在依法合规设立并经规划环评的产业园区。</w:t>
                  </w:r>
                </w:p>
              </w:tc>
              <w:tc>
                <w:tcPr>
                  <w:tcW w:w="1667" w:type="pct"/>
                  <w:vMerge w:val="continue"/>
                </w:tcPr>
                <w:p w14:paraId="67FE3610">
                  <w:pPr>
                    <w:pStyle w:val="78"/>
                    <w:rPr>
                      <w:rFonts w:cs="Times New Roman"/>
                      <w:color w:val="auto"/>
                    </w:rPr>
                  </w:pPr>
                </w:p>
              </w:tc>
              <w:tc>
                <w:tcPr>
                  <w:tcW w:w="580" w:type="pct"/>
                  <w:vMerge w:val="continue"/>
                </w:tcPr>
                <w:p w14:paraId="1E6CF45B">
                  <w:pPr>
                    <w:pStyle w:val="78"/>
                    <w:rPr>
                      <w:rFonts w:cs="Times New Roman"/>
                      <w:color w:val="auto"/>
                    </w:rPr>
                  </w:pPr>
                </w:p>
              </w:tc>
            </w:tr>
            <w:tr w14:paraId="5B52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348" w:type="pct"/>
                  <w:vMerge w:val="continue"/>
                </w:tcPr>
                <w:p w14:paraId="40E334DE">
                  <w:pPr>
                    <w:pStyle w:val="78"/>
                    <w:rPr>
                      <w:rFonts w:cs="Times New Roman"/>
                      <w:color w:val="auto"/>
                    </w:rPr>
                  </w:pPr>
                </w:p>
              </w:tc>
              <w:tc>
                <w:tcPr>
                  <w:tcW w:w="465" w:type="pct"/>
                  <w:vMerge w:val="continue"/>
                </w:tcPr>
                <w:p w14:paraId="676FF54C">
                  <w:pPr>
                    <w:pStyle w:val="78"/>
                    <w:rPr>
                      <w:rFonts w:cs="Times New Roman"/>
                      <w:color w:val="auto"/>
                    </w:rPr>
                  </w:pPr>
                </w:p>
              </w:tc>
              <w:tc>
                <w:tcPr>
                  <w:tcW w:w="1940" w:type="pct"/>
                </w:tcPr>
                <w:p w14:paraId="4D225DD8">
                  <w:pPr>
                    <w:pStyle w:val="78"/>
                    <w:rPr>
                      <w:rFonts w:cs="Times New Roman"/>
                      <w:color w:val="auto"/>
                    </w:rPr>
                  </w:pPr>
                  <w:r>
                    <w:rPr>
                      <w:rFonts w:cs="Times New Roman"/>
                      <w:color w:val="auto"/>
                    </w:rPr>
                    <w:t>〔A1.4-3〕危险化学品生产企业搬迁改造及新建化工项目必须进入国家及自治区各级人民政府正式批准设立，规划环评通过审查，规划通过审批且环保基础设施完善的工业园区，并符合国土空间规划、产业发展规划和生态红线管控要求。</w:t>
                  </w:r>
                </w:p>
              </w:tc>
              <w:tc>
                <w:tcPr>
                  <w:tcW w:w="1667" w:type="pct"/>
                  <w:vMerge w:val="continue"/>
                </w:tcPr>
                <w:p w14:paraId="3A76FD43">
                  <w:pPr>
                    <w:pStyle w:val="78"/>
                    <w:rPr>
                      <w:rFonts w:cs="Times New Roman"/>
                      <w:color w:val="auto"/>
                    </w:rPr>
                  </w:pPr>
                </w:p>
              </w:tc>
              <w:tc>
                <w:tcPr>
                  <w:tcW w:w="580" w:type="pct"/>
                  <w:vMerge w:val="continue"/>
                </w:tcPr>
                <w:p w14:paraId="01DECC5C">
                  <w:pPr>
                    <w:pStyle w:val="78"/>
                    <w:rPr>
                      <w:rFonts w:cs="Times New Roman"/>
                      <w:color w:val="auto"/>
                    </w:rPr>
                  </w:pPr>
                </w:p>
              </w:tc>
            </w:tr>
            <w:tr w14:paraId="70BE0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 w:type="pct"/>
                  <w:vMerge w:val="restart"/>
                </w:tcPr>
                <w:p w14:paraId="098A0F33">
                  <w:pPr>
                    <w:pStyle w:val="78"/>
                    <w:rPr>
                      <w:rFonts w:cs="Times New Roman"/>
                      <w:color w:val="auto"/>
                    </w:rPr>
                  </w:pPr>
                  <w:r>
                    <w:rPr>
                      <w:rFonts w:cs="Times New Roman"/>
                      <w:color w:val="auto"/>
                    </w:rPr>
                    <w:t>A2污染物排放管控</w:t>
                  </w:r>
                </w:p>
              </w:tc>
              <w:tc>
                <w:tcPr>
                  <w:tcW w:w="465" w:type="pct"/>
                  <w:vMerge w:val="restart"/>
                </w:tcPr>
                <w:p w14:paraId="1075D246">
                  <w:pPr>
                    <w:pStyle w:val="78"/>
                    <w:rPr>
                      <w:rFonts w:cs="Times New Roman"/>
                      <w:color w:val="auto"/>
                    </w:rPr>
                  </w:pPr>
                  <w:r>
                    <w:rPr>
                      <w:rFonts w:cs="Times New Roman"/>
                      <w:color w:val="auto"/>
                    </w:rPr>
                    <w:t>A2.1污染物削减/替代要求</w:t>
                  </w:r>
                </w:p>
              </w:tc>
              <w:tc>
                <w:tcPr>
                  <w:tcW w:w="1940" w:type="pct"/>
                </w:tcPr>
                <w:p w14:paraId="13108A7E">
                  <w:pPr>
                    <w:pStyle w:val="78"/>
                    <w:rPr>
                      <w:rFonts w:cs="Times New Roman"/>
                      <w:color w:val="auto"/>
                    </w:rPr>
                  </w:pPr>
                  <w:r>
                    <w:rPr>
                      <w:rFonts w:cs="Times New Roman"/>
                      <w:color w:val="auto"/>
                    </w:rPr>
                    <w:t>〔A2.1-2〕以石化、化工、涂装、医药、包装印刷、油品储运销等行业领域为重点，安全高效推进挥发性有机物综合治理，实施原辅材料和产品源头替代工程。</w:t>
                  </w:r>
                </w:p>
              </w:tc>
              <w:tc>
                <w:tcPr>
                  <w:tcW w:w="1667" w:type="pct"/>
                </w:tcPr>
                <w:p w14:paraId="7C9DCD0D">
                  <w:pPr>
                    <w:pStyle w:val="78"/>
                    <w:jc w:val="both"/>
                    <w:rPr>
                      <w:rFonts w:cs="Times New Roman"/>
                      <w:color w:val="auto"/>
                    </w:rPr>
                  </w:pPr>
                  <w:r>
                    <w:rPr>
                      <w:rFonts w:cs="Times New Roman"/>
                      <w:color w:val="auto"/>
                    </w:rPr>
                    <w:t>本项目属于油品储运销行业，为VOC 治理重点领域。项目罐区采用内浮顶罐+氮封密闭控挥发，装卸区采用密闭底部装车；配套吸收+双通道冷凝+活性炭吸附三级油气回收装置，设计处理量</w:t>
                  </w:r>
                  <w:r>
                    <w:rPr>
                      <w:rFonts w:hint="eastAsia" w:cs="Times New Roman"/>
                      <w:color w:val="auto"/>
                    </w:rPr>
                    <w:t>10万</w:t>
                  </w:r>
                  <w:r>
                    <w:rPr>
                      <w:rFonts w:cs="Times New Roman"/>
                      <w:color w:val="auto"/>
                    </w:rPr>
                    <w:t>Nm³/h，综合去除效率</w:t>
                  </w:r>
                  <w:r>
                    <w:rPr>
                      <w:rFonts w:hint="eastAsia" w:cs="Times New Roman"/>
                      <w:color w:val="auto"/>
                    </w:rPr>
                    <w:t>可达99</w:t>
                  </w:r>
                  <w:r>
                    <w:rPr>
                      <w:rFonts w:cs="Times New Roman"/>
                      <w:color w:val="auto"/>
                    </w:rPr>
                    <w:t>%，</w:t>
                  </w:r>
                  <w:r>
                    <w:rPr>
                      <w:rFonts w:hint="eastAsia" w:cs="Times New Roman"/>
                      <w:color w:val="auto"/>
                    </w:rPr>
                    <w:t>本次环评取97%，</w:t>
                  </w:r>
                  <w:r>
                    <w:rPr>
                      <w:rFonts w:cs="Times New Roman"/>
                      <w:color w:val="auto"/>
                    </w:rPr>
                    <w:t>从源头密闭到末端治理全流程管控VOCs，属于储运行业VOCs深度治理工程。</w:t>
                  </w:r>
                </w:p>
              </w:tc>
              <w:tc>
                <w:tcPr>
                  <w:tcW w:w="580" w:type="pct"/>
                </w:tcPr>
                <w:p w14:paraId="4CD05E4A">
                  <w:pPr>
                    <w:pStyle w:val="78"/>
                    <w:rPr>
                      <w:rFonts w:cs="Times New Roman"/>
                      <w:color w:val="auto"/>
                    </w:rPr>
                  </w:pPr>
                  <w:r>
                    <w:rPr>
                      <w:rFonts w:cs="Times New Roman"/>
                      <w:color w:val="auto"/>
                    </w:rPr>
                    <w:t>符合</w:t>
                  </w:r>
                </w:p>
              </w:tc>
            </w:tr>
            <w:tr w14:paraId="79D5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348" w:type="pct"/>
                  <w:vMerge w:val="continue"/>
                </w:tcPr>
                <w:p w14:paraId="4997EA31">
                  <w:pPr>
                    <w:pStyle w:val="78"/>
                    <w:rPr>
                      <w:rFonts w:cs="Times New Roman"/>
                      <w:color w:val="auto"/>
                    </w:rPr>
                  </w:pPr>
                </w:p>
              </w:tc>
              <w:tc>
                <w:tcPr>
                  <w:tcW w:w="465" w:type="pct"/>
                  <w:vMerge w:val="continue"/>
                </w:tcPr>
                <w:p w14:paraId="640046AC">
                  <w:pPr>
                    <w:pStyle w:val="78"/>
                    <w:rPr>
                      <w:rFonts w:cs="Times New Roman"/>
                      <w:color w:val="auto"/>
                    </w:rPr>
                  </w:pPr>
                </w:p>
              </w:tc>
              <w:tc>
                <w:tcPr>
                  <w:tcW w:w="1940" w:type="pct"/>
                </w:tcPr>
                <w:p w14:paraId="79A42267">
                  <w:pPr>
                    <w:pStyle w:val="78"/>
                    <w:rPr>
                      <w:rFonts w:cs="Times New Roman"/>
                      <w:color w:val="auto"/>
                    </w:rPr>
                  </w:pPr>
                  <w:r>
                    <w:rPr>
                      <w:rFonts w:cs="Times New Roman"/>
                      <w:color w:val="auto"/>
                    </w:rPr>
                    <w:t>〔A2.1-4〕严控建材、铸造、冶炼等行业无组织排放，推进石化、化工、涂装、医药、包装印刷、油品储运销等行业项目挥发性有机物（VOCs）防治。严格有色金属冶炼、石油加工、化工、焦化等行业项目的土壤、地下水污染防治措施要求。推进工业园区和企业集群建设涉VOCs“绿岛”项目，统筹规划建设一批集中涂装中心、活性炭集中处理中心、溶剂回收中心等，实现VOCs集中高效处理。</w:t>
                  </w:r>
                </w:p>
              </w:tc>
              <w:tc>
                <w:tcPr>
                  <w:tcW w:w="1667" w:type="pct"/>
                </w:tcPr>
                <w:p w14:paraId="28C8B52B">
                  <w:pPr>
                    <w:pStyle w:val="78"/>
                    <w:jc w:val="both"/>
                    <w:rPr>
                      <w:rFonts w:cs="Times New Roman"/>
                      <w:color w:val="auto"/>
                      <w:szCs w:val="21"/>
                    </w:rPr>
                  </w:pPr>
                  <w:r>
                    <w:rPr>
                      <w:rFonts w:cs="Times New Roman"/>
                      <w:color w:val="auto"/>
                    </w:rPr>
                    <w:t>（1）</w:t>
                  </w:r>
                  <w:r>
                    <w:rPr>
                      <w:rFonts w:cs="Times New Roman"/>
                      <w:color w:val="auto"/>
                      <w:szCs w:val="21"/>
                    </w:rPr>
                    <w:t>各物料均使用内浮顶罐储存；采用底部装车方式，配套油气回收装置。</w:t>
                  </w:r>
                </w:p>
                <w:p w14:paraId="36DAEDE4">
                  <w:pPr>
                    <w:pStyle w:val="78"/>
                    <w:jc w:val="both"/>
                    <w:rPr>
                      <w:rFonts w:cs="Times New Roman"/>
                      <w:color w:val="auto"/>
                    </w:rPr>
                  </w:pPr>
                  <w:r>
                    <w:rPr>
                      <w:rFonts w:cs="Times New Roman"/>
                      <w:color w:val="auto"/>
                    </w:rPr>
                    <w:t>（2）</w:t>
                  </w:r>
                  <w:r>
                    <w:rPr>
                      <w:rFonts w:cs="Times New Roman"/>
                      <w:color w:val="auto"/>
                      <w:szCs w:val="21"/>
                    </w:rPr>
                    <w:t>厂内采用土壤、地下水污染防治措施，并提出有效的土壤、地下水监控和应急方案，符合《石油化工工程防渗技术规范》（GB/T50934-2013）要求分区防渗处理。</w:t>
                  </w:r>
                </w:p>
              </w:tc>
              <w:tc>
                <w:tcPr>
                  <w:tcW w:w="580" w:type="pct"/>
                </w:tcPr>
                <w:p w14:paraId="07E5114F">
                  <w:pPr>
                    <w:pStyle w:val="78"/>
                    <w:rPr>
                      <w:rFonts w:cs="Times New Roman"/>
                      <w:color w:val="auto"/>
                    </w:rPr>
                  </w:pPr>
                  <w:r>
                    <w:rPr>
                      <w:rFonts w:cs="Times New Roman"/>
                      <w:color w:val="auto"/>
                    </w:rPr>
                    <w:t>符合</w:t>
                  </w:r>
                </w:p>
              </w:tc>
            </w:tr>
            <w:tr w14:paraId="4C77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9" w:hRule="atLeast"/>
                <w:jc w:val="center"/>
              </w:trPr>
              <w:tc>
                <w:tcPr>
                  <w:tcW w:w="348" w:type="pct"/>
                  <w:vMerge w:val="restart"/>
                </w:tcPr>
                <w:p w14:paraId="3CB1CFC3">
                  <w:pPr>
                    <w:pStyle w:val="78"/>
                    <w:rPr>
                      <w:rFonts w:cs="Times New Roman"/>
                      <w:color w:val="auto"/>
                    </w:rPr>
                  </w:pPr>
                  <w:r>
                    <w:rPr>
                      <w:rFonts w:cs="Times New Roman"/>
                      <w:color w:val="auto"/>
                    </w:rPr>
                    <w:t>A3环境风险防控</w:t>
                  </w:r>
                </w:p>
              </w:tc>
              <w:tc>
                <w:tcPr>
                  <w:tcW w:w="465" w:type="pct"/>
                  <w:vMerge w:val="restart"/>
                </w:tcPr>
                <w:p w14:paraId="0C7C5199">
                  <w:pPr>
                    <w:pStyle w:val="78"/>
                    <w:rPr>
                      <w:rFonts w:cs="Times New Roman"/>
                      <w:color w:val="auto"/>
                    </w:rPr>
                  </w:pPr>
                  <w:r>
                    <w:rPr>
                      <w:rFonts w:cs="Times New Roman"/>
                      <w:color w:val="auto"/>
                    </w:rPr>
                    <w:t>A3.1人居环境要求</w:t>
                  </w:r>
                </w:p>
              </w:tc>
              <w:tc>
                <w:tcPr>
                  <w:tcW w:w="1940" w:type="pct"/>
                </w:tcPr>
                <w:p w14:paraId="18530153">
                  <w:pPr>
                    <w:pStyle w:val="78"/>
                    <w:rPr>
                      <w:rFonts w:cs="Times New Roman"/>
                      <w:color w:val="auto"/>
                    </w:rPr>
                  </w:pPr>
                  <w:r>
                    <w:rPr>
                      <w:rFonts w:cs="Times New Roman"/>
                      <w:color w:val="auto"/>
                    </w:rPr>
                    <w:t>〔A3.1-3〕强化重污染天气监测预报预警能力，建立和完善重污染天气兵地联合应急预案、预警应急机制和会商联动机制，加强轻、中度污染天气管控。</w:t>
                  </w:r>
                </w:p>
              </w:tc>
              <w:tc>
                <w:tcPr>
                  <w:tcW w:w="1667" w:type="pct"/>
                </w:tcPr>
                <w:p w14:paraId="43667D1B">
                  <w:pPr>
                    <w:pStyle w:val="78"/>
                    <w:rPr>
                      <w:rFonts w:cs="Times New Roman"/>
                      <w:color w:val="auto"/>
                    </w:rPr>
                  </w:pPr>
                  <w:r>
                    <w:rPr>
                      <w:rFonts w:cs="Times New Roman"/>
                      <w:color w:val="auto"/>
                    </w:rPr>
                    <w:t>本项目将按照《重污染天气重点行业应急减排措施制定技术指南（2020年修订版）》炼油与石油化工行业A级企业绩效分级指标进行改造。</w:t>
                  </w:r>
                </w:p>
              </w:tc>
              <w:tc>
                <w:tcPr>
                  <w:tcW w:w="580" w:type="pct"/>
                </w:tcPr>
                <w:p w14:paraId="4DDA583D">
                  <w:pPr>
                    <w:pStyle w:val="78"/>
                    <w:rPr>
                      <w:rFonts w:cs="Times New Roman"/>
                      <w:color w:val="auto"/>
                    </w:rPr>
                  </w:pPr>
                  <w:r>
                    <w:rPr>
                      <w:rFonts w:cs="Times New Roman"/>
                      <w:color w:val="auto"/>
                    </w:rPr>
                    <w:t>符合</w:t>
                  </w:r>
                </w:p>
              </w:tc>
            </w:tr>
            <w:tr w14:paraId="5DD7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 w:type="pct"/>
                  <w:vMerge w:val="continue"/>
                </w:tcPr>
                <w:p w14:paraId="36DB30F2">
                  <w:pPr>
                    <w:pStyle w:val="78"/>
                    <w:rPr>
                      <w:rFonts w:cs="Times New Roman"/>
                      <w:color w:val="auto"/>
                    </w:rPr>
                  </w:pPr>
                </w:p>
              </w:tc>
              <w:tc>
                <w:tcPr>
                  <w:tcW w:w="465" w:type="pct"/>
                  <w:vMerge w:val="continue"/>
                </w:tcPr>
                <w:p w14:paraId="11F18896">
                  <w:pPr>
                    <w:pStyle w:val="78"/>
                    <w:rPr>
                      <w:rFonts w:cs="Times New Roman"/>
                      <w:color w:val="auto"/>
                    </w:rPr>
                  </w:pPr>
                </w:p>
              </w:tc>
              <w:tc>
                <w:tcPr>
                  <w:tcW w:w="1940" w:type="pct"/>
                </w:tcPr>
                <w:p w14:paraId="7A119FB5">
                  <w:pPr>
                    <w:pStyle w:val="78"/>
                    <w:rPr>
                      <w:rFonts w:cs="Times New Roman"/>
                      <w:color w:val="auto"/>
                    </w:rPr>
                  </w:pPr>
                  <w:r>
                    <w:rPr>
                      <w:rFonts w:cs="Times New Roman"/>
                      <w:color w:val="auto"/>
                    </w:rPr>
                    <w:t>〔A3.2-4〕加强环境风险预警防控。加强涉危险废物企业、涉重金属企业、化工园区、集中式饮用水水源地及重点流域环境风险调查评估，实施分类分级风险管控，协同推进重点区域、流域生态环境污染综合防治、风险防控与生态修复。</w:t>
                  </w:r>
                </w:p>
              </w:tc>
              <w:tc>
                <w:tcPr>
                  <w:tcW w:w="1667" w:type="pct"/>
                </w:tcPr>
                <w:p w14:paraId="1128CBF5">
                  <w:pPr>
                    <w:pStyle w:val="78"/>
                    <w:rPr>
                      <w:rFonts w:cs="Times New Roman"/>
                      <w:color w:val="auto"/>
                    </w:rPr>
                  </w:pPr>
                  <w:r>
                    <w:rPr>
                      <w:rFonts w:cs="Times New Roman"/>
                      <w:color w:val="auto"/>
                      <w:szCs w:val="21"/>
                    </w:rPr>
                    <w:t>本项目产生的危险废物委托具有相应危险废物处置资质的单位安全处置。</w:t>
                  </w:r>
                </w:p>
              </w:tc>
              <w:tc>
                <w:tcPr>
                  <w:tcW w:w="580" w:type="pct"/>
                </w:tcPr>
                <w:p w14:paraId="65252A60">
                  <w:pPr>
                    <w:pStyle w:val="78"/>
                    <w:rPr>
                      <w:rFonts w:cs="Times New Roman"/>
                      <w:color w:val="auto"/>
                    </w:rPr>
                  </w:pPr>
                  <w:r>
                    <w:rPr>
                      <w:rFonts w:cs="Times New Roman"/>
                      <w:color w:val="auto"/>
                    </w:rPr>
                    <w:t>符合</w:t>
                  </w:r>
                </w:p>
              </w:tc>
            </w:tr>
            <w:tr w14:paraId="014EE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 w:type="pct"/>
                  <w:vMerge w:val="continue"/>
                </w:tcPr>
                <w:p w14:paraId="34B3E423">
                  <w:pPr>
                    <w:pStyle w:val="78"/>
                    <w:rPr>
                      <w:rFonts w:cs="Times New Roman"/>
                      <w:color w:val="auto"/>
                    </w:rPr>
                  </w:pPr>
                </w:p>
              </w:tc>
              <w:tc>
                <w:tcPr>
                  <w:tcW w:w="465" w:type="pct"/>
                  <w:vMerge w:val="continue"/>
                </w:tcPr>
                <w:p w14:paraId="7443E56F">
                  <w:pPr>
                    <w:pStyle w:val="78"/>
                    <w:rPr>
                      <w:rFonts w:cs="Times New Roman"/>
                      <w:color w:val="auto"/>
                    </w:rPr>
                  </w:pPr>
                </w:p>
              </w:tc>
              <w:tc>
                <w:tcPr>
                  <w:tcW w:w="1940" w:type="pct"/>
                </w:tcPr>
                <w:p w14:paraId="6BC5C18B">
                  <w:pPr>
                    <w:pStyle w:val="78"/>
                    <w:rPr>
                      <w:rFonts w:cs="Times New Roman"/>
                      <w:color w:val="auto"/>
                    </w:rPr>
                  </w:pPr>
                  <w:r>
                    <w:rPr>
                      <w:rFonts w:cs="Times New Roman"/>
                      <w:color w:val="auto"/>
                    </w:rPr>
                    <w:t>〔A3.2-5〕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1667" w:type="pct"/>
                </w:tcPr>
                <w:p w14:paraId="1C9ED2D5">
                  <w:pPr>
                    <w:pStyle w:val="78"/>
                    <w:rPr>
                      <w:rFonts w:cs="Times New Roman"/>
                      <w:color w:val="auto"/>
                    </w:rPr>
                  </w:pPr>
                  <w:r>
                    <w:rPr>
                      <w:rFonts w:cs="Times New Roman"/>
                      <w:color w:val="auto"/>
                    </w:rPr>
                    <w:t>项目设计阶段已按照生态环境应急管理相关规范，规划了应急预案编制、电子化备案、应急物资仓库、应急监测设备配置、常态化应急演练等全套方案，待项目建成投运前，将完成应急预案电子化备案、配齐应急处置物资与监测装备、建立应急物资信息化台账，并按要求定期组织应急演练，全面满足生态环境应急管理管控要求。</w:t>
                  </w:r>
                </w:p>
              </w:tc>
              <w:tc>
                <w:tcPr>
                  <w:tcW w:w="580" w:type="pct"/>
                </w:tcPr>
                <w:p w14:paraId="140AE70F">
                  <w:pPr>
                    <w:pStyle w:val="78"/>
                    <w:rPr>
                      <w:rFonts w:cs="Times New Roman"/>
                      <w:color w:val="auto"/>
                    </w:rPr>
                  </w:pPr>
                  <w:r>
                    <w:rPr>
                      <w:rFonts w:cs="Times New Roman"/>
                      <w:color w:val="auto"/>
                    </w:rPr>
                    <w:t>符合</w:t>
                  </w:r>
                </w:p>
              </w:tc>
            </w:tr>
            <w:tr w14:paraId="4C54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 w:type="pct"/>
                  <w:vMerge w:val="restart"/>
                </w:tcPr>
                <w:p w14:paraId="4C1A2272">
                  <w:pPr>
                    <w:pStyle w:val="78"/>
                    <w:rPr>
                      <w:rFonts w:cs="Times New Roman"/>
                      <w:color w:val="auto"/>
                    </w:rPr>
                  </w:pPr>
                  <w:r>
                    <w:rPr>
                      <w:rFonts w:cs="Times New Roman"/>
                      <w:color w:val="auto"/>
                    </w:rPr>
                    <w:t>A4资源利用要求</w:t>
                  </w:r>
                </w:p>
              </w:tc>
              <w:tc>
                <w:tcPr>
                  <w:tcW w:w="465" w:type="pct"/>
                </w:tcPr>
                <w:p w14:paraId="21A85B04">
                  <w:pPr>
                    <w:pStyle w:val="78"/>
                    <w:rPr>
                      <w:rFonts w:cs="Times New Roman"/>
                      <w:color w:val="auto"/>
                    </w:rPr>
                  </w:pPr>
                  <w:r>
                    <w:rPr>
                      <w:rFonts w:cs="Times New Roman"/>
                      <w:color w:val="auto"/>
                    </w:rPr>
                    <w:t>A4.1水资源</w:t>
                  </w:r>
                </w:p>
              </w:tc>
              <w:tc>
                <w:tcPr>
                  <w:tcW w:w="1940" w:type="pct"/>
                </w:tcPr>
                <w:p w14:paraId="52B86119">
                  <w:pPr>
                    <w:pStyle w:val="78"/>
                    <w:rPr>
                      <w:rFonts w:cs="Times New Roman"/>
                      <w:color w:val="auto"/>
                    </w:rPr>
                  </w:pPr>
                  <w:r>
                    <w:rPr>
                      <w:rFonts w:cs="Times New Roman"/>
                      <w:color w:val="auto"/>
                    </w:rPr>
                    <w:t>〔A4.1-4〕地下水资源利用实行总量控制和水位控制。取用地下水资源，应当按照国家和自治区有关规定申请取水许可。地下水利用应当以浅层地下水为主。</w:t>
                  </w:r>
                </w:p>
              </w:tc>
              <w:tc>
                <w:tcPr>
                  <w:tcW w:w="1667" w:type="pct"/>
                </w:tcPr>
                <w:p w14:paraId="0671E237">
                  <w:pPr>
                    <w:pStyle w:val="78"/>
                    <w:rPr>
                      <w:rFonts w:cs="Times New Roman"/>
                      <w:color w:val="auto"/>
                    </w:rPr>
                  </w:pPr>
                  <w:r>
                    <w:rPr>
                      <w:rFonts w:cs="Times New Roman"/>
                      <w:color w:val="auto"/>
                    </w:rPr>
                    <w:t>本项目不利用地下水。</w:t>
                  </w:r>
                </w:p>
              </w:tc>
              <w:tc>
                <w:tcPr>
                  <w:tcW w:w="580" w:type="pct"/>
                </w:tcPr>
                <w:p w14:paraId="59FFFB32">
                  <w:pPr>
                    <w:pStyle w:val="78"/>
                    <w:rPr>
                      <w:rFonts w:cs="Times New Roman"/>
                      <w:color w:val="auto"/>
                    </w:rPr>
                  </w:pPr>
                  <w:r>
                    <w:rPr>
                      <w:rFonts w:cs="Times New Roman"/>
                      <w:color w:val="auto"/>
                    </w:rPr>
                    <w:t>符合</w:t>
                  </w:r>
                </w:p>
              </w:tc>
            </w:tr>
            <w:tr w14:paraId="16B0A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 w:type="pct"/>
                  <w:vMerge w:val="continue"/>
                </w:tcPr>
                <w:p w14:paraId="63EE2A76">
                  <w:pPr>
                    <w:pStyle w:val="78"/>
                    <w:rPr>
                      <w:rFonts w:cs="Times New Roman"/>
                      <w:color w:val="auto"/>
                    </w:rPr>
                  </w:pPr>
                </w:p>
              </w:tc>
              <w:tc>
                <w:tcPr>
                  <w:tcW w:w="465" w:type="pct"/>
                </w:tcPr>
                <w:p w14:paraId="42DFE0E3">
                  <w:pPr>
                    <w:pStyle w:val="78"/>
                    <w:rPr>
                      <w:rFonts w:cs="Times New Roman"/>
                      <w:color w:val="auto"/>
                    </w:rPr>
                  </w:pPr>
                  <w:r>
                    <w:rPr>
                      <w:rFonts w:cs="Times New Roman"/>
                      <w:color w:val="auto"/>
                    </w:rPr>
                    <w:t>A4.2土地资源</w:t>
                  </w:r>
                </w:p>
              </w:tc>
              <w:tc>
                <w:tcPr>
                  <w:tcW w:w="1940" w:type="pct"/>
                </w:tcPr>
                <w:p w14:paraId="21C32D26">
                  <w:pPr>
                    <w:pStyle w:val="78"/>
                    <w:rPr>
                      <w:rFonts w:cs="Times New Roman"/>
                      <w:color w:val="auto"/>
                    </w:rPr>
                  </w:pPr>
                  <w:r>
                    <w:rPr>
                      <w:rFonts w:cs="Times New Roman"/>
                      <w:color w:val="auto"/>
                    </w:rPr>
                    <w:t>〔A4.2-1〕土地资源上限指标控制在最终批复的国土空间规划控制指标内。</w:t>
                  </w:r>
                </w:p>
              </w:tc>
              <w:tc>
                <w:tcPr>
                  <w:tcW w:w="1667" w:type="pct"/>
                </w:tcPr>
                <w:p w14:paraId="57A7C59F">
                  <w:pPr>
                    <w:pStyle w:val="78"/>
                    <w:rPr>
                      <w:rFonts w:cs="Times New Roman"/>
                      <w:color w:val="auto"/>
                    </w:rPr>
                  </w:pPr>
                  <w:r>
                    <w:rPr>
                      <w:rFonts w:cs="Times New Roman"/>
                      <w:color w:val="auto"/>
                    </w:rPr>
                    <w:t>本项目在厂内建设，无新增工业用地。</w:t>
                  </w:r>
                </w:p>
              </w:tc>
              <w:tc>
                <w:tcPr>
                  <w:tcW w:w="580" w:type="pct"/>
                </w:tcPr>
                <w:p w14:paraId="5A555527">
                  <w:pPr>
                    <w:pStyle w:val="78"/>
                    <w:rPr>
                      <w:rFonts w:cs="Times New Roman"/>
                      <w:color w:val="auto"/>
                    </w:rPr>
                  </w:pPr>
                  <w:r>
                    <w:rPr>
                      <w:rFonts w:cs="Times New Roman"/>
                      <w:color w:val="auto"/>
                    </w:rPr>
                    <w:t>符合</w:t>
                  </w:r>
                </w:p>
              </w:tc>
            </w:tr>
            <w:tr w14:paraId="49AE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 w:type="pct"/>
                  <w:vMerge w:val="continue"/>
                </w:tcPr>
                <w:p w14:paraId="11AAE6E1">
                  <w:pPr>
                    <w:pStyle w:val="78"/>
                    <w:rPr>
                      <w:rFonts w:cs="Times New Roman"/>
                      <w:color w:val="auto"/>
                    </w:rPr>
                  </w:pPr>
                </w:p>
              </w:tc>
              <w:tc>
                <w:tcPr>
                  <w:tcW w:w="465" w:type="pct"/>
                </w:tcPr>
                <w:p w14:paraId="646811A4">
                  <w:pPr>
                    <w:pStyle w:val="78"/>
                    <w:rPr>
                      <w:rFonts w:cs="Times New Roman"/>
                      <w:color w:val="auto"/>
                    </w:rPr>
                  </w:pPr>
                  <w:r>
                    <w:rPr>
                      <w:rFonts w:cs="Times New Roman"/>
                      <w:color w:val="auto"/>
                    </w:rPr>
                    <w:t>A4.3能源利用</w:t>
                  </w:r>
                </w:p>
              </w:tc>
              <w:tc>
                <w:tcPr>
                  <w:tcW w:w="1940" w:type="pct"/>
                </w:tcPr>
                <w:p w14:paraId="07799A7F">
                  <w:pPr>
                    <w:pStyle w:val="78"/>
                    <w:rPr>
                      <w:rFonts w:cs="Times New Roman"/>
                      <w:color w:val="auto"/>
                    </w:rPr>
                  </w:pPr>
                  <w:r>
                    <w:rPr>
                      <w:rFonts w:cs="Times New Roman"/>
                      <w:color w:val="auto"/>
                    </w:rPr>
                    <w:t>〔A4.3-4〕鼓励使用清洁能源或电厂热力、工业余热等替代锅炉、炉窑燃料用煤。</w:t>
                  </w:r>
                </w:p>
              </w:tc>
              <w:tc>
                <w:tcPr>
                  <w:tcW w:w="1667" w:type="pct"/>
                </w:tcPr>
                <w:p w14:paraId="5F28AC69">
                  <w:pPr>
                    <w:pStyle w:val="78"/>
                    <w:jc w:val="both"/>
                    <w:rPr>
                      <w:rFonts w:cs="Times New Roman"/>
                      <w:color w:val="auto"/>
                    </w:rPr>
                  </w:pPr>
                  <w:r>
                    <w:rPr>
                      <w:rFonts w:cs="Times New Roman"/>
                      <w:color w:val="auto"/>
                    </w:rPr>
                    <w:t>本项目无生产用锅炉、加热炉等燃煤设施，不燃用煤炭；生产用蒸汽依托一期工程，一期工程中燃气锅炉的燃料为天然气，符合清洁能源替代管控导向。</w:t>
                  </w:r>
                </w:p>
              </w:tc>
              <w:tc>
                <w:tcPr>
                  <w:tcW w:w="580" w:type="pct"/>
                </w:tcPr>
                <w:p w14:paraId="366B33C7">
                  <w:pPr>
                    <w:pStyle w:val="78"/>
                    <w:rPr>
                      <w:rFonts w:cs="Times New Roman"/>
                      <w:color w:val="auto"/>
                    </w:rPr>
                  </w:pPr>
                  <w:r>
                    <w:rPr>
                      <w:rFonts w:cs="Times New Roman"/>
                      <w:color w:val="auto"/>
                    </w:rPr>
                    <w:t>符合</w:t>
                  </w:r>
                </w:p>
              </w:tc>
            </w:tr>
            <w:tr w14:paraId="26EC6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348" w:type="pct"/>
                  <w:vMerge w:val="continue"/>
                </w:tcPr>
                <w:p w14:paraId="356B2B36">
                  <w:pPr>
                    <w:pStyle w:val="78"/>
                    <w:rPr>
                      <w:rFonts w:cs="Times New Roman"/>
                      <w:color w:val="auto"/>
                    </w:rPr>
                  </w:pPr>
                </w:p>
              </w:tc>
              <w:tc>
                <w:tcPr>
                  <w:tcW w:w="465" w:type="pct"/>
                </w:tcPr>
                <w:p w14:paraId="6B6585BD">
                  <w:pPr>
                    <w:pStyle w:val="78"/>
                    <w:rPr>
                      <w:rFonts w:cs="Times New Roman"/>
                      <w:color w:val="auto"/>
                    </w:rPr>
                  </w:pPr>
                  <w:r>
                    <w:rPr>
                      <w:rFonts w:cs="Times New Roman"/>
                      <w:color w:val="auto"/>
                    </w:rPr>
                    <w:t>A4.4禁燃区要求</w:t>
                  </w:r>
                </w:p>
              </w:tc>
              <w:tc>
                <w:tcPr>
                  <w:tcW w:w="1940" w:type="pct"/>
                </w:tcPr>
                <w:p w14:paraId="30C89CAC">
                  <w:pPr>
                    <w:pStyle w:val="78"/>
                    <w:rPr>
                      <w:rFonts w:cs="Times New Roman"/>
                      <w:color w:val="auto"/>
                    </w:rPr>
                  </w:pPr>
                  <w:r>
                    <w:rPr>
                      <w:rFonts w:cs="Times New Roman"/>
                      <w:color w:val="auto"/>
                    </w:rPr>
                    <w:t>〔A4.4-1〕在禁燃区内，禁止销售、燃用高污染燃料；禁止新建、扩建燃用高污染燃料的设施。已建成的，应当在规定期限内改用清洁能源。</w:t>
                  </w:r>
                </w:p>
              </w:tc>
              <w:tc>
                <w:tcPr>
                  <w:tcW w:w="1667" w:type="pct"/>
                </w:tcPr>
                <w:p w14:paraId="1B2F3373">
                  <w:pPr>
                    <w:pStyle w:val="78"/>
                    <w:rPr>
                      <w:rFonts w:cs="Times New Roman"/>
                      <w:color w:val="auto"/>
                    </w:rPr>
                  </w:pPr>
                  <w:r>
                    <w:rPr>
                      <w:rFonts w:cs="Times New Roman"/>
                      <w:color w:val="auto"/>
                    </w:rPr>
                    <w:t>本项目项目无燃煤设施，符合禁燃区管控要求。</w:t>
                  </w:r>
                </w:p>
              </w:tc>
              <w:tc>
                <w:tcPr>
                  <w:tcW w:w="580" w:type="pct"/>
                </w:tcPr>
                <w:p w14:paraId="7CD588C2">
                  <w:pPr>
                    <w:pStyle w:val="78"/>
                    <w:rPr>
                      <w:rFonts w:cs="Times New Roman"/>
                      <w:color w:val="auto"/>
                    </w:rPr>
                  </w:pPr>
                  <w:r>
                    <w:rPr>
                      <w:rFonts w:cs="Times New Roman"/>
                      <w:color w:val="auto"/>
                    </w:rPr>
                    <w:t>符合</w:t>
                  </w:r>
                </w:p>
              </w:tc>
            </w:tr>
            <w:tr w14:paraId="34F70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 w:type="pct"/>
                  <w:vMerge w:val="continue"/>
                </w:tcPr>
                <w:p w14:paraId="572B8DFA">
                  <w:pPr>
                    <w:pStyle w:val="78"/>
                    <w:rPr>
                      <w:rFonts w:cs="Times New Roman"/>
                      <w:color w:val="auto"/>
                    </w:rPr>
                  </w:pPr>
                </w:p>
              </w:tc>
              <w:tc>
                <w:tcPr>
                  <w:tcW w:w="465" w:type="pct"/>
                </w:tcPr>
                <w:p w14:paraId="3CF294D3">
                  <w:pPr>
                    <w:pStyle w:val="78"/>
                    <w:rPr>
                      <w:rFonts w:cs="Times New Roman"/>
                      <w:color w:val="auto"/>
                    </w:rPr>
                  </w:pPr>
                  <w:r>
                    <w:rPr>
                      <w:rFonts w:cs="Times New Roman"/>
                      <w:color w:val="auto"/>
                    </w:rPr>
                    <w:t>A4.5资源综合利用</w:t>
                  </w:r>
                </w:p>
              </w:tc>
              <w:tc>
                <w:tcPr>
                  <w:tcW w:w="1940" w:type="pct"/>
                </w:tcPr>
                <w:p w14:paraId="414436CC">
                  <w:pPr>
                    <w:pStyle w:val="78"/>
                    <w:rPr>
                      <w:rFonts w:cs="Times New Roman"/>
                      <w:color w:val="auto"/>
                    </w:rPr>
                  </w:pPr>
                  <w:r>
                    <w:rPr>
                      <w:rFonts w:cs="Times New Roman"/>
                      <w:color w:val="auto"/>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等模式。以尾矿和共伴生矿、煤矸石、炉渣、粉煤灰、脱硫石膏、冶炼渣、建筑垃圾等为重点，持续推进固体废物综合利用和环境整治，不断提高大宗固体废物资源化利用水平。推行生活垃圾分类，加快建设县（市）生活垃圾处理设施，到2025年，全疆城市生活垃圾无害化处理率达到99%以上。</w:t>
                  </w:r>
                </w:p>
              </w:tc>
              <w:tc>
                <w:tcPr>
                  <w:tcW w:w="1667" w:type="pct"/>
                </w:tcPr>
                <w:p w14:paraId="70F70945">
                  <w:pPr>
                    <w:pStyle w:val="78"/>
                    <w:rPr>
                      <w:rFonts w:cs="Times New Roman"/>
                      <w:color w:val="auto"/>
                    </w:rPr>
                  </w:pPr>
                  <w:r>
                    <w:rPr>
                      <w:rFonts w:cs="Times New Roman"/>
                      <w:color w:val="auto"/>
                      <w:szCs w:val="21"/>
                    </w:rPr>
                    <w:t>本项目危险废物贮存执行《危险废物贮存污染控制标准》（GB18597-2023）。</w:t>
                  </w:r>
                </w:p>
              </w:tc>
              <w:tc>
                <w:tcPr>
                  <w:tcW w:w="580" w:type="pct"/>
                </w:tcPr>
                <w:p w14:paraId="502BA21D">
                  <w:pPr>
                    <w:pStyle w:val="78"/>
                    <w:rPr>
                      <w:rFonts w:cs="Times New Roman"/>
                      <w:color w:val="auto"/>
                    </w:rPr>
                  </w:pPr>
                  <w:r>
                    <w:rPr>
                      <w:rFonts w:cs="Times New Roman"/>
                      <w:color w:val="auto"/>
                    </w:rPr>
                    <w:t>符合</w:t>
                  </w:r>
                </w:p>
              </w:tc>
            </w:tr>
          </w:tbl>
          <w:p w14:paraId="58819B23">
            <w:pPr>
              <w:pStyle w:val="42"/>
              <w:ind w:firstLine="482"/>
              <w:rPr>
                <w:b/>
                <w:bCs/>
                <w:color w:val="000000"/>
              </w:rPr>
            </w:pPr>
          </w:p>
          <w:p w14:paraId="775ED1E6">
            <w:pPr>
              <w:pStyle w:val="42"/>
              <w:ind w:firstLine="0" w:firstLineChars="0"/>
              <w:rPr>
                <w:b/>
                <w:bCs/>
                <w:color w:val="000000"/>
              </w:rPr>
            </w:pPr>
            <w:r>
              <w:rPr>
                <w:b/>
                <w:bCs/>
                <w:color w:val="000000"/>
              </w:rPr>
              <w:t>3、与《昌吉回族自治州生态环境准入清单》符合性分析</w:t>
            </w:r>
          </w:p>
          <w:p w14:paraId="0BA74D75">
            <w:pPr>
              <w:pStyle w:val="66"/>
              <w:ind w:firstLine="480"/>
              <w:rPr>
                <w:rFonts w:cs="Times New Roman"/>
                <w:color w:val="000000"/>
              </w:rPr>
            </w:pPr>
            <w:r>
              <w:rPr>
                <w:rFonts w:cs="Times New Roman"/>
                <w:color w:val="000000"/>
              </w:rPr>
              <w:t>本项目位于昌吉回族自治州重点管控单元“吉木萨尔县北三台循环经济工业园区”环境管控单元编码ZH65232720003，不在生态保护红线范围内，本项目与《昌吉回族自治州生态环境准入清单》符合性分析见表1-6，本项目在昌吉回族自治州环境管控单元分布图中的位置见图1.1。</w:t>
            </w:r>
          </w:p>
          <w:p w14:paraId="2C53405F">
            <w:pPr>
              <w:pStyle w:val="66"/>
              <w:ind w:firstLine="480"/>
              <w:rPr>
                <w:rFonts w:cs="Times New Roman"/>
                <w:color w:val="000000"/>
              </w:rPr>
            </w:pPr>
            <w:r>
              <w:rPr>
                <w:rFonts w:cs="Times New Roman"/>
                <w:color w:val="000000"/>
              </w:rPr>
              <w:t>经分析，本项目符合《昌吉回族自治州生态环境准入清单》相关要求。</w:t>
            </w:r>
          </w:p>
          <w:p w14:paraId="10D93F33">
            <w:pPr>
              <w:pStyle w:val="42"/>
              <w:ind w:firstLine="422"/>
              <w:jc w:val="center"/>
              <w:rPr>
                <w:color w:val="000000"/>
              </w:rPr>
            </w:pPr>
            <w:r>
              <w:rPr>
                <w:b/>
                <w:bCs/>
                <w:color w:val="000000"/>
                <w:sz w:val="21"/>
                <w:szCs w:val="18"/>
              </w:rPr>
              <w:t>表1-6  生态环境准入清单一览表</w:t>
            </w:r>
          </w:p>
          <w:tbl>
            <w:tblPr>
              <w:tblStyle w:val="16"/>
              <w:tblW w:w="62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8"/>
              <w:gridCol w:w="567"/>
              <w:gridCol w:w="283"/>
              <w:gridCol w:w="1780"/>
              <w:gridCol w:w="2269"/>
              <w:gridCol w:w="677"/>
            </w:tblGrid>
            <w:tr w14:paraId="4A7E4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3" w:type="pct"/>
                  <w:tcBorders>
                    <w:top w:val="single" w:color="auto" w:sz="4" w:space="0"/>
                    <w:left w:val="single" w:color="auto" w:sz="4" w:space="0"/>
                    <w:bottom w:val="single" w:color="auto" w:sz="4" w:space="0"/>
                    <w:right w:val="single" w:color="auto" w:sz="4" w:space="0"/>
                  </w:tcBorders>
                  <w:vAlign w:val="center"/>
                </w:tcPr>
                <w:p w14:paraId="795A5453">
                  <w:pPr>
                    <w:pStyle w:val="51"/>
                    <w:rPr>
                      <w:sz w:val="21"/>
                      <w:szCs w:val="21"/>
                    </w:rPr>
                  </w:pPr>
                  <w:r>
                    <w:rPr>
                      <w:sz w:val="21"/>
                      <w:szCs w:val="21"/>
                    </w:rPr>
                    <w:t>环境管控单元编码</w:t>
                  </w:r>
                </w:p>
              </w:tc>
              <w:tc>
                <w:tcPr>
                  <w:tcW w:w="451" w:type="pct"/>
                  <w:tcBorders>
                    <w:top w:val="single" w:color="auto" w:sz="4" w:space="0"/>
                    <w:left w:val="single" w:color="auto" w:sz="4" w:space="0"/>
                    <w:bottom w:val="single" w:color="auto" w:sz="4" w:space="0"/>
                    <w:right w:val="single" w:color="auto" w:sz="4" w:space="0"/>
                  </w:tcBorders>
                  <w:vAlign w:val="center"/>
                </w:tcPr>
                <w:p w14:paraId="1961FB53">
                  <w:pPr>
                    <w:pStyle w:val="51"/>
                    <w:rPr>
                      <w:sz w:val="21"/>
                      <w:szCs w:val="21"/>
                    </w:rPr>
                  </w:pPr>
                  <w:r>
                    <w:rPr>
                      <w:sz w:val="21"/>
                      <w:szCs w:val="21"/>
                    </w:rPr>
                    <w:t>环境管控</w:t>
                  </w:r>
                </w:p>
                <w:p w14:paraId="5EF36CB4">
                  <w:pPr>
                    <w:pStyle w:val="51"/>
                    <w:rPr>
                      <w:sz w:val="21"/>
                      <w:szCs w:val="21"/>
                    </w:rPr>
                  </w:pPr>
                  <w:r>
                    <w:rPr>
                      <w:sz w:val="21"/>
                      <w:szCs w:val="21"/>
                    </w:rPr>
                    <w:t>单元名称</w:t>
                  </w:r>
                </w:p>
              </w:tc>
              <w:tc>
                <w:tcPr>
                  <w:tcW w:w="1641" w:type="pct"/>
                  <w:gridSpan w:val="2"/>
                  <w:tcBorders>
                    <w:top w:val="single" w:color="auto" w:sz="4" w:space="0"/>
                    <w:left w:val="single" w:color="auto" w:sz="4" w:space="0"/>
                    <w:bottom w:val="single" w:color="auto" w:sz="4" w:space="0"/>
                    <w:right w:val="single" w:color="auto" w:sz="4" w:space="0"/>
                  </w:tcBorders>
                  <w:vAlign w:val="center"/>
                </w:tcPr>
                <w:p w14:paraId="3B9E0F28">
                  <w:pPr>
                    <w:pStyle w:val="51"/>
                    <w:rPr>
                      <w:sz w:val="21"/>
                      <w:szCs w:val="21"/>
                    </w:rPr>
                  </w:pPr>
                  <w:r>
                    <w:rPr>
                      <w:sz w:val="21"/>
                      <w:szCs w:val="21"/>
                    </w:rPr>
                    <w:t>管控要求</w:t>
                  </w:r>
                </w:p>
              </w:tc>
              <w:tc>
                <w:tcPr>
                  <w:tcW w:w="1805" w:type="pct"/>
                  <w:tcBorders>
                    <w:top w:val="single" w:color="auto" w:sz="4" w:space="0"/>
                    <w:left w:val="single" w:color="auto" w:sz="4" w:space="0"/>
                    <w:bottom w:val="single" w:color="auto" w:sz="4" w:space="0"/>
                    <w:right w:val="single" w:color="auto" w:sz="4" w:space="0"/>
                  </w:tcBorders>
                  <w:vAlign w:val="center"/>
                </w:tcPr>
                <w:p w14:paraId="39B83C3C">
                  <w:pPr>
                    <w:pStyle w:val="51"/>
                    <w:rPr>
                      <w:sz w:val="21"/>
                      <w:szCs w:val="21"/>
                    </w:rPr>
                  </w:pPr>
                  <w:r>
                    <w:rPr>
                      <w:sz w:val="21"/>
                      <w:szCs w:val="21"/>
                    </w:rPr>
                    <w:t>本项目情况</w:t>
                  </w:r>
                </w:p>
              </w:tc>
              <w:tc>
                <w:tcPr>
                  <w:tcW w:w="539" w:type="pct"/>
                  <w:tcBorders>
                    <w:top w:val="single" w:color="auto" w:sz="4" w:space="0"/>
                    <w:left w:val="single" w:color="auto" w:sz="4" w:space="0"/>
                    <w:bottom w:val="single" w:color="auto" w:sz="4" w:space="0"/>
                    <w:right w:val="single" w:color="auto" w:sz="4" w:space="0"/>
                  </w:tcBorders>
                  <w:vAlign w:val="center"/>
                </w:tcPr>
                <w:p w14:paraId="6BEBA74E">
                  <w:pPr>
                    <w:pStyle w:val="51"/>
                    <w:rPr>
                      <w:sz w:val="21"/>
                      <w:szCs w:val="21"/>
                    </w:rPr>
                  </w:pPr>
                  <w:r>
                    <w:rPr>
                      <w:sz w:val="21"/>
                      <w:szCs w:val="21"/>
                    </w:rPr>
                    <w:t>符合性</w:t>
                  </w:r>
                </w:p>
              </w:tc>
            </w:tr>
            <w:tr w14:paraId="7C3D4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3" w:type="pct"/>
                  <w:vMerge w:val="restart"/>
                  <w:tcBorders>
                    <w:top w:val="single" w:color="auto" w:sz="4" w:space="0"/>
                    <w:left w:val="single" w:color="auto" w:sz="4" w:space="0"/>
                    <w:bottom w:val="single" w:color="auto" w:sz="4" w:space="0"/>
                    <w:right w:val="single" w:color="auto" w:sz="4" w:space="0"/>
                  </w:tcBorders>
                  <w:vAlign w:val="center"/>
                </w:tcPr>
                <w:p w14:paraId="6ABEA392">
                  <w:pPr>
                    <w:pStyle w:val="51"/>
                    <w:rPr>
                      <w:sz w:val="21"/>
                      <w:szCs w:val="21"/>
                    </w:rPr>
                  </w:pPr>
                  <w:r>
                    <w:rPr>
                      <w:sz w:val="21"/>
                      <w:szCs w:val="21"/>
                    </w:rPr>
                    <w:t>ZH65232720003</w:t>
                  </w:r>
                </w:p>
              </w:tc>
              <w:tc>
                <w:tcPr>
                  <w:tcW w:w="451" w:type="pct"/>
                  <w:vMerge w:val="restart"/>
                  <w:tcBorders>
                    <w:top w:val="single" w:color="auto" w:sz="4" w:space="0"/>
                    <w:left w:val="single" w:color="auto" w:sz="4" w:space="0"/>
                    <w:bottom w:val="single" w:color="auto" w:sz="4" w:space="0"/>
                    <w:right w:val="single" w:color="auto" w:sz="4" w:space="0"/>
                  </w:tcBorders>
                  <w:vAlign w:val="center"/>
                </w:tcPr>
                <w:p w14:paraId="2E95FF97">
                  <w:pPr>
                    <w:pStyle w:val="51"/>
                    <w:rPr>
                      <w:sz w:val="21"/>
                      <w:szCs w:val="21"/>
                    </w:rPr>
                  </w:pPr>
                  <w:r>
                    <w:rPr>
                      <w:sz w:val="21"/>
                      <w:szCs w:val="21"/>
                    </w:rPr>
                    <w:t>吉木萨尔县北三台循环经济工业园区</w:t>
                  </w:r>
                </w:p>
              </w:tc>
              <w:tc>
                <w:tcPr>
                  <w:tcW w:w="225" w:type="pct"/>
                  <w:tcBorders>
                    <w:top w:val="single" w:color="auto" w:sz="4" w:space="0"/>
                    <w:left w:val="single" w:color="auto" w:sz="4" w:space="0"/>
                    <w:bottom w:val="single" w:color="auto" w:sz="4" w:space="0"/>
                    <w:right w:val="single" w:color="auto" w:sz="4" w:space="0"/>
                  </w:tcBorders>
                  <w:vAlign w:val="center"/>
                </w:tcPr>
                <w:p w14:paraId="4B7B1EBE">
                  <w:pPr>
                    <w:pStyle w:val="51"/>
                    <w:rPr>
                      <w:sz w:val="21"/>
                      <w:szCs w:val="21"/>
                    </w:rPr>
                  </w:pPr>
                  <w:r>
                    <w:rPr>
                      <w:sz w:val="21"/>
                      <w:szCs w:val="21"/>
                    </w:rPr>
                    <w:t>空间布局约束</w:t>
                  </w:r>
                </w:p>
              </w:tc>
              <w:tc>
                <w:tcPr>
                  <w:tcW w:w="1416" w:type="pct"/>
                  <w:tcBorders>
                    <w:top w:val="single" w:color="auto" w:sz="4" w:space="0"/>
                    <w:left w:val="single" w:color="auto" w:sz="4" w:space="0"/>
                    <w:bottom w:val="single" w:color="auto" w:sz="4" w:space="0"/>
                    <w:right w:val="single" w:color="auto" w:sz="4" w:space="0"/>
                  </w:tcBorders>
                  <w:vAlign w:val="center"/>
                </w:tcPr>
                <w:p w14:paraId="24BBFA9D">
                  <w:pPr>
                    <w:pStyle w:val="51"/>
                    <w:rPr>
                      <w:sz w:val="21"/>
                      <w:szCs w:val="21"/>
                    </w:rPr>
                  </w:pPr>
                  <w:r>
                    <w:rPr>
                      <w:szCs w:val="21"/>
                    </w:rPr>
                    <w:t>1</w:t>
                  </w:r>
                  <w:r>
                    <w:rPr>
                      <w:sz w:val="21"/>
                      <w:szCs w:val="21"/>
                    </w:rPr>
                    <w:t>、入园企业需符合园区产业发展定位，产业发展以煤炭深加工、页岩油（石油）深加工、精细化工、金属冶炼及加工、铸造产业、现代制造及装备、新型建材及新材料装备、智慧能源利用产业为主导。</w:t>
                  </w:r>
                </w:p>
                <w:p w14:paraId="64D5F22F">
                  <w:pPr>
                    <w:pStyle w:val="51"/>
                    <w:rPr>
                      <w:sz w:val="21"/>
                      <w:szCs w:val="21"/>
                    </w:rPr>
                  </w:pPr>
                  <w:r>
                    <w:rPr>
                      <w:sz w:val="21"/>
                      <w:szCs w:val="21"/>
                    </w:rPr>
                    <w:t>2、入园企业需符合产业布局规划及土地利用规划。</w:t>
                  </w:r>
                </w:p>
              </w:tc>
              <w:tc>
                <w:tcPr>
                  <w:tcW w:w="1805" w:type="pct"/>
                  <w:tcBorders>
                    <w:top w:val="single" w:color="auto" w:sz="4" w:space="0"/>
                    <w:left w:val="single" w:color="auto" w:sz="4" w:space="0"/>
                    <w:bottom w:val="single" w:color="auto" w:sz="4" w:space="0"/>
                    <w:right w:val="single" w:color="auto" w:sz="4" w:space="0"/>
                  </w:tcBorders>
                  <w:vAlign w:val="center"/>
                </w:tcPr>
                <w:p w14:paraId="6D5569D2">
                  <w:pPr>
                    <w:pStyle w:val="51"/>
                    <w:rPr>
                      <w:sz w:val="21"/>
                      <w:szCs w:val="21"/>
                    </w:rPr>
                  </w:pPr>
                  <w:r>
                    <w:rPr>
                      <w:sz w:val="21"/>
                      <w:szCs w:val="21"/>
                    </w:rPr>
                    <w:t>（1）本项目以MTBE、异辛烷、轻质石脑油、混合芳烃、轻质燃料油、煤基柴油等为原料，通过调和罐的均匀调和后生产车用柴油、92号车用汽油（VIB）和95号车用汽油（VIB），属于石油产品后加工项目，符合规划的产业发展定位。</w:t>
                  </w:r>
                </w:p>
                <w:p w14:paraId="00C982BF">
                  <w:pPr>
                    <w:pStyle w:val="51"/>
                    <w:rPr>
                      <w:sz w:val="21"/>
                      <w:szCs w:val="21"/>
                    </w:rPr>
                  </w:pPr>
                  <w:r>
                    <w:rPr>
                      <w:sz w:val="21"/>
                      <w:szCs w:val="21"/>
                    </w:rPr>
                    <w:t>（2）本项目符合《吉木萨尔北庭工业园区国土空间专项规划（2025-2035年）》及《吉木萨尔北庭工业园区国土空间专项规划（2025-2035年）环境影响报告书》。</w:t>
                  </w:r>
                </w:p>
              </w:tc>
              <w:tc>
                <w:tcPr>
                  <w:tcW w:w="539" w:type="pct"/>
                  <w:tcBorders>
                    <w:top w:val="single" w:color="auto" w:sz="4" w:space="0"/>
                    <w:left w:val="single" w:color="auto" w:sz="4" w:space="0"/>
                    <w:bottom w:val="single" w:color="auto" w:sz="4" w:space="0"/>
                    <w:right w:val="single" w:color="auto" w:sz="4" w:space="0"/>
                  </w:tcBorders>
                  <w:vAlign w:val="center"/>
                </w:tcPr>
                <w:p w14:paraId="4DA98AC4">
                  <w:pPr>
                    <w:pStyle w:val="51"/>
                    <w:rPr>
                      <w:sz w:val="21"/>
                      <w:szCs w:val="21"/>
                    </w:rPr>
                  </w:pPr>
                  <w:r>
                    <w:rPr>
                      <w:sz w:val="21"/>
                      <w:szCs w:val="21"/>
                    </w:rPr>
                    <w:t>符合</w:t>
                  </w:r>
                </w:p>
              </w:tc>
            </w:tr>
            <w:tr w14:paraId="272B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3" w:type="pct"/>
                  <w:vMerge w:val="continue"/>
                  <w:tcBorders>
                    <w:top w:val="single" w:color="auto" w:sz="4" w:space="0"/>
                    <w:left w:val="single" w:color="auto" w:sz="4" w:space="0"/>
                    <w:bottom w:val="single" w:color="auto" w:sz="4" w:space="0"/>
                    <w:right w:val="single" w:color="auto" w:sz="4" w:space="0"/>
                  </w:tcBorders>
                  <w:vAlign w:val="center"/>
                </w:tcPr>
                <w:p w14:paraId="5722C5EB">
                  <w:pPr>
                    <w:jc w:val="center"/>
                    <w:rPr>
                      <w:rFonts w:ascii="Times New Roman" w:hAnsi="Times New Roman" w:cs="Times New Roman"/>
                      <w:color w:val="000000"/>
                      <w:szCs w:val="21"/>
                      <w:u w:color="000000"/>
                      <w:lang w:bidi="en-US"/>
                    </w:rPr>
                  </w:pPr>
                </w:p>
              </w:tc>
              <w:tc>
                <w:tcPr>
                  <w:tcW w:w="451" w:type="pct"/>
                  <w:vMerge w:val="continue"/>
                  <w:tcBorders>
                    <w:top w:val="single" w:color="auto" w:sz="4" w:space="0"/>
                    <w:left w:val="single" w:color="auto" w:sz="4" w:space="0"/>
                    <w:bottom w:val="single" w:color="auto" w:sz="4" w:space="0"/>
                    <w:right w:val="single" w:color="auto" w:sz="4" w:space="0"/>
                  </w:tcBorders>
                  <w:vAlign w:val="center"/>
                </w:tcPr>
                <w:p w14:paraId="6C0FAA9A">
                  <w:pPr>
                    <w:jc w:val="center"/>
                    <w:rPr>
                      <w:rFonts w:ascii="Times New Roman" w:hAnsi="Times New Roman" w:cs="Times New Roman"/>
                      <w:color w:val="000000"/>
                      <w:szCs w:val="21"/>
                      <w:u w:color="000000"/>
                      <w:lang w:bidi="en-US"/>
                    </w:rPr>
                  </w:pPr>
                </w:p>
              </w:tc>
              <w:tc>
                <w:tcPr>
                  <w:tcW w:w="225" w:type="pct"/>
                  <w:tcBorders>
                    <w:top w:val="single" w:color="auto" w:sz="4" w:space="0"/>
                    <w:left w:val="single" w:color="auto" w:sz="4" w:space="0"/>
                    <w:bottom w:val="single" w:color="auto" w:sz="4" w:space="0"/>
                    <w:right w:val="single" w:color="auto" w:sz="4" w:space="0"/>
                  </w:tcBorders>
                  <w:vAlign w:val="center"/>
                </w:tcPr>
                <w:p w14:paraId="3010B4CE">
                  <w:pPr>
                    <w:pStyle w:val="51"/>
                    <w:rPr>
                      <w:sz w:val="21"/>
                      <w:szCs w:val="21"/>
                    </w:rPr>
                  </w:pPr>
                  <w:r>
                    <w:rPr>
                      <w:sz w:val="21"/>
                      <w:szCs w:val="21"/>
                    </w:rPr>
                    <w:t>污染物排放管控</w:t>
                  </w:r>
                </w:p>
              </w:tc>
              <w:tc>
                <w:tcPr>
                  <w:tcW w:w="1416" w:type="pct"/>
                  <w:tcBorders>
                    <w:top w:val="single" w:color="auto" w:sz="4" w:space="0"/>
                    <w:left w:val="single" w:color="auto" w:sz="4" w:space="0"/>
                    <w:bottom w:val="single" w:color="auto" w:sz="4" w:space="0"/>
                    <w:right w:val="single" w:color="auto" w:sz="4" w:space="0"/>
                  </w:tcBorders>
                  <w:vAlign w:val="center"/>
                </w:tcPr>
                <w:p w14:paraId="0CFEAEED">
                  <w:pPr>
                    <w:pStyle w:val="51"/>
                    <w:rPr>
                      <w:sz w:val="21"/>
                      <w:szCs w:val="21"/>
                    </w:rPr>
                  </w:pPr>
                  <w:r>
                    <w:rPr>
                      <w:sz w:val="21"/>
                      <w:szCs w:val="21"/>
                    </w:rPr>
                    <w:t>1、推进重点行业深度治理，实施全工况脱硫脱硝提标改造，加大无组织排放治理力度，深度开展工业炉窑综合整治，全面提升电解铝、活性炭、硅冶炼、纯碱、电石、聚氯乙烯、石化等行业污染治理水平。2、新（改、扩）建化工项目应按照国家及自治区相关排放标准，采取有效措施从严控制特征污染物的逸散与排放，无组织排放应达到相应标准，严禁生产废水直接外排，产生的生化污泥或盐泥等固体废物要按照国家及自治区相关标准收集、贮存、运输、利用和处置，蒸发塘、晾晒池、氧化塘、暂存池等要严格按照相关标准进行建设。3、推动重点行业、重点企业绿色发展，严格落实水污染物排放标准。加强农副食品加工、化工、印染、棉浆粕、粘胶纤维等企业综合治理和清洁化改造。</w:t>
                  </w:r>
                </w:p>
              </w:tc>
              <w:tc>
                <w:tcPr>
                  <w:tcW w:w="1805" w:type="pct"/>
                  <w:tcBorders>
                    <w:top w:val="single" w:color="auto" w:sz="4" w:space="0"/>
                    <w:left w:val="single" w:color="auto" w:sz="4" w:space="0"/>
                    <w:bottom w:val="single" w:color="auto" w:sz="4" w:space="0"/>
                    <w:right w:val="single" w:color="auto" w:sz="4" w:space="0"/>
                  </w:tcBorders>
                  <w:vAlign w:val="center"/>
                </w:tcPr>
                <w:p w14:paraId="43F81CCA">
                  <w:pPr>
                    <w:pStyle w:val="51"/>
                    <w:rPr>
                      <w:sz w:val="21"/>
                      <w:szCs w:val="21"/>
                    </w:rPr>
                  </w:pPr>
                  <w:r>
                    <w:rPr>
                      <w:sz w:val="21"/>
                      <w:szCs w:val="21"/>
                    </w:rPr>
                    <w:t>（1）本项目为石油产品后加工项目，不属于需深度治理的行业。</w:t>
                  </w:r>
                </w:p>
                <w:p w14:paraId="56DAF5EB">
                  <w:pPr>
                    <w:pStyle w:val="51"/>
                    <w:rPr>
                      <w:sz w:val="21"/>
                      <w:szCs w:val="21"/>
                    </w:rPr>
                  </w:pPr>
                  <w:r>
                    <w:rPr>
                      <w:sz w:val="21"/>
                      <w:szCs w:val="21"/>
                    </w:rPr>
                    <w:t>（2）本项目废气执行《石油化学工业污染物排放标准》（GB31571-2015，含2024年修改单）表5大气污染物特别排放限值。</w:t>
                  </w:r>
                </w:p>
                <w:p w14:paraId="32EF5309">
                  <w:pPr>
                    <w:pStyle w:val="51"/>
                    <w:rPr>
                      <w:sz w:val="21"/>
                      <w:szCs w:val="21"/>
                    </w:rPr>
                  </w:pPr>
                  <w:r>
                    <w:rPr>
                      <w:sz w:val="21"/>
                      <w:szCs w:val="21"/>
                    </w:rPr>
                    <w:t>（3）本项目地面冲洗水与清罐废水，经污水处理站处理后送至园区污水处理厂，不外排。</w:t>
                  </w:r>
                </w:p>
              </w:tc>
              <w:tc>
                <w:tcPr>
                  <w:tcW w:w="539" w:type="pct"/>
                  <w:tcBorders>
                    <w:top w:val="single" w:color="auto" w:sz="4" w:space="0"/>
                    <w:left w:val="single" w:color="auto" w:sz="4" w:space="0"/>
                    <w:bottom w:val="single" w:color="auto" w:sz="4" w:space="0"/>
                    <w:right w:val="single" w:color="auto" w:sz="4" w:space="0"/>
                  </w:tcBorders>
                  <w:vAlign w:val="center"/>
                </w:tcPr>
                <w:p w14:paraId="2251620E">
                  <w:pPr>
                    <w:pStyle w:val="51"/>
                    <w:rPr>
                      <w:sz w:val="21"/>
                      <w:szCs w:val="21"/>
                    </w:rPr>
                  </w:pPr>
                  <w:r>
                    <w:rPr>
                      <w:sz w:val="21"/>
                      <w:szCs w:val="21"/>
                    </w:rPr>
                    <w:t>符合</w:t>
                  </w:r>
                </w:p>
              </w:tc>
            </w:tr>
            <w:tr w14:paraId="3B12C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76" w:hRule="atLeast"/>
              </w:trPr>
              <w:tc>
                <w:tcPr>
                  <w:tcW w:w="563" w:type="pct"/>
                  <w:vMerge w:val="continue"/>
                  <w:tcBorders>
                    <w:top w:val="single" w:color="auto" w:sz="4" w:space="0"/>
                    <w:left w:val="single" w:color="auto" w:sz="4" w:space="0"/>
                    <w:bottom w:val="single" w:color="auto" w:sz="4" w:space="0"/>
                    <w:right w:val="single" w:color="auto" w:sz="4" w:space="0"/>
                  </w:tcBorders>
                  <w:vAlign w:val="center"/>
                </w:tcPr>
                <w:p w14:paraId="4746D145">
                  <w:pPr>
                    <w:jc w:val="center"/>
                    <w:rPr>
                      <w:rFonts w:ascii="Times New Roman" w:hAnsi="Times New Roman" w:cs="Times New Roman"/>
                      <w:color w:val="000000"/>
                      <w:szCs w:val="21"/>
                      <w:u w:color="000000"/>
                      <w:lang w:bidi="en-US"/>
                    </w:rPr>
                  </w:pPr>
                </w:p>
              </w:tc>
              <w:tc>
                <w:tcPr>
                  <w:tcW w:w="451" w:type="pct"/>
                  <w:vMerge w:val="continue"/>
                  <w:tcBorders>
                    <w:top w:val="single" w:color="auto" w:sz="4" w:space="0"/>
                    <w:left w:val="single" w:color="auto" w:sz="4" w:space="0"/>
                    <w:bottom w:val="single" w:color="auto" w:sz="4" w:space="0"/>
                    <w:right w:val="single" w:color="auto" w:sz="4" w:space="0"/>
                  </w:tcBorders>
                  <w:vAlign w:val="center"/>
                </w:tcPr>
                <w:p w14:paraId="02D713A5">
                  <w:pPr>
                    <w:jc w:val="center"/>
                    <w:rPr>
                      <w:rFonts w:ascii="Times New Roman" w:hAnsi="Times New Roman" w:cs="Times New Roman"/>
                      <w:color w:val="000000"/>
                      <w:szCs w:val="21"/>
                      <w:u w:color="000000"/>
                      <w:lang w:bidi="en-US"/>
                    </w:rPr>
                  </w:pPr>
                </w:p>
              </w:tc>
              <w:tc>
                <w:tcPr>
                  <w:tcW w:w="225" w:type="pct"/>
                  <w:tcBorders>
                    <w:top w:val="single" w:color="auto" w:sz="4" w:space="0"/>
                    <w:left w:val="single" w:color="auto" w:sz="4" w:space="0"/>
                    <w:bottom w:val="single" w:color="auto" w:sz="4" w:space="0"/>
                    <w:right w:val="single" w:color="auto" w:sz="4" w:space="0"/>
                  </w:tcBorders>
                  <w:vAlign w:val="center"/>
                </w:tcPr>
                <w:p w14:paraId="101950AD">
                  <w:pPr>
                    <w:pStyle w:val="51"/>
                    <w:rPr>
                      <w:sz w:val="21"/>
                      <w:szCs w:val="21"/>
                    </w:rPr>
                  </w:pPr>
                  <w:r>
                    <w:rPr>
                      <w:sz w:val="21"/>
                      <w:szCs w:val="21"/>
                    </w:rPr>
                    <w:t>环境风险防控</w:t>
                  </w:r>
                </w:p>
              </w:tc>
              <w:tc>
                <w:tcPr>
                  <w:tcW w:w="1416" w:type="pct"/>
                  <w:tcBorders>
                    <w:top w:val="single" w:color="auto" w:sz="4" w:space="0"/>
                    <w:left w:val="single" w:color="auto" w:sz="4" w:space="0"/>
                    <w:bottom w:val="single" w:color="auto" w:sz="4" w:space="0"/>
                    <w:right w:val="single" w:color="auto" w:sz="4" w:space="0"/>
                  </w:tcBorders>
                  <w:vAlign w:val="center"/>
                </w:tcPr>
                <w:p w14:paraId="26CF3206">
                  <w:pPr>
                    <w:pStyle w:val="51"/>
                    <w:rPr>
                      <w:sz w:val="21"/>
                      <w:szCs w:val="21"/>
                    </w:rPr>
                  </w:pPr>
                  <w:r>
                    <w:rPr>
                      <w:sz w:val="21"/>
                      <w:szCs w:val="21"/>
                    </w:rPr>
                    <w:t>1、强化重金属及尾矿库风险防控。持续推进重点区域重金属减排。健全全口径涉重金属重点行业企业清单，依法依规纳入重点排污单位名录，深入推进有色金属等重点行业重金属污染治理，严格落实重金属污染防治措施和环境监测制度。</w:t>
                  </w:r>
                </w:p>
                <w:p w14:paraId="75BEE735">
                  <w:pPr>
                    <w:pStyle w:val="51"/>
                    <w:rPr>
                      <w:sz w:val="21"/>
                      <w:szCs w:val="21"/>
                    </w:rPr>
                  </w:pPr>
                  <w:r>
                    <w:rPr>
                      <w:sz w:val="21"/>
                      <w:szCs w:val="21"/>
                    </w:rPr>
                    <w:t>2、坚持分级负责、属地为主、部门协同的环境应急责任原则，以化工、冶炼企业等为重点，健全防范化解突发生态环境事件风险和应急准备责任体系，严格落实企业主体责任。</w:t>
                  </w:r>
                </w:p>
                <w:p w14:paraId="37B8C857">
                  <w:pPr>
                    <w:pStyle w:val="51"/>
                    <w:rPr>
                      <w:sz w:val="21"/>
                      <w:szCs w:val="21"/>
                    </w:rPr>
                  </w:pPr>
                  <w:r>
                    <w:rPr>
                      <w:sz w:val="21"/>
                      <w:szCs w:val="21"/>
                    </w:rPr>
                    <w:t>3、开展涉危险废物涉重金属企业、化工园区等重点领域环境风险调查评估和隐患排查，严格落实重点行业、重点重金属污染物减排要求，加强重点行业重金属污染综合治理。推动疆内危险废物处置能力与产废情况总体匹配，推进兵地统筹，实现兵地间、区域间危险废物转移无缝衔接。</w:t>
                  </w:r>
                </w:p>
                <w:p w14:paraId="3638A503">
                  <w:pPr>
                    <w:pStyle w:val="51"/>
                    <w:rPr>
                      <w:sz w:val="21"/>
                      <w:szCs w:val="21"/>
                    </w:rPr>
                  </w:pPr>
                  <w:r>
                    <w:rPr>
                      <w:sz w:val="21"/>
                      <w:szCs w:val="21"/>
                    </w:rPr>
                    <w:t>4、园区应设立环境应急管理机构，建立环境风险监管制度、环境风险预警制度、突发环境事件应急预案、环境风险应急保障制度等环境风险防控体系，并具备环境风险应急救援能力。</w:t>
                  </w:r>
                </w:p>
              </w:tc>
              <w:tc>
                <w:tcPr>
                  <w:tcW w:w="1805" w:type="pct"/>
                  <w:tcBorders>
                    <w:top w:val="single" w:color="auto" w:sz="4" w:space="0"/>
                    <w:left w:val="single" w:color="auto" w:sz="4" w:space="0"/>
                    <w:bottom w:val="single" w:color="auto" w:sz="4" w:space="0"/>
                    <w:right w:val="single" w:color="auto" w:sz="4" w:space="0"/>
                  </w:tcBorders>
                  <w:vAlign w:val="center"/>
                </w:tcPr>
                <w:p w14:paraId="3843591D">
                  <w:pPr>
                    <w:pStyle w:val="51"/>
                    <w:rPr>
                      <w:sz w:val="21"/>
                      <w:szCs w:val="21"/>
                    </w:rPr>
                  </w:pPr>
                  <w:r>
                    <w:rPr>
                      <w:sz w:val="21"/>
                      <w:szCs w:val="21"/>
                    </w:rPr>
                    <w:t>（1）本项目不涉及重金属等行业。</w:t>
                  </w:r>
                </w:p>
                <w:p w14:paraId="361F3C5B">
                  <w:pPr>
                    <w:pStyle w:val="51"/>
                    <w:rPr>
                      <w:sz w:val="21"/>
                      <w:szCs w:val="21"/>
                    </w:rPr>
                  </w:pPr>
                  <w:r>
                    <w:rPr>
                      <w:sz w:val="21"/>
                      <w:szCs w:val="21"/>
                    </w:rPr>
                    <w:t>（2）本项目将对风险物质进行严格监控管理，对物料的收集、运输及厂内贮存进行严格监控。</w:t>
                  </w:r>
                </w:p>
                <w:p w14:paraId="1EF0204F">
                  <w:pPr>
                    <w:pStyle w:val="51"/>
                    <w:rPr>
                      <w:sz w:val="21"/>
                      <w:szCs w:val="21"/>
                    </w:rPr>
                  </w:pPr>
                  <w:r>
                    <w:rPr>
                      <w:sz w:val="21"/>
                      <w:szCs w:val="21"/>
                    </w:rPr>
                    <w:t>（3）本项目不涉及重金属行业。</w:t>
                  </w:r>
                </w:p>
                <w:p w14:paraId="675B47D9">
                  <w:pPr>
                    <w:pStyle w:val="51"/>
                    <w:rPr>
                      <w:sz w:val="21"/>
                      <w:szCs w:val="21"/>
                    </w:rPr>
                  </w:pPr>
                  <w:r>
                    <w:rPr>
                      <w:sz w:val="21"/>
                      <w:szCs w:val="21"/>
                    </w:rPr>
                    <w:t>（4）本项目建成后，建设单位应尽快编制突发环境事件应急预案并进行备案。</w:t>
                  </w:r>
                </w:p>
              </w:tc>
              <w:tc>
                <w:tcPr>
                  <w:tcW w:w="539" w:type="pct"/>
                  <w:tcBorders>
                    <w:top w:val="single" w:color="auto" w:sz="4" w:space="0"/>
                    <w:left w:val="single" w:color="auto" w:sz="4" w:space="0"/>
                    <w:bottom w:val="single" w:color="auto" w:sz="4" w:space="0"/>
                    <w:right w:val="single" w:color="auto" w:sz="4" w:space="0"/>
                  </w:tcBorders>
                  <w:vAlign w:val="center"/>
                </w:tcPr>
                <w:p w14:paraId="33E0330A">
                  <w:pPr>
                    <w:pStyle w:val="51"/>
                    <w:rPr>
                      <w:sz w:val="21"/>
                      <w:szCs w:val="21"/>
                    </w:rPr>
                  </w:pPr>
                  <w:r>
                    <w:rPr>
                      <w:sz w:val="21"/>
                      <w:szCs w:val="21"/>
                    </w:rPr>
                    <w:t>符合</w:t>
                  </w:r>
                </w:p>
              </w:tc>
            </w:tr>
            <w:tr w14:paraId="3AF6D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63" w:type="pct"/>
                  <w:vMerge w:val="continue"/>
                  <w:tcBorders>
                    <w:top w:val="single" w:color="auto" w:sz="4" w:space="0"/>
                    <w:left w:val="single" w:color="auto" w:sz="4" w:space="0"/>
                    <w:bottom w:val="single" w:color="auto" w:sz="4" w:space="0"/>
                    <w:right w:val="single" w:color="auto" w:sz="4" w:space="0"/>
                  </w:tcBorders>
                  <w:vAlign w:val="center"/>
                </w:tcPr>
                <w:p w14:paraId="5B4EF541">
                  <w:pPr>
                    <w:jc w:val="center"/>
                    <w:rPr>
                      <w:rFonts w:ascii="Times New Roman" w:hAnsi="Times New Roman" w:cs="Times New Roman"/>
                      <w:color w:val="000000"/>
                      <w:szCs w:val="21"/>
                      <w:u w:color="000000"/>
                      <w:lang w:bidi="en-US"/>
                    </w:rPr>
                  </w:pPr>
                </w:p>
              </w:tc>
              <w:tc>
                <w:tcPr>
                  <w:tcW w:w="451" w:type="pct"/>
                  <w:vMerge w:val="continue"/>
                  <w:tcBorders>
                    <w:top w:val="single" w:color="auto" w:sz="4" w:space="0"/>
                    <w:left w:val="single" w:color="auto" w:sz="4" w:space="0"/>
                    <w:bottom w:val="single" w:color="auto" w:sz="4" w:space="0"/>
                    <w:right w:val="single" w:color="auto" w:sz="4" w:space="0"/>
                  </w:tcBorders>
                  <w:vAlign w:val="center"/>
                </w:tcPr>
                <w:p w14:paraId="7F23954D">
                  <w:pPr>
                    <w:jc w:val="center"/>
                    <w:rPr>
                      <w:rFonts w:ascii="Times New Roman" w:hAnsi="Times New Roman" w:cs="Times New Roman"/>
                      <w:color w:val="000000"/>
                      <w:szCs w:val="21"/>
                      <w:u w:color="000000"/>
                      <w:lang w:bidi="en-US"/>
                    </w:rPr>
                  </w:pPr>
                </w:p>
              </w:tc>
              <w:tc>
                <w:tcPr>
                  <w:tcW w:w="225" w:type="pct"/>
                  <w:tcBorders>
                    <w:top w:val="single" w:color="auto" w:sz="4" w:space="0"/>
                    <w:left w:val="single" w:color="auto" w:sz="4" w:space="0"/>
                    <w:bottom w:val="single" w:color="auto" w:sz="4" w:space="0"/>
                    <w:right w:val="single" w:color="auto" w:sz="4" w:space="0"/>
                  </w:tcBorders>
                  <w:vAlign w:val="center"/>
                </w:tcPr>
                <w:p w14:paraId="1323B13F">
                  <w:pPr>
                    <w:pStyle w:val="51"/>
                    <w:rPr>
                      <w:sz w:val="21"/>
                      <w:szCs w:val="21"/>
                    </w:rPr>
                  </w:pPr>
                  <w:r>
                    <w:rPr>
                      <w:sz w:val="21"/>
                      <w:szCs w:val="21"/>
                    </w:rPr>
                    <w:t>资源利用效率</w:t>
                  </w:r>
                </w:p>
              </w:tc>
              <w:tc>
                <w:tcPr>
                  <w:tcW w:w="1416" w:type="pct"/>
                  <w:tcBorders>
                    <w:top w:val="single" w:color="auto" w:sz="4" w:space="0"/>
                    <w:left w:val="single" w:color="auto" w:sz="4" w:space="0"/>
                    <w:bottom w:val="single" w:color="auto" w:sz="4" w:space="0"/>
                    <w:right w:val="single" w:color="auto" w:sz="4" w:space="0"/>
                  </w:tcBorders>
                  <w:vAlign w:val="center"/>
                </w:tcPr>
                <w:p w14:paraId="5B53848B">
                  <w:pPr>
                    <w:pStyle w:val="51"/>
                    <w:rPr>
                      <w:sz w:val="21"/>
                      <w:szCs w:val="21"/>
                    </w:rPr>
                  </w:pPr>
                  <w:r>
                    <w:rPr>
                      <w:sz w:val="21"/>
                      <w:szCs w:val="21"/>
                    </w:rPr>
                    <w:t>1、严守水资源开发利用控制、用水效率控制和水功能区限制纳污“三条红线”，严格实行区域用水总量和强度控制，强化用水定额管理。</w:t>
                  </w:r>
                </w:p>
                <w:p w14:paraId="2E10AD5A">
                  <w:pPr>
                    <w:pStyle w:val="51"/>
                    <w:rPr>
                      <w:sz w:val="21"/>
                      <w:szCs w:val="21"/>
                    </w:rPr>
                  </w:pPr>
                  <w:r>
                    <w:rPr>
                      <w:sz w:val="21"/>
                      <w:szCs w:val="21"/>
                    </w:rPr>
                    <w:t>2、推行清洁生产、降低生产水耗、从源头上控制污染物的产生。</w:t>
                  </w:r>
                </w:p>
                <w:p w14:paraId="50D71BE7">
                  <w:pPr>
                    <w:pStyle w:val="51"/>
                    <w:rPr>
                      <w:sz w:val="21"/>
                      <w:szCs w:val="21"/>
                    </w:rPr>
                  </w:pPr>
                  <w:r>
                    <w:rPr>
                      <w:sz w:val="21"/>
                      <w:szCs w:val="21"/>
                    </w:rPr>
                    <w:t>3、加强能耗“双控”管理，优化能源消费结构。严格合理控制煤炭消费增长，精准测算原料煤、动力煤，新增原料用能不纳入能源消费总量控制。</w:t>
                  </w:r>
                </w:p>
              </w:tc>
              <w:tc>
                <w:tcPr>
                  <w:tcW w:w="1805" w:type="pct"/>
                  <w:tcBorders>
                    <w:top w:val="single" w:color="auto" w:sz="4" w:space="0"/>
                    <w:left w:val="single" w:color="auto" w:sz="4" w:space="0"/>
                    <w:bottom w:val="single" w:color="auto" w:sz="4" w:space="0"/>
                    <w:right w:val="single" w:color="auto" w:sz="4" w:space="0"/>
                  </w:tcBorders>
                  <w:vAlign w:val="center"/>
                </w:tcPr>
                <w:p w14:paraId="67564E53">
                  <w:pPr>
                    <w:pStyle w:val="51"/>
                    <w:rPr>
                      <w:sz w:val="21"/>
                      <w:szCs w:val="21"/>
                    </w:rPr>
                  </w:pPr>
                  <w:r>
                    <w:rPr>
                      <w:sz w:val="21"/>
                      <w:szCs w:val="21"/>
                    </w:rPr>
                    <w:t>（1）本项目为单纯物理调和，不涉及化学反应，不消耗水资源。</w:t>
                  </w:r>
                </w:p>
                <w:p w14:paraId="7507A515">
                  <w:pPr>
                    <w:pStyle w:val="51"/>
                    <w:rPr>
                      <w:sz w:val="21"/>
                      <w:szCs w:val="21"/>
                    </w:rPr>
                  </w:pPr>
                  <w:r>
                    <w:rPr>
                      <w:sz w:val="21"/>
                      <w:szCs w:val="21"/>
                    </w:rPr>
                    <w:t>（2）本项目无用水环节，不消耗水资源。</w:t>
                  </w:r>
                </w:p>
                <w:p w14:paraId="41551C27">
                  <w:pPr>
                    <w:pStyle w:val="51"/>
                    <w:rPr>
                      <w:sz w:val="21"/>
                      <w:szCs w:val="21"/>
                    </w:rPr>
                  </w:pPr>
                  <w:r>
                    <w:rPr>
                      <w:sz w:val="21"/>
                      <w:szCs w:val="21"/>
                    </w:rPr>
                    <w:t>（3）本项目公用设施均依托一期项目，不新增燃料煤。</w:t>
                  </w:r>
                </w:p>
              </w:tc>
              <w:tc>
                <w:tcPr>
                  <w:tcW w:w="539" w:type="pct"/>
                  <w:tcBorders>
                    <w:top w:val="single" w:color="auto" w:sz="4" w:space="0"/>
                    <w:left w:val="single" w:color="auto" w:sz="4" w:space="0"/>
                    <w:bottom w:val="single" w:color="auto" w:sz="4" w:space="0"/>
                    <w:right w:val="single" w:color="auto" w:sz="4" w:space="0"/>
                  </w:tcBorders>
                  <w:vAlign w:val="center"/>
                </w:tcPr>
                <w:p w14:paraId="7925D204">
                  <w:pPr>
                    <w:pStyle w:val="51"/>
                    <w:rPr>
                      <w:sz w:val="21"/>
                      <w:szCs w:val="21"/>
                    </w:rPr>
                  </w:pPr>
                  <w:r>
                    <w:rPr>
                      <w:sz w:val="21"/>
                      <w:szCs w:val="21"/>
                    </w:rPr>
                    <w:t>符合</w:t>
                  </w:r>
                </w:p>
              </w:tc>
            </w:tr>
          </w:tbl>
          <w:p w14:paraId="2AF32817">
            <w:pPr>
              <w:pStyle w:val="42"/>
              <w:ind w:firstLine="0" w:firstLineChars="0"/>
              <w:rPr>
                <w:color w:val="000000"/>
              </w:rPr>
            </w:pPr>
          </w:p>
          <w:p w14:paraId="2D9DB740">
            <w:pPr>
              <w:adjustRightInd w:val="0"/>
              <w:snapToGrid w:val="0"/>
              <w:ind w:firstLine="442" w:firstLineChars="200"/>
              <w:jc w:val="center"/>
              <w:rPr>
                <w:rFonts w:ascii="Times New Roman" w:hAnsi="Times New Roman" w:cs="Times New Roman"/>
                <w:color w:val="000000"/>
              </w:rPr>
            </w:pPr>
            <w:r>
              <w:rPr>
                <w:rFonts w:ascii="Times New Roman" w:hAnsi="Times New Roman" w:cs="Times New Roman"/>
                <w:b/>
                <w:spacing w:val="-10"/>
                <w:szCs w:val="21"/>
              </w:rPr>
              <w:t>图1.1昌吉回族自治州环境管控单元分布图</w:t>
            </w:r>
          </w:p>
          <w:p w14:paraId="4D55C0F0">
            <w:pPr>
              <w:pStyle w:val="42"/>
              <w:ind w:firstLine="0" w:firstLineChars="0"/>
              <w:rPr>
                <w:color w:val="000000"/>
              </w:rPr>
            </w:pPr>
            <w:r>
              <w:rPr>
                <w:b/>
                <w:bCs/>
                <w:color w:val="000000"/>
              </w:rPr>
              <w:t>4、与挥发性有机物污染防治相关的生态环境保护法律法规政策的符合性分析</w:t>
            </w:r>
          </w:p>
          <w:p w14:paraId="6DD79512">
            <w:pPr>
              <w:pStyle w:val="42"/>
              <w:ind w:firstLine="480"/>
              <w:rPr>
                <w:color w:val="000000"/>
              </w:rPr>
            </w:pPr>
            <w:r>
              <w:rPr>
                <w:color w:val="000000"/>
              </w:rPr>
              <w:t>本项目物料装卸、储存及生产过程中涉及挥发性有机物的排放，本项目与《关于加快解决当前挥发性有机物治理突出问题的通知》《挥发性有机物（VOCs）污染防治技术政策》《石化行业挥发性有机物综合整治方案》《重点行业挥发性有机物综合治理方案》等符合性分析详见表1-7。</w:t>
            </w:r>
          </w:p>
          <w:p w14:paraId="027EC43C">
            <w:pPr>
              <w:pStyle w:val="42"/>
              <w:ind w:firstLine="422"/>
              <w:rPr>
                <w:b/>
                <w:spacing w:val="-10"/>
              </w:rPr>
            </w:pPr>
            <w:r>
              <w:rPr>
                <w:b/>
                <w:bCs/>
                <w:color w:val="000000"/>
                <w:sz w:val="21"/>
                <w:szCs w:val="18"/>
              </w:rPr>
              <w:t>表1-7  本项目与挥发性有机物相关环境保护政策符合性分析</w:t>
            </w:r>
          </w:p>
          <w:tbl>
            <w:tblPr>
              <w:tblStyle w:val="16"/>
              <w:tblW w:w="6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507"/>
              <w:gridCol w:w="2126"/>
              <w:gridCol w:w="851"/>
            </w:tblGrid>
            <w:tr w14:paraId="2D2A6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6" w:type="dxa"/>
                  <w:vAlign w:val="center"/>
                </w:tcPr>
                <w:p w14:paraId="543AEC77">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政策文件</w:t>
                  </w:r>
                </w:p>
              </w:tc>
              <w:tc>
                <w:tcPr>
                  <w:tcW w:w="2507" w:type="dxa"/>
                  <w:vAlign w:val="center"/>
                </w:tcPr>
                <w:p w14:paraId="738E73B0">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具体要求</w:t>
                  </w:r>
                </w:p>
              </w:tc>
              <w:tc>
                <w:tcPr>
                  <w:tcW w:w="2126" w:type="dxa"/>
                  <w:vAlign w:val="center"/>
                </w:tcPr>
                <w:p w14:paraId="3AF90B58">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本项目情况</w:t>
                  </w:r>
                </w:p>
              </w:tc>
              <w:tc>
                <w:tcPr>
                  <w:tcW w:w="851" w:type="dxa"/>
                  <w:vAlign w:val="center"/>
                </w:tcPr>
                <w:p w14:paraId="7F34F1BA">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符合性</w:t>
                  </w:r>
                </w:p>
              </w:tc>
            </w:tr>
            <w:tr w14:paraId="169B9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6" w:type="dxa"/>
                  <w:vAlign w:val="center"/>
                </w:tcPr>
                <w:p w14:paraId="4EB2E43A">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《关于加快解决当前挥发性有机物治理突出问题的通知》（环大气〔2021〕65号）</w:t>
                  </w:r>
                </w:p>
              </w:tc>
              <w:tc>
                <w:tcPr>
                  <w:tcW w:w="2507" w:type="dxa"/>
                </w:tcPr>
                <w:p w14:paraId="3FEA60EF">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1）挥发性有机液体储罐：企业应按照标准要求，根据储存挥发性有机液体的真实蒸气压、储罐容积等进行储罐和浮盘边缘密封方式选型。固定顶罐或建设有机废气治理设施的内浮顶罐宜配备压力监测设备，罐内压力低于50%设计开启压力时，呼吸阀、紧急泄压阀泄漏检测值不宜超过2000μmol/mol。充分考虑罐体变形或浮盘损坏、储罐附件破损等异常排放情况，鼓励对废气收集引气装置、处理装置设置冗余负荷；储罐排气回收处理后无法稳定达标排放的，应进一步优化治理设施或实施深度治理。储罐罐体应保持完好，不应有孔洞、缝隙（除内浮顶罐边缘通气孔外）；除采样、计量、例行检查、维护和其他正常活动外，储罐附件的开口（孔）应保持密闭。</w:t>
                  </w:r>
                </w:p>
                <w:p w14:paraId="1D957ED4">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（2）挥发性有机液体装卸：汽车罐车按照标准采用适宜的装载方式，推广采用密封式快速接头等。</w:t>
                  </w:r>
                </w:p>
                <w:p w14:paraId="0B2F41DE">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（3）泄漏检测与修复：其他行业企业中载有气态、液态VOCs</w:t>
                  </w:r>
                </w:p>
                <w:p w14:paraId="2EFE93A1">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物料的设备与管线组件密封点大于等于2000个的，应开展LDAR工作。要将VOCs收集管道、治理设施和与储罐连接的密封点纳入检测范围。按照相关技术规范要求，开展泄漏检测、修复、质量控制、记录管理等工作。鼓励企业加严泄漏认定标准；对在用泵、备用泵、调节阀、搅拌器、开口管线等密封点加强巡检；定期采用红外成像仪等对不可达密封点进行泄漏筛查。</w:t>
                  </w:r>
                </w:p>
                <w:p w14:paraId="777240E1">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4）废气收集设施：产生VOCs的生产环节优先采用密闭设备、在密闭空间中操作或采用全密闭集气罩收集方式，并保持负压运行。对采用局部收集方式的企业，距废气收集系统排风罩开口面最远处的VOCs无组织排放位置控制风速不低于0.3m/s；推广以生产线或设备为单位设置隔间，收集风量应确保隔间保持微负压。当废气产生点较多、彼此距离较远时，在满足设计规范、风压平衡的基础上，适当分设多套收集系统或中继风机。废气收集系统的输送管道应密闭、无破损。</w:t>
                  </w:r>
                </w:p>
                <w:p w14:paraId="752FFD2F">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（5）非正常工况：石化、化工企业提前向当地生态环境部门报告检维修计划，制定非正常工况VOCs 管控规程，严格按照规程进行操作。企业开停工、检维修期间，退料、清洗、吹扫等作业产生的VOCs 废气应及时收集处理，确保满足标准要求。停工退料时应密闭吹扫，最大化回收物料；产生的不凝气应分类进入管网，通过加热炉、火炬系统、治理设施或带有恶臭和VOCs废气治理装置的污油罐、污水处理设施、酸性水罐等进行收集处置。在停工检维修阶段，环保装置、气柜、火炬等应在生产装置开车前完成检维修；开工初始阶段产生的不合格产品应妥善处理，不得直排。企业检维修期间，当地生态环境部门可利用走航、网格化监测等方式加强监管，必要时可实施驻厂监管。</w:t>
                  </w:r>
                </w:p>
              </w:tc>
              <w:tc>
                <w:tcPr>
                  <w:tcW w:w="2126" w:type="dxa"/>
                </w:tcPr>
                <w:p w14:paraId="470A8197">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1）挥发性有机液体储罐：项目各储罐密闭，均为内浮顶罐，储罐均采取氮封措施，呼吸阀收集的废气采用油气回收系统（冷凝+活性炭吸附）处理措施，处理后废气经1根15m排气筒排放。储罐罐体保持完好，定期巡检，确保无孔洞、缝隙；除采样、计量、例行检查、维护和其他正常活动外，储罐附件的开口（孔）保持密闭。</w:t>
                  </w:r>
                </w:p>
                <w:p w14:paraId="0F8BFCE3">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（2）挥发性有机液体装卸：物料采用</w:t>
                  </w:r>
                  <w:r>
                    <w:rPr>
                      <w:rFonts w:hint="eastAsia" w:ascii="Times New Roman" w:hAnsi="Times New Roman" w:cs="Times New Roman"/>
                      <w:sz w:val="21"/>
                      <w:szCs w:val="21"/>
                    </w:rPr>
                    <w:t>底部</w:t>
                  </w:r>
                  <w:r>
                    <w:rPr>
                      <w:rFonts w:ascii="Times New Roman" w:hAnsi="Times New Roman" w:cs="Times New Roman"/>
                      <w:sz w:val="21"/>
                      <w:szCs w:val="21"/>
                    </w:rPr>
                    <w:t>装卸系统，收集废气采用油气回收系统（冷凝+活性炭吸附）处理措施，处理后废气经1根15m高排气筒排放。</w:t>
                  </w:r>
                </w:p>
                <w:p w14:paraId="70C590F2">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（3）泄漏检测与修复：要将VOCs收集管道、治理设施和与储罐连接的密封点纳入检测范围。按照相</w:t>
                  </w:r>
                </w:p>
                <w:p w14:paraId="314DEAD2">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关技术规范要求，开展泄漏检测、修复、质量控制、记录管理等工作。鼓励企业加严泄漏认定标准；对在用泵、备用泵、调节阀、搅拌器、开口管线等密封点加强巡检。</w:t>
                  </w:r>
                </w:p>
                <w:p w14:paraId="405F7D81">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（4）废气收集设施：项目产生VOCs的生产环节采用密闭设备，油气回收设施位于装卸栈台区域，采用冷凝+吸附的组合工艺，通过管道回收产品装车及储罐挥发油气。</w:t>
                  </w:r>
                </w:p>
                <w:p w14:paraId="7EE69F2D">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（5）有机废气旁路：项目不设置废气旁路系统。</w:t>
                  </w:r>
                </w:p>
                <w:p w14:paraId="4D10E13F">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（6）有机废气治理设施：物料采用</w:t>
                  </w:r>
                  <w:r>
                    <w:rPr>
                      <w:rFonts w:hint="eastAsia" w:ascii="Times New Roman" w:hAnsi="Times New Roman" w:cs="Times New Roman"/>
                      <w:sz w:val="21"/>
                      <w:szCs w:val="21"/>
                    </w:rPr>
                    <w:t>底部</w:t>
                  </w:r>
                  <w:r>
                    <w:rPr>
                      <w:rFonts w:ascii="Times New Roman" w:hAnsi="Times New Roman" w:cs="Times New Roman"/>
                      <w:sz w:val="21"/>
                      <w:szCs w:val="21"/>
                    </w:rPr>
                    <w:t>装卸系统，收集废气采用油气回收系统（冷凝+活性炭吸附）处理措施，处理后废气经1根15m高排气筒排放。内浮顶罐呼吸阀收集的废气和装卸废气采用油气回收系统（冷凝+活性炭吸附）处理措施，处理后废气经1根15m高排气筒排放。</w:t>
                  </w:r>
                </w:p>
              </w:tc>
              <w:tc>
                <w:tcPr>
                  <w:tcW w:w="851" w:type="dxa"/>
                  <w:vAlign w:val="center"/>
                </w:tcPr>
                <w:p w14:paraId="1B9DFA64">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符合</w:t>
                  </w:r>
                </w:p>
              </w:tc>
            </w:tr>
            <w:tr w14:paraId="4746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6" w:type="dxa"/>
                  <w:vAlign w:val="center"/>
                </w:tcPr>
                <w:p w14:paraId="696D4F5F">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《挥发性有机物（VOCs）污染防治技术政策》</w:t>
                  </w:r>
                </w:p>
              </w:tc>
              <w:tc>
                <w:tcPr>
                  <w:tcW w:w="2507" w:type="dxa"/>
                </w:tcPr>
                <w:p w14:paraId="218AEE25">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一、源头和过程控制：</w:t>
                  </w:r>
                </w:p>
                <w:p w14:paraId="69DEB3DE">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在石油炼制与石油化工行业，鼓励采用先进的清洁生产技术，提高原油的转化和利用效率。对于设备与管线组件、工艺排气、废气燃烧塔（火炬）、废水处理等过程产生的含VOCs废气污染防治技术措施包括：</w:t>
                  </w:r>
                  <w:r>
                    <w:rPr>
                      <w:rFonts w:ascii="Cambria Math" w:hAnsi="Cambria Math" w:cs="Cambria Math"/>
                      <w:sz w:val="21"/>
                      <w:szCs w:val="21"/>
                    </w:rPr>
                    <w:t>①</w:t>
                  </w:r>
                  <w:r>
                    <w:rPr>
                      <w:rFonts w:ascii="Times New Roman" w:hAnsi="Times New Roman" w:cs="Times New Roman"/>
                      <w:sz w:val="21"/>
                      <w:szCs w:val="21"/>
                    </w:rPr>
                    <w:t>对泵、压缩机、阀门、法兰等易发生泄漏的设备与管线组件，制定泄漏检测与修复（LDAR）计划，定期检测、及时修复，防止或减少跑、冒、滴、漏现象；</w:t>
                  </w:r>
                  <w:r>
                    <w:rPr>
                      <w:rFonts w:ascii="Cambria Math" w:hAnsi="Cambria Math" w:cs="Cambria Math"/>
                      <w:sz w:val="21"/>
                      <w:szCs w:val="21"/>
                    </w:rPr>
                    <w:t>②</w:t>
                  </w:r>
                  <w:r>
                    <w:rPr>
                      <w:rFonts w:ascii="Times New Roman" w:hAnsi="Times New Roman" w:cs="Times New Roman"/>
                      <w:sz w:val="21"/>
                      <w:szCs w:val="21"/>
                    </w:rPr>
                    <w:t>对生产装置排放的含VOCs工艺排气宜优先回收利用，不能（或不能完全）回收利用的经处理后达标排放；应急情况下的泄放气可导入燃烧塔（火炬），经过充分燃烧后排放；</w:t>
                  </w:r>
                  <w:r>
                    <w:rPr>
                      <w:rFonts w:ascii="Cambria Math" w:hAnsi="Cambria Math" w:cs="Cambria Math"/>
                      <w:sz w:val="21"/>
                      <w:szCs w:val="21"/>
                    </w:rPr>
                    <w:t>③</w:t>
                  </w:r>
                  <w:r>
                    <w:rPr>
                      <w:rFonts w:ascii="Times New Roman" w:hAnsi="Times New Roman" w:cs="Times New Roman"/>
                      <w:sz w:val="21"/>
                      <w:szCs w:val="21"/>
                    </w:rPr>
                    <w:t>废水收集和处理过程产生的含VOCs废气经收集处理后达标排放。</w:t>
                  </w:r>
                </w:p>
                <w:p w14:paraId="1FA72EDB">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在油类（燃油、溶剂）的储存、运输和销售过程中的VOCs污染防治技术措施包括：</w:t>
                  </w:r>
                  <w:r>
                    <w:rPr>
                      <w:rFonts w:ascii="Cambria Math" w:hAnsi="Cambria Math" w:cs="Cambria Math"/>
                      <w:sz w:val="21"/>
                      <w:szCs w:val="21"/>
                    </w:rPr>
                    <w:t>②</w:t>
                  </w:r>
                  <w:r>
                    <w:rPr>
                      <w:rFonts w:ascii="Times New Roman" w:hAnsi="Times New Roman" w:cs="Times New Roman"/>
                      <w:sz w:val="21"/>
                      <w:szCs w:val="21"/>
                    </w:rPr>
                    <w:t>油类（燃油、溶剂）储罐宜采用高效密封的内（外）浮顶罐，当采用固定顶罐时，通过密闭非气系统将含VOCs气体输送至回收设备；</w:t>
                  </w:r>
                  <w:r>
                    <w:rPr>
                      <w:rFonts w:ascii="Cambria Math" w:hAnsi="Cambria Math" w:cs="Cambria Math"/>
                      <w:sz w:val="21"/>
                      <w:szCs w:val="21"/>
                    </w:rPr>
                    <w:t>③</w:t>
                  </w:r>
                  <w:r>
                    <w:rPr>
                      <w:rFonts w:ascii="Times New Roman" w:hAnsi="Times New Roman" w:cs="Times New Roman"/>
                      <w:sz w:val="21"/>
                      <w:szCs w:val="21"/>
                    </w:rPr>
                    <w:t>油类（燃油、溶剂）运载工具（汽车油罐车、铁路油槽车、油轮等）在装载过程中排放的VOCs密闭收集输送至回收设备，也可返回储罐或送入气体管网。</w:t>
                  </w:r>
                </w:p>
                <w:p w14:paraId="6BBD4DEA">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三、末端治理与综合利用：</w:t>
                  </w:r>
                </w:p>
                <w:p w14:paraId="5862F95A">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在工业生产过程中鼓励VOCs的回收利用，并优先鼓励在生产系统内回用。恶臭气体污染源可采用生物技术、等离子体技术、吸附技术、紫外光高级氧化技术或组合技术等进行净化。净化除满足达标排放的要求外，还应采取高空排放等措施，避免产生扰民问题。严格控制VOCs处理过程中产生的二次污染，对于催化燃烧和热力焚烧过程中产生的含硫、氮、氯等无机废气，以及吸附、吸收、冷凝、生物等治理过程中所产生的含有机物废水，应处理后达标排放。</w:t>
                  </w:r>
                </w:p>
                <w:p w14:paraId="6804C889">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运行与监测：企业应建立健全VOCs治理设施的运行维护规程和台账等日常管理制度，并根据工艺要求定期对各类设备、电气、自控仪表等进行检修维护，确保设施的稳定运行。</w:t>
                  </w:r>
                </w:p>
              </w:tc>
              <w:tc>
                <w:tcPr>
                  <w:tcW w:w="2126" w:type="dxa"/>
                </w:tcPr>
                <w:p w14:paraId="015453CD">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（1）项目对泵、压缩机、阀门、法兰等易发生泄漏的设备与管线组件，定期开展泄漏检测与修复工作，减少跑、冒、滴、漏现象。</w:t>
                  </w:r>
                </w:p>
                <w:p w14:paraId="44BE8765">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（2）物料采用</w:t>
                  </w:r>
                  <w:r>
                    <w:rPr>
                      <w:rFonts w:hint="eastAsia" w:ascii="Times New Roman" w:hAnsi="Times New Roman" w:cs="Times New Roman"/>
                      <w:sz w:val="21"/>
                      <w:szCs w:val="21"/>
                    </w:rPr>
                    <w:t>底部</w:t>
                  </w:r>
                  <w:r>
                    <w:rPr>
                      <w:rFonts w:ascii="Times New Roman" w:hAnsi="Times New Roman" w:cs="Times New Roman"/>
                      <w:sz w:val="21"/>
                      <w:szCs w:val="21"/>
                    </w:rPr>
                    <w:t>装卸系统，收集废气采用油气回收系统（冷凝+活性炭吸附）处理措施，处理后废气经1根15m高排气筒排放。内浮顶罐呼吸阀收集的废气采用油气回收系统（冷凝+活性炭吸附）处理措施，处理后废气经1根15m高排气筒排放。应急情况下的泄放气可导入一期工程建设的火炬，经过充分燃烧后排放。</w:t>
                  </w:r>
                </w:p>
                <w:p w14:paraId="745CE90C">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（3）本项目</w:t>
                  </w:r>
                  <w:r>
                    <w:rPr>
                      <w:rFonts w:ascii="Times New Roman" w:hAnsi="Times New Roman" w:cs="Times New Roman"/>
                      <w:color w:val="000000"/>
                      <w:sz w:val="21"/>
                      <w:szCs w:val="21"/>
                    </w:rPr>
                    <w:t>地面冲洗水与清罐废水，经污水处理站处理后送至园区污水处理厂，本项目污水处理站依托一期项目。</w:t>
                  </w:r>
                </w:p>
                <w:p w14:paraId="79ECDF2D">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（4）液体罐组均为内浮顶罐，储罐均采取氮封措施；呼吸阀收集的废气采用油气回收系统进行处理。</w:t>
                  </w:r>
                </w:p>
                <w:p w14:paraId="1A8E1D9E">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（5）建设单位定期对油气回收系统进口、出口废气进行监测，定期巡视检修，确保末端治理措施的稳定性和有效性，确保挥发性有机物达标排放。</w:t>
                  </w:r>
                </w:p>
              </w:tc>
              <w:tc>
                <w:tcPr>
                  <w:tcW w:w="851" w:type="dxa"/>
                  <w:vAlign w:val="center"/>
                </w:tcPr>
                <w:p w14:paraId="5912F4D0">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符合</w:t>
                  </w:r>
                </w:p>
              </w:tc>
            </w:tr>
            <w:tr w14:paraId="4C77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6" w:type="dxa"/>
                  <w:vAlign w:val="center"/>
                </w:tcPr>
                <w:p w14:paraId="7EA0F1C8">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《石化行业挥发性有机物综合整治方案》（环发〔2014〕177 号）</w:t>
                  </w:r>
                </w:p>
              </w:tc>
              <w:tc>
                <w:tcPr>
                  <w:tcW w:w="2507" w:type="dxa"/>
                </w:tcPr>
                <w:p w14:paraId="7F688A93">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工艺废气应优先考虑生产系统内回收利用，难以回收利用的，应采用催化燃烧、热力焚烧等方式处理，处理效率应满足相关标准和要求；挥发性有机液体储存设施应在符合安全等相关规范的前提下，采用压力罐、低温罐、高效密封的浮顶罐或安装顶空联通置换油气回收装置的拱顶罐；挥发性有机液体装卸应采取全密闭、液下装载等方式，严禁喷溅式装载。废水废液废渣收集、储存、处理处置过程中，应对逸散VOCs和产生异味的主要环节采取有效的密闭与收集措施，确保废气经收集处理后达到相关标准要求，禁止稀释排放；全面推行“泄漏检测与修复”。</w:t>
                  </w:r>
                </w:p>
              </w:tc>
              <w:tc>
                <w:tcPr>
                  <w:tcW w:w="2126" w:type="dxa"/>
                </w:tcPr>
                <w:p w14:paraId="3DA55595">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（1）项目对泵、压缩机、阀门、法兰等易发生泄漏的设备与管线组件，定期开展泄漏检测与修复工作，减少跑、冒、滴、漏现象。</w:t>
                  </w:r>
                </w:p>
                <w:p w14:paraId="5FE4978A">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（2）物料采用</w:t>
                  </w:r>
                  <w:r>
                    <w:rPr>
                      <w:rFonts w:hint="eastAsia" w:ascii="Times New Roman" w:hAnsi="Times New Roman" w:cs="Times New Roman"/>
                      <w:sz w:val="21"/>
                      <w:szCs w:val="21"/>
                    </w:rPr>
                    <w:t>底部</w:t>
                  </w:r>
                  <w:r>
                    <w:rPr>
                      <w:rFonts w:ascii="Times New Roman" w:hAnsi="Times New Roman" w:cs="Times New Roman"/>
                      <w:sz w:val="21"/>
                      <w:szCs w:val="21"/>
                    </w:rPr>
                    <w:t>装卸系统，收集废气采用油气回收系统（冷凝+活性炭吸附）处理措施，处理后废气经1根15m高排气筒排放。内浮顶罐呼吸阀收集的废气采用油气回收系统（冷凝+活性炭吸附）处理措施，处理后废气经1根15m高排气筒排放。应急情况下的泄放气可导入一期工程建设的火炬，经过充分燃烧后排放。</w:t>
                  </w:r>
                </w:p>
                <w:p w14:paraId="68993298">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（3）液体罐组均为内浮顶罐，储罐均采取氮封措施；呼吸阀收集的废气采用油气回收系统进行处理。</w:t>
                  </w:r>
                </w:p>
              </w:tc>
              <w:tc>
                <w:tcPr>
                  <w:tcW w:w="851" w:type="dxa"/>
                  <w:vAlign w:val="center"/>
                </w:tcPr>
                <w:p w14:paraId="5836E189">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符合</w:t>
                  </w:r>
                </w:p>
              </w:tc>
            </w:tr>
            <w:tr w14:paraId="63F7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6" w:type="dxa"/>
                  <w:vAlign w:val="center"/>
                </w:tcPr>
                <w:p w14:paraId="127925DA">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《重点行业挥发性有机物综合治理方案》（环大气〔2019〕53 号）</w:t>
                  </w:r>
                </w:p>
              </w:tc>
              <w:tc>
                <w:tcPr>
                  <w:tcW w:w="2507" w:type="dxa"/>
                </w:tcPr>
                <w:p w14:paraId="4CADE7B9">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二）化工行业VOCs综合治理重点提高涉VOCs排放主要工序密闭化水平，加强无组织排放收集，加大含VOCs物料储存和装卸治理力度。废水储存、曝气池及其之前废水处理设施应按要求加盖封闭，实施废气收集与处理。密封点大于等于2000个的，要开展LDAR工作。加快生产设备密闭化改造。对进出料、物料输送、搅拌、固液分离、干燥、灌装等过程，采取密闭化措施，提升工艺装备水平。加快淘汰敞口式、明流式设施。严格控制储存和装卸过程VOCs排放。鼓励采用压力罐、浮顶罐等替代固定顶罐。真实蒸气压大于等于27.6kPa（重点区域大于等于5.2kPa）的有机液体，利用固定顶罐储存的，应按有关规定采用气相平衡系统或收集净化处理。</w:t>
                  </w:r>
                </w:p>
                <w:p w14:paraId="469F81A4">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实施废气分类收集处理。优先选用冷凝、吸附再生等回收技术；难以回收的，宜选用燃烧、吸附浓缩+燃烧等高效治理技术。水溶性、酸碱VOCs废气宜选用多级化学吸收等处理技术。恶臭类废气还应进一步加强除臭处理。</w:t>
                  </w:r>
                </w:p>
              </w:tc>
              <w:tc>
                <w:tcPr>
                  <w:tcW w:w="2126" w:type="dxa"/>
                </w:tcPr>
                <w:p w14:paraId="24435B7F">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（1）项目对泵、压缩机、阀门、法兰等易发生泄漏的设备与管线组件，定期开展泄漏检测与修复工作，减少跑、冒、滴、漏现象。</w:t>
                  </w:r>
                </w:p>
                <w:p w14:paraId="7F8312A4">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（2）物料采用</w:t>
                  </w:r>
                  <w:r>
                    <w:rPr>
                      <w:rFonts w:hint="eastAsia" w:ascii="Times New Roman" w:hAnsi="Times New Roman" w:cs="Times New Roman"/>
                      <w:sz w:val="21"/>
                      <w:szCs w:val="21"/>
                    </w:rPr>
                    <w:t>底部</w:t>
                  </w:r>
                  <w:r>
                    <w:rPr>
                      <w:rFonts w:ascii="Times New Roman" w:hAnsi="Times New Roman" w:cs="Times New Roman"/>
                      <w:sz w:val="21"/>
                      <w:szCs w:val="21"/>
                    </w:rPr>
                    <w:t>装卸系统，收集废气采用油气回收系统（冷凝+活性炭吸附）处理措施，处理后废气经1根15m高排气筒排放。内浮顶罐呼吸阀收集的废气采用油气回收系统（冷凝+活性炭吸附）处理措施，处理后废气经1根15m高排气筒排放。应急情况下的泄放气可导入一期工程建设的火炬，经过充分燃烧后排放。</w:t>
                  </w:r>
                </w:p>
                <w:p w14:paraId="46E89364">
                  <w:pPr>
                    <w:autoSpaceDE w:val="0"/>
                    <w:autoSpaceDN w:val="0"/>
                    <w:adjustRightInd w:val="0"/>
                    <w:snapToGrid w:val="0"/>
                    <w:rPr>
                      <w:rFonts w:ascii="Times New Roman" w:hAnsi="Times New Roman" w:cs="Times New Roman"/>
                      <w:b/>
                      <w:bCs/>
                      <w:sz w:val="21"/>
                      <w:szCs w:val="21"/>
                    </w:rPr>
                  </w:pPr>
                  <w:r>
                    <w:rPr>
                      <w:rFonts w:ascii="Times New Roman" w:hAnsi="Times New Roman" w:cs="Times New Roman"/>
                      <w:sz w:val="21"/>
                      <w:szCs w:val="21"/>
                    </w:rPr>
                    <w:t>（3）本项目废水处理设施依托一期项目。</w:t>
                  </w:r>
                </w:p>
                <w:p w14:paraId="703D5DD2">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（4）液体罐组均为内浮顶罐，储罐均采取氮封措施；呼吸阀收集的废气采用油气回收系统进行处理。</w:t>
                  </w:r>
                </w:p>
              </w:tc>
              <w:tc>
                <w:tcPr>
                  <w:tcW w:w="851" w:type="dxa"/>
                  <w:vAlign w:val="center"/>
                </w:tcPr>
                <w:p w14:paraId="7D453B0B">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符合</w:t>
                  </w:r>
                </w:p>
              </w:tc>
            </w:tr>
          </w:tbl>
          <w:p w14:paraId="19EC4C28">
            <w:pPr>
              <w:pStyle w:val="42"/>
              <w:ind w:firstLine="0" w:firstLineChars="0"/>
              <w:rPr>
                <w:color w:val="000000"/>
              </w:rPr>
            </w:pPr>
          </w:p>
          <w:p w14:paraId="19324B63">
            <w:pPr>
              <w:pStyle w:val="42"/>
              <w:ind w:firstLine="0" w:firstLineChars="0"/>
              <w:rPr>
                <w:b/>
                <w:bCs/>
                <w:color w:val="000000"/>
              </w:rPr>
            </w:pPr>
            <w:r>
              <w:rPr>
                <w:b/>
                <w:bCs/>
                <w:color w:val="000000"/>
              </w:rPr>
              <w:t>5、与《新疆维吾尔自治区大气污染防治条例》符合性分析</w:t>
            </w:r>
          </w:p>
          <w:p w14:paraId="3982D8ED">
            <w:pPr>
              <w:pStyle w:val="66"/>
              <w:ind w:firstLine="480"/>
              <w:rPr>
                <w:rFonts w:cs="Times New Roman"/>
                <w:color w:val="000000"/>
              </w:rPr>
            </w:pPr>
            <w:r>
              <w:rPr>
                <w:rFonts w:cs="Times New Roman"/>
                <w:color w:val="000000"/>
              </w:rPr>
              <w:t>《新疆维吾尔自治区大气污染防治条例》中指出：“向大气排放污染物的排污单位，应当按照国家和自治区的规定，设置大气污染物排放口，并明确其标志。”</w:t>
            </w:r>
          </w:p>
          <w:p w14:paraId="6BC8CC45">
            <w:pPr>
              <w:pStyle w:val="66"/>
              <w:ind w:firstLine="480"/>
              <w:rPr>
                <w:rFonts w:cs="Times New Roman"/>
                <w:color w:val="000000"/>
              </w:rPr>
            </w:pPr>
            <w:r>
              <w:rPr>
                <w:rFonts w:cs="Times New Roman"/>
                <w:color w:val="000000"/>
              </w:rPr>
              <w:t>本项目废气排气筒按照有关规定要求设置排放口和环保标识牌，符合《新疆维吾尔自治区大气污染防治条例》。</w:t>
            </w:r>
          </w:p>
          <w:p w14:paraId="2652B5D3">
            <w:pPr>
              <w:pStyle w:val="42"/>
              <w:ind w:firstLine="0" w:firstLineChars="0"/>
              <w:rPr>
                <w:b/>
                <w:bCs/>
                <w:color w:val="000000"/>
              </w:rPr>
            </w:pPr>
            <w:bookmarkStart w:id="5" w:name="_Toc201401027"/>
            <w:r>
              <w:rPr>
                <w:b/>
                <w:bCs/>
                <w:color w:val="000000"/>
              </w:rPr>
              <w:t>6、与有关功能区划和环境保护规划的符合性分析</w:t>
            </w:r>
          </w:p>
          <w:p w14:paraId="1C0860E6">
            <w:pPr>
              <w:pStyle w:val="42"/>
              <w:ind w:firstLine="480"/>
              <w:rPr>
                <w:color w:val="000000"/>
              </w:rPr>
            </w:pPr>
            <w:r>
              <w:rPr>
                <w:color w:val="000000"/>
              </w:rPr>
              <w:t>本项目与《新疆生态环境保护“十四五”规划》《</w:t>
            </w:r>
            <w:r>
              <w:fldChar w:fldCharType="begin"/>
            </w:r>
            <w:r>
              <w:instrText xml:space="preserve">HYPERLINK "http://www.baidu.com/link?url=gCVDGj6Ur_VxrqA9_DqflOTOZF9S9E_uQNBYYmfq7QWsJGEgEwgtXZ_gEGQOFMy21zMG74SKuKFTrulZ2yxcuQGzfD9YeGUUv4jhKi0ZZuq"</w:instrText>
            </w:r>
            <w:r>
              <w:fldChar w:fldCharType="separate"/>
            </w:r>
            <w:r>
              <w:rPr>
                <w:color w:val="000000"/>
              </w:rPr>
              <w:t>昌吉回族自治州生态环境保护与建设"十四五"规划</w:t>
            </w:r>
            <w:r>
              <w:fldChar w:fldCharType="end"/>
            </w:r>
            <w:r>
              <w:rPr>
                <w:color w:val="000000"/>
              </w:rPr>
              <w:t>》《新疆维吾尔自治区2025年空气质量持续改善行动实施方案》的符合性分析，见表1-8。</w:t>
            </w:r>
          </w:p>
          <w:p w14:paraId="1A91BAF4">
            <w:pPr>
              <w:pStyle w:val="42"/>
              <w:ind w:firstLine="422"/>
              <w:rPr>
                <w:b/>
                <w:bCs/>
                <w:color w:val="000000"/>
              </w:rPr>
            </w:pPr>
            <w:r>
              <w:rPr>
                <w:b/>
                <w:bCs/>
                <w:color w:val="000000"/>
                <w:sz w:val="21"/>
                <w:szCs w:val="18"/>
              </w:rPr>
              <w:t xml:space="preserve">表1-8  </w:t>
            </w:r>
            <w:r>
              <w:rPr>
                <w:b/>
                <w:bCs/>
                <w:sz w:val="21"/>
                <w:szCs w:val="18"/>
              </w:rPr>
              <w:t>本项目与有关功能区划和环境保护规划的符合性分析</w:t>
            </w:r>
          </w:p>
          <w:tbl>
            <w:tblPr>
              <w:tblStyle w:val="16"/>
              <w:tblW w:w="6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507"/>
              <w:gridCol w:w="2126"/>
              <w:gridCol w:w="851"/>
            </w:tblGrid>
            <w:tr w14:paraId="6797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6" w:type="dxa"/>
                  <w:vAlign w:val="center"/>
                </w:tcPr>
                <w:p w14:paraId="5A362963">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政策文件</w:t>
                  </w:r>
                </w:p>
              </w:tc>
              <w:tc>
                <w:tcPr>
                  <w:tcW w:w="2507" w:type="dxa"/>
                  <w:vAlign w:val="center"/>
                </w:tcPr>
                <w:p w14:paraId="6ADEA7E9">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具体要求</w:t>
                  </w:r>
                </w:p>
              </w:tc>
              <w:tc>
                <w:tcPr>
                  <w:tcW w:w="2126" w:type="dxa"/>
                  <w:vAlign w:val="center"/>
                </w:tcPr>
                <w:p w14:paraId="7ADC7387">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本项目情况</w:t>
                  </w:r>
                </w:p>
              </w:tc>
              <w:tc>
                <w:tcPr>
                  <w:tcW w:w="851" w:type="dxa"/>
                  <w:vAlign w:val="center"/>
                </w:tcPr>
                <w:p w14:paraId="7648F2CF">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符合性</w:t>
                  </w:r>
                </w:p>
              </w:tc>
            </w:tr>
            <w:tr w14:paraId="245C8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826" w:type="dxa"/>
                  <w:vMerge w:val="restart"/>
                  <w:vAlign w:val="center"/>
                </w:tcPr>
                <w:p w14:paraId="472A7DCF">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《新疆生态环境保护“十四五”规划》</w:t>
                  </w:r>
                </w:p>
              </w:tc>
              <w:tc>
                <w:tcPr>
                  <w:tcW w:w="2507" w:type="dxa"/>
                </w:tcPr>
                <w:p w14:paraId="0808F0E3">
                  <w:pPr>
                    <w:pStyle w:val="78"/>
                    <w:spacing w:line="320" w:lineRule="exact"/>
                    <w:jc w:val="left"/>
                    <w:rPr>
                      <w:rFonts w:cs="Times New Roman"/>
                      <w:color w:val="auto"/>
                      <w:szCs w:val="21"/>
                    </w:rPr>
                  </w:pPr>
                  <w:r>
                    <w:rPr>
                      <w:rFonts w:cs="Times New Roman"/>
                      <w:color w:val="auto"/>
                      <w:szCs w:val="21"/>
                    </w:rPr>
                    <w:t>第一节完善绿色发展机制</w:t>
                  </w:r>
                </w:p>
                <w:p w14:paraId="5CB1AC8D">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实施最严格的生态保护制度。坚决遏制“两高”项目盲目发展，严格执行能源、矿产资源开发自治区人民政府“一支笔”审批制度、环境保护“一票否决”制度，落实“三线一单”生态环境分区管控要求，守住生态保护红线、环境质量底线和资源利用上线，实施生态环境准入清单管控。落实最严格的水资源管理制度，科学确定水资源承载能力，严格实行区域用水总量和强度控制，强化节水约束性指标管理。</w:t>
                  </w:r>
                </w:p>
              </w:tc>
              <w:tc>
                <w:tcPr>
                  <w:tcW w:w="2126" w:type="dxa"/>
                </w:tcPr>
                <w:p w14:paraId="1B487869">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本项目符合生态环境分区管控要求，水资源供应有保障。</w:t>
                  </w:r>
                </w:p>
              </w:tc>
              <w:tc>
                <w:tcPr>
                  <w:tcW w:w="851" w:type="dxa"/>
                  <w:vMerge w:val="restart"/>
                  <w:vAlign w:val="center"/>
                </w:tcPr>
                <w:p w14:paraId="46401B1A">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符合</w:t>
                  </w:r>
                </w:p>
              </w:tc>
            </w:tr>
            <w:tr w14:paraId="27C06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826" w:type="dxa"/>
                  <w:vMerge w:val="continue"/>
                  <w:vAlign w:val="center"/>
                </w:tcPr>
                <w:p w14:paraId="154B9B3E">
                  <w:pPr>
                    <w:autoSpaceDE w:val="0"/>
                    <w:autoSpaceDN w:val="0"/>
                    <w:adjustRightInd w:val="0"/>
                    <w:snapToGrid w:val="0"/>
                    <w:jc w:val="center"/>
                    <w:rPr>
                      <w:rFonts w:ascii="Times New Roman" w:hAnsi="Times New Roman" w:cs="Times New Roman"/>
                      <w:sz w:val="21"/>
                      <w:szCs w:val="21"/>
                    </w:rPr>
                  </w:pPr>
                </w:p>
              </w:tc>
              <w:tc>
                <w:tcPr>
                  <w:tcW w:w="2507" w:type="dxa"/>
                </w:tcPr>
                <w:p w14:paraId="79609AF0">
                  <w:pPr>
                    <w:pStyle w:val="78"/>
                    <w:spacing w:line="320" w:lineRule="exact"/>
                    <w:jc w:val="left"/>
                    <w:rPr>
                      <w:rFonts w:cs="Times New Roman"/>
                      <w:color w:val="auto"/>
                      <w:szCs w:val="21"/>
                    </w:rPr>
                  </w:pPr>
                  <w:r>
                    <w:rPr>
                      <w:rFonts w:cs="Times New Roman"/>
                      <w:color w:val="auto"/>
                      <w:szCs w:val="21"/>
                    </w:rPr>
                    <w:t>第三节建设清洁低碳能源体系</w:t>
                  </w:r>
                </w:p>
                <w:p w14:paraId="108F5BFD">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提升重点行业领域能效水平。加强高耗能行业企业的能效管理，提高能源利用效率，大力推动钢铁、建材、石油化工等重点行业以及其他行业重点用能单位持续开展节能工作，有效降低单位产品能耗。提高企业能源利用效率，实施重点工艺环节的能效提升改造，树立一批能效领跑、技术先进的示范领军企业。</w:t>
                  </w:r>
                </w:p>
              </w:tc>
              <w:tc>
                <w:tcPr>
                  <w:tcW w:w="2126" w:type="dxa"/>
                </w:tcPr>
                <w:p w14:paraId="66C8B0CE">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本项目达到清洁生产达到国内先进水平。</w:t>
                  </w:r>
                </w:p>
              </w:tc>
              <w:tc>
                <w:tcPr>
                  <w:tcW w:w="851" w:type="dxa"/>
                  <w:vMerge w:val="continue"/>
                  <w:vAlign w:val="center"/>
                </w:tcPr>
                <w:p w14:paraId="3C33BC02">
                  <w:pPr>
                    <w:autoSpaceDE w:val="0"/>
                    <w:autoSpaceDN w:val="0"/>
                    <w:adjustRightInd w:val="0"/>
                    <w:snapToGrid w:val="0"/>
                    <w:jc w:val="center"/>
                    <w:rPr>
                      <w:rFonts w:ascii="Times New Roman" w:hAnsi="Times New Roman" w:cs="Times New Roman"/>
                      <w:sz w:val="21"/>
                      <w:szCs w:val="21"/>
                    </w:rPr>
                  </w:pPr>
                </w:p>
              </w:tc>
            </w:tr>
            <w:tr w14:paraId="0EB5B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826" w:type="dxa"/>
                  <w:vMerge w:val="continue"/>
                  <w:vAlign w:val="center"/>
                </w:tcPr>
                <w:p w14:paraId="1AF56D80">
                  <w:pPr>
                    <w:autoSpaceDE w:val="0"/>
                    <w:autoSpaceDN w:val="0"/>
                    <w:adjustRightInd w:val="0"/>
                    <w:snapToGrid w:val="0"/>
                    <w:jc w:val="center"/>
                    <w:rPr>
                      <w:rFonts w:ascii="Times New Roman" w:hAnsi="Times New Roman" w:cs="Times New Roman"/>
                      <w:sz w:val="21"/>
                      <w:szCs w:val="21"/>
                    </w:rPr>
                  </w:pPr>
                </w:p>
              </w:tc>
              <w:tc>
                <w:tcPr>
                  <w:tcW w:w="2507" w:type="dxa"/>
                </w:tcPr>
                <w:p w14:paraId="3E11EE2F">
                  <w:pPr>
                    <w:pStyle w:val="78"/>
                    <w:spacing w:line="320" w:lineRule="exact"/>
                    <w:jc w:val="left"/>
                    <w:rPr>
                      <w:rFonts w:cs="Times New Roman"/>
                      <w:color w:val="auto"/>
                      <w:szCs w:val="21"/>
                    </w:rPr>
                  </w:pPr>
                  <w:r>
                    <w:rPr>
                      <w:rFonts w:cs="Times New Roman"/>
                      <w:color w:val="auto"/>
                      <w:szCs w:val="21"/>
                    </w:rPr>
                    <w:t>第三节持续推进涉气污染源治理</w:t>
                  </w:r>
                </w:p>
                <w:p w14:paraId="5476834B">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实施重点行业氮氧化物（以下简称“NOx”）等污染物深度治理。持续推进钢铁、水泥、焦化行业超低排放改造。推进玻璃、陶瓷、铸造、铁合金、有色、煤化和石化等行业采取清洁生产、提标改造、深度治理等综合措施。加强自备燃煤机组污染治理设施运行管控，确保按照超低排放标准运行。针对铸造、铁合金、焦化、水泥、砖瓦、石灰、耐火材料、金属冶炼以及煤化工、石油化工等行业，严格控制物料储存、输送及生产工艺过程无组织排放。重点涉气排放企业逐步取消烟气旁路，因安全生产无法取消的，安装在线监控系统。</w:t>
                  </w:r>
                </w:p>
              </w:tc>
              <w:tc>
                <w:tcPr>
                  <w:tcW w:w="2126" w:type="dxa"/>
                </w:tcPr>
                <w:p w14:paraId="4AFC019C">
                  <w:pPr>
                    <w:pStyle w:val="78"/>
                    <w:spacing w:line="320" w:lineRule="exact"/>
                    <w:jc w:val="left"/>
                    <w:rPr>
                      <w:rFonts w:cs="Times New Roman"/>
                      <w:color w:val="auto"/>
                      <w:szCs w:val="21"/>
                    </w:rPr>
                  </w:pPr>
                  <w:r>
                    <w:rPr>
                      <w:rFonts w:cs="Times New Roman"/>
                      <w:color w:val="auto"/>
                      <w:szCs w:val="21"/>
                    </w:rPr>
                    <w:t>（1）项目对废气排放采取严格的污染治理措施，罐区、装卸区废气排放执行《石油化学工业污染物排放标准》（GB31571-2015，含2024年修改单）表6大气污染物排放限值。</w:t>
                  </w:r>
                </w:p>
                <w:p w14:paraId="6197AC23">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（2）对无组织排放的各环节采取控制措施，严格控制无组织排放。厂内罐区配套油气回收装置（冷凝+活性炭吸附），采用底部浸没式装载的应采用高效密封方式。</w:t>
                  </w:r>
                </w:p>
              </w:tc>
              <w:tc>
                <w:tcPr>
                  <w:tcW w:w="851" w:type="dxa"/>
                  <w:vMerge w:val="continue"/>
                  <w:vAlign w:val="center"/>
                </w:tcPr>
                <w:p w14:paraId="12B39708">
                  <w:pPr>
                    <w:autoSpaceDE w:val="0"/>
                    <w:autoSpaceDN w:val="0"/>
                    <w:adjustRightInd w:val="0"/>
                    <w:snapToGrid w:val="0"/>
                    <w:jc w:val="center"/>
                    <w:rPr>
                      <w:rFonts w:ascii="Times New Roman" w:hAnsi="Times New Roman" w:cs="Times New Roman"/>
                      <w:sz w:val="21"/>
                      <w:szCs w:val="21"/>
                    </w:rPr>
                  </w:pPr>
                </w:p>
              </w:tc>
            </w:tr>
            <w:tr w14:paraId="3175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6" w:type="dxa"/>
                  <w:vAlign w:val="center"/>
                </w:tcPr>
                <w:p w14:paraId="0DDF774A">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《昌吉回族自治州生态环境保护与建设“十四五”规划》</w:t>
                  </w:r>
                </w:p>
              </w:tc>
              <w:tc>
                <w:tcPr>
                  <w:tcW w:w="2507" w:type="dxa"/>
                </w:tcPr>
                <w:p w14:paraId="560B893C">
                  <w:pPr>
                    <w:pStyle w:val="78"/>
                    <w:spacing w:line="320" w:lineRule="exact"/>
                    <w:jc w:val="left"/>
                    <w:rPr>
                      <w:rFonts w:cs="Times New Roman"/>
                      <w:color w:val="auto"/>
                      <w:szCs w:val="21"/>
                    </w:rPr>
                  </w:pPr>
                  <w:r>
                    <w:rPr>
                      <w:rFonts w:cs="Times New Roman"/>
                      <w:color w:val="auto"/>
                      <w:szCs w:val="21"/>
                    </w:rPr>
                    <w:t>加强结构优化调整，推进经济社会绿色转型发展</w:t>
                  </w:r>
                </w:p>
                <w:p w14:paraId="485E2652">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1.优化调整产业结构。推动产业绿色化，依据资源承载力和环境容量，推动产业结构调整。全面实施以“三线一单”为核心的生态环境分区管控体系，开展重点区域、重点流域、重点行业和产业布局的规划环评，充分发挥生态环境功能定位在产业布局结构中的基础性约束作用。各县市建成区以内的企业推进“一市（县）一策”，积极争取国家、自治区层面支持，引导重点企业提升改造，提升改造无望的企业向准东搬迁。严格执行国家产业政策，依法依规淘汰落后产能，推动水泥、电解铝、石化、焦化、铸造等重点行业绿色转型。加快发展现代煤化工、新材料、有色金属、煤炭、煤电、矿产开采及加工等优势产业，培育壮大先进装备制造、页岩油气加工、节能环保、新型建材、新能源等新兴产业和生产性服务业。发展循环型工业，着力推进准东开发区、高新区、阜康市、玛纳斯县特色产业园区循环化改造，推进能源梯级利用、废物交换利用、土地节约集约利用，构建循环工业体系。到2025年，力争100%国家级工业园区、30%自治区级工业园区实施循环化改造。</w:t>
                  </w:r>
                </w:p>
              </w:tc>
              <w:tc>
                <w:tcPr>
                  <w:tcW w:w="2126" w:type="dxa"/>
                </w:tcPr>
                <w:p w14:paraId="30BDD05A">
                  <w:pPr>
                    <w:pStyle w:val="78"/>
                    <w:spacing w:line="320" w:lineRule="exact"/>
                    <w:jc w:val="both"/>
                    <w:rPr>
                      <w:rFonts w:cs="Times New Roman"/>
                      <w:color w:val="auto"/>
                      <w:szCs w:val="21"/>
                    </w:rPr>
                  </w:pPr>
                  <w:r>
                    <w:rPr>
                      <w:rFonts w:cs="Times New Roman"/>
                      <w:color w:val="auto"/>
                      <w:szCs w:val="21"/>
                    </w:rPr>
                    <w:t>（1）本项目不在新疆及昌吉州生态保护红线范围内，也不在一般生态空间范围内，属于生态环境重点管控单元。</w:t>
                  </w:r>
                </w:p>
                <w:p w14:paraId="7CEED333">
                  <w:pPr>
                    <w:spacing w:line="320" w:lineRule="exact"/>
                    <w:rPr>
                      <w:rFonts w:ascii="Times New Roman" w:hAnsi="Times New Roman" w:cs="Times New Roman"/>
                      <w:sz w:val="21"/>
                      <w:szCs w:val="21"/>
                    </w:rPr>
                  </w:pPr>
                  <w:r>
                    <w:rPr>
                      <w:rFonts w:ascii="Times New Roman" w:hAnsi="Times New Roman" w:cs="Times New Roman"/>
                      <w:sz w:val="21"/>
                      <w:szCs w:val="21"/>
                    </w:rPr>
                    <w:t>（2）本项目为汽油、柴油物理调和项目，仅外购油品组分进行物理混合调配，无裂解、炼化等化学反应，不属于水泥、电解铝、传统焦化等需要重点推动绿色转型的高污染行业；对照《产业结构调整指导目录（2024 年本）》，不属于限制类、淘汰类，不涉及落后产能，严格执行国家现行产业政策，与区域淘汰落后产能、推动行业绿色转型导向保持一致。</w:t>
                  </w:r>
                </w:p>
                <w:p w14:paraId="232EE000">
                  <w:pPr>
                    <w:autoSpaceDE w:val="0"/>
                    <w:autoSpaceDN w:val="0"/>
                    <w:adjustRightInd w:val="0"/>
                    <w:snapToGrid w:val="0"/>
                    <w:rPr>
                      <w:rFonts w:ascii="Times New Roman" w:hAnsi="Times New Roman" w:cs="Times New Roman"/>
                      <w:sz w:val="21"/>
                      <w:szCs w:val="21"/>
                    </w:rPr>
                  </w:pPr>
                </w:p>
              </w:tc>
              <w:tc>
                <w:tcPr>
                  <w:tcW w:w="851" w:type="dxa"/>
                  <w:vAlign w:val="center"/>
                </w:tcPr>
                <w:p w14:paraId="585434AB">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符合</w:t>
                  </w:r>
                </w:p>
              </w:tc>
            </w:tr>
            <w:tr w14:paraId="1A311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6" w:type="dxa"/>
                  <w:vMerge w:val="restart"/>
                  <w:vAlign w:val="center"/>
                </w:tcPr>
                <w:p w14:paraId="0018273B">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color w:val="000000"/>
                      <w:sz w:val="21"/>
                      <w:szCs w:val="21"/>
                    </w:rPr>
                    <w:t>《新疆维吾尔自治区2025年空气质量持续改善行动实施方案》</w:t>
                  </w:r>
                </w:p>
              </w:tc>
              <w:tc>
                <w:tcPr>
                  <w:tcW w:w="2507" w:type="dxa"/>
                </w:tcPr>
                <w:p w14:paraId="5B86F498">
                  <w:pPr>
                    <w:rPr>
                      <w:rFonts w:ascii="Times New Roman" w:hAnsi="Times New Roman" w:cs="Times New Roman"/>
                      <w:sz w:val="21"/>
                      <w:szCs w:val="21"/>
                    </w:rPr>
                  </w:pPr>
                  <w:r>
                    <w:rPr>
                      <w:rFonts w:ascii="Times New Roman" w:hAnsi="Times New Roman" w:cs="Times New Roman"/>
                      <w:sz w:val="21"/>
                      <w:szCs w:val="21"/>
                    </w:rPr>
                    <w:t>（一）坚决遏制高耗能、高排放、低水平项目盲目上马。新改扩建项目严格落实国家和自治区产业规划、产业政策、生态环境分区管控方案、规划环评、项目环评、节能审查、产能置换、重点污染物总量控制、污染物排放区域削减、碳排放达峰目标等相关要求，原则上采用清洁运输方式，达到能效标杆水平、环保绩效A水平。涉及产能置换的项目，被置换产能及设备关停后，新建项目方可投产。</w:t>
                  </w:r>
                </w:p>
                <w:p w14:paraId="39A5B6CF">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严格落实钢铁产能置换，联防联控区严禁新增钢铁产能。推行钢铁、焦化、烧结一体化布局，大幅减少独立焦化、烧结、球团和热轧企业及工序。到2025年，短流程炼钢产量占比力争提升至15%。</w:t>
                  </w:r>
                </w:p>
              </w:tc>
              <w:tc>
                <w:tcPr>
                  <w:tcW w:w="2126" w:type="dxa"/>
                </w:tcPr>
                <w:p w14:paraId="1C07F174">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本项目不属于“两高”项目，项目符合《产业结构调整指导目录（2024年本）》、自治区及昌吉州生态环境分区管控方案、园区规划环评、重点污染物总量控制、污染物排放区域削减等相关要求。</w:t>
                  </w:r>
                </w:p>
              </w:tc>
              <w:tc>
                <w:tcPr>
                  <w:tcW w:w="851" w:type="dxa"/>
                  <w:vAlign w:val="center"/>
                </w:tcPr>
                <w:p w14:paraId="77C6A190">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符合</w:t>
                  </w:r>
                </w:p>
              </w:tc>
            </w:tr>
            <w:tr w14:paraId="2D0BA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6" w:type="dxa"/>
                  <w:vMerge w:val="continue"/>
                  <w:vAlign w:val="center"/>
                </w:tcPr>
                <w:p w14:paraId="3CCD1216">
                  <w:pPr>
                    <w:autoSpaceDE w:val="0"/>
                    <w:autoSpaceDN w:val="0"/>
                    <w:adjustRightInd w:val="0"/>
                    <w:snapToGrid w:val="0"/>
                    <w:jc w:val="center"/>
                    <w:rPr>
                      <w:rFonts w:ascii="Times New Roman" w:hAnsi="Times New Roman" w:cs="Times New Roman"/>
                      <w:color w:val="000000"/>
                      <w:sz w:val="21"/>
                      <w:szCs w:val="21"/>
                    </w:rPr>
                  </w:pPr>
                </w:p>
              </w:tc>
              <w:tc>
                <w:tcPr>
                  <w:tcW w:w="2507" w:type="dxa"/>
                </w:tcPr>
                <w:p w14:paraId="223BA4F8">
                  <w:pPr>
                    <w:rPr>
                      <w:rFonts w:ascii="Times New Roman" w:hAnsi="Times New Roman" w:cs="Times New Roman"/>
                      <w:sz w:val="21"/>
                      <w:szCs w:val="21"/>
                    </w:rPr>
                  </w:pPr>
                  <w:r>
                    <w:rPr>
                      <w:rFonts w:ascii="Times New Roman" w:hAnsi="Times New Roman" w:cs="Times New Roman"/>
                      <w:sz w:val="21"/>
                      <w:szCs w:val="21"/>
                    </w:rPr>
                    <w:t>（二）退出重点行业落后产能。严格执行《产业结构调整指导目录》，依法依规淘汰落后产能。联防联控区进一步提高落后产能能耗、环保、质量、安全、技术等要求，逐步退出限制类涉气行业工艺和装备。提升工业重点领域产能能效标杆水平，到2025年，重点行业能效标杆水平产能比例力争达到30%，能效基准水平以下产能基本清零。联防联控区淘汰炭化室高度4.3米及以下焦炉。</w:t>
                  </w:r>
                </w:p>
              </w:tc>
              <w:tc>
                <w:tcPr>
                  <w:tcW w:w="2126" w:type="dxa"/>
                </w:tcPr>
                <w:p w14:paraId="653482CD">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本项目符合《产业结构调整指导目录（2024年本）》。</w:t>
                  </w:r>
                </w:p>
              </w:tc>
              <w:tc>
                <w:tcPr>
                  <w:tcW w:w="851" w:type="dxa"/>
                  <w:vAlign w:val="center"/>
                </w:tcPr>
                <w:p w14:paraId="2A8AE1F8">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符合</w:t>
                  </w:r>
                </w:p>
              </w:tc>
            </w:tr>
          </w:tbl>
          <w:p w14:paraId="69E390C8">
            <w:pPr>
              <w:pStyle w:val="42"/>
              <w:ind w:firstLine="482"/>
              <w:rPr>
                <w:b/>
                <w:bCs/>
                <w:color w:val="000000"/>
              </w:rPr>
            </w:pPr>
          </w:p>
          <w:p w14:paraId="2B490B78">
            <w:pPr>
              <w:pStyle w:val="42"/>
              <w:ind w:firstLine="0" w:firstLineChars="0"/>
              <w:rPr>
                <w:b/>
                <w:bCs/>
                <w:color w:val="000000"/>
              </w:rPr>
            </w:pPr>
            <w:r>
              <w:rPr>
                <w:b/>
                <w:bCs/>
                <w:color w:val="000000"/>
              </w:rPr>
              <w:t>7、与《美丽中国建设“十五五”规划》符合性分析</w:t>
            </w:r>
          </w:p>
          <w:p w14:paraId="3254D3BF">
            <w:pPr>
              <w:pStyle w:val="66"/>
              <w:ind w:firstLine="480"/>
              <w:rPr>
                <w:rFonts w:cs="Times New Roman"/>
                <w:b/>
                <w:bCs/>
                <w:color w:val="000000"/>
              </w:rPr>
            </w:pPr>
            <w:r>
              <w:rPr>
                <w:rFonts w:cs="Times New Roman"/>
                <w:color w:val="000000"/>
              </w:rPr>
              <w:t>本项目与《美丽中国建设“十五五”规划》符合性分析见表1-9。经分析，本项目符合《美丽中国建设“十五五”规划》相关要求。</w:t>
            </w:r>
          </w:p>
          <w:p w14:paraId="2FA8C355">
            <w:pPr>
              <w:pStyle w:val="42"/>
              <w:ind w:firstLine="0" w:firstLineChars="0"/>
              <w:jc w:val="center"/>
              <w:rPr>
                <w:b/>
                <w:bCs/>
                <w:color w:val="000000"/>
              </w:rPr>
            </w:pPr>
            <w:r>
              <w:rPr>
                <w:b/>
                <w:bCs/>
                <w:color w:val="000000"/>
                <w:sz w:val="21"/>
                <w:szCs w:val="18"/>
              </w:rPr>
              <w:t xml:space="preserve">表1-9  </w:t>
            </w:r>
            <w:r>
              <w:rPr>
                <w:b/>
                <w:bCs/>
                <w:sz w:val="21"/>
                <w:szCs w:val="18"/>
              </w:rPr>
              <w:t>本项目与《美丽中国建设“十五五”规划》的符合性分析</w:t>
            </w:r>
          </w:p>
          <w:tbl>
            <w:tblPr>
              <w:tblStyle w:val="16"/>
              <w:tblW w:w="62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44"/>
              <w:gridCol w:w="2126"/>
              <w:gridCol w:w="709"/>
            </w:tblGrid>
            <w:tr w14:paraId="71C1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44" w:type="dxa"/>
                  <w:vAlign w:val="center"/>
                </w:tcPr>
                <w:p w14:paraId="32B59A74">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具体要求</w:t>
                  </w:r>
                </w:p>
              </w:tc>
              <w:tc>
                <w:tcPr>
                  <w:tcW w:w="2126" w:type="dxa"/>
                  <w:vAlign w:val="center"/>
                </w:tcPr>
                <w:p w14:paraId="7BF32F8D">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本项目情况</w:t>
                  </w:r>
                </w:p>
              </w:tc>
              <w:tc>
                <w:tcPr>
                  <w:tcW w:w="709" w:type="dxa"/>
                  <w:vAlign w:val="center"/>
                </w:tcPr>
                <w:p w14:paraId="3B742524">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符合性</w:t>
                  </w:r>
                </w:p>
              </w:tc>
            </w:tr>
            <w:tr w14:paraId="79FE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444" w:type="dxa"/>
                </w:tcPr>
                <w:p w14:paraId="2291675B">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1、优化国家大气污染防治分区。加强城市空气质量达标管理。深入推进水泥、焦化等重点行业超低排放改造，鼓励垃圾焚烧企业超低排放改造。研究制修订重点产品VOCs含量限值强制性国家标准，推动VOCs源头替代和全流程治理。开展传统涉气产业集群整治提升。实施低效失效大气污染治理设施排查整治。深化大气环境绩效分级管理，开展绩效等级提升行动。完善清洁取暖运行保障长效机制。持续推进区域联防联控，有效应对长时间大范围污染过程。</w:t>
                  </w:r>
                </w:p>
              </w:tc>
              <w:tc>
                <w:tcPr>
                  <w:tcW w:w="2126" w:type="dxa"/>
                </w:tcPr>
                <w:p w14:paraId="3F36E427">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项目具备废气密闭收集系统，配套油气回收、吸附净化等 VOCs 末端治理设施，从源头削减无组织排放；建设期严格落实围挡、洒水抑尘、密闭运输等扬尘管控措施；项目投产后废气能够稳定达标排放，配套治理设施定期运维排查，满足规划大气治理管控要求。</w:t>
                  </w:r>
                </w:p>
              </w:tc>
              <w:tc>
                <w:tcPr>
                  <w:tcW w:w="709" w:type="dxa"/>
                  <w:vMerge w:val="restart"/>
                  <w:vAlign w:val="center"/>
                </w:tcPr>
                <w:p w14:paraId="37DB7AB2">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符合</w:t>
                  </w:r>
                </w:p>
              </w:tc>
            </w:tr>
            <w:tr w14:paraId="474F7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444" w:type="dxa"/>
                </w:tcPr>
                <w:p w14:paraId="15DE3B5B">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2、加强流域水生态环境质量目标管理，优化调整水功能区划及管理制度。加快城镇污水收集处理设施建设改造，持续巩固入河排污口排查整治成果，基本完成重点流域入河排污口排查整治。</w:t>
                  </w:r>
                </w:p>
              </w:tc>
              <w:tc>
                <w:tcPr>
                  <w:tcW w:w="2126" w:type="dxa"/>
                </w:tcPr>
                <w:p w14:paraId="0997D9C5">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项目生产废水经厂区预处理后排入园区污水处理厂深度处置，杜绝废水直排；污水收集区、危化品储存区、事故缓冲区域均进行重点防渗工程，阻断地下水污染途径，落实地下水长效防控措施。</w:t>
                  </w:r>
                </w:p>
              </w:tc>
              <w:tc>
                <w:tcPr>
                  <w:tcW w:w="709" w:type="dxa"/>
                  <w:vMerge w:val="continue"/>
                  <w:vAlign w:val="center"/>
                </w:tcPr>
                <w:p w14:paraId="218A0787">
                  <w:pPr>
                    <w:autoSpaceDE w:val="0"/>
                    <w:autoSpaceDN w:val="0"/>
                    <w:adjustRightInd w:val="0"/>
                    <w:snapToGrid w:val="0"/>
                    <w:jc w:val="center"/>
                    <w:rPr>
                      <w:rFonts w:ascii="Times New Roman" w:hAnsi="Times New Roman" w:cs="Times New Roman"/>
                      <w:sz w:val="21"/>
                      <w:szCs w:val="21"/>
                    </w:rPr>
                  </w:pPr>
                </w:p>
              </w:tc>
            </w:tr>
            <w:tr w14:paraId="70F7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444" w:type="dxa"/>
                </w:tcPr>
                <w:p w14:paraId="1BE70194">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3、深入实施土壤污染源头防控行动，对土壤污染重点监管单位实行管控和修复，推动绿色化改造。加强地下水污染防治重点区环境管理，实施化工园区地下水污染整治行动。开展全国土壤污染状况普查和地下水污染调查评价。强化工业固体废物全链条管控和规模化消纳利用，推动重点行业固体废物产生量与综合消纳量逐步实现动态平衡。扎实推进非法倾倒处置固体废物、溶洞垃圾污染等专项整治。</w:t>
                  </w:r>
                </w:p>
              </w:tc>
              <w:tc>
                <w:tcPr>
                  <w:tcW w:w="2126" w:type="dxa"/>
                </w:tcPr>
                <w:p w14:paraId="596109E1">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项目罐区、危废贮存库等为重点防渗区，严格执行危废台账登记、分类存放、资质单位转运处置制度；原辅材料优先选用低毒、低害原料，减少新污染物产生，防范土壤及地下水污染。</w:t>
                  </w:r>
                </w:p>
              </w:tc>
              <w:tc>
                <w:tcPr>
                  <w:tcW w:w="709" w:type="dxa"/>
                  <w:vMerge w:val="continue"/>
                  <w:vAlign w:val="center"/>
                </w:tcPr>
                <w:p w14:paraId="7AC4F4FF">
                  <w:pPr>
                    <w:autoSpaceDE w:val="0"/>
                    <w:autoSpaceDN w:val="0"/>
                    <w:adjustRightInd w:val="0"/>
                    <w:snapToGrid w:val="0"/>
                    <w:jc w:val="center"/>
                    <w:rPr>
                      <w:rFonts w:ascii="Times New Roman" w:hAnsi="Times New Roman" w:cs="Times New Roman"/>
                      <w:sz w:val="21"/>
                      <w:szCs w:val="21"/>
                    </w:rPr>
                  </w:pPr>
                </w:p>
              </w:tc>
            </w:tr>
            <w:tr w14:paraId="3D104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4" w:type="dxa"/>
                </w:tcPr>
                <w:p w14:paraId="0CF5794A">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4、加强生态保护与修复监管制度建设，强化统一监管。优化升级国家生态保护红线监管平台，严格落实生态保护红线管理制度。持续推进“绿盾”重要生态空间生态环境问题排查。完善生态破坏事件跨部门会商机制，做好生态破坏事件判定。深化全国生态质量评价，持续推进全国及重点区域生态状况调查评估，开展生态保护修复成效评估。</w:t>
                  </w:r>
                </w:p>
              </w:tc>
              <w:tc>
                <w:tcPr>
                  <w:tcW w:w="2126" w:type="dxa"/>
                </w:tcPr>
                <w:p w14:paraId="3D16D9E6">
                  <w:pPr>
                    <w:spacing w:line="320" w:lineRule="exact"/>
                    <w:rPr>
                      <w:rFonts w:ascii="Times New Roman" w:hAnsi="Times New Roman" w:cs="Times New Roman"/>
                      <w:sz w:val="21"/>
                      <w:szCs w:val="21"/>
                    </w:rPr>
                  </w:pPr>
                  <w:r>
                    <w:rPr>
                      <w:rFonts w:ascii="Times New Roman" w:hAnsi="Times New Roman" w:cs="Times New Roman"/>
                      <w:sz w:val="21"/>
                      <w:szCs w:val="21"/>
                    </w:rPr>
                    <w:t>项目用地为规划工业建设用地，不占用林地、湿地、草地等生态用地，远离生物多样性重点保护区域。</w:t>
                  </w:r>
                </w:p>
              </w:tc>
              <w:tc>
                <w:tcPr>
                  <w:tcW w:w="709" w:type="dxa"/>
                  <w:vAlign w:val="center"/>
                </w:tcPr>
                <w:p w14:paraId="30B223B3">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符合</w:t>
                  </w:r>
                </w:p>
              </w:tc>
            </w:tr>
            <w:tr w14:paraId="23B22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4" w:type="dxa"/>
                </w:tcPr>
                <w:p w14:paraId="17BA00E0">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5、深入推进生态环境分区管控，加强同国土空间规划衔接，协同优化产业布局。更新调整生态环境分区管控方案，逐步将地下水、声、重金属、减污降碳协同等纳入分区管控体系。加强生态环境影响评价保障，强化重大生态影响类项目全过程监管，加强重点行业建设项目节能降碳审查评价，有效管控高耗能高排放项目。</w:t>
                  </w:r>
                </w:p>
              </w:tc>
              <w:tc>
                <w:tcPr>
                  <w:tcW w:w="2126" w:type="dxa"/>
                </w:tcPr>
                <w:p w14:paraId="55C043E0">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本项目位于龙都化工厂区内，不属于“两高”项目，项目符合《产业结构调整指导目录（2024年本）》、自治区及昌吉州生态环境分区管控方案、园区规划环评、重点污染物总量控制、污染物排放区域削减等相关要求。</w:t>
                  </w:r>
                </w:p>
              </w:tc>
              <w:tc>
                <w:tcPr>
                  <w:tcW w:w="709" w:type="dxa"/>
                  <w:vAlign w:val="center"/>
                </w:tcPr>
                <w:p w14:paraId="4BF8D28C">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符合</w:t>
                  </w:r>
                </w:p>
              </w:tc>
            </w:tr>
          </w:tbl>
          <w:p w14:paraId="408BF961">
            <w:pPr>
              <w:pStyle w:val="42"/>
              <w:ind w:firstLine="0" w:firstLineChars="0"/>
              <w:rPr>
                <w:b/>
                <w:bCs/>
                <w:color w:val="000000"/>
              </w:rPr>
            </w:pPr>
          </w:p>
          <w:p w14:paraId="1017A5C3">
            <w:pPr>
              <w:pStyle w:val="42"/>
              <w:ind w:firstLine="0" w:firstLineChars="0"/>
              <w:rPr>
                <w:b/>
                <w:bCs/>
                <w:color w:val="000000"/>
              </w:rPr>
            </w:pPr>
            <w:r>
              <w:rPr>
                <w:b/>
                <w:bCs/>
                <w:color w:val="000000"/>
              </w:rPr>
              <w:t>8、与《土壤、地下水和农业农村生态环境保护“十五五”规划》符合性分析</w:t>
            </w:r>
          </w:p>
          <w:p w14:paraId="32C3EC86">
            <w:pPr>
              <w:pStyle w:val="66"/>
              <w:ind w:firstLine="480"/>
              <w:rPr>
                <w:rFonts w:cs="Times New Roman"/>
                <w:b/>
                <w:bCs/>
                <w:color w:val="000000"/>
              </w:rPr>
            </w:pPr>
            <w:r>
              <w:rPr>
                <w:rFonts w:cs="Times New Roman"/>
                <w:color w:val="000000"/>
              </w:rPr>
              <w:t>本项目与《土壤、地下水和农业农村生态环境保护 “十五五” 规划》符合性分析见表1-10。经分析，本项目符合《土壤、地下水和农业农村生态环境保护 “十五五” 规划》相关要求。</w:t>
            </w:r>
          </w:p>
          <w:p w14:paraId="61107FA5">
            <w:pPr>
              <w:pStyle w:val="42"/>
              <w:ind w:firstLine="0" w:firstLineChars="0"/>
              <w:jc w:val="center"/>
              <w:rPr>
                <w:b/>
                <w:bCs/>
                <w:color w:val="000000"/>
              </w:rPr>
            </w:pPr>
            <w:r>
              <w:rPr>
                <w:b/>
                <w:bCs/>
                <w:color w:val="000000"/>
                <w:sz w:val="21"/>
                <w:szCs w:val="18"/>
              </w:rPr>
              <w:t xml:space="preserve">表1-10  </w:t>
            </w:r>
            <w:r>
              <w:rPr>
                <w:b/>
                <w:bCs/>
                <w:sz w:val="21"/>
                <w:szCs w:val="18"/>
              </w:rPr>
              <w:t>本项目与《土壤、地下水和农业农村生态环境保护 “十五五” 规划》的符合性分析</w:t>
            </w:r>
          </w:p>
          <w:tbl>
            <w:tblPr>
              <w:tblStyle w:val="16"/>
              <w:tblW w:w="62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44"/>
              <w:gridCol w:w="2126"/>
              <w:gridCol w:w="709"/>
            </w:tblGrid>
            <w:tr w14:paraId="136A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4" w:type="dxa"/>
                  <w:vAlign w:val="center"/>
                </w:tcPr>
                <w:p w14:paraId="738B1560">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具体要求</w:t>
                  </w:r>
                </w:p>
              </w:tc>
              <w:tc>
                <w:tcPr>
                  <w:tcW w:w="2126" w:type="dxa"/>
                  <w:vAlign w:val="center"/>
                </w:tcPr>
                <w:p w14:paraId="39BFE8CE">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本项目情况</w:t>
                  </w:r>
                </w:p>
              </w:tc>
              <w:tc>
                <w:tcPr>
                  <w:tcW w:w="709" w:type="dxa"/>
                  <w:vAlign w:val="center"/>
                </w:tcPr>
                <w:p w14:paraId="1252F417">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符合性</w:t>
                  </w:r>
                </w:p>
              </w:tc>
            </w:tr>
            <w:tr w14:paraId="282CB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444" w:type="dxa"/>
                </w:tcPr>
                <w:p w14:paraId="3B516319">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1、严守土壤环境底线，强化建设用地准入管理，严格落实建设用地土壤污染状况调查、风险评估、管控修复制度，建立建设用地土壤污染风险管控清单。本项目选址为工业园区规划工业用地，不属于居住、农业等敏感用地；项目投产前将按法规要求开展建设用地土壤污染状况调查，建立地块环境管理台账；厂区生产区、危废暂存区、化学品储存区均规划防渗硬化措施，从源头防范新增土壤污染，落实建设用地准入管控要求。</w:t>
                  </w:r>
                </w:p>
                <w:p w14:paraId="045D5014">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聚焦化工、工业集聚区等重点区域地下水污染防控，完善防渗、收集、应急截污设施建设，健全地下水监测网络，严防渗漏、漫溢造成地下水污染。</w:t>
                  </w:r>
                </w:p>
              </w:tc>
              <w:tc>
                <w:tcPr>
                  <w:tcW w:w="2126" w:type="dxa"/>
                </w:tcPr>
                <w:p w14:paraId="0AD5C4EB">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本项目选址为工业园区规划工业用地，不属于居住、农业等敏感用地；厂区罐区、危废贮存库均进行重点防渗措施，从源头防范土壤及地下水污染，落实建设用地准入管控要求。</w:t>
                  </w:r>
                </w:p>
              </w:tc>
              <w:tc>
                <w:tcPr>
                  <w:tcW w:w="709" w:type="dxa"/>
                  <w:vMerge w:val="restart"/>
                  <w:vAlign w:val="center"/>
                </w:tcPr>
                <w:p w14:paraId="45F020F2">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符合</w:t>
                  </w:r>
                </w:p>
              </w:tc>
            </w:tr>
            <w:tr w14:paraId="6EFD3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444" w:type="dxa"/>
                </w:tcPr>
                <w:p w14:paraId="56BD8F31">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2、严控重金属、持久性有机污染物等污染物新增排放，推进源头原辅材料替代，减少有毒有害物质使用与产生。</w:t>
                  </w:r>
                </w:p>
              </w:tc>
              <w:tc>
                <w:tcPr>
                  <w:tcW w:w="2126" w:type="dxa"/>
                </w:tcPr>
                <w:p w14:paraId="412B2384">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项目为汽油、柴油物理调和项目，外购原料均符合国家标准，不涉及重金属等污染物。</w:t>
                  </w:r>
                </w:p>
              </w:tc>
              <w:tc>
                <w:tcPr>
                  <w:tcW w:w="709" w:type="dxa"/>
                  <w:vMerge w:val="continue"/>
                  <w:vAlign w:val="center"/>
                </w:tcPr>
                <w:p w14:paraId="2EFE5B31">
                  <w:pPr>
                    <w:autoSpaceDE w:val="0"/>
                    <w:autoSpaceDN w:val="0"/>
                    <w:adjustRightInd w:val="0"/>
                    <w:snapToGrid w:val="0"/>
                    <w:jc w:val="center"/>
                    <w:rPr>
                      <w:rFonts w:ascii="Times New Roman" w:hAnsi="Times New Roman" w:cs="Times New Roman"/>
                      <w:sz w:val="21"/>
                      <w:szCs w:val="21"/>
                    </w:rPr>
                  </w:pPr>
                </w:p>
              </w:tc>
            </w:tr>
            <w:tr w14:paraId="08121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444" w:type="dxa"/>
                </w:tcPr>
                <w:p w14:paraId="02585FC4">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3、规范危险废物全过程环境管理，建设标准化危险废物贮存场所，落实防渗、防雨、防流失措施，建立台账管理制度，执行危险废物合规转移处置。</w:t>
                  </w:r>
                </w:p>
              </w:tc>
              <w:tc>
                <w:tcPr>
                  <w:tcW w:w="2126" w:type="dxa"/>
                </w:tcPr>
                <w:p w14:paraId="135E9622">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项目罐区、危废贮存库等为重点防渗区，严格执行危废台账登记、分类存放、资质单位转运处置制度；原辅材料优先选用低毒、低害原料，减少新污染物产生。</w:t>
                  </w:r>
                </w:p>
              </w:tc>
              <w:tc>
                <w:tcPr>
                  <w:tcW w:w="709" w:type="dxa"/>
                  <w:vMerge w:val="continue"/>
                  <w:vAlign w:val="center"/>
                </w:tcPr>
                <w:p w14:paraId="2EB2451C">
                  <w:pPr>
                    <w:autoSpaceDE w:val="0"/>
                    <w:autoSpaceDN w:val="0"/>
                    <w:adjustRightInd w:val="0"/>
                    <w:snapToGrid w:val="0"/>
                    <w:jc w:val="center"/>
                    <w:rPr>
                      <w:rFonts w:ascii="Times New Roman" w:hAnsi="Times New Roman" w:cs="Times New Roman"/>
                      <w:sz w:val="21"/>
                      <w:szCs w:val="21"/>
                    </w:rPr>
                  </w:pPr>
                </w:p>
              </w:tc>
            </w:tr>
            <w:tr w14:paraId="2A71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4" w:type="dxa"/>
                </w:tcPr>
                <w:p w14:paraId="399C7183">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4、远离耕地、园地等农业用地，严控工业项目对农业农村生态环境扰动，不新增农业面源污染。</w:t>
                  </w:r>
                </w:p>
              </w:tc>
              <w:tc>
                <w:tcPr>
                  <w:tcW w:w="2126" w:type="dxa"/>
                </w:tcPr>
                <w:p w14:paraId="41BB8C66">
                  <w:pPr>
                    <w:spacing w:line="320" w:lineRule="exact"/>
                    <w:rPr>
                      <w:rFonts w:ascii="Times New Roman" w:hAnsi="Times New Roman" w:cs="Times New Roman"/>
                      <w:sz w:val="21"/>
                      <w:szCs w:val="21"/>
                    </w:rPr>
                  </w:pPr>
                  <w:r>
                    <w:rPr>
                      <w:rFonts w:ascii="Times New Roman" w:hAnsi="Times New Roman" w:cs="Times New Roman"/>
                      <w:sz w:val="21"/>
                      <w:szCs w:val="21"/>
                    </w:rPr>
                    <w:t>项目用地为规划工业建设用地，不占用林地、湿地、草地等生态用地，远离生物多样性重点保护区域。</w:t>
                  </w:r>
                </w:p>
              </w:tc>
              <w:tc>
                <w:tcPr>
                  <w:tcW w:w="709" w:type="dxa"/>
                  <w:vAlign w:val="center"/>
                </w:tcPr>
                <w:p w14:paraId="53060EC7">
                  <w:pPr>
                    <w:autoSpaceDE w:val="0"/>
                    <w:autoSpaceDN w:val="0"/>
                    <w:adjustRightInd w:val="0"/>
                    <w:snapToGrid w:val="0"/>
                    <w:jc w:val="center"/>
                    <w:rPr>
                      <w:rFonts w:ascii="Times New Roman" w:hAnsi="Times New Roman" w:cs="Times New Roman"/>
                      <w:sz w:val="21"/>
                      <w:szCs w:val="21"/>
                    </w:rPr>
                  </w:pPr>
                  <w:r>
                    <w:rPr>
                      <w:rFonts w:ascii="Times New Roman" w:hAnsi="Times New Roman" w:cs="Times New Roman"/>
                      <w:sz w:val="21"/>
                      <w:szCs w:val="21"/>
                    </w:rPr>
                    <w:t>符合</w:t>
                  </w:r>
                </w:p>
              </w:tc>
            </w:tr>
          </w:tbl>
          <w:p w14:paraId="67F918DA">
            <w:pPr>
              <w:pStyle w:val="42"/>
              <w:ind w:firstLine="0" w:firstLineChars="0"/>
              <w:rPr>
                <w:b/>
                <w:bCs/>
                <w:color w:val="000000"/>
              </w:rPr>
            </w:pPr>
          </w:p>
          <w:p w14:paraId="0BFB4477">
            <w:pPr>
              <w:pStyle w:val="42"/>
              <w:ind w:firstLine="0" w:firstLineChars="0"/>
              <w:rPr>
                <w:b/>
                <w:bCs/>
                <w:color w:val="000000"/>
              </w:rPr>
            </w:pPr>
            <w:r>
              <w:rPr>
                <w:b/>
                <w:bCs/>
                <w:color w:val="000000"/>
              </w:rPr>
              <w:t>9、与《空气质量持续改善行动计划》符合性分析</w:t>
            </w:r>
          </w:p>
          <w:p w14:paraId="2472ABD7">
            <w:pPr>
              <w:pStyle w:val="42"/>
              <w:ind w:firstLine="480"/>
              <w:rPr>
                <w:color w:val="000000"/>
              </w:rPr>
            </w:pPr>
            <w:r>
              <w:rPr>
                <w:color w:val="000000"/>
              </w:rPr>
              <w:t>本项目与《空气质量持续改善行动计划》符合性分析见表1-11。本项目从产业准入、源头减污、无组织管控、末端治理、日常环境管理等方面，均符合《空气质量持续改善行动计划》各项管控要求。</w:t>
            </w:r>
          </w:p>
          <w:p w14:paraId="4EF4BD37">
            <w:pPr>
              <w:pStyle w:val="42"/>
              <w:ind w:firstLine="422"/>
              <w:jc w:val="center"/>
              <w:rPr>
                <w:color w:val="000000"/>
              </w:rPr>
            </w:pPr>
            <w:r>
              <w:rPr>
                <w:b/>
                <w:bCs/>
                <w:color w:val="000000"/>
                <w:sz w:val="21"/>
                <w:szCs w:val="18"/>
              </w:rPr>
              <w:t xml:space="preserve">表1-11  </w:t>
            </w:r>
            <w:r>
              <w:rPr>
                <w:b/>
                <w:bCs/>
                <w:sz w:val="21"/>
                <w:szCs w:val="18"/>
              </w:rPr>
              <w:t>本项目与</w:t>
            </w:r>
            <w:r>
              <w:rPr>
                <w:b/>
                <w:bCs/>
                <w:color w:val="000000"/>
              </w:rPr>
              <w:t>《空气质量持续改善行动计划》</w:t>
            </w:r>
            <w:r>
              <w:rPr>
                <w:b/>
                <w:bCs/>
                <w:sz w:val="21"/>
                <w:szCs w:val="18"/>
              </w:rPr>
              <w:t>的符合性分析</w:t>
            </w:r>
          </w:p>
          <w:tbl>
            <w:tblPr>
              <w:tblStyle w:val="17"/>
              <w:tblW w:w="495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4"/>
              <w:gridCol w:w="2960"/>
              <w:gridCol w:w="905"/>
            </w:tblGrid>
            <w:tr w14:paraId="71928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4" w:type="dxa"/>
                  <w:vAlign w:val="center"/>
                </w:tcPr>
                <w:p w14:paraId="3D92D62C">
                  <w:pPr>
                    <w:jc w:val="center"/>
                    <w:rPr>
                      <w:rFonts w:ascii="Times New Roman" w:hAnsi="Times New Roman" w:cs="Times New Roman"/>
                      <w:b/>
                      <w:bCs/>
                      <w:sz w:val="21"/>
                      <w:szCs w:val="21"/>
                    </w:rPr>
                  </w:pPr>
                  <w:r>
                    <w:rPr>
                      <w:rFonts w:ascii="Times New Roman" w:hAnsi="Times New Roman" w:cs="Times New Roman"/>
                      <w:sz w:val="21"/>
                      <w:szCs w:val="21"/>
                    </w:rPr>
                    <w:t>具体要求</w:t>
                  </w:r>
                </w:p>
              </w:tc>
              <w:tc>
                <w:tcPr>
                  <w:tcW w:w="2960" w:type="dxa"/>
                  <w:vAlign w:val="center"/>
                </w:tcPr>
                <w:p w14:paraId="452F1A05">
                  <w:pPr>
                    <w:jc w:val="center"/>
                    <w:rPr>
                      <w:rFonts w:ascii="Times New Roman" w:hAnsi="Times New Roman" w:cs="Times New Roman"/>
                      <w:b/>
                      <w:bCs/>
                      <w:sz w:val="21"/>
                      <w:szCs w:val="21"/>
                    </w:rPr>
                  </w:pPr>
                  <w:r>
                    <w:rPr>
                      <w:rFonts w:ascii="Times New Roman" w:hAnsi="Times New Roman" w:cs="Times New Roman"/>
                      <w:sz w:val="21"/>
                      <w:szCs w:val="21"/>
                    </w:rPr>
                    <w:t>本项目情况</w:t>
                  </w:r>
                </w:p>
              </w:tc>
              <w:tc>
                <w:tcPr>
                  <w:tcW w:w="905" w:type="dxa"/>
                  <w:vAlign w:val="center"/>
                </w:tcPr>
                <w:p w14:paraId="3B0608F5">
                  <w:pPr>
                    <w:jc w:val="center"/>
                    <w:rPr>
                      <w:rFonts w:ascii="Times New Roman" w:hAnsi="Times New Roman" w:cs="Times New Roman"/>
                      <w:b/>
                      <w:bCs/>
                      <w:sz w:val="21"/>
                      <w:szCs w:val="21"/>
                    </w:rPr>
                  </w:pPr>
                  <w:r>
                    <w:rPr>
                      <w:rFonts w:ascii="Times New Roman" w:hAnsi="Times New Roman" w:cs="Times New Roman"/>
                      <w:sz w:val="21"/>
                      <w:szCs w:val="21"/>
                    </w:rPr>
                    <w:t>符合性</w:t>
                  </w:r>
                </w:p>
              </w:tc>
            </w:tr>
            <w:tr w14:paraId="7B8BF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4" w:type="dxa"/>
                  <w:vAlign w:val="center"/>
                </w:tcPr>
                <w:p w14:paraId="3B236EA8">
                  <w:pPr>
                    <w:jc w:val="center"/>
                    <w:rPr>
                      <w:rFonts w:ascii="Times New Roman" w:hAnsi="Times New Roman" w:cs="Times New Roman"/>
                      <w:sz w:val="21"/>
                      <w:szCs w:val="21"/>
                    </w:rPr>
                  </w:pPr>
                  <w:r>
                    <w:rPr>
                      <w:rFonts w:ascii="Times New Roman" w:hAnsi="Times New Roman" w:cs="Times New Roman"/>
                      <w:sz w:val="21"/>
                      <w:szCs w:val="21"/>
                    </w:rPr>
                    <w:t>持续推进产业结构优化调整，坚决遏制高耗能、高排放项目盲目发展，严控产能过剩行业新增产能，大力发展绿色低碳产业，推动产业绿色转型升级。</w:t>
                  </w:r>
                </w:p>
              </w:tc>
              <w:tc>
                <w:tcPr>
                  <w:tcW w:w="2960" w:type="dxa"/>
                  <w:vAlign w:val="center"/>
                </w:tcPr>
                <w:p w14:paraId="59590171">
                  <w:pPr>
                    <w:jc w:val="center"/>
                    <w:rPr>
                      <w:rFonts w:ascii="Times New Roman" w:hAnsi="Times New Roman" w:cs="Times New Roman"/>
                      <w:sz w:val="21"/>
                      <w:szCs w:val="21"/>
                    </w:rPr>
                  </w:pPr>
                  <w:r>
                    <w:rPr>
                      <w:rFonts w:ascii="Times New Roman" w:hAnsi="Times New Roman" w:cs="Times New Roman"/>
                      <w:sz w:val="21"/>
                      <w:szCs w:val="21"/>
                    </w:rPr>
                    <w:t>本项目不属于高耗能、高排放项目，不在产能过剩行业名录内，不属于限制类、淘汰类产业；选用行业成熟清洁生产工艺，从源头降低污染物产生量，契合产业绿色升级方向。</w:t>
                  </w:r>
                </w:p>
              </w:tc>
              <w:tc>
                <w:tcPr>
                  <w:tcW w:w="905" w:type="dxa"/>
                  <w:vAlign w:val="center"/>
                </w:tcPr>
                <w:p w14:paraId="469920CB">
                  <w:pPr>
                    <w:jc w:val="center"/>
                    <w:rPr>
                      <w:rFonts w:ascii="Times New Roman" w:hAnsi="Times New Roman" w:cs="Times New Roman"/>
                      <w:sz w:val="21"/>
                      <w:szCs w:val="21"/>
                    </w:rPr>
                  </w:pPr>
                  <w:r>
                    <w:rPr>
                      <w:rFonts w:ascii="Times New Roman" w:hAnsi="Times New Roman" w:cs="Times New Roman"/>
                      <w:sz w:val="21"/>
                      <w:szCs w:val="21"/>
                    </w:rPr>
                    <w:t>符合</w:t>
                  </w:r>
                </w:p>
              </w:tc>
            </w:tr>
            <w:tr w14:paraId="30CE4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4" w:type="dxa"/>
                  <w:vAlign w:val="center"/>
                </w:tcPr>
                <w:p w14:paraId="676BCB57">
                  <w:pPr>
                    <w:jc w:val="center"/>
                    <w:rPr>
                      <w:rFonts w:ascii="Times New Roman" w:hAnsi="Times New Roman" w:cs="Times New Roman"/>
                      <w:sz w:val="21"/>
                      <w:szCs w:val="21"/>
                    </w:rPr>
                  </w:pPr>
                  <w:r>
                    <w:rPr>
                      <w:rFonts w:ascii="Times New Roman" w:hAnsi="Times New Roman" w:cs="Times New Roman"/>
                      <w:sz w:val="21"/>
                      <w:szCs w:val="21"/>
                    </w:rPr>
                    <w:t>严格控制生产和使用高VOCs含量涂料、油墨、胶粘剂、清洗剂等建设项目，提高低（无）VOCs含量产品比重。</w:t>
                  </w:r>
                </w:p>
              </w:tc>
              <w:tc>
                <w:tcPr>
                  <w:tcW w:w="2960" w:type="dxa"/>
                  <w:vAlign w:val="center"/>
                </w:tcPr>
                <w:p w14:paraId="2D64A49E">
                  <w:pPr>
                    <w:jc w:val="center"/>
                    <w:rPr>
                      <w:rFonts w:ascii="Times New Roman" w:hAnsi="Times New Roman" w:cs="Times New Roman"/>
                      <w:sz w:val="21"/>
                      <w:szCs w:val="21"/>
                    </w:rPr>
                  </w:pPr>
                  <w:r>
                    <w:rPr>
                      <w:rFonts w:ascii="Times New Roman" w:hAnsi="Times New Roman" w:cs="Times New Roman"/>
                      <w:sz w:val="21"/>
                      <w:szCs w:val="21"/>
                    </w:rPr>
                    <w:t>项目前期原辅材料选型优先选用低VOCs含量原料，最大限度替代高挥发性物料。</w:t>
                  </w:r>
                </w:p>
              </w:tc>
              <w:tc>
                <w:tcPr>
                  <w:tcW w:w="905" w:type="dxa"/>
                  <w:vAlign w:val="center"/>
                </w:tcPr>
                <w:p w14:paraId="090C1D57">
                  <w:pPr>
                    <w:jc w:val="center"/>
                    <w:rPr>
                      <w:rFonts w:ascii="Times New Roman" w:hAnsi="Times New Roman" w:cs="Times New Roman"/>
                      <w:sz w:val="21"/>
                      <w:szCs w:val="21"/>
                    </w:rPr>
                  </w:pPr>
                  <w:r>
                    <w:rPr>
                      <w:rFonts w:ascii="Times New Roman" w:hAnsi="Times New Roman" w:cs="Times New Roman"/>
                      <w:sz w:val="21"/>
                      <w:szCs w:val="21"/>
                    </w:rPr>
                    <w:t>符合</w:t>
                  </w:r>
                </w:p>
              </w:tc>
            </w:tr>
            <w:tr w14:paraId="1D194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4" w:type="dxa"/>
                  <w:vAlign w:val="center"/>
                </w:tcPr>
                <w:p w14:paraId="24513179">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鼓励储罐使用低泄漏的呼吸阀、紧急泄压阀，定期开展密封性检测。汽车罐车推广使用密封式快速接头。污水处理场所高浓度有机废气要单独收集处理；含VOCs有机废水储罐、装置区集水井（池）有机废气要密闭收集处理。重点区域石化、化工行业集中的城市和重点工业园区，2024年年底前建立统一的泄漏检测与修复信息管理平台。企业开停工、检维修期间，及时收集处理退料、清洗、吹扫等作业产生的VOCs废气。企业不得将火炬燃烧装置作为日常大气污染处理设施。</w:t>
                  </w:r>
                </w:p>
              </w:tc>
              <w:tc>
                <w:tcPr>
                  <w:tcW w:w="2960" w:type="dxa"/>
                  <w:vAlign w:val="center"/>
                </w:tcPr>
                <w:p w14:paraId="044D7DAC">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物料采用</w:t>
                  </w:r>
                  <w:r>
                    <w:rPr>
                      <w:rFonts w:hint="eastAsia" w:ascii="Times New Roman" w:hAnsi="Times New Roman" w:cs="Times New Roman"/>
                      <w:sz w:val="21"/>
                      <w:szCs w:val="21"/>
                    </w:rPr>
                    <w:t>底部</w:t>
                  </w:r>
                  <w:r>
                    <w:rPr>
                      <w:rFonts w:ascii="Times New Roman" w:hAnsi="Times New Roman" w:cs="Times New Roman"/>
                      <w:sz w:val="21"/>
                      <w:szCs w:val="21"/>
                    </w:rPr>
                    <w:t>装卸系统，收集废气采用油气回收系统（冷凝+活性炭吸附）处理措施，处理后废气经1根15m高排气筒排放。内浮顶罐呼吸阀收集的废气采用油气回收系统（冷凝+活性炭吸附）处理措施，处理后废气经1根15m高排气筒排放。</w:t>
                  </w:r>
                </w:p>
                <w:p w14:paraId="59E3A4D4">
                  <w:pPr>
                    <w:jc w:val="center"/>
                    <w:rPr>
                      <w:rFonts w:ascii="Times New Roman" w:hAnsi="Times New Roman" w:cs="Times New Roman"/>
                      <w:sz w:val="21"/>
                      <w:szCs w:val="21"/>
                    </w:rPr>
                  </w:pPr>
                </w:p>
              </w:tc>
              <w:tc>
                <w:tcPr>
                  <w:tcW w:w="905" w:type="dxa"/>
                  <w:vAlign w:val="center"/>
                </w:tcPr>
                <w:p w14:paraId="0D3749DC">
                  <w:pPr>
                    <w:jc w:val="center"/>
                    <w:rPr>
                      <w:rFonts w:ascii="Times New Roman" w:hAnsi="Times New Roman" w:cs="Times New Roman"/>
                      <w:sz w:val="21"/>
                      <w:szCs w:val="21"/>
                    </w:rPr>
                  </w:pPr>
                  <w:r>
                    <w:rPr>
                      <w:rFonts w:ascii="Times New Roman" w:hAnsi="Times New Roman" w:cs="Times New Roman"/>
                      <w:sz w:val="21"/>
                      <w:szCs w:val="21"/>
                    </w:rPr>
                    <w:t>符合</w:t>
                  </w:r>
                </w:p>
              </w:tc>
            </w:tr>
            <w:tr w14:paraId="7E26A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4" w:type="dxa"/>
                  <w:vAlign w:val="center"/>
                </w:tcPr>
                <w:p w14:paraId="27FED877">
                  <w:pPr>
                    <w:jc w:val="center"/>
                    <w:rPr>
                      <w:rFonts w:ascii="Times New Roman" w:hAnsi="Times New Roman" w:cs="Times New Roman"/>
                      <w:sz w:val="21"/>
                      <w:szCs w:val="21"/>
                    </w:rPr>
                  </w:pPr>
                  <w:r>
                    <w:rPr>
                      <w:rFonts w:ascii="Times New Roman" w:hAnsi="Times New Roman" w:cs="Times New Roman"/>
                      <w:sz w:val="21"/>
                      <w:szCs w:val="21"/>
                    </w:rPr>
                    <w:t>加强重点区域联防联控，新建项目严格落实污染物排放减量替代，落实区域总量管控要求。</w:t>
                  </w:r>
                </w:p>
              </w:tc>
              <w:tc>
                <w:tcPr>
                  <w:tcW w:w="2960" w:type="dxa"/>
                  <w:vAlign w:val="center"/>
                </w:tcPr>
                <w:p w14:paraId="76C3214C">
                  <w:pPr>
                    <w:jc w:val="center"/>
                    <w:rPr>
                      <w:rFonts w:ascii="Times New Roman" w:hAnsi="Times New Roman" w:cs="Times New Roman"/>
                      <w:sz w:val="21"/>
                      <w:szCs w:val="21"/>
                    </w:rPr>
                  </w:pPr>
                  <w:r>
                    <w:rPr>
                      <w:rFonts w:ascii="Times New Roman" w:hAnsi="Times New Roman" w:cs="Times New Roman"/>
                      <w:sz w:val="21"/>
                      <w:szCs w:val="21"/>
                    </w:rPr>
                    <w:t>项目落地工业园区，服从区域大气联防联控管理；投产前依法完成颗粒物、VOCs 等大气污染物总量申请，严格执行区域减量替代制度，满足区域环境质量管控要求。</w:t>
                  </w:r>
                </w:p>
              </w:tc>
              <w:tc>
                <w:tcPr>
                  <w:tcW w:w="905" w:type="dxa"/>
                  <w:vAlign w:val="center"/>
                </w:tcPr>
                <w:p w14:paraId="36E1592B">
                  <w:pPr>
                    <w:jc w:val="center"/>
                    <w:rPr>
                      <w:rFonts w:ascii="Times New Roman" w:hAnsi="Times New Roman" w:cs="Times New Roman"/>
                      <w:sz w:val="21"/>
                      <w:szCs w:val="21"/>
                    </w:rPr>
                  </w:pPr>
                  <w:r>
                    <w:rPr>
                      <w:rFonts w:ascii="Times New Roman" w:hAnsi="Times New Roman" w:cs="Times New Roman"/>
                      <w:sz w:val="21"/>
                      <w:szCs w:val="21"/>
                    </w:rPr>
                    <w:t>符合</w:t>
                  </w:r>
                </w:p>
              </w:tc>
            </w:tr>
            <w:tr w14:paraId="70B02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4" w:type="dxa"/>
                  <w:vAlign w:val="center"/>
                </w:tcPr>
                <w:p w14:paraId="258514E0">
                  <w:pPr>
                    <w:jc w:val="center"/>
                    <w:rPr>
                      <w:rFonts w:ascii="Times New Roman" w:hAnsi="Times New Roman" w:cs="Times New Roman"/>
                      <w:sz w:val="21"/>
                      <w:szCs w:val="21"/>
                    </w:rPr>
                  </w:pPr>
                  <w:r>
                    <w:rPr>
                      <w:rFonts w:ascii="Times New Roman" w:hAnsi="Times New Roman" w:cs="Times New Roman"/>
                      <w:sz w:val="21"/>
                      <w:szCs w:val="21"/>
                    </w:rPr>
                    <w:t>健全企业大气环境日常管理，建立废气设施运维、废气监测、污染源台账管理制度，常态化开展自行监测。</w:t>
                  </w:r>
                </w:p>
              </w:tc>
              <w:tc>
                <w:tcPr>
                  <w:tcW w:w="2960" w:type="dxa"/>
                  <w:vAlign w:val="center"/>
                </w:tcPr>
                <w:p w14:paraId="7D7E8912">
                  <w:pPr>
                    <w:jc w:val="center"/>
                    <w:rPr>
                      <w:rFonts w:ascii="Times New Roman" w:hAnsi="Times New Roman" w:cs="Times New Roman"/>
                      <w:sz w:val="21"/>
                      <w:szCs w:val="21"/>
                    </w:rPr>
                  </w:pPr>
                  <w:r>
                    <w:rPr>
                      <w:rFonts w:ascii="Times New Roman" w:hAnsi="Times New Roman" w:cs="Times New Roman"/>
                      <w:sz w:val="21"/>
                      <w:szCs w:val="21"/>
                    </w:rPr>
                    <w:t>项目投运后将建立废气治理设施运维台账、污染源管理台账；按照规范安装在线监测设备或定期开展手工自行监测，监测数据留存归档；现阶段项目未建设，台账、监测设备将在投产前布设到位。</w:t>
                  </w:r>
                </w:p>
              </w:tc>
              <w:tc>
                <w:tcPr>
                  <w:tcW w:w="905" w:type="dxa"/>
                  <w:vAlign w:val="center"/>
                </w:tcPr>
                <w:p w14:paraId="7A5D847A">
                  <w:pPr>
                    <w:jc w:val="center"/>
                    <w:rPr>
                      <w:rFonts w:ascii="Times New Roman" w:hAnsi="Times New Roman" w:cs="Times New Roman"/>
                      <w:sz w:val="21"/>
                      <w:szCs w:val="21"/>
                    </w:rPr>
                  </w:pPr>
                  <w:r>
                    <w:rPr>
                      <w:rFonts w:ascii="Times New Roman" w:hAnsi="Times New Roman" w:cs="Times New Roman"/>
                      <w:sz w:val="21"/>
                      <w:szCs w:val="21"/>
                    </w:rPr>
                    <w:t>符合</w:t>
                  </w:r>
                </w:p>
              </w:tc>
            </w:tr>
          </w:tbl>
          <w:p w14:paraId="6DC42EE8">
            <w:pPr>
              <w:pStyle w:val="42"/>
              <w:ind w:firstLine="482"/>
              <w:rPr>
                <w:b/>
                <w:bCs/>
                <w:color w:val="000000"/>
              </w:rPr>
            </w:pPr>
          </w:p>
          <w:p w14:paraId="0E5254F9">
            <w:pPr>
              <w:pStyle w:val="42"/>
              <w:ind w:firstLine="0" w:firstLineChars="0"/>
              <w:rPr>
                <w:b/>
                <w:bCs/>
                <w:color w:val="000000"/>
              </w:rPr>
            </w:pPr>
            <w:r>
              <w:rPr>
                <w:b/>
                <w:bCs/>
                <w:color w:val="000000"/>
              </w:rPr>
              <w:t>10、与《重污染天气重点行业应急减排措施制定技术指南》（2022 年修订版）符合性分析</w:t>
            </w:r>
          </w:p>
          <w:p w14:paraId="2B8614C9">
            <w:pPr>
              <w:pStyle w:val="42"/>
              <w:ind w:firstLine="480"/>
              <w:rPr>
                <w:color w:val="000000"/>
              </w:rPr>
            </w:pPr>
            <w:r>
              <w:rPr>
                <w:color w:val="000000"/>
              </w:rPr>
              <w:t>本项目与《重污染天气重点行业应急减排措施制定技术指南》符合性分析见表1-1</w:t>
            </w:r>
            <w:r>
              <w:rPr>
                <w:rFonts w:hint="eastAsia"/>
                <w:color w:val="000000"/>
              </w:rPr>
              <w:t>2</w:t>
            </w:r>
            <w:r>
              <w:rPr>
                <w:color w:val="000000"/>
              </w:rPr>
              <w:t>。本项目从</w:t>
            </w:r>
            <w:r>
              <w:rPr>
                <w:rFonts w:hint="eastAsia"/>
                <w:color w:val="000000"/>
              </w:rPr>
              <w:t>泄漏检测与修复、</w:t>
            </w:r>
            <w:r>
              <w:rPr>
                <w:color w:val="000000"/>
              </w:rPr>
              <w:t>储罐密闭存储、装卸废气收集治理、</w:t>
            </w:r>
            <w:r>
              <w:rPr>
                <w:rFonts w:hint="eastAsia"/>
                <w:color w:val="000000"/>
              </w:rPr>
              <w:t>排放限制、</w:t>
            </w:r>
            <w:r>
              <w:rPr>
                <w:color w:val="000000"/>
              </w:rPr>
              <w:t>环境管理等方面，均符合《重污染天气重点行业应急减排措施制定技术指南》各项管控要求。</w:t>
            </w:r>
          </w:p>
          <w:p w14:paraId="0320AE27">
            <w:pPr>
              <w:pStyle w:val="42"/>
              <w:ind w:firstLine="422"/>
              <w:jc w:val="center"/>
              <w:rPr>
                <w:b/>
                <w:bCs/>
                <w:color w:val="000000"/>
              </w:rPr>
            </w:pPr>
            <w:r>
              <w:rPr>
                <w:b/>
                <w:bCs/>
                <w:color w:val="000000"/>
                <w:sz w:val="21"/>
                <w:szCs w:val="18"/>
              </w:rPr>
              <w:t>表1-1</w:t>
            </w:r>
            <w:r>
              <w:rPr>
                <w:rFonts w:hint="eastAsia"/>
                <w:b/>
                <w:bCs/>
                <w:color w:val="000000"/>
                <w:sz w:val="21"/>
                <w:szCs w:val="18"/>
              </w:rPr>
              <w:t>2</w:t>
            </w:r>
            <w:r>
              <w:rPr>
                <w:b/>
                <w:bCs/>
                <w:color w:val="000000"/>
                <w:sz w:val="21"/>
                <w:szCs w:val="18"/>
              </w:rPr>
              <w:t xml:space="preserve">  本项目与《重污染天气重点行业应急减排措施制定技术指南》的符合性分析</w:t>
            </w:r>
          </w:p>
          <w:tbl>
            <w:tblPr>
              <w:tblStyle w:val="17"/>
              <w:tblW w:w="6422"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2414"/>
              <w:gridCol w:w="2778"/>
              <w:gridCol w:w="567"/>
            </w:tblGrid>
            <w:tr w14:paraId="6E94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3077" w:type="dxa"/>
                  <w:gridSpan w:val="2"/>
                </w:tcPr>
                <w:p w14:paraId="2B6D92E0">
                  <w:pPr>
                    <w:jc w:val="center"/>
                    <w:rPr>
                      <w:rFonts w:ascii="Times New Roman" w:hAnsi="Times New Roman" w:cs="Times New Roman"/>
                      <w:b/>
                      <w:bCs/>
                      <w:sz w:val="21"/>
                      <w:szCs w:val="21"/>
                    </w:rPr>
                  </w:pPr>
                  <w:r>
                    <w:rPr>
                      <w:rFonts w:ascii="Times New Roman" w:hAnsi="Times New Roman" w:cs="Times New Roman"/>
                      <w:sz w:val="21"/>
                      <w:szCs w:val="21"/>
                    </w:rPr>
                    <w:t>具体要求</w:t>
                  </w:r>
                </w:p>
              </w:tc>
              <w:tc>
                <w:tcPr>
                  <w:tcW w:w="2778" w:type="dxa"/>
                  <w:vAlign w:val="center"/>
                </w:tcPr>
                <w:p w14:paraId="25A863C2">
                  <w:pPr>
                    <w:jc w:val="center"/>
                    <w:rPr>
                      <w:rFonts w:ascii="Times New Roman" w:hAnsi="Times New Roman" w:cs="Times New Roman"/>
                      <w:b/>
                      <w:bCs/>
                      <w:sz w:val="21"/>
                      <w:szCs w:val="21"/>
                    </w:rPr>
                  </w:pPr>
                  <w:r>
                    <w:rPr>
                      <w:rFonts w:ascii="Times New Roman" w:hAnsi="Times New Roman" w:cs="Times New Roman"/>
                      <w:sz w:val="21"/>
                      <w:szCs w:val="21"/>
                    </w:rPr>
                    <w:t>本项目情况</w:t>
                  </w:r>
                </w:p>
              </w:tc>
              <w:tc>
                <w:tcPr>
                  <w:tcW w:w="567" w:type="dxa"/>
                  <w:vAlign w:val="center"/>
                </w:tcPr>
                <w:p w14:paraId="4807CEC9">
                  <w:pPr>
                    <w:jc w:val="center"/>
                    <w:rPr>
                      <w:rFonts w:ascii="Times New Roman" w:hAnsi="Times New Roman" w:cs="Times New Roman"/>
                      <w:b/>
                      <w:bCs/>
                      <w:sz w:val="21"/>
                      <w:szCs w:val="21"/>
                    </w:rPr>
                  </w:pPr>
                  <w:r>
                    <w:rPr>
                      <w:rFonts w:ascii="Times New Roman" w:hAnsi="Times New Roman" w:cs="Times New Roman"/>
                      <w:sz w:val="21"/>
                      <w:szCs w:val="21"/>
                    </w:rPr>
                    <w:t>符合性</w:t>
                  </w:r>
                </w:p>
              </w:tc>
            </w:tr>
            <w:tr w14:paraId="5A79B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663" w:type="dxa"/>
                </w:tcPr>
                <w:p w14:paraId="3C0B615A">
                  <w:pPr>
                    <w:jc w:val="center"/>
                    <w:rPr>
                      <w:rFonts w:ascii="Times New Roman" w:hAnsi="Times New Roman" w:cs="Times New Roman"/>
                      <w:sz w:val="21"/>
                      <w:szCs w:val="21"/>
                    </w:rPr>
                  </w:pPr>
                  <w:r>
                    <w:rPr>
                      <w:rFonts w:ascii="Times New Roman" w:hAnsi="Times New Roman" w:cs="Times New Roman"/>
                      <w:sz w:val="21"/>
                      <w:szCs w:val="21"/>
                    </w:rPr>
                    <w:t>泄漏检测与修复</w:t>
                  </w:r>
                </w:p>
              </w:tc>
              <w:tc>
                <w:tcPr>
                  <w:tcW w:w="2414" w:type="dxa"/>
                  <w:vAlign w:val="center"/>
                </w:tcPr>
                <w:p w14:paraId="5DEA7E6E">
                  <w:pPr>
                    <w:jc w:val="center"/>
                    <w:rPr>
                      <w:rFonts w:ascii="Times New Roman" w:hAnsi="Times New Roman" w:cs="Times New Roman"/>
                      <w:sz w:val="21"/>
                      <w:szCs w:val="21"/>
                    </w:rPr>
                  </w:pPr>
                  <w:r>
                    <w:rPr>
                      <w:rFonts w:ascii="Times New Roman" w:hAnsi="Times New Roman" w:cs="Times New Roman"/>
                      <w:sz w:val="21"/>
                      <w:szCs w:val="21"/>
                    </w:rPr>
                    <w:t>A级企业：严格按照《石化企业泄漏检测与修复工作指南》开展LDAR工作，建立LDAR信息管理平台，全厂所有动静密封点检测数据、检测设备信息、检修人员等信息传输至平台，实现检测计划、进度、数据以及泄漏修复的查询、分析和统计功能</w:t>
                  </w:r>
                </w:p>
              </w:tc>
              <w:tc>
                <w:tcPr>
                  <w:tcW w:w="2778" w:type="dxa"/>
                  <w:vAlign w:val="center"/>
                </w:tcPr>
                <w:p w14:paraId="08011CB4">
                  <w:pPr>
                    <w:jc w:val="center"/>
                    <w:rPr>
                      <w:rFonts w:ascii="Times New Roman" w:hAnsi="Times New Roman" w:cs="Times New Roman"/>
                      <w:sz w:val="21"/>
                      <w:szCs w:val="21"/>
                    </w:rPr>
                  </w:pPr>
                  <w:r>
                    <w:rPr>
                      <w:rFonts w:ascii="Times New Roman" w:hAnsi="Times New Roman" w:cs="Times New Roman"/>
                      <w:sz w:val="21"/>
                      <w:szCs w:val="21"/>
                    </w:rPr>
                    <w:t>本项目严格按照《石化企业泄漏检测与修复工作指南》开展LDAR工作。</w:t>
                  </w:r>
                </w:p>
              </w:tc>
              <w:tc>
                <w:tcPr>
                  <w:tcW w:w="567" w:type="dxa"/>
                  <w:vAlign w:val="center"/>
                </w:tcPr>
                <w:p w14:paraId="2DB6D798">
                  <w:pPr>
                    <w:jc w:val="center"/>
                    <w:rPr>
                      <w:rFonts w:ascii="Times New Roman" w:hAnsi="Times New Roman" w:cs="Times New Roman"/>
                      <w:sz w:val="21"/>
                      <w:szCs w:val="21"/>
                    </w:rPr>
                  </w:pPr>
                  <w:r>
                    <w:rPr>
                      <w:rFonts w:ascii="Times New Roman" w:hAnsi="Times New Roman" w:cs="Times New Roman"/>
                      <w:sz w:val="21"/>
                      <w:szCs w:val="21"/>
                    </w:rPr>
                    <w:t>符合</w:t>
                  </w:r>
                </w:p>
              </w:tc>
            </w:tr>
            <w:tr w14:paraId="6CFF5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663" w:type="dxa"/>
                </w:tcPr>
                <w:p w14:paraId="45C96E8A">
                  <w:pPr>
                    <w:jc w:val="center"/>
                    <w:rPr>
                      <w:rFonts w:ascii="Times New Roman" w:hAnsi="Times New Roman" w:cs="Times New Roman"/>
                      <w:sz w:val="21"/>
                      <w:szCs w:val="21"/>
                    </w:rPr>
                  </w:pPr>
                  <w:r>
                    <w:rPr>
                      <w:rFonts w:ascii="Times New Roman" w:hAnsi="Times New Roman" w:cs="Times New Roman"/>
                      <w:sz w:val="21"/>
                      <w:szCs w:val="21"/>
                    </w:rPr>
                    <w:t>储罐</w:t>
                  </w:r>
                </w:p>
              </w:tc>
              <w:tc>
                <w:tcPr>
                  <w:tcW w:w="2414" w:type="dxa"/>
                  <w:vAlign w:val="center"/>
                </w:tcPr>
                <w:p w14:paraId="164FAD71">
                  <w:pPr>
                    <w:pStyle w:val="51"/>
                    <w:jc w:val="both"/>
                    <w:rPr>
                      <w:sz w:val="21"/>
                      <w:szCs w:val="21"/>
                    </w:rPr>
                  </w:pPr>
                  <w:r>
                    <w:rPr>
                      <w:sz w:val="21"/>
                      <w:szCs w:val="21"/>
                    </w:rPr>
                    <w:t>1、对储存物料的真实蒸气压&gt;2.8kPa但&lt;76.6kPa，且容积&gt;75m</w:t>
                  </w:r>
                  <w:r>
                    <w:rPr>
                      <w:sz w:val="21"/>
                      <w:szCs w:val="21"/>
                      <w:vertAlign w:val="superscript"/>
                    </w:rPr>
                    <w:t>3</w:t>
                  </w:r>
                  <w:r>
                    <w:rPr>
                      <w:sz w:val="21"/>
                      <w:szCs w:val="21"/>
                    </w:rPr>
                    <w:t>的有机液体储罐，采用高级密封方式的浮顶罐(占比≥80%)，或采用固定顶罐安装密闭排气系统至有机废气治理设施，或采用气相平衡系统，或其他等效措施；</w:t>
                  </w:r>
                </w:p>
                <w:p w14:paraId="09BD8678">
                  <w:pPr>
                    <w:pStyle w:val="51"/>
                    <w:jc w:val="both"/>
                    <w:rPr>
                      <w:sz w:val="21"/>
                      <w:szCs w:val="21"/>
                    </w:rPr>
                  </w:pPr>
                  <w:r>
                    <w:rPr>
                      <w:sz w:val="21"/>
                      <w:szCs w:val="21"/>
                    </w:rPr>
                    <w:t>2、符合第1条的固定顶罐排气采用吸收、吸附、冷凝、膜分离等及其组合工艺回收处理后，采用燃烧工艺(包括直接燃烧、催化燃烧和蓄热燃烧)进行最终处理，或送工艺加热炉、锅炉、焚烧炉等燃烧处理；</w:t>
                  </w:r>
                </w:p>
                <w:p w14:paraId="46DC68D5">
                  <w:pPr>
                    <w:pStyle w:val="51"/>
                    <w:jc w:val="both"/>
                    <w:rPr>
                      <w:sz w:val="21"/>
                      <w:szCs w:val="21"/>
                    </w:rPr>
                  </w:pPr>
                  <w:r>
                    <w:rPr>
                      <w:sz w:val="21"/>
                      <w:szCs w:val="21"/>
                    </w:rPr>
                    <w:t>3、符合第1条内浮顶储罐，采用高级密封方式浮顶罐的，全接液式浮盘的储罐占比&gt;50%；或储罐排气采用吸收、吸附、冷凝、膜分离等及其组合工艺回收处理后，采用燃烧工艺(包括直接燃烧、催化燃烧和蓄热燃烧)进行最终处理；或送工艺加热炉、锅炉、焚烧炉等燃烧处理储罐排气治理占比&gt;50%；</w:t>
                  </w:r>
                </w:p>
                <w:p w14:paraId="0975B10A">
                  <w:pPr>
                    <w:pStyle w:val="51"/>
                    <w:jc w:val="both"/>
                    <w:rPr>
                      <w:sz w:val="21"/>
                      <w:szCs w:val="21"/>
                    </w:rPr>
                  </w:pPr>
                  <w:r>
                    <w:rPr>
                      <w:sz w:val="21"/>
                      <w:szCs w:val="21"/>
                    </w:rPr>
                    <w:t>4、密闭排气系统、气相平衡系统、燃烧处理均须在安全评价前提下实施</w:t>
                  </w:r>
                </w:p>
              </w:tc>
              <w:tc>
                <w:tcPr>
                  <w:tcW w:w="2778" w:type="dxa"/>
                  <w:vAlign w:val="center"/>
                </w:tcPr>
                <w:p w14:paraId="0315947E">
                  <w:pPr>
                    <w:jc w:val="center"/>
                    <w:rPr>
                      <w:rFonts w:ascii="Times New Roman" w:hAnsi="Times New Roman" w:cs="Times New Roman"/>
                      <w:sz w:val="21"/>
                      <w:szCs w:val="21"/>
                    </w:rPr>
                  </w:pPr>
                  <w:r>
                    <w:rPr>
                      <w:rFonts w:ascii="Times New Roman" w:hAnsi="Times New Roman" w:cs="Times New Roman"/>
                      <w:sz w:val="21"/>
                      <w:szCs w:val="21"/>
                    </w:rPr>
                    <w:t>本项目新建汽油、芳烃调和储罐均采用全接液双层密封内浮顶罐，容积均大于 75m³，满足 A 级浮顶罐配置要求；储罐储存废气通过罐顶密闭通气管道统一收集，依托一期油气回收装置（冷凝+吸附组合工艺）处理，系统VOCs去除效率≥97%；无敞口罐、无罐顶废气直排点位。</w:t>
                  </w:r>
                  <w:r>
                    <w:rPr>
                      <w:rFonts w:hint="eastAsia" w:ascii="Times New Roman" w:hAnsi="Times New Roman" w:cs="Times New Roman"/>
                      <w:sz w:val="21"/>
                      <w:szCs w:val="21"/>
                    </w:rPr>
                    <w:t>一期已有12个内浮顶储罐采用全接液式浮盘，整个厂区内</w:t>
                  </w:r>
                  <w:r>
                    <w:rPr>
                      <w:sz w:val="21"/>
                      <w:szCs w:val="21"/>
                    </w:rPr>
                    <w:t>全接液式浮盘的储罐占比</w:t>
                  </w:r>
                  <w:r>
                    <w:rPr>
                      <w:rFonts w:ascii="Times New Roman" w:hAnsi="Times New Roman" w:cs="Times New Roman"/>
                      <w:sz w:val="21"/>
                      <w:szCs w:val="21"/>
                    </w:rPr>
                    <w:t>&gt;50%</w:t>
                  </w:r>
                  <w:r>
                    <w:rPr>
                      <w:rFonts w:hint="eastAsia"/>
                      <w:sz w:val="21"/>
                      <w:szCs w:val="21"/>
                    </w:rPr>
                    <w:t>。</w:t>
                  </w:r>
                </w:p>
              </w:tc>
              <w:tc>
                <w:tcPr>
                  <w:tcW w:w="567" w:type="dxa"/>
                  <w:vAlign w:val="center"/>
                </w:tcPr>
                <w:p w14:paraId="6DEE60AA">
                  <w:pPr>
                    <w:jc w:val="center"/>
                    <w:rPr>
                      <w:rFonts w:ascii="Times New Roman" w:hAnsi="Times New Roman" w:cs="Times New Roman"/>
                      <w:sz w:val="21"/>
                      <w:szCs w:val="21"/>
                    </w:rPr>
                  </w:pPr>
                  <w:r>
                    <w:rPr>
                      <w:rFonts w:ascii="Times New Roman" w:hAnsi="Times New Roman" w:cs="Times New Roman"/>
                      <w:sz w:val="21"/>
                      <w:szCs w:val="21"/>
                    </w:rPr>
                    <w:t>符合</w:t>
                  </w:r>
                </w:p>
              </w:tc>
            </w:tr>
            <w:tr w14:paraId="7E12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663" w:type="dxa"/>
                </w:tcPr>
                <w:p w14:paraId="0209FF2E">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挥发性有机液体转载</w:t>
                  </w:r>
                </w:p>
              </w:tc>
              <w:tc>
                <w:tcPr>
                  <w:tcW w:w="2414" w:type="dxa"/>
                  <w:vAlign w:val="center"/>
                </w:tcPr>
                <w:p w14:paraId="7A3AB8D3">
                  <w:pPr>
                    <w:pStyle w:val="51"/>
                    <w:jc w:val="both"/>
                    <w:rPr>
                      <w:sz w:val="21"/>
                      <w:szCs w:val="21"/>
                    </w:rPr>
                  </w:pPr>
                  <w:r>
                    <w:rPr>
                      <w:sz w:val="21"/>
                      <w:szCs w:val="21"/>
                    </w:rPr>
                    <w:t>1、对真实蒸气压≥2.8kPa但&lt;76.6kPa的挥发性有机液体汽车装车采用底部装载或顶部浸没式装载作业，并设置油气收集和输送系统；石脑油及成品油汽车运输全部采用底部装载；采用顶部浸没式装载，出料管口距离槽(罐)底部高度&lt;200mm；</w:t>
                  </w:r>
                </w:p>
                <w:p w14:paraId="39D16DA4">
                  <w:pPr>
                    <w:pStyle w:val="51"/>
                    <w:jc w:val="both"/>
                    <w:rPr>
                      <w:sz w:val="21"/>
                      <w:szCs w:val="21"/>
                    </w:rPr>
                  </w:pPr>
                  <w:r>
                    <w:rPr>
                      <w:sz w:val="21"/>
                      <w:szCs w:val="21"/>
                    </w:rPr>
                    <w:t>2、对真实蒸气压&gt;2.8kPa但&lt;76.6kPa的挥发性有机液体火车或船舶装载采用顶部浸没式或底部装载作业，并设置油气收集和输送系统；采用顶部浸没式装载：出料管口距离槽(罐)底部高度&lt;200mm；</w:t>
                  </w:r>
                </w:p>
                <w:p w14:paraId="19D7EA4E">
                  <w:pPr>
                    <w:pStyle w:val="51"/>
                    <w:jc w:val="both"/>
                    <w:rPr>
                      <w:sz w:val="21"/>
                      <w:szCs w:val="21"/>
                    </w:rPr>
                  </w:pPr>
                  <w:r>
                    <w:rPr>
                      <w:sz w:val="21"/>
                      <w:szCs w:val="21"/>
                    </w:rPr>
                    <w:t>3、符合第2条的顶部装载作业排气采用吸收、吸附、冷凝、膜分离等预处理后，采用燃烧工艺(包括直接燃烧、催化燃烧和蓄热燃烧)进行最终处理，或送工艺加热炉、锅炉、焚烧炉等燃烧处理；燃烧处理须在安全评价前提下实施</w:t>
                  </w:r>
                </w:p>
              </w:tc>
              <w:tc>
                <w:tcPr>
                  <w:tcW w:w="2778" w:type="dxa"/>
                  <w:vAlign w:val="center"/>
                </w:tcPr>
                <w:p w14:paraId="5C7B11C8">
                  <w:pPr>
                    <w:autoSpaceDE w:val="0"/>
                    <w:autoSpaceDN w:val="0"/>
                    <w:adjustRightInd w:val="0"/>
                    <w:snapToGrid w:val="0"/>
                    <w:rPr>
                      <w:rFonts w:ascii="Times New Roman" w:hAnsi="Times New Roman" w:cs="Times New Roman"/>
                      <w:sz w:val="21"/>
                      <w:szCs w:val="21"/>
                    </w:rPr>
                  </w:pPr>
                  <w:r>
                    <w:rPr>
                      <w:rFonts w:ascii="Times New Roman" w:hAnsi="Times New Roman" w:cs="Times New Roman"/>
                      <w:sz w:val="21"/>
                      <w:szCs w:val="21"/>
                    </w:rPr>
                    <w:t>物料及产品采用底部装卸系统，收集废气采用油气回收系统（冷凝+活性炭吸附）处理措施，处理后废气经1根15m高排气筒排放。</w:t>
                  </w:r>
                </w:p>
              </w:tc>
              <w:tc>
                <w:tcPr>
                  <w:tcW w:w="567" w:type="dxa"/>
                  <w:vAlign w:val="center"/>
                </w:tcPr>
                <w:p w14:paraId="78660D21">
                  <w:pPr>
                    <w:jc w:val="center"/>
                    <w:rPr>
                      <w:rFonts w:ascii="Times New Roman" w:hAnsi="Times New Roman" w:cs="Times New Roman"/>
                      <w:sz w:val="21"/>
                      <w:szCs w:val="21"/>
                    </w:rPr>
                  </w:pPr>
                  <w:r>
                    <w:rPr>
                      <w:rFonts w:ascii="Times New Roman" w:hAnsi="Times New Roman" w:cs="Times New Roman"/>
                      <w:sz w:val="21"/>
                      <w:szCs w:val="21"/>
                    </w:rPr>
                    <w:t>符合</w:t>
                  </w:r>
                </w:p>
              </w:tc>
            </w:tr>
            <w:tr w14:paraId="09B6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663" w:type="dxa"/>
                </w:tcPr>
                <w:p w14:paraId="13CAAA0A">
                  <w:pPr>
                    <w:jc w:val="center"/>
                    <w:rPr>
                      <w:rFonts w:ascii="Times New Roman" w:hAnsi="Times New Roman" w:cs="Times New Roman"/>
                      <w:sz w:val="21"/>
                      <w:szCs w:val="21"/>
                    </w:rPr>
                  </w:pPr>
                  <w:r>
                    <w:rPr>
                      <w:rFonts w:ascii="Times New Roman" w:hAnsi="Times New Roman" w:cs="Times New Roman"/>
                      <w:sz w:val="21"/>
                      <w:szCs w:val="21"/>
                    </w:rPr>
                    <w:t>排放限值</w:t>
                  </w:r>
                </w:p>
              </w:tc>
              <w:tc>
                <w:tcPr>
                  <w:tcW w:w="2414" w:type="dxa"/>
                  <w:vAlign w:val="center"/>
                </w:tcPr>
                <w:p w14:paraId="5953B802">
                  <w:pPr>
                    <w:pStyle w:val="51"/>
                    <w:jc w:val="both"/>
                    <w:rPr>
                      <w:sz w:val="21"/>
                      <w:szCs w:val="21"/>
                    </w:rPr>
                  </w:pPr>
                  <w:r>
                    <w:rPr>
                      <w:sz w:val="21"/>
                      <w:szCs w:val="21"/>
                    </w:rPr>
                    <w:t>1、储罐、装载、污水处理站、有机废气排放口，NMHC浓度连续稳定不高于20mg/m</w:t>
                  </w:r>
                  <w:r>
                    <w:rPr>
                      <w:sz w:val="21"/>
                      <w:szCs w:val="21"/>
                      <w:vertAlign w:val="superscript"/>
                    </w:rPr>
                    <w:t>3</w:t>
                  </w:r>
                  <w:r>
                    <w:rPr>
                      <w:sz w:val="21"/>
                      <w:szCs w:val="21"/>
                    </w:rPr>
                    <w:t>(燃烧法)或60mg/m</w:t>
                  </w:r>
                  <w:r>
                    <w:rPr>
                      <w:sz w:val="21"/>
                      <w:szCs w:val="21"/>
                      <w:vertAlign w:val="superscript"/>
                    </w:rPr>
                    <w:t>3</w:t>
                  </w:r>
                  <w:r>
                    <w:rPr>
                      <w:sz w:val="21"/>
                      <w:szCs w:val="21"/>
                    </w:rPr>
                    <w:t>(非燃烧法)；采用工艺加热炉、锅炉、焚烧炉协同处理有机废气的，其NMHC浓度连续稳定不高于40mg/m</w:t>
                  </w:r>
                  <w:r>
                    <w:rPr>
                      <w:sz w:val="21"/>
                      <w:szCs w:val="21"/>
                      <w:vertAlign w:val="superscript"/>
                    </w:rPr>
                    <w:t>3</w:t>
                  </w:r>
                  <w:r>
                    <w:rPr>
                      <w:sz w:val="21"/>
                      <w:szCs w:val="21"/>
                    </w:rPr>
                    <w:t>；</w:t>
                  </w:r>
                </w:p>
                <w:p w14:paraId="2C5B32B1">
                  <w:pPr>
                    <w:jc w:val="center"/>
                    <w:rPr>
                      <w:rFonts w:ascii="Times New Roman" w:hAnsi="Times New Roman" w:cs="Times New Roman"/>
                      <w:sz w:val="21"/>
                      <w:szCs w:val="21"/>
                    </w:rPr>
                  </w:pPr>
                  <w:r>
                    <w:rPr>
                      <w:rFonts w:ascii="Times New Roman" w:hAnsi="Times New Roman" w:cs="Times New Roman"/>
                      <w:sz w:val="21"/>
                      <w:szCs w:val="21"/>
                    </w:rPr>
                    <w:t>2、其余排放口及污染物连续稳定达到《石油炼制工业污染物排放标准》(GB3157</w:t>
                  </w:r>
                  <w:r>
                    <w:rPr>
                      <w:rFonts w:hint="eastAsia" w:ascii="Times New Roman" w:hAnsi="Times New Roman" w:cs="Times New Roman"/>
                      <w:sz w:val="21"/>
                      <w:szCs w:val="21"/>
                    </w:rPr>
                    <w:t>1</w:t>
                  </w:r>
                  <w:r>
                    <w:rPr>
                      <w:rFonts w:ascii="Times New Roman" w:hAnsi="Times New Roman" w:cs="Times New Roman"/>
                      <w:sz w:val="21"/>
                      <w:szCs w:val="21"/>
                    </w:rPr>
                    <w:t>-2015)、《石油化学工业污染物排放标准》(GB31571-2015)、《合成树脂工业污染物排放标准》(GB31572-2015)特别排放限值，并满足相关地方排放标准要求</w:t>
                  </w:r>
                </w:p>
              </w:tc>
              <w:tc>
                <w:tcPr>
                  <w:tcW w:w="2778" w:type="dxa"/>
                  <w:vAlign w:val="center"/>
                </w:tcPr>
                <w:p w14:paraId="41B4760F">
                  <w:pPr>
                    <w:jc w:val="center"/>
                    <w:rPr>
                      <w:rFonts w:ascii="Times New Roman" w:hAnsi="Times New Roman" w:cs="Times New Roman"/>
                      <w:sz w:val="21"/>
                      <w:szCs w:val="21"/>
                    </w:rPr>
                  </w:pPr>
                  <w:r>
                    <w:rPr>
                      <w:rFonts w:ascii="Times New Roman" w:hAnsi="Times New Roman" w:cs="Times New Roman"/>
                      <w:sz w:val="21"/>
                      <w:szCs w:val="21"/>
                    </w:rPr>
                    <w:t>储罐、装载、有机废气排放口，NMHC浓度连续稳定不高于60mg/m</w:t>
                  </w:r>
                  <w:r>
                    <w:rPr>
                      <w:rFonts w:ascii="Times New Roman" w:hAnsi="Times New Roman" w:cs="Times New Roman"/>
                      <w:sz w:val="21"/>
                      <w:szCs w:val="21"/>
                      <w:vertAlign w:val="superscript"/>
                    </w:rPr>
                    <w:t>3</w:t>
                  </w:r>
                  <w:r>
                    <w:rPr>
                      <w:rFonts w:ascii="Times New Roman" w:hAnsi="Times New Roman" w:cs="Times New Roman"/>
                      <w:sz w:val="21"/>
                      <w:szCs w:val="21"/>
                    </w:rPr>
                    <w:t>(非燃烧法)；其余排放口及污染物连续稳定达到《石油化学工业污染物排放标准》（GB31571-2015，含2024年修改单）相关要求</w:t>
                  </w:r>
                </w:p>
              </w:tc>
              <w:tc>
                <w:tcPr>
                  <w:tcW w:w="567" w:type="dxa"/>
                  <w:vAlign w:val="center"/>
                </w:tcPr>
                <w:p w14:paraId="4321FB69">
                  <w:pPr>
                    <w:jc w:val="center"/>
                    <w:rPr>
                      <w:rFonts w:ascii="Times New Roman" w:hAnsi="Times New Roman" w:cs="Times New Roman"/>
                      <w:sz w:val="21"/>
                      <w:szCs w:val="21"/>
                    </w:rPr>
                  </w:pPr>
                  <w:r>
                    <w:rPr>
                      <w:rFonts w:ascii="Times New Roman" w:hAnsi="Times New Roman" w:cs="Times New Roman"/>
                      <w:sz w:val="21"/>
                      <w:szCs w:val="21"/>
                    </w:rPr>
                    <w:t>符合</w:t>
                  </w:r>
                </w:p>
              </w:tc>
            </w:tr>
            <w:tr w14:paraId="5495D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663" w:type="dxa"/>
                </w:tcPr>
                <w:p w14:paraId="1AC1A2EE">
                  <w:pPr>
                    <w:jc w:val="center"/>
                    <w:rPr>
                      <w:rFonts w:ascii="Times New Roman" w:hAnsi="Times New Roman" w:cs="Times New Roman"/>
                      <w:sz w:val="21"/>
                      <w:szCs w:val="21"/>
                    </w:rPr>
                  </w:pPr>
                  <w:r>
                    <w:rPr>
                      <w:rFonts w:ascii="Times New Roman" w:hAnsi="Times New Roman" w:cs="Times New Roman"/>
                      <w:sz w:val="21"/>
                      <w:szCs w:val="21"/>
                    </w:rPr>
                    <w:t>监测监控水平</w:t>
                  </w:r>
                </w:p>
              </w:tc>
              <w:tc>
                <w:tcPr>
                  <w:tcW w:w="2414" w:type="dxa"/>
                  <w:vAlign w:val="center"/>
                </w:tcPr>
                <w:p w14:paraId="119437F1">
                  <w:pPr>
                    <w:jc w:val="center"/>
                    <w:rPr>
                      <w:rFonts w:ascii="Times New Roman" w:hAnsi="Times New Roman" w:cs="Times New Roman"/>
                      <w:sz w:val="21"/>
                      <w:szCs w:val="21"/>
                    </w:rPr>
                  </w:pPr>
                  <w:r>
                    <w:rPr>
                      <w:rFonts w:ascii="Times New Roman" w:hAnsi="Times New Roman" w:cs="Times New Roman"/>
                      <w:sz w:val="21"/>
                      <w:szCs w:val="21"/>
                    </w:rPr>
                    <w:t>生产装置接入DCS，记录企业生产设施运行及相关生产过程主要参数，数据保存一年以上</w:t>
                  </w:r>
                </w:p>
              </w:tc>
              <w:tc>
                <w:tcPr>
                  <w:tcW w:w="2778" w:type="dxa"/>
                  <w:vAlign w:val="center"/>
                </w:tcPr>
                <w:p w14:paraId="7E32C3DB">
                  <w:pPr>
                    <w:jc w:val="center"/>
                    <w:rPr>
                      <w:rFonts w:ascii="Times New Roman" w:hAnsi="Times New Roman" w:cs="Times New Roman"/>
                      <w:sz w:val="21"/>
                      <w:szCs w:val="21"/>
                    </w:rPr>
                  </w:pPr>
                  <w:r>
                    <w:rPr>
                      <w:rFonts w:ascii="Times New Roman" w:hAnsi="Times New Roman" w:cs="Times New Roman"/>
                      <w:sz w:val="21"/>
                      <w:szCs w:val="21"/>
                    </w:rPr>
                    <w:t>全厂生产装置均已接入DCS，记录企业生产设施运行及相关生产过程主要参数，数据保存一年以上</w:t>
                  </w:r>
                </w:p>
              </w:tc>
              <w:tc>
                <w:tcPr>
                  <w:tcW w:w="567" w:type="dxa"/>
                  <w:vAlign w:val="center"/>
                </w:tcPr>
                <w:p w14:paraId="7C90A84F">
                  <w:pPr>
                    <w:jc w:val="center"/>
                    <w:rPr>
                      <w:rFonts w:ascii="Times New Roman" w:hAnsi="Times New Roman" w:cs="Times New Roman"/>
                      <w:sz w:val="21"/>
                      <w:szCs w:val="21"/>
                    </w:rPr>
                  </w:pPr>
                </w:p>
              </w:tc>
            </w:tr>
            <w:tr w14:paraId="47C7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663" w:type="dxa"/>
                  <w:vMerge w:val="restart"/>
                </w:tcPr>
                <w:p w14:paraId="0EBB32A9">
                  <w:pPr>
                    <w:jc w:val="center"/>
                    <w:rPr>
                      <w:rFonts w:ascii="Times New Roman" w:hAnsi="Times New Roman" w:cs="Times New Roman"/>
                      <w:sz w:val="21"/>
                      <w:szCs w:val="21"/>
                    </w:rPr>
                  </w:pPr>
                  <w:r>
                    <w:rPr>
                      <w:rFonts w:ascii="Times New Roman" w:hAnsi="Times New Roman" w:cs="Times New Roman"/>
                      <w:sz w:val="21"/>
                      <w:szCs w:val="21"/>
                    </w:rPr>
                    <w:t>环境管理水平</w:t>
                  </w:r>
                </w:p>
              </w:tc>
              <w:tc>
                <w:tcPr>
                  <w:tcW w:w="2414" w:type="dxa"/>
                  <w:vAlign w:val="center"/>
                </w:tcPr>
                <w:p w14:paraId="3E932B07">
                  <w:pPr>
                    <w:jc w:val="center"/>
                    <w:rPr>
                      <w:rFonts w:ascii="Times New Roman" w:hAnsi="Times New Roman" w:cs="Times New Roman"/>
                      <w:sz w:val="21"/>
                      <w:szCs w:val="21"/>
                    </w:rPr>
                  </w:pPr>
                  <w:r>
                    <w:rPr>
                      <w:rFonts w:ascii="Times New Roman" w:hAnsi="Times New Roman" w:cs="Times New Roman"/>
                      <w:sz w:val="21"/>
                      <w:szCs w:val="21"/>
                    </w:rPr>
                    <w:t>环保档案齐全：1、环评批复文件；2、排污许可证及季度、年度执行报告；3、竣工验收文件；4、废气治理设施运行管理规程；5、一年内废气监测报告</w:t>
                  </w:r>
                </w:p>
              </w:tc>
              <w:tc>
                <w:tcPr>
                  <w:tcW w:w="2778" w:type="dxa"/>
                  <w:vAlign w:val="center"/>
                </w:tcPr>
                <w:p w14:paraId="2EE676C6">
                  <w:pPr>
                    <w:jc w:val="center"/>
                    <w:rPr>
                      <w:rFonts w:ascii="Times New Roman" w:hAnsi="Times New Roman" w:cs="Times New Roman"/>
                      <w:sz w:val="21"/>
                      <w:szCs w:val="21"/>
                    </w:rPr>
                  </w:pPr>
                  <w:r>
                    <w:rPr>
                      <w:rFonts w:ascii="Times New Roman" w:hAnsi="Times New Roman" w:cs="Times New Roman"/>
                      <w:sz w:val="21"/>
                      <w:szCs w:val="21"/>
                    </w:rPr>
                    <w:t>企业在运行期设置专职环境管理人员，管理环保档案</w:t>
                  </w:r>
                </w:p>
              </w:tc>
              <w:tc>
                <w:tcPr>
                  <w:tcW w:w="567" w:type="dxa"/>
                  <w:vMerge w:val="restart"/>
                  <w:vAlign w:val="center"/>
                </w:tcPr>
                <w:p w14:paraId="5A674B7E">
                  <w:pPr>
                    <w:jc w:val="center"/>
                    <w:rPr>
                      <w:rFonts w:ascii="Times New Roman" w:hAnsi="Times New Roman" w:cs="Times New Roman"/>
                      <w:sz w:val="21"/>
                      <w:szCs w:val="21"/>
                    </w:rPr>
                  </w:pPr>
                  <w:r>
                    <w:rPr>
                      <w:rFonts w:ascii="Times New Roman" w:hAnsi="Times New Roman" w:cs="Times New Roman"/>
                      <w:sz w:val="21"/>
                      <w:szCs w:val="21"/>
                    </w:rPr>
                    <w:t>符合</w:t>
                  </w:r>
                </w:p>
              </w:tc>
            </w:tr>
            <w:tr w14:paraId="0C11A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663" w:type="dxa"/>
                  <w:vMerge w:val="continue"/>
                </w:tcPr>
                <w:p w14:paraId="5D874EF9">
                  <w:pPr>
                    <w:jc w:val="center"/>
                    <w:rPr>
                      <w:rFonts w:ascii="Times New Roman" w:hAnsi="Times New Roman" w:cs="Times New Roman"/>
                      <w:sz w:val="21"/>
                      <w:szCs w:val="21"/>
                    </w:rPr>
                  </w:pPr>
                </w:p>
              </w:tc>
              <w:tc>
                <w:tcPr>
                  <w:tcW w:w="2414" w:type="dxa"/>
                  <w:vAlign w:val="center"/>
                </w:tcPr>
                <w:p w14:paraId="2AED94C1">
                  <w:pPr>
                    <w:jc w:val="center"/>
                    <w:rPr>
                      <w:rFonts w:ascii="Times New Roman" w:hAnsi="Times New Roman" w:cs="Times New Roman"/>
                      <w:sz w:val="21"/>
                      <w:szCs w:val="21"/>
                    </w:rPr>
                  </w:pPr>
                  <w:r>
                    <w:rPr>
                      <w:rFonts w:ascii="Times New Roman" w:hAnsi="Times New Roman" w:cs="Times New Roman"/>
                      <w:sz w:val="21"/>
                      <w:szCs w:val="21"/>
                    </w:rPr>
                    <w:t>台账记录：1、生产设施运行管理信息(生产时间、运行负荷、产品产量等)；2、废气污染治理设施运行管理信息(除尘滤料更换量和时间、脱硫及脱硝剂添加量和时间、燃烧室温度、冷凝温度、过滤材料更换频次、吸附剂更换频次、催化剂更换频次)；3、监测记录信息(主要污染排放口废气排放记录(手工监测或在线监测)等)；4、主要原辅材料消耗记录；5、燃料(天然气)消耗记录</w:t>
                  </w:r>
                </w:p>
              </w:tc>
              <w:tc>
                <w:tcPr>
                  <w:tcW w:w="2778" w:type="dxa"/>
                  <w:vAlign w:val="center"/>
                </w:tcPr>
                <w:p w14:paraId="777071F9">
                  <w:pPr>
                    <w:jc w:val="center"/>
                    <w:rPr>
                      <w:rFonts w:ascii="Times New Roman" w:hAnsi="Times New Roman" w:cs="Times New Roman"/>
                      <w:sz w:val="21"/>
                      <w:szCs w:val="21"/>
                    </w:rPr>
                  </w:pPr>
                  <w:r>
                    <w:rPr>
                      <w:rFonts w:ascii="Times New Roman" w:hAnsi="Times New Roman" w:cs="Times New Roman"/>
                      <w:sz w:val="21"/>
                      <w:szCs w:val="21"/>
                    </w:rPr>
                    <w:t>企业按照要求记录相关台账</w:t>
                  </w:r>
                </w:p>
              </w:tc>
              <w:tc>
                <w:tcPr>
                  <w:tcW w:w="567" w:type="dxa"/>
                  <w:vMerge w:val="continue"/>
                  <w:vAlign w:val="center"/>
                </w:tcPr>
                <w:p w14:paraId="2FD150B3">
                  <w:pPr>
                    <w:jc w:val="center"/>
                    <w:rPr>
                      <w:rFonts w:ascii="Times New Roman" w:hAnsi="Times New Roman" w:cs="Times New Roman"/>
                      <w:sz w:val="21"/>
                      <w:szCs w:val="21"/>
                    </w:rPr>
                  </w:pPr>
                </w:p>
              </w:tc>
            </w:tr>
            <w:tr w14:paraId="72B7D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663" w:type="dxa"/>
                </w:tcPr>
                <w:p w14:paraId="3381CA3B">
                  <w:pPr>
                    <w:jc w:val="center"/>
                    <w:rPr>
                      <w:rFonts w:ascii="Times New Roman" w:hAnsi="Times New Roman" w:cs="Times New Roman"/>
                      <w:sz w:val="21"/>
                      <w:szCs w:val="21"/>
                    </w:rPr>
                  </w:pPr>
                  <w:r>
                    <w:rPr>
                      <w:rFonts w:ascii="Times New Roman" w:hAnsi="Times New Roman" w:cs="Times New Roman"/>
                      <w:sz w:val="21"/>
                      <w:szCs w:val="21"/>
                    </w:rPr>
                    <w:t>运输方式</w:t>
                  </w:r>
                </w:p>
              </w:tc>
              <w:tc>
                <w:tcPr>
                  <w:tcW w:w="2414" w:type="dxa"/>
                  <w:vAlign w:val="center"/>
                </w:tcPr>
                <w:p w14:paraId="437A4736">
                  <w:pPr>
                    <w:pStyle w:val="51"/>
                    <w:jc w:val="both"/>
                    <w:rPr>
                      <w:sz w:val="21"/>
                      <w:szCs w:val="21"/>
                    </w:rPr>
                  </w:pPr>
                  <w:r>
                    <w:rPr>
                      <w:sz w:val="21"/>
                      <w:szCs w:val="21"/>
                    </w:rPr>
                    <w:t>石油化学工业企业：大宗物料和产品优先采用清洁运输方式，公路运输全部使用国五及以上排放标准重型载货车辆(含燃气)或新能源车辆</w:t>
                  </w:r>
                </w:p>
                <w:p w14:paraId="450AB051">
                  <w:pPr>
                    <w:pStyle w:val="51"/>
                    <w:jc w:val="both"/>
                    <w:rPr>
                      <w:sz w:val="21"/>
                      <w:szCs w:val="21"/>
                    </w:rPr>
                  </w:pPr>
                  <w:r>
                    <w:rPr>
                      <w:sz w:val="21"/>
                      <w:szCs w:val="21"/>
                    </w:rPr>
                    <w:t>厂内运输车辆全部达到国五及以上排放标准或使用新能源：</w:t>
                  </w:r>
                </w:p>
                <w:p w14:paraId="15381779">
                  <w:pPr>
                    <w:jc w:val="center"/>
                    <w:rPr>
                      <w:rFonts w:ascii="Times New Roman" w:hAnsi="Times New Roman" w:cs="Times New Roman"/>
                      <w:sz w:val="21"/>
                      <w:szCs w:val="21"/>
                    </w:rPr>
                  </w:pPr>
                  <w:r>
                    <w:rPr>
                      <w:rFonts w:ascii="Times New Roman" w:hAnsi="Times New Roman" w:cs="Times New Roman"/>
                      <w:sz w:val="21"/>
                      <w:szCs w:val="21"/>
                    </w:rPr>
                    <w:t>厂内非道路移动机械全部达到国三及以上排放标准或使用新能源机械</w:t>
                  </w:r>
                </w:p>
              </w:tc>
              <w:tc>
                <w:tcPr>
                  <w:tcW w:w="2778" w:type="dxa"/>
                  <w:vAlign w:val="center"/>
                </w:tcPr>
                <w:p w14:paraId="23E92EDC">
                  <w:pPr>
                    <w:jc w:val="center"/>
                    <w:rPr>
                      <w:rFonts w:ascii="Times New Roman" w:hAnsi="Times New Roman" w:cs="Times New Roman"/>
                      <w:sz w:val="21"/>
                      <w:szCs w:val="21"/>
                    </w:rPr>
                  </w:pPr>
                  <w:r>
                    <w:rPr>
                      <w:rFonts w:ascii="Times New Roman" w:hAnsi="Times New Roman" w:cs="Times New Roman"/>
                      <w:sz w:val="21"/>
                      <w:szCs w:val="21"/>
                    </w:rPr>
                    <w:t>1、物料公路运输全部使用达到国五及以上排放标准的重型载货车辆(含燃气)或新能源汽车；2、厂内运输车辆全部达到国五及以上排放标准(含燃气)或使用新能源汽车；3、厂内非道路移动机械全部达到国三及以上排放标准或使用新能源机械</w:t>
                  </w:r>
                </w:p>
              </w:tc>
              <w:tc>
                <w:tcPr>
                  <w:tcW w:w="567" w:type="dxa"/>
                  <w:vAlign w:val="center"/>
                </w:tcPr>
                <w:p w14:paraId="43B786B6">
                  <w:pPr>
                    <w:jc w:val="center"/>
                    <w:rPr>
                      <w:rFonts w:ascii="Times New Roman" w:hAnsi="Times New Roman" w:cs="Times New Roman"/>
                      <w:sz w:val="21"/>
                      <w:szCs w:val="21"/>
                    </w:rPr>
                  </w:pPr>
                  <w:r>
                    <w:rPr>
                      <w:rFonts w:ascii="Times New Roman" w:hAnsi="Times New Roman" w:cs="Times New Roman"/>
                      <w:sz w:val="21"/>
                      <w:szCs w:val="21"/>
                    </w:rPr>
                    <w:t>符合</w:t>
                  </w:r>
                </w:p>
              </w:tc>
            </w:tr>
            <w:tr w14:paraId="1B86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663" w:type="dxa"/>
                </w:tcPr>
                <w:p w14:paraId="11CC5183">
                  <w:pPr>
                    <w:jc w:val="center"/>
                    <w:rPr>
                      <w:rFonts w:ascii="Times New Roman" w:hAnsi="Times New Roman" w:cs="Times New Roman"/>
                      <w:sz w:val="21"/>
                      <w:szCs w:val="21"/>
                    </w:rPr>
                  </w:pPr>
                  <w:r>
                    <w:rPr>
                      <w:rFonts w:ascii="Times New Roman" w:hAnsi="Times New Roman" w:cs="Times New Roman"/>
                      <w:sz w:val="21"/>
                      <w:szCs w:val="21"/>
                    </w:rPr>
                    <w:t>运输监管</w:t>
                  </w:r>
                </w:p>
              </w:tc>
              <w:tc>
                <w:tcPr>
                  <w:tcW w:w="2414" w:type="dxa"/>
                  <w:vAlign w:val="center"/>
                </w:tcPr>
                <w:p w14:paraId="665FD7A5">
                  <w:pPr>
                    <w:jc w:val="center"/>
                    <w:rPr>
                      <w:rFonts w:ascii="Times New Roman" w:hAnsi="Times New Roman" w:cs="Times New Roman"/>
                      <w:sz w:val="21"/>
                      <w:szCs w:val="21"/>
                    </w:rPr>
                  </w:pPr>
                  <w:r>
                    <w:rPr>
                      <w:rFonts w:ascii="Times New Roman" w:hAnsi="Times New Roman" w:cs="Times New Roman"/>
                      <w:sz w:val="21"/>
                      <w:szCs w:val="21"/>
                    </w:rPr>
                    <w:t>参照《重污染天气重点行业移动源应急管理技术指南》建立门禁系统和电子台账</w:t>
                  </w:r>
                </w:p>
              </w:tc>
              <w:tc>
                <w:tcPr>
                  <w:tcW w:w="2778" w:type="dxa"/>
                  <w:vAlign w:val="center"/>
                </w:tcPr>
                <w:p w14:paraId="05E0B29B">
                  <w:pPr>
                    <w:jc w:val="center"/>
                    <w:rPr>
                      <w:rFonts w:ascii="Times New Roman" w:hAnsi="Times New Roman" w:cs="Times New Roman"/>
                      <w:sz w:val="21"/>
                      <w:szCs w:val="21"/>
                    </w:rPr>
                  </w:pPr>
                  <w:r>
                    <w:rPr>
                      <w:rFonts w:ascii="Times New Roman" w:hAnsi="Times New Roman" w:cs="Times New Roman"/>
                      <w:sz w:val="21"/>
                      <w:szCs w:val="21"/>
                    </w:rPr>
                    <w:t>按照《重污染天气重点行业移动源应急管理技术指南》建立门禁系统和电子台账</w:t>
                  </w:r>
                </w:p>
              </w:tc>
              <w:tc>
                <w:tcPr>
                  <w:tcW w:w="567" w:type="dxa"/>
                  <w:vAlign w:val="center"/>
                </w:tcPr>
                <w:p w14:paraId="183099BC">
                  <w:pPr>
                    <w:jc w:val="center"/>
                    <w:rPr>
                      <w:rFonts w:ascii="Times New Roman" w:hAnsi="Times New Roman" w:cs="Times New Roman"/>
                      <w:sz w:val="21"/>
                      <w:szCs w:val="21"/>
                    </w:rPr>
                  </w:pPr>
                  <w:r>
                    <w:rPr>
                      <w:rFonts w:ascii="Times New Roman" w:hAnsi="Times New Roman" w:cs="Times New Roman"/>
                      <w:sz w:val="21"/>
                      <w:szCs w:val="21"/>
                    </w:rPr>
                    <w:t>符合</w:t>
                  </w:r>
                </w:p>
              </w:tc>
            </w:tr>
          </w:tbl>
          <w:p w14:paraId="2FE626DC">
            <w:pPr>
              <w:pStyle w:val="42"/>
              <w:ind w:firstLine="0" w:firstLineChars="0"/>
              <w:rPr>
                <w:b/>
                <w:bCs/>
                <w:color w:val="000000"/>
              </w:rPr>
            </w:pPr>
          </w:p>
          <w:p w14:paraId="11515A8C">
            <w:pPr>
              <w:pStyle w:val="42"/>
              <w:ind w:firstLine="0" w:firstLineChars="0"/>
              <w:rPr>
                <w:color w:val="000000"/>
              </w:rPr>
            </w:pPr>
            <w:r>
              <w:rPr>
                <w:rFonts w:hint="eastAsia"/>
                <w:b/>
                <w:bCs/>
                <w:color w:val="000000"/>
              </w:rPr>
              <w:t>11、</w:t>
            </w:r>
            <w:r>
              <w:rPr>
                <w:b/>
                <w:bCs/>
                <w:color w:val="000000"/>
              </w:rPr>
              <w:t>选址合理性分析</w:t>
            </w:r>
            <w:bookmarkEnd w:id="5"/>
          </w:p>
          <w:p w14:paraId="790B5A7D">
            <w:pPr>
              <w:pStyle w:val="42"/>
              <w:ind w:firstLine="480"/>
              <w:rPr>
                <w:color w:val="000000"/>
              </w:rPr>
            </w:pPr>
            <w:r>
              <w:rPr>
                <w:color w:val="000000"/>
              </w:rPr>
              <w:t>根据《吉木萨尔北庭工业园区国土空间专项规划（2025-2035年）》及规划环评，本项目位于吉木萨尔县北庭工业园区，项目所在位置为园区规划的化工产业区，项目用地为规划的三类工业用地。</w:t>
            </w:r>
          </w:p>
          <w:p w14:paraId="3A986AED">
            <w:pPr>
              <w:pStyle w:val="42"/>
              <w:ind w:firstLine="480"/>
              <w:rPr>
                <w:color w:val="000000"/>
              </w:rPr>
            </w:pPr>
            <w:r>
              <w:rPr>
                <w:color w:val="000000"/>
              </w:rPr>
              <w:t>（1）建设项目厂址交通十分便利，厂址门前的园区道路可到达对外公路，产品可直接运输出厂。</w:t>
            </w:r>
          </w:p>
          <w:p w14:paraId="044ADD78">
            <w:pPr>
              <w:pStyle w:val="42"/>
              <w:ind w:firstLine="480"/>
              <w:rPr>
                <w:color w:val="000000"/>
              </w:rPr>
            </w:pPr>
            <w:r>
              <w:rPr>
                <w:color w:val="000000"/>
              </w:rPr>
              <w:t>（2）项目厂址区域地面平坦，坡度较小，地下无管线，对施工无影响，无需搬迁人群，工程建设与周围企业发展及周边农业发展没有矛盾。</w:t>
            </w:r>
          </w:p>
          <w:p w14:paraId="471EF021">
            <w:pPr>
              <w:pStyle w:val="42"/>
              <w:ind w:firstLine="480"/>
              <w:rPr>
                <w:color w:val="000000"/>
              </w:rPr>
            </w:pPr>
            <w:r>
              <w:rPr>
                <w:color w:val="000000"/>
              </w:rPr>
              <w:t>厂址周边5.0km范围内无居民区、学校、医院等环境敏感目标，能满足卫生防护距离的要求。</w:t>
            </w:r>
          </w:p>
          <w:p w14:paraId="08EEE9EC">
            <w:pPr>
              <w:pStyle w:val="42"/>
              <w:ind w:firstLine="480"/>
              <w:rPr>
                <w:color w:val="000000"/>
              </w:rPr>
            </w:pPr>
            <w:r>
              <w:rPr>
                <w:color w:val="000000"/>
              </w:rPr>
              <w:t>评价区位于工业园区内，无国家及省级确定的风景、历史遗迹等保护区，区域内也无特殊自然观赏价值较高的景观。通过以上分析，项目厂址未选择在环境敏感区域。</w:t>
            </w:r>
          </w:p>
          <w:p w14:paraId="5090C498">
            <w:pPr>
              <w:pStyle w:val="42"/>
              <w:ind w:firstLine="480"/>
              <w:rPr>
                <w:color w:val="000000"/>
              </w:rPr>
            </w:pPr>
            <w:r>
              <w:rPr>
                <w:color w:val="000000"/>
              </w:rPr>
              <w:t>综上所述，按国家生态环境部制定的《建设项目环境影响评价分类管理名录》中关于环境敏感因素的界定原则，经调查拟建项目选址地区不属于特殊保护地区、社会关注区和特殊地貌景观区，也无重点保护生态品种及濒危生物物种，文物古迹等，区域环境敏感因素较少，选址合理。</w:t>
            </w:r>
          </w:p>
          <w:p w14:paraId="2312E648">
            <w:pPr>
              <w:pStyle w:val="42"/>
              <w:ind w:firstLine="480"/>
              <w:rPr>
                <w:color w:val="000000"/>
              </w:rPr>
            </w:pPr>
          </w:p>
          <w:p w14:paraId="3FE8B515">
            <w:pPr>
              <w:pStyle w:val="42"/>
              <w:ind w:firstLine="480"/>
            </w:pPr>
          </w:p>
        </w:tc>
      </w:tr>
    </w:tbl>
    <w:p w14:paraId="552298A5">
      <w:pPr>
        <w:spacing w:line="360" w:lineRule="auto"/>
        <w:outlineLvl w:val="0"/>
        <w:rPr>
          <w:rFonts w:hint="eastAsia" w:eastAsia="黑体"/>
          <w:sz w:val="30"/>
        </w:rPr>
        <w:sectPr>
          <w:footerReference r:id="rId5" w:type="default"/>
          <w:pgSz w:w="11906" w:h="16838"/>
          <w:pgMar w:top="1701" w:right="1531" w:bottom="1701" w:left="1531" w:header="851" w:footer="1077" w:gutter="0"/>
          <w:cols w:space="720" w:num="1"/>
          <w:docGrid w:linePitch="312" w:charSpace="0"/>
        </w:sectPr>
      </w:pPr>
    </w:p>
    <w:p w14:paraId="2B46DCB7">
      <w:pPr>
        <w:pStyle w:val="13"/>
        <w:jc w:val="center"/>
        <w:outlineLvl w:val="0"/>
        <w:rPr>
          <w:rFonts w:hint="eastAsia" w:ascii="黑体" w:hAnsi="黑体" w:eastAsia="黑体"/>
          <w:snapToGrid w:val="0"/>
          <w:sz w:val="30"/>
          <w:szCs w:val="30"/>
        </w:rPr>
      </w:pPr>
      <w:r>
        <w:rPr>
          <w:rFonts w:hint="eastAsia" w:ascii="黑体" w:hAnsi="黑体" w:eastAsia="黑体"/>
          <w:snapToGrid w:val="0"/>
          <w:sz w:val="30"/>
          <w:szCs w:val="30"/>
        </w:rPr>
        <w:t>二、建设项目工程分析</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161"/>
      </w:tblGrid>
      <w:tr w14:paraId="3F713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2" w:hRule="atLeast"/>
        </w:trPr>
        <w:tc>
          <w:tcPr>
            <w:tcW w:w="823" w:type="dxa"/>
            <w:vAlign w:val="center"/>
          </w:tcPr>
          <w:p w14:paraId="588E2C19">
            <w:pPr>
              <w:pStyle w:val="13"/>
              <w:adjustRightInd w:val="0"/>
              <w:snapToGrid w:val="0"/>
              <w:spacing w:before="0" w:beforeAutospacing="0" w:after="0" w:afterAutospacing="0"/>
              <w:jc w:val="center"/>
              <w:rPr>
                <w:rFonts w:ascii="Times New Roman" w:hAnsi="Times New Roman"/>
                <w:sz w:val="21"/>
                <w:szCs w:val="21"/>
              </w:rPr>
            </w:pPr>
            <w:r>
              <w:rPr>
                <w:rFonts w:ascii="Times New Roman" w:hAnsi="Times New Roman"/>
                <w:sz w:val="21"/>
                <w:szCs w:val="21"/>
              </w:rPr>
              <w:t>建设内容</w:t>
            </w:r>
          </w:p>
        </w:tc>
        <w:tc>
          <w:tcPr>
            <w:tcW w:w="8161" w:type="dxa"/>
          </w:tcPr>
          <w:p w14:paraId="613EB031">
            <w:pPr>
              <w:pStyle w:val="42"/>
              <w:ind w:firstLine="0" w:firstLineChars="0"/>
              <w:rPr>
                <w:b/>
              </w:rPr>
            </w:pPr>
            <w:r>
              <w:rPr>
                <w:b/>
                <w:bCs/>
                <w:color w:val="000000"/>
              </w:rPr>
              <w:t>1、项目背景</w:t>
            </w:r>
          </w:p>
          <w:p w14:paraId="46AB877A">
            <w:pPr>
              <w:adjustRightInd w:val="0"/>
              <w:snapToGrid w:val="0"/>
              <w:spacing w:line="360" w:lineRule="auto"/>
              <w:ind w:firstLine="480" w:firstLineChars="200"/>
              <w:rPr>
                <w:rFonts w:ascii="Times New Roman" w:hAnsi="Times New Roman" w:cs="Times New Roman"/>
                <w:lang w:bidi="ar"/>
              </w:rPr>
            </w:pPr>
            <w:r>
              <w:rPr>
                <w:rFonts w:ascii="Times New Roman" w:hAnsi="Times New Roman" w:cs="Times New Roman"/>
                <w:lang w:bidi="ar"/>
              </w:rPr>
              <w:t>新疆龙都石油化工有限公司2023年9月4日注册成立，选址于新疆昌吉州吉木萨尔县北庭工业园区，区位交通便利，可有效辐射准东能源片区。企业结合区域资源及市场需求，分期实施20万吨/年劣质苯类物综合利用项目。</w:t>
            </w:r>
          </w:p>
          <w:p w14:paraId="1FAFFA8A">
            <w:pPr>
              <w:adjustRightInd w:val="0"/>
              <w:snapToGrid w:val="0"/>
              <w:spacing w:line="360" w:lineRule="auto"/>
              <w:ind w:firstLine="480" w:firstLineChars="200"/>
              <w:rPr>
                <w:rFonts w:ascii="Times New Roman" w:hAnsi="Times New Roman" w:cs="Times New Roman"/>
                <w:lang w:bidi="ar"/>
              </w:rPr>
            </w:pPr>
            <w:r>
              <w:rPr>
                <w:rFonts w:ascii="Times New Roman" w:hAnsi="Times New Roman" w:cs="Times New Roman"/>
                <w:lang w:bidi="ar"/>
              </w:rPr>
              <w:t>2025年10月新疆龙都石油化工有限公司委托新疆寰宇工程咨询有限公司编制了《新疆龙都石油化工有限公司20万吨/年劣质苯类物综合利用项目（一期工程）环境影响报告书》，2025年11月7日取得批复，批复文号昌州环评〔2025〕245号。</w:t>
            </w:r>
          </w:p>
          <w:p w14:paraId="3D791C60">
            <w:pPr>
              <w:adjustRightInd w:val="0"/>
              <w:snapToGrid w:val="0"/>
              <w:spacing w:line="360" w:lineRule="auto"/>
              <w:ind w:firstLine="480" w:firstLineChars="200"/>
              <w:rPr>
                <w:rFonts w:ascii="Times New Roman" w:hAnsi="Times New Roman" w:cs="Times New Roman"/>
                <w:lang w:bidi="ar"/>
              </w:rPr>
            </w:pPr>
            <w:r>
              <w:rPr>
                <w:rFonts w:ascii="Times New Roman" w:hAnsi="Times New Roman" w:cs="Times New Roman"/>
                <w:lang w:bidi="ar"/>
              </w:rPr>
              <w:t>项目一期为20万吨/年劣质苯类物综合利用工程，主要建设劣质苯类物加氢联合装置、甲醇制氢装置及配套公辅、环保、储运设施，以粗苯、重苯等劣质芳烃为原料，经加氢精制生产纯苯、甲苯、二甲苯等化工产品。目前一期项目各项环评及建设审批手续齐全，厂区水、电、消防、污水处理等公辅配套设施已建成完备，可为二期项目建设、运营提供成熟的基础设施依托条件。</w:t>
            </w:r>
          </w:p>
          <w:p w14:paraId="6A426C88">
            <w:pPr>
              <w:adjustRightInd w:val="0"/>
              <w:snapToGrid w:val="0"/>
              <w:spacing w:line="360" w:lineRule="auto"/>
              <w:ind w:firstLine="480" w:firstLineChars="200"/>
              <w:rPr>
                <w:rFonts w:ascii="Times New Roman" w:hAnsi="Times New Roman" w:cs="Times New Roman"/>
                <w:lang w:bidi="ar"/>
              </w:rPr>
            </w:pPr>
            <w:r>
              <w:rPr>
                <w:rFonts w:ascii="Times New Roman" w:hAnsi="Times New Roman" w:cs="Times New Roman"/>
                <w:lang w:bidi="ar"/>
              </w:rPr>
              <w:t>新疆本地富集MTBE、异辛烷、轻质石脑油、煤基柴油等油品组分，但单一组分油品指标不达标，无法直接作为车用成品油使用。通过物理调和优化油品性能，是实现本地油品资源高值利用的有效方式。同时，新疆地域辽阔，油品跨区域运输成本高，且受气候影响易出现运输受阻问题，准东工矿企业用油保障不足、成本偏高，区域成品油配套短板突出。</w:t>
            </w:r>
          </w:p>
          <w:p w14:paraId="1FC48E05">
            <w:pPr>
              <w:adjustRightInd w:val="0"/>
              <w:snapToGrid w:val="0"/>
              <w:spacing w:line="360" w:lineRule="auto"/>
              <w:ind w:firstLine="480" w:firstLineChars="200"/>
              <w:rPr>
                <w:rFonts w:ascii="Times New Roman" w:hAnsi="Times New Roman" w:cs="Times New Roman"/>
                <w:lang w:bidi="ar"/>
              </w:rPr>
            </w:pPr>
            <w:r>
              <w:rPr>
                <w:rFonts w:ascii="Times New Roman" w:hAnsi="Times New Roman" w:cs="Times New Roman"/>
                <w:lang w:bidi="ar"/>
              </w:rPr>
              <w:t>本二期项目与一期工程同址规划、分期建设，依托一期现有公辅及环保设施，通过外购各类油品组分物理调和，生产国标92#、95#车用汽油及车用柴油。项目可完善企业石化产业链，盘活本地油品资源、降低区域用油成本、保障准东片区油品供应，具有良好的建设必要性与可行性。</w:t>
            </w:r>
          </w:p>
          <w:p w14:paraId="528911AF">
            <w:pPr>
              <w:adjustRightInd w:val="0"/>
              <w:snapToGrid w:val="0"/>
              <w:spacing w:line="360" w:lineRule="auto"/>
              <w:rPr>
                <w:rFonts w:ascii="Times New Roman" w:hAnsi="Times New Roman" w:cs="Times New Roman"/>
                <w:bCs/>
              </w:rPr>
            </w:pPr>
            <w:r>
              <w:rPr>
                <w:rFonts w:ascii="Times New Roman" w:hAnsi="Times New Roman" w:cs="Times New Roman"/>
                <w:b/>
              </w:rPr>
              <w:t>2、项目基本情况</w:t>
            </w:r>
          </w:p>
          <w:p w14:paraId="6F78456E">
            <w:pPr>
              <w:adjustRightInd w:val="0"/>
              <w:snapToGrid w:val="0"/>
              <w:spacing w:line="360" w:lineRule="auto"/>
              <w:rPr>
                <w:rFonts w:ascii="Times New Roman" w:hAnsi="Times New Roman" w:cs="Times New Roman"/>
                <w:b/>
              </w:rPr>
            </w:pPr>
            <w:r>
              <w:rPr>
                <w:rFonts w:ascii="Times New Roman" w:hAnsi="Times New Roman" w:cs="Times New Roman"/>
                <w:b/>
              </w:rPr>
              <w:t>2.1项目名称、地点、建设单位及性质</w:t>
            </w:r>
          </w:p>
          <w:p w14:paraId="740C8B83">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项目名称：新疆龙都石油化工有限公司20万吨/年劣质苯类物综合利用项目（二期）</w:t>
            </w:r>
          </w:p>
          <w:p w14:paraId="205118DA">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项目建设规模：年产汽油30万吨，年产柴油30万吨。</w:t>
            </w:r>
          </w:p>
          <w:p w14:paraId="62332B33">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项目建设性质：新建</w:t>
            </w:r>
          </w:p>
          <w:p w14:paraId="600D32B8">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项目建设地点：新疆昌吉回族自治州吉木萨尔县北庭工业园区</w:t>
            </w:r>
          </w:p>
          <w:p w14:paraId="755FABF6">
            <w:pPr>
              <w:adjustRightInd w:val="0"/>
              <w:snapToGrid w:val="0"/>
              <w:spacing w:line="360" w:lineRule="auto"/>
              <w:rPr>
                <w:rFonts w:ascii="Times New Roman" w:hAnsi="Times New Roman" w:cs="Times New Roman"/>
                <w:bCs/>
              </w:rPr>
            </w:pPr>
            <w:r>
              <w:rPr>
                <w:rFonts w:ascii="Times New Roman" w:hAnsi="Times New Roman" w:cs="Times New Roman"/>
                <w:b/>
              </w:rPr>
              <w:t>2.2项目建设内容</w:t>
            </w:r>
          </w:p>
          <w:p w14:paraId="2B0140E9">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项目工程主项见下表。</w:t>
            </w:r>
          </w:p>
          <w:p w14:paraId="2D5E2647">
            <w:pPr>
              <w:adjustRightInd w:val="0"/>
              <w:snapToGrid w:val="0"/>
              <w:ind w:firstLine="442" w:firstLineChars="200"/>
              <w:jc w:val="center"/>
              <w:rPr>
                <w:rFonts w:ascii="Times New Roman" w:hAnsi="Times New Roman" w:cs="Times New Roman"/>
                <w:b/>
                <w:color w:val="000000"/>
                <w:szCs w:val="18"/>
              </w:rPr>
            </w:pPr>
            <w:r>
              <w:rPr>
                <w:rFonts w:ascii="Times New Roman" w:hAnsi="Times New Roman" w:cs="Times New Roman"/>
                <w:b/>
                <w:spacing w:val="-10"/>
                <w:szCs w:val="21"/>
              </w:rPr>
              <w:t>表2-1  工程主项表</w:t>
            </w:r>
          </w:p>
          <w:tbl>
            <w:tblPr>
              <w:tblStyle w:val="16"/>
              <w:tblW w:w="48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1418"/>
              <w:gridCol w:w="3817"/>
              <w:gridCol w:w="1238"/>
            </w:tblGrid>
            <w:tr w14:paraId="3469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Align w:val="center"/>
                </w:tcPr>
                <w:p w14:paraId="0A547D55">
                  <w:pPr>
                    <w:adjustRightInd w:val="0"/>
                    <w:snapToGrid w:val="0"/>
                    <w:jc w:val="center"/>
                    <w:rPr>
                      <w:rFonts w:ascii="Times New Roman" w:hAnsi="Times New Roman" w:cs="Times New Roman"/>
                      <w:bCs/>
                      <w:szCs w:val="21"/>
                    </w:rPr>
                  </w:pPr>
                  <w:r>
                    <w:rPr>
                      <w:rFonts w:ascii="Times New Roman" w:hAnsi="Times New Roman" w:cs="Times New Roman"/>
                      <w:szCs w:val="21"/>
                    </w:rPr>
                    <w:t>工程组成</w:t>
                  </w:r>
                </w:p>
              </w:tc>
              <w:tc>
                <w:tcPr>
                  <w:tcW w:w="915" w:type="pct"/>
                  <w:vAlign w:val="center"/>
                </w:tcPr>
                <w:p w14:paraId="6658CDF7">
                  <w:pPr>
                    <w:adjustRightInd w:val="0"/>
                    <w:snapToGrid w:val="0"/>
                    <w:jc w:val="center"/>
                    <w:rPr>
                      <w:rFonts w:ascii="Times New Roman" w:hAnsi="Times New Roman" w:cs="Times New Roman"/>
                      <w:bCs/>
                      <w:szCs w:val="21"/>
                    </w:rPr>
                  </w:pPr>
                  <w:r>
                    <w:rPr>
                      <w:rFonts w:ascii="Times New Roman" w:hAnsi="Times New Roman" w:cs="Times New Roman"/>
                      <w:szCs w:val="21"/>
                    </w:rPr>
                    <w:t>工程名称</w:t>
                  </w:r>
                </w:p>
              </w:tc>
              <w:tc>
                <w:tcPr>
                  <w:tcW w:w="2463" w:type="pct"/>
                  <w:vAlign w:val="center"/>
                </w:tcPr>
                <w:p w14:paraId="77E25D63">
                  <w:pPr>
                    <w:adjustRightInd w:val="0"/>
                    <w:snapToGrid w:val="0"/>
                    <w:jc w:val="center"/>
                    <w:rPr>
                      <w:rFonts w:ascii="Times New Roman" w:hAnsi="Times New Roman" w:cs="Times New Roman"/>
                      <w:bCs/>
                      <w:szCs w:val="21"/>
                    </w:rPr>
                  </w:pPr>
                  <w:r>
                    <w:rPr>
                      <w:rFonts w:ascii="Times New Roman" w:hAnsi="Times New Roman" w:cs="Times New Roman"/>
                      <w:szCs w:val="21"/>
                    </w:rPr>
                    <w:t>工程内容</w:t>
                  </w:r>
                </w:p>
              </w:tc>
              <w:tc>
                <w:tcPr>
                  <w:tcW w:w="799" w:type="pct"/>
                  <w:vAlign w:val="center"/>
                </w:tcPr>
                <w:p w14:paraId="422584F1">
                  <w:pPr>
                    <w:adjustRightInd w:val="0"/>
                    <w:snapToGrid w:val="0"/>
                    <w:jc w:val="center"/>
                    <w:rPr>
                      <w:rFonts w:ascii="Times New Roman" w:hAnsi="Times New Roman" w:cs="Times New Roman"/>
                      <w:bCs/>
                      <w:szCs w:val="21"/>
                    </w:rPr>
                  </w:pPr>
                  <w:r>
                    <w:rPr>
                      <w:rFonts w:ascii="Times New Roman" w:hAnsi="Times New Roman" w:cs="Times New Roman"/>
                      <w:szCs w:val="21"/>
                    </w:rPr>
                    <w:t>备注</w:t>
                  </w:r>
                </w:p>
              </w:tc>
            </w:tr>
            <w:tr w14:paraId="2B9D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restart"/>
                  <w:vAlign w:val="center"/>
                </w:tcPr>
                <w:p w14:paraId="47DB16AD">
                  <w:pPr>
                    <w:adjustRightInd w:val="0"/>
                    <w:snapToGrid w:val="0"/>
                    <w:jc w:val="center"/>
                    <w:rPr>
                      <w:rFonts w:ascii="Times New Roman" w:hAnsi="Times New Roman" w:cs="Times New Roman"/>
                      <w:szCs w:val="21"/>
                    </w:rPr>
                  </w:pPr>
                  <w:r>
                    <w:rPr>
                      <w:rFonts w:ascii="Times New Roman" w:hAnsi="Times New Roman" w:cs="Times New Roman"/>
                      <w:szCs w:val="21"/>
                    </w:rPr>
                    <w:t>主体工程</w:t>
                  </w:r>
                </w:p>
              </w:tc>
              <w:tc>
                <w:tcPr>
                  <w:tcW w:w="915" w:type="pct"/>
                  <w:vAlign w:val="center"/>
                </w:tcPr>
                <w:p w14:paraId="3B01B5C7">
                  <w:pPr>
                    <w:adjustRightInd w:val="0"/>
                    <w:snapToGrid w:val="0"/>
                    <w:jc w:val="center"/>
                    <w:rPr>
                      <w:rFonts w:ascii="Times New Roman" w:hAnsi="Times New Roman" w:cs="Times New Roman"/>
                      <w:szCs w:val="21"/>
                    </w:rPr>
                  </w:pPr>
                  <w:r>
                    <w:rPr>
                      <w:rFonts w:ascii="Times New Roman" w:hAnsi="Times New Roman" w:cs="Times New Roman"/>
                      <w:szCs w:val="21"/>
                    </w:rPr>
                    <w:t>92号车用汽油调和储罐</w:t>
                  </w:r>
                </w:p>
              </w:tc>
              <w:tc>
                <w:tcPr>
                  <w:tcW w:w="2463" w:type="pct"/>
                  <w:vAlign w:val="center"/>
                </w:tcPr>
                <w:p w14:paraId="4BA75F58">
                  <w:pPr>
                    <w:adjustRightInd w:val="0"/>
                    <w:snapToGrid w:val="0"/>
                    <w:jc w:val="center"/>
                    <w:rPr>
                      <w:rFonts w:ascii="Times New Roman" w:hAnsi="Times New Roman" w:cs="Times New Roman"/>
                      <w:szCs w:val="21"/>
                    </w:rPr>
                  </w:pPr>
                  <w:r>
                    <w:rPr>
                      <w:rFonts w:ascii="Times New Roman" w:hAnsi="Times New Roman" w:cs="Times New Roman"/>
                      <w:szCs w:val="21"/>
                    </w:rPr>
                    <w:t>设置1个2000m</w:t>
                  </w:r>
                  <w:r>
                    <w:rPr>
                      <w:rFonts w:ascii="Times New Roman" w:hAnsi="Times New Roman" w:cs="Times New Roman"/>
                      <w:szCs w:val="21"/>
                      <w:vertAlign w:val="superscript"/>
                    </w:rPr>
                    <w:t>3</w:t>
                  </w:r>
                  <w:r>
                    <w:rPr>
                      <w:rFonts w:ascii="Times New Roman" w:hAnsi="Times New Roman" w:cs="Times New Roman"/>
                      <w:szCs w:val="21"/>
                    </w:rPr>
                    <w:t>92号车用汽油调和储罐，内浮顶罐</w:t>
                  </w:r>
                </w:p>
              </w:tc>
              <w:tc>
                <w:tcPr>
                  <w:tcW w:w="799" w:type="pct"/>
                  <w:vAlign w:val="center"/>
                </w:tcPr>
                <w:p w14:paraId="6F019AD1">
                  <w:pPr>
                    <w:adjustRightInd w:val="0"/>
                    <w:snapToGrid w:val="0"/>
                    <w:jc w:val="center"/>
                    <w:rPr>
                      <w:rFonts w:ascii="Times New Roman" w:hAnsi="Times New Roman" w:cs="Times New Roman"/>
                      <w:szCs w:val="21"/>
                    </w:rPr>
                  </w:pPr>
                  <w:r>
                    <w:rPr>
                      <w:rFonts w:ascii="Times New Roman" w:hAnsi="Times New Roman" w:cs="Times New Roman"/>
                      <w:szCs w:val="21"/>
                    </w:rPr>
                    <w:t>新建</w:t>
                  </w:r>
                </w:p>
              </w:tc>
            </w:tr>
            <w:tr w14:paraId="2E9B3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1C6A8B75">
                  <w:pPr>
                    <w:adjustRightInd w:val="0"/>
                    <w:snapToGrid w:val="0"/>
                    <w:jc w:val="center"/>
                    <w:rPr>
                      <w:rFonts w:ascii="Times New Roman" w:hAnsi="Times New Roman" w:cs="Times New Roman"/>
                      <w:szCs w:val="21"/>
                    </w:rPr>
                  </w:pPr>
                </w:p>
              </w:tc>
              <w:tc>
                <w:tcPr>
                  <w:tcW w:w="915" w:type="pct"/>
                  <w:vAlign w:val="center"/>
                </w:tcPr>
                <w:p w14:paraId="3E74BB48">
                  <w:pPr>
                    <w:adjustRightInd w:val="0"/>
                    <w:snapToGrid w:val="0"/>
                    <w:jc w:val="center"/>
                    <w:rPr>
                      <w:rFonts w:ascii="Times New Roman" w:hAnsi="Times New Roman" w:cs="Times New Roman"/>
                      <w:szCs w:val="21"/>
                    </w:rPr>
                  </w:pPr>
                  <w:r>
                    <w:rPr>
                      <w:rFonts w:ascii="Times New Roman" w:hAnsi="Times New Roman" w:cs="Times New Roman"/>
                      <w:szCs w:val="21"/>
                    </w:rPr>
                    <w:t>95号车用汽油调和储罐</w:t>
                  </w:r>
                </w:p>
              </w:tc>
              <w:tc>
                <w:tcPr>
                  <w:tcW w:w="2463" w:type="pct"/>
                  <w:vAlign w:val="center"/>
                </w:tcPr>
                <w:p w14:paraId="1F418057">
                  <w:pPr>
                    <w:adjustRightInd w:val="0"/>
                    <w:snapToGrid w:val="0"/>
                    <w:jc w:val="center"/>
                    <w:rPr>
                      <w:rFonts w:ascii="Times New Roman" w:hAnsi="Times New Roman" w:cs="Times New Roman"/>
                      <w:szCs w:val="21"/>
                    </w:rPr>
                  </w:pPr>
                  <w:r>
                    <w:rPr>
                      <w:rFonts w:ascii="Times New Roman" w:hAnsi="Times New Roman" w:cs="Times New Roman"/>
                      <w:szCs w:val="21"/>
                    </w:rPr>
                    <w:t>设置1个2000m</w:t>
                  </w:r>
                  <w:r>
                    <w:rPr>
                      <w:rFonts w:ascii="Times New Roman" w:hAnsi="Times New Roman" w:cs="Times New Roman"/>
                      <w:szCs w:val="21"/>
                      <w:vertAlign w:val="superscript"/>
                    </w:rPr>
                    <w:t>3</w:t>
                  </w:r>
                  <w:r>
                    <w:rPr>
                      <w:rFonts w:ascii="Times New Roman" w:hAnsi="Times New Roman" w:cs="Times New Roman"/>
                      <w:szCs w:val="21"/>
                    </w:rPr>
                    <w:t>95号车用汽油调和储罐，内浮顶罐</w:t>
                  </w:r>
                </w:p>
              </w:tc>
              <w:tc>
                <w:tcPr>
                  <w:tcW w:w="799" w:type="pct"/>
                  <w:vAlign w:val="center"/>
                </w:tcPr>
                <w:p w14:paraId="2EE55283">
                  <w:pPr>
                    <w:adjustRightInd w:val="0"/>
                    <w:snapToGrid w:val="0"/>
                    <w:jc w:val="center"/>
                    <w:rPr>
                      <w:rFonts w:ascii="Times New Roman" w:hAnsi="Times New Roman" w:cs="Times New Roman"/>
                      <w:szCs w:val="21"/>
                    </w:rPr>
                  </w:pPr>
                  <w:r>
                    <w:rPr>
                      <w:rFonts w:ascii="Times New Roman" w:hAnsi="Times New Roman" w:cs="Times New Roman"/>
                      <w:szCs w:val="21"/>
                    </w:rPr>
                    <w:t>新建</w:t>
                  </w:r>
                </w:p>
              </w:tc>
            </w:tr>
            <w:tr w14:paraId="4FB62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49E14808">
                  <w:pPr>
                    <w:adjustRightInd w:val="0"/>
                    <w:snapToGrid w:val="0"/>
                    <w:jc w:val="center"/>
                    <w:rPr>
                      <w:rFonts w:ascii="Times New Roman" w:hAnsi="Times New Roman" w:cs="Times New Roman"/>
                      <w:szCs w:val="21"/>
                    </w:rPr>
                  </w:pPr>
                </w:p>
              </w:tc>
              <w:tc>
                <w:tcPr>
                  <w:tcW w:w="915" w:type="pct"/>
                  <w:vAlign w:val="center"/>
                </w:tcPr>
                <w:p w14:paraId="6295296E">
                  <w:pPr>
                    <w:adjustRightInd w:val="0"/>
                    <w:snapToGrid w:val="0"/>
                    <w:jc w:val="center"/>
                    <w:rPr>
                      <w:rFonts w:ascii="Times New Roman" w:hAnsi="Times New Roman" w:cs="Times New Roman"/>
                      <w:szCs w:val="21"/>
                    </w:rPr>
                  </w:pPr>
                  <w:r>
                    <w:rPr>
                      <w:rFonts w:ascii="Times New Roman" w:hAnsi="Times New Roman" w:cs="Times New Roman"/>
                      <w:szCs w:val="21"/>
                    </w:rPr>
                    <w:t>车用柴油调和储罐</w:t>
                  </w:r>
                </w:p>
              </w:tc>
              <w:tc>
                <w:tcPr>
                  <w:tcW w:w="2463" w:type="pct"/>
                  <w:vAlign w:val="center"/>
                </w:tcPr>
                <w:p w14:paraId="0F634897">
                  <w:pPr>
                    <w:adjustRightInd w:val="0"/>
                    <w:snapToGrid w:val="0"/>
                    <w:jc w:val="center"/>
                    <w:rPr>
                      <w:rFonts w:ascii="Times New Roman" w:hAnsi="Times New Roman" w:cs="Times New Roman"/>
                      <w:szCs w:val="21"/>
                    </w:rPr>
                  </w:pPr>
                  <w:r>
                    <w:rPr>
                      <w:rFonts w:ascii="Times New Roman" w:hAnsi="Times New Roman" w:cs="Times New Roman"/>
                      <w:szCs w:val="21"/>
                    </w:rPr>
                    <w:t>设置2个2000m</w:t>
                  </w:r>
                  <w:r>
                    <w:rPr>
                      <w:rFonts w:ascii="Times New Roman" w:hAnsi="Times New Roman" w:cs="Times New Roman"/>
                      <w:szCs w:val="21"/>
                      <w:vertAlign w:val="superscript"/>
                    </w:rPr>
                    <w:t>3</w:t>
                  </w:r>
                  <w:r>
                    <w:rPr>
                      <w:rFonts w:ascii="Times New Roman" w:hAnsi="Times New Roman" w:cs="Times New Roman"/>
                      <w:szCs w:val="21"/>
                    </w:rPr>
                    <w:t>车用柴油调和储罐，内浮顶罐</w:t>
                  </w:r>
                </w:p>
              </w:tc>
              <w:tc>
                <w:tcPr>
                  <w:tcW w:w="799" w:type="pct"/>
                  <w:vAlign w:val="center"/>
                </w:tcPr>
                <w:p w14:paraId="6EE48459">
                  <w:pPr>
                    <w:adjustRightInd w:val="0"/>
                    <w:snapToGrid w:val="0"/>
                    <w:jc w:val="center"/>
                    <w:rPr>
                      <w:rFonts w:ascii="Times New Roman" w:hAnsi="Times New Roman" w:cs="Times New Roman"/>
                      <w:szCs w:val="21"/>
                    </w:rPr>
                  </w:pPr>
                  <w:r>
                    <w:rPr>
                      <w:rFonts w:ascii="Times New Roman" w:hAnsi="Times New Roman" w:cs="Times New Roman"/>
                      <w:szCs w:val="21"/>
                    </w:rPr>
                    <w:t>新建</w:t>
                  </w:r>
                </w:p>
              </w:tc>
            </w:tr>
            <w:tr w14:paraId="70A4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3" w:type="pct"/>
                  <w:vMerge w:val="continue"/>
                  <w:vAlign w:val="center"/>
                </w:tcPr>
                <w:p w14:paraId="03D0A656">
                  <w:pPr>
                    <w:adjustRightInd w:val="0"/>
                    <w:snapToGrid w:val="0"/>
                    <w:jc w:val="center"/>
                    <w:rPr>
                      <w:rFonts w:ascii="Times New Roman" w:hAnsi="Times New Roman" w:cs="Times New Roman"/>
                      <w:szCs w:val="21"/>
                    </w:rPr>
                  </w:pPr>
                </w:p>
              </w:tc>
              <w:tc>
                <w:tcPr>
                  <w:tcW w:w="915" w:type="pct"/>
                  <w:vAlign w:val="center"/>
                </w:tcPr>
                <w:p w14:paraId="7689EFE1">
                  <w:pPr>
                    <w:adjustRightInd w:val="0"/>
                    <w:snapToGrid w:val="0"/>
                    <w:jc w:val="center"/>
                    <w:rPr>
                      <w:rFonts w:ascii="Times New Roman" w:hAnsi="Times New Roman" w:cs="Times New Roman"/>
                      <w:szCs w:val="21"/>
                    </w:rPr>
                  </w:pPr>
                  <w:r>
                    <w:rPr>
                      <w:rFonts w:ascii="Times New Roman" w:hAnsi="Times New Roman" w:cs="Times New Roman"/>
                      <w:szCs w:val="21"/>
                    </w:rPr>
                    <w:t>MTBE</w:t>
                  </w:r>
                  <w:r>
                    <w:rPr>
                      <w:rFonts w:hint="eastAsia" w:ascii="Times New Roman" w:hAnsi="Times New Roman" w:cs="Times New Roman"/>
                      <w:szCs w:val="21"/>
                    </w:rPr>
                    <w:t>调和</w:t>
                  </w:r>
                  <w:r>
                    <w:rPr>
                      <w:rFonts w:ascii="Times New Roman" w:hAnsi="Times New Roman" w:cs="Times New Roman"/>
                      <w:szCs w:val="21"/>
                    </w:rPr>
                    <w:t>储罐</w:t>
                  </w:r>
                </w:p>
              </w:tc>
              <w:tc>
                <w:tcPr>
                  <w:tcW w:w="2463" w:type="pct"/>
                  <w:vAlign w:val="center"/>
                </w:tcPr>
                <w:p w14:paraId="24C4853F">
                  <w:pPr>
                    <w:adjustRightInd w:val="0"/>
                    <w:snapToGrid w:val="0"/>
                    <w:jc w:val="center"/>
                    <w:rPr>
                      <w:rFonts w:ascii="Times New Roman" w:hAnsi="Times New Roman" w:cs="Times New Roman"/>
                      <w:szCs w:val="21"/>
                    </w:rPr>
                  </w:pPr>
                  <w:r>
                    <w:rPr>
                      <w:rFonts w:ascii="Times New Roman" w:hAnsi="Times New Roman" w:cs="Times New Roman"/>
                      <w:szCs w:val="21"/>
                    </w:rPr>
                    <w:t>设置1个2000m</w:t>
                  </w:r>
                  <w:r>
                    <w:rPr>
                      <w:rFonts w:ascii="Times New Roman" w:hAnsi="Times New Roman" w:cs="Times New Roman"/>
                      <w:szCs w:val="21"/>
                      <w:vertAlign w:val="superscript"/>
                    </w:rPr>
                    <w:t>3</w:t>
                  </w:r>
                  <w:r>
                    <w:rPr>
                      <w:rFonts w:ascii="Times New Roman" w:hAnsi="Times New Roman" w:cs="Times New Roman"/>
                      <w:szCs w:val="21"/>
                    </w:rPr>
                    <w:t>MTBE储罐，内浮顶罐</w:t>
                  </w:r>
                </w:p>
              </w:tc>
              <w:tc>
                <w:tcPr>
                  <w:tcW w:w="799" w:type="pct"/>
                  <w:vAlign w:val="center"/>
                </w:tcPr>
                <w:p w14:paraId="22389B21">
                  <w:pPr>
                    <w:adjustRightInd w:val="0"/>
                    <w:snapToGrid w:val="0"/>
                    <w:jc w:val="center"/>
                    <w:rPr>
                      <w:rFonts w:ascii="Times New Roman" w:hAnsi="Times New Roman" w:cs="Times New Roman"/>
                      <w:szCs w:val="21"/>
                    </w:rPr>
                  </w:pPr>
                  <w:r>
                    <w:rPr>
                      <w:rFonts w:ascii="Times New Roman" w:hAnsi="Times New Roman" w:cs="Times New Roman"/>
                      <w:szCs w:val="21"/>
                    </w:rPr>
                    <w:t>新建</w:t>
                  </w:r>
                </w:p>
              </w:tc>
            </w:tr>
            <w:tr w14:paraId="4C29A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3" w:type="pct"/>
                  <w:vMerge w:val="continue"/>
                  <w:vAlign w:val="center"/>
                </w:tcPr>
                <w:p w14:paraId="5ED1D4C9">
                  <w:pPr>
                    <w:adjustRightInd w:val="0"/>
                    <w:snapToGrid w:val="0"/>
                    <w:jc w:val="center"/>
                    <w:rPr>
                      <w:rFonts w:ascii="Times New Roman" w:hAnsi="Times New Roman" w:cs="Times New Roman"/>
                      <w:szCs w:val="21"/>
                    </w:rPr>
                  </w:pPr>
                </w:p>
              </w:tc>
              <w:tc>
                <w:tcPr>
                  <w:tcW w:w="915" w:type="pct"/>
                  <w:vAlign w:val="center"/>
                </w:tcPr>
                <w:p w14:paraId="32DD14B0">
                  <w:pPr>
                    <w:adjustRightInd w:val="0"/>
                    <w:snapToGrid w:val="0"/>
                    <w:jc w:val="center"/>
                    <w:rPr>
                      <w:rFonts w:ascii="Times New Roman" w:hAnsi="Times New Roman" w:cs="Times New Roman"/>
                      <w:szCs w:val="21"/>
                    </w:rPr>
                  </w:pPr>
                  <w:r>
                    <w:rPr>
                      <w:rFonts w:ascii="Times New Roman" w:hAnsi="Times New Roman" w:cs="Times New Roman"/>
                      <w:szCs w:val="21"/>
                    </w:rPr>
                    <w:t>异辛烷</w:t>
                  </w:r>
                  <w:r>
                    <w:rPr>
                      <w:rFonts w:hint="eastAsia" w:ascii="Times New Roman" w:hAnsi="Times New Roman" w:cs="Times New Roman"/>
                      <w:szCs w:val="21"/>
                    </w:rPr>
                    <w:t>调和</w:t>
                  </w:r>
                  <w:r>
                    <w:rPr>
                      <w:rFonts w:ascii="Times New Roman" w:hAnsi="Times New Roman" w:cs="Times New Roman"/>
                      <w:szCs w:val="21"/>
                    </w:rPr>
                    <w:t>储罐</w:t>
                  </w:r>
                </w:p>
              </w:tc>
              <w:tc>
                <w:tcPr>
                  <w:tcW w:w="2463" w:type="pct"/>
                  <w:vAlign w:val="center"/>
                </w:tcPr>
                <w:p w14:paraId="666F6C77">
                  <w:pPr>
                    <w:adjustRightInd w:val="0"/>
                    <w:snapToGrid w:val="0"/>
                    <w:jc w:val="center"/>
                    <w:rPr>
                      <w:rFonts w:ascii="Times New Roman" w:hAnsi="Times New Roman" w:cs="Times New Roman"/>
                      <w:szCs w:val="21"/>
                    </w:rPr>
                  </w:pPr>
                  <w:r>
                    <w:rPr>
                      <w:rFonts w:ascii="Times New Roman" w:hAnsi="Times New Roman" w:cs="Times New Roman"/>
                      <w:szCs w:val="21"/>
                    </w:rPr>
                    <w:t>设置1个2000m</w:t>
                  </w:r>
                  <w:r>
                    <w:rPr>
                      <w:rFonts w:ascii="Times New Roman" w:hAnsi="Times New Roman" w:cs="Times New Roman"/>
                      <w:szCs w:val="21"/>
                      <w:vertAlign w:val="superscript"/>
                    </w:rPr>
                    <w:t>3</w:t>
                  </w:r>
                  <w:r>
                    <w:rPr>
                      <w:rFonts w:ascii="Times New Roman" w:hAnsi="Times New Roman" w:cs="Times New Roman"/>
                      <w:szCs w:val="21"/>
                    </w:rPr>
                    <w:t>异辛烷储罐，内浮顶罐</w:t>
                  </w:r>
                </w:p>
              </w:tc>
              <w:tc>
                <w:tcPr>
                  <w:tcW w:w="799" w:type="pct"/>
                  <w:vAlign w:val="center"/>
                </w:tcPr>
                <w:p w14:paraId="5BA10AD6">
                  <w:pPr>
                    <w:adjustRightInd w:val="0"/>
                    <w:snapToGrid w:val="0"/>
                    <w:jc w:val="center"/>
                    <w:rPr>
                      <w:rFonts w:ascii="Times New Roman" w:hAnsi="Times New Roman" w:cs="Times New Roman"/>
                      <w:szCs w:val="21"/>
                    </w:rPr>
                  </w:pPr>
                  <w:r>
                    <w:rPr>
                      <w:rFonts w:ascii="Times New Roman" w:hAnsi="Times New Roman" w:cs="Times New Roman"/>
                      <w:szCs w:val="21"/>
                    </w:rPr>
                    <w:t>新建</w:t>
                  </w:r>
                </w:p>
              </w:tc>
            </w:tr>
            <w:tr w14:paraId="3040D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75C6C9A5">
                  <w:pPr>
                    <w:adjustRightInd w:val="0"/>
                    <w:snapToGrid w:val="0"/>
                    <w:jc w:val="center"/>
                    <w:rPr>
                      <w:rFonts w:ascii="Times New Roman" w:hAnsi="Times New Roman" w:cs="Times New Roman"/>
                      <w:szCs w:val="21"/>
                    </w:rPr>
                  </w:pPr>
                </w:p>
              </w:tc>
              <w:tc>
                <w:tcPr>
                  <w:tcW w:w="915" w:type="pct"/>
                  <w:vAlign w:val="center"/>
                </w:tcPr>
                <w:p w14:paraId="6632B8EC">
                  <w:pPr>
                    <w:adjustRightInd w:val="0"/>
                    <w:snapToGrid w:val="0"/>
                    <w:jc w:val="center"/>
                    <w:rPr>
                      <w:rFonts w:ascii="Times New Roman" w:hAnsi="Times New Roman" w:cs="Times New Roman"/>
                      <w:szCs w:val="21"/>
                    </w:rPr>
                  </w:pPr>
                  <w:r>
                    <w:rPr>
                      <w:rFonts w:ascii="Times New Roman" w:hAnsi="Times New Roman" w:cs="Times New Roman"/>
                      <w:szCs w:val="21"/>
                    </w:rPr>
                    <w:t>轻质石脑油</w:t>
                  </w:r>
                  <w:r>
                    <w:rPr>
                      <w:rFonts w:hint="eastAsia" w:ascii="Times New Roman" w:hAnsi="Times New Roman" w:cs="Times New Roman"/>
                      <w:szCs w:val="21"/>
                    </w:rPr>
                    <w:t>调和</w:t>
                  </w:r>
                  <w:r>
                    <w:rPr>
                      <w:rFonts w:ascii="Times New Roman" w:hAnsi="Times New Roman" w:cs="Times New Roman"/>
                      <w:szCs w:val="21"/>
                    </w:rPr>
                    <w:t>储罐</w:t>
                  </w:r>
                </w:p>
              </w:tc>
              <w:tc>
                <w:tcPr>
                  <w:tcW w:w="2463" w:type="pct"/>
                  <w:vAlign w:val="center"/>
                </w:tcPr>
                <w:p w14:paraId="42ED2AD9">
                  <w:pPr>
                    <w:adjustRightInd w:val="0"/>
                    <w:snapToGrid w:val="0"/>
                    <w:jc w:val="center"/>
                    <w:rPr>
                      <w:rFonts w:ascii="Times New Roman" w:hAnsi="Times New Roman" w:cs="Times New Roman"/>
                      <w:szCs w:val="21"/>
                    </w:rPr>
                  </w:pPr>
                  <w:r>
                    <w:rPr>
                      <w:rFonts w:ascii="Times New Roman" w:hAnsi="Times New Roman" w:cs="Times New Roman"/>
                      <w:szCs w:val="21"/>
                    </w:rPr>
                    <w:t>设置1个2000m</w:t>
                  </w:r>
                  <w:r>
                    <w:rPr>
                      <w:rFonts w:ascii="Times New Roman" w:hAnsi="Times New Roman" w:cs="Times New Roman"/>
                      <w:szCs w:val="21"/>
                      <w:vertAlign w:val="superscript"/>
                    </w:rPr>
                    <w:t>3</w:t>
                  </w:r>
                  <w:r>
                    <w:rPr>
                      <w:rFonts w:ascii="Times New Roman" w:hAnsi="Times New Roman" w:cs="Times New Roman"/>
                      <w:szCs w:val="21"/>
                    </w:rPr>
                    <w:t>轻质石脑油储罐，内浮顶罐</w:t>
                  </w:r>
                </w:p>
              </w:tc>
              <w:tc>
                <w:tcPr>
                  <w:tcW w:w="799" w:type="pct"/>
                  <w:vAlign w:val="center"/>
                </w:tcPr>
                <w:p w14:paraId="1F919D00">
                  <w:pPr>
                    <w:adjustRightInd w:val="0"/>
                    <w:snapToGrid w:val="0"/>
                    <w:jc w:val="center"/>
                    <w:rPr>
                      <w:rFonts w:ascii="Times New Roman" w:hAnsi="Times New Roman" w:cs="Times New Roman"/>
                      <w:szCs w:val="21"/>
                    </w:rPr>
                  </w:pPr>
                  <w:r>
                    <w:rPr>
                      <w:rFonts w:ascii="Times New Roman" w:hAnsi="Times New Roman" w:cs="Times New Roman"/>
                      <w:szCs w:val="21"/>
                    </w:rPr>
                    <w:t>新建</w:t>
                  </w:r>
                </w:p>
              </w:tc>
            </w:tr>
            <w:tr w14:paraId="0DFA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43A46B47">
                  <w:pPr>
                    <w:adjustRightInd w:val="0"/>
                    <w:snapToGrid w:val="0"/>
                    <w:jc w:val="center"/>
                    <w:rPr>
                      <w:rFonts w:ascii="Times New Roman" w:hAnsi="Times New Roman" w:cs="Times New Roman"/>
                      <w:szCs w:val="21"/>
                    </w:rPr>
                  </w:pPr>
                </w:p>
              </w:tc>
              <w:tc>
                <w:tcPr>
                  <w:tcW w:w="915" w:type="pct"/>
                  <w:vAlign w:val="center"/>
                </w:tcPr>
                <w:p w14:paraId="15B46507">
                  <w:pPr>
                    <w:adjustRightInd w:val="0"/>
                    <w:snapToGrid w:val="0"/>
                    <w:jc w:val="center"/>
                    <w:rPr>
                      <w:rFonts w:ascii="Times New Roman" w:hAnsi="Times New Roman" w:cs="Times New Roman"/>
                      <w:szCs w:val="21"/>
                    </w:rPr>
                  </w:pPr>
                  <w:r>
                    <w:rPr>
                      <w:rFonts w:ascii="Times New Roman" w:hAnsi="Times New Roman" w:cs="Times New Roman"/>
                      <w:szCs w:val="21"/>
                    </w:rPr>
                    <w:t>混合芳烃调和储罐</w:t>
                  </w:r>
                </w:p>
              </w:tc>
              <w:tc>
                <w:tcPr>
                  <w:tcW w:w="2463" w:type="pct"/>
                  <w:vAlign w:val="center"/>
                </w:tcPr>
                <w:p w14:paraId="4494760A">
                  <w:pPr>
                    <w:adjustRightInd w:val="0"/>
                    <w:snapToGrid w:val="0"/>
                    <w:jc w:val="center"/>
                    <w:rPr>
                      <w:rFonts w:ascii="Times New Roman" w:hAnsi="Times New Roman" w:cs="Times New Roman"/>
                      <w:szCs w:val="21"/>
                    </w:rPr>
                  </w:pPr>
                  <w:r>
                    <w:rPr>
                      <w:rFonts w:ascii="Times New Roman" w:hAnsi="Times New Roman" w:cs="Times New Roman"/>
                      <w:szCs w:val="21"/>
                    </w:rPr>
                    <w:t>设置1个2000m</w:t>
                  </w:r>
                  <w:r>
                    <w:rPr>
                      <w:rFonts w:ascii="Times New Roman" w:hAnsi="Times New Roman" w:cs="Times New Roman"/>
                      <w:szCs w:val="21"/>
                      <w:vertAlign w:val="superscript"/>
                    </w:rPr>
                    <w:t>3</w:t>
                  </w:r>
                  <w:r>
                    <w:rPr>
                      <w:rFonts w:ascii="Times New Roman" w:hAnsi="Times New Roman" w:cs="Times New Roman"/>
                      <w:szCs w:val="21"/>
                    </w:rPr>
                    <w:t>混合芳烃储罐，内浮顶罐</w:t>
                  </w:r>
                </w:p>
              </w:tc>
              <w:tc>
                <w:tcPr>
                  <w:tcW w:w="799" w:type="pct"/>
                  <w:vAlign w:val="center"/>
                </w:tcPr>
                <w:p w14:paraId="0E8135D4">
                  <w:pPr>
                    <w:adjustRightInd w:val="0"/>
                    <w:snapToGrid w:val="0"/>
                    <w:jc w:val="center"/>
                    <w:rPr>
                      <w:rFonts w:ascii="Times New Roman" w:hAnsi="Times New Roman" w:cs="Times New Roman"/>
                      <w:szCs w:val="21"/>
                    </w:rPr>
                  </w:pPr>
                  <w:r>
                    <w:rPr>
                      <w:rFonts w:ascii="Times New Roman" w:hAnsi="Times New Roman" w:cs="Times New Roman"/>
                      <w:szCs w:val="21"/>
                    </w:rPr>
                    <w:t>新建</w:t>
                  </w:r>
                </w:p>
              </w:tc>
            </w:tr>
            <w:tr w14:paraId="4B02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51E45F9D">
                  <w:pPr>
                    <w:adjustRightInd w:val="0"/>
                    <w:snapToGrid w:val="0"/>
                    <w:jc w:val="center"/>
                    <w:rPr>
                      <w:rFonts w:ascii="Times New Roman" w:hAnsi="Times New Roman" w:cs="Times New Roman"/>
                      <w:szCs w:val="21"/>
                    </w:rPr>
                  </w:pPr>
                </w:p>
              </w:tc>
              <w:tc>
                <w:tcPr>
                  <w:tcW w:w="915" w:type="pct"/>
                  <w:vAlign w:val="center"/>
                </w:tcPr>
                <w:p w14:paraId="4134E9F2">
                  <w:pPr>
                    <w:adjustRightInd w:val="0"/>
                    <w:snapToGrid w:val="0"/>
                    <w:jc w:val="center"/>
                    <w:rPr>
                      <w:rFonts w:ascii="Times New Roman" w:hAnsi="Times New Roman" w:cs="Times New Roman"/>
                      <w:szCs w:val="21"/>
                    </w:rPr>
                  </w:pPr>
                  <w:r>
                    <w:rPr>
                      <w:rFonts w:ascii="Times New Roman" w:hAnsi="Times New Roman" w:cs="Times New Roman"/>
                      <w:szCs w:val="21"/>
                    </w:rPr>
                    <w:t>轻质燃料油</w:t>
                  </w:r>
                  <w:r>
                    <w:rPr>
                      <w:rFonts w:hint="eastAsia" w:ascii="Times New Roman" w:hAnsi="Times New Roman" w:cs="Times New Roman"/>
                      <w:szCs w:val="21"/>
                    </w:rPr>
                    <w:t>调和</w:t>
                  </w:r>
                  <w:r>
                    <w:rPr>
                      <w:rFonts w:ascii="Times New Roman" w:hAnsi="Times New Roman" w:cs="Times New Roman"/>
                      <w:szCs w:val="21"/>
                    </w:rPr>
                    <w:t>储罐</w:t>
                  </w:r>
                </w:p>
              </w:tc>
              <w:tc>
                <w:tcPr>
                  <w:tcW w:w="2463" w:type="pct"/>
                  <w:vAlign w:val="center"/>
                </w:tcPr>
                <w:p w14:paraId="25FFAF93">
                  <w:pPr>
                    <w:adjustRightInd w:val="0"/>
                    <w:snapToGrid w:val="0"/>
                    <w:jc w:val="center"/>
                    <w:rPr>
                      <w:rFonts w:ascii="Times New Roman" w:hAnsi="Times New Roman" w:cs="Times New Roman"/>
                      <w:szCs w:val="21"/>
                    </w:rPr>
                  </w:pPr>
                  <w:r>
                    <w:rPr>
                      <w:rFonts w:ascii="Times New Roman" w:hAnsi="Times New Roman" w:cs="Times New Roman"/>
                      <w:szCs w:val="21"/>
                    </w:rPr>
                    <w:t>设置1个2000m</w:t>
                  </w:r>
                  <w:r>
                    <w:rPr>
                      <w:rFonts w:ascii="Times New Roman" w:hAnsi="Times New Roman" w:cs="Times New Roman"/>
                      <w:szCs w:val="21"/>
                      <w:vertAlign w:val="superscript"/>
                    </w:rPr>
                    <w:t>3</w:t>
                  </w:r>
                  <w:r>
                    <w:rPr>
                      <w:rFonts w:ascii="Times New Roman" w:hAnsi="Times New Roman" w:cs="Times New Roman"/>
                      <w:szCs w:val="21"/>
                    </w:rPr>
                    <w:t>轻质燃料油储罐，内浮顶罐</w:t>
                  </w:r>
                </w:p>
              </w:tc>
              <w:tc>
                <w:tcPr>
                  <w:tcW w:w="799" w:type="pct"/>
                  <w:vAlign w:val="center"/>
                </w:tcPr>
                <w:p w14:paraId="5CFF58E4">
                  <w:pPr>
                    <w:adjustRightInd w:val="0"/>
                    <w:snapToGrid w:val="0"/>
                    <w:jc w:val="center"/>
                    <w:rPr>
                      <w:rFonts w:ascii="Times New Roman" w:hAnsi="Times New Roman" w:cs="Times New Roman"/>
                      <w:szCs w:val="21"/>
                    </w:rPr>
                  </w:pPr>
                  <w:r>
                    <w:rPr>
                      <w:rFonts w:ascii="Times New Roman" w:hAnsi="Times New Roman" w:cs="Times New Roman"/>
                      <w:szCs w:val="21"/>
                    </w:rPr>
                    <w:t>新建</w:t>
                  </w:r>
                </w:p>
              </w:tc>
            </w:tr>
            <w:tr w14:paraId="1ED7C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restart"/>
                  <w:vAlign w:val="center"/>
                </w:tcPr>
                <w:p w14:paraId="29159D77">
                  <w:pPr>
                    <w:adjustRightInd w:val="0"/>
                    <w:snapToGrid w:val="0"/>
                    <w:jc w:val="center"/>
                    <w:rPr>
                      <w:rFonts w:ascii="Times New Roman" w:hAnsi="Times New Roman" w:cs="Times New Roman"/>
                      <w:szCs w:val="21"/>
                    </w:rPr>
                  </w:pPr>
                  <w:r>
                    <w:rPr>
                      <w:rFonts w:ascii="Times New Roman" w:hAnsi="Times New Roman" w:cs="Times New Roman"/>
                      <w:szCs w:val="21"/>
                    </w:rPr>
                    <w:t>储运工程</w:t>
                  </w:r>
                </w:p>
              </w:tc>
              <w:tc>
                <w:tcPr>
                  <w:tcW w:w="915" w:type="pct"/>
                  <w:vAlign w:val="center"/>
                </w:tcPr>
                <w:p w14:paraId="3D4696CD">
                  <w:pPr>
                    <w:adjustRightInd w:val="0"/>
                    <w:snapToGrid w:val="0"/>
                    <w:jc w:val="center"/>
                    <w:rPr>
                      <w:rFonts w:ascii="Times New Roman" w:hAnsi="Times New Roman" w:cs="Times New Roman"/>
                      <w:szCs w:val="21"/>
                    </w:rPr>
                  </w:pPr>
                  <w:r>
                    <w:rPr>
                      <w:rFonts w:ascii="Times New Roman" w:hAnsi="Times New Roman" w:cs="Times New Roman"/>
                      <w:szCs w:val="21"/>
                    </w:rPr>
                    <w:t>煤基柴油储罐</w:t>
                  </w:r>
                </w:p>
              </w:tc>
              <w:tc>
                <w:tcPr>
                  <w:tcW w:w="2463" w:type="pct"/>
                  <w:vAlign w:val="center"/>
                </w:tcPr>
                <w:p w14:paraId="581415A1">
                  <w:pPr>
                    <w:adjustRightInd w:val="0"/>
                    <w:snapToGrid w:val="0"/>
                    <w:jc w:val="center"/>
                    <w:rPr>
                      <w:rFonts w:ascii="Times New Roman" w:hAnsi="Times New Roman" w:cs="Times New Roman"/>
                      <w:szCs w:val="21"/>
                    </w:rPr>
                  </w:pPr>
                  <w:r>
                    <w:rPr>
                      <w:rFonts w:ascii="Times New Roman" w:hAnsi="Times New Roman" w:cs="Times New Roman"/>
                      <w:szCs w:val="21"/>
                    </w:rPr>
                    <w:t>设置1个2000m</w:t>
                  </w:r>
                  <w:r>
                    <w:rPr>
                      <w:rFonts w:ascii="Times New Roman" w:hAnsi="Times New Roman" w:cs="Times New Roman"/>
                      <w:szCs w:val="21"/>
                      <w:vertAlign w:val="superscript"/>
                    </w:rPr>
                    <w:t>3</w:t>
                  </w:r>
                  <w:r>
                    <w:rPr>
                      <w:rFonts w:ascii="Times New Roman" w:hAnsi="Times New Roman" w:cs="Times New Roman"/>
                      <w:szCs w:val="21"/>
                    </w:rPr>
                    <w:t>煤基柴油储罐，内浮顶罐</w:t>
                  </w:r>
                </w:p>
              </w:tc>
              <w:tc>
                <w:tcPr>
                  <w:tcW w:w="799" w:type="pct"/>
                  <w:vAlign w:val="center"/>
                </w:tcPr>
                <w:p w14:paraId="158EB58E">
                  <w:pPr>
                    <w:adjustRightInd w:val="0"/>
                    <w:snapToGrid w:val="0"/>
                    <w:jc w:val="center"/>
                    <w:rPr>
                      <w:rFonts w:ascii="Times New Roman" w:hAnsi="Times New Roman" w:cs="Times New Roman"/>
                      <w:szCs w:val="21"/>
                    </w:rPr>
                  </w:pPr>
                  <w:r>
                    <w:rPr>
                      <w:rFonts w:ascii="Times New Roman" w:hAnsi="Times New Roman" w:cs="Times New Roman"/>
                      <w:szCs w:val="21"/>
                    </w:rPr>
                    <w:t>新建</w:t>
                  </w:r>
                </w:p>
              </w:tc>
            </w:tr>
            <w:tr w14:paraId="3EDE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5E004275">
                  <w:pPr>
                    <w:adjustRightInd w:val="0"/>
                    <w:snapToGrid w:val="0"/>
                    <w:jc w:val="center"/>
                    <w:rPr>
                      <w:rFonts w:ascii="Times New Roman" w:hAnsi="Times New Roman" w:cs="Times New Roman"/>
                      <w:szCs w:val="21"/>
                    </w:rPr>
                  </w:pPr>
                </w:p>
              </w:tc>
              <w:tc>
                <w:tcPr>
                  <w:tcW w:w="915" w:type="pct"/>
                  <w:vAlign w:val="center"/>
                </w:tcPr>
                <w:p w14:paraId="4B02615D">
                  <w:pPr>
                    <w:adjustRightInd w:val="0"/>
                    <w:snapToGrid w:val="0"/>
                    <w:jc w:val="center"/>
                    <w:rPr>
                      <w:rFonts w:ascii="Times New Roman" w:hAnsi="Times New Roman" w:cs="Times New Roman"/>
                      <w:szCs w:val="21"/>
                    </w:rPr>
                  </w:pPr>
                  <w:r>
                    <w:rPr>
                      <w:rFonts w:ascii="Times New Roman" w:hAnsi="Times New Roman" w:cs="Times New Roman"/>
                      <w:szCs w:val="21"/>
                    </w:rPr>
                    <w:t>不合格柴油储罐</w:t>
                  </w:r>
                </w:p>
              </w:tc>
              <w:tc>
                <w:tcPr>
                  <w:tcW w:w="2463" w:type="pct"/>
                  <w:vAlign w:val="center"/>
                </w:tcPr>
                <w:p w14:paraId="355E04FA">
                  <w:pPr>
                    <w:adjustRightInd w:val="0"/>
                    <w:snapToGrid w:val="0"/>
                    <w:jc w:val="center"/>
                    <w:rPr>
                      <w:rFonts w:ascii="Times New Roman" w:hAnsi="Times New Roman" w:cs="Times New Roman"/>
                      <w:szCs w:val="21"/>
                    </w:rPr>
                  </w:pPr>
                  <w:r>
                    <w:rPr>
                      <w:rFonts w:ascii="Times New Roman" w:hAnsi="Times New Roman" w:cs="Times New Roman"/>
                      <w:szCs w:val="21"/>
                    </w:rPr>
                    <w:t>设置1个2000m</w:t>
                  </w:r>
                  <w:r>
                    <w:rPr>
                      <w:rFonts w:ascii="Times New Roman" w:hAnsi="Times New Roman" w:cs="Times New Roman"/>
                      <w:szCs w:val="21"/>
                      <w:vertAlign w:val="superscript"/>
                    </w:rPr>
                    <w:t>3</w:t>
                  </w:r>
                  <w:r>
                    <w:rPr>
                      <w:rFonts w:ascii="Times New Roman" w:hAnsi="Times New Roman" w:cs="Times New Roman"/>
                      <w:szCs w:val="21"/>
                    </w:rPr>
                    <w:t>不合格柴油储罐，内浮顶罐</w:t>
                  </w:r>
                </w:p>
              </w:tc>
              <w:tc>
                <w:tcPr>
                  <w:tcW w:w="799" w:type="pct"/>
                  <w:vAlign w:val="center"/>
                </w:tcPr>
                <w:p w14:paraId="72F1BCA4">
                  <w:pPr>
                    <w:adjustRightInd w:val="0"/>
                    <w:snapToGrid w:val="0"/>
                    <w:jc w:val="center"/>
                    <w:rPr>
                      <w:rFonts w:ascii="Times New Roman" w:hAnsi="Times New Roman" w:cs="Times New Roman"/>
                      <w:szCs w:val="21"/>
                    </w:rPr>
                  </w:pPr>
                  <w:r>
                    <w:rPr>
                      <w:rFonts w:ascii="Times New Roman" w:hAnsi="Times New Roman" w:cs="Times New Roman"/>
                      <w:szCs w:val="21"/>
                    </w:rPr>
                    <w:t>新建</w:t>
                  </w:r>
                </w:p>
              </w:tc>
            </w:tr>
            <w:tr w14:paraId="2BA3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1ADC1A56">
                  <w:pPr>
                    <w:adjustRightInd w:val="0"/>
                    <w:snapToGrid w:val="0"/>
                    <w:jc w:val="center"/>
                    <w:rPr>
                      <w:rFonts w:ascii="Times New Roman" w:hAnsi="Times New Roman" w:cs="Times New Roman"/>
                      <w:szCs w:val="21"/>
                    </w:rPr>
                  </w:pPr>
                </w:p>
              </w:tc>
              <w:tc>
                <w:tcPr>
                  <w:tcW w:w="915" w:type="pct"/>
                  <w:vAlign w:val="center"/>
                </w:tcPr>
                <w:p w14:paraId="08EB2438">
                  <w:pPr>
                    <w:adjustRightInd w:val="0"/>
                    <w:snapToGrid w:val="0"/>
                    <w:jc w:val="center"/>
                    <w:rPr>
                      <w:rFonts w:ascii="Times New Roman" w:hAnsi="Times New Roman" w:cs="Times New Roman"/>
                      <w:szCs w:val="21"/>
                    </w:rPr>
                  </w:pPr>
                  <w:r>
                    <w:rPr>
                      <w:rFonts w:ascii="Times New Roman" w:hAnsi="Times New Roman" w:cs="Times New Roman"/>
                      <w:szCs w:val="21"/>
                    </w:rPr>
                    <w:t>泵房撬装设备</w:t>
                  </w:r>
                </w:p>
              </w:tc>
              <w:tc>
                <w:tcPr>
                  <w:tcW w:w="2463" w:type="pct"/>
                  <w:vAlign w:val="center"/>
                </w:tcPr>
                <w:p w14:paraId="3FD93D0E">
                  <w:pPr>
                    <w:adjustRightInd w:val="0"/>
                    <w:snapToGrid w:val="0"/>
                    <w:jc w:val="center"/>
                    <w:rPr>
                      <w:rFonts w:ascii="Times New Roman" w:hAnsi="Times New Roman" w:cs="Times New Roman"/>
                      <w:szCs w:val="21"/>
                    </w:rPr>
                  </w:pPr>
                  <w:r>
                    <w:rPr>
                      <w:rFonts w:ascii="Times New Roman" w:hAnsi="Times New Roman" w:cs="Times New Roman"/>
                      <w:szCs w:val="21"/>
                    </w:rPr>
                    <w:t>撬装设备自带小型储罐及计量泵，用于储存柴油抗磨剂和十六烷值改进剂</w:t>
                  </w:r>
                </w:p>
              </w:tc>
              <w:tc>
                <w:tcPr>
                  <w:tcW w:w="799" w:type="pct"/>
                  <w:vAlign w:val="center"/>
                </w:tcPr>
                <w:p w14:paraId="0C080B38">
                  <w:pPr>
                    <w:adjustRightInd w:val="0"/>
                    <w:snapToGrid w:val="0"/>
                    <w:jc w:val="center"/>
                    <w:rPr>
                      <w:rFonts w:ascii="Times New Roman" w:hAnsi="Times New Roman" w:cs="Times New Roman"/>
                      <w:szCs w:val="21"/>
                    </w:rPr>
                  </w:pPr>
                  <w:r>
                    <w:rPr>
                      <w:rFonts w:ascii="Times New Roman" w:hAnsi="Times New Roman" w:cs="Times New Roman"/>
                      <w:szCs w:val="21"/>
                    </w:rPr>
                    <w:t>依托</w:t>
                  </w:r>
                </w:p>
              </w:tc>
            </w:tr>
            <w:tr w14:paraId="50C6C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restart"/>
                  <w:vAlign w:val="center"/>
                </w:tcPr>
                <w:p w14:paraId="71B3CABF">
                  <w:pPr>
                    <w:adjustRightInd w:val="0"/>
                    <w:snapToGrid w:val="0"/>
                    <w:jc w:val="center"/>
                    <w:rPr>
                      <w:rFonts w:ascii="Times New Roman" w:hAnsi="Times New Roman" w:cs="Times New Roman"/>
                      <w:bCs/>
                      <w:szCs w:val="21"/>
                    </w:rPr>
                  </w:pPr>
                  <w:r>
                    <w:rPr>
                      <w:rFonts w:ascii="Times New Roman" w:hAnsi="Times New Roman" w:cs="Times New Roman"/>
                      <w:bCs/>
                      <w:szCs w:val="21"/>
                    </w:rPr>
                    <w:t>辅助工程</w:t>
                  </w:r>
                </w:p>
              </w:tc>
              <w:tc>
                <w:tcPr>
                  <w:tcW w:w="915" w:type="pct"/>
                  <w:vAlign w:val="center"/>
                </w:tcPr>
                <w:p w14:paraId="1975ED10">
                  <w:pPr>
                    <w:adjustRightInd w:val="0"/>
                    <w:snapToGrid w:val="0"/>
                    <w:jc w:val="center"/>
                    <w:rPr>
                      <w:rFonts w:ascii="Times New Roman" w:hAnsi="Times New Roman" w:cs="Times New Roman"/>
                      <w:szCs w:val="21"/>
                    </w:rPr>
                  </w:pPr>
                  <w:r>
                    <w:rPr>
                      <w:rFonts w:ascii="Times New Roman" w:hAnsi="Times New Roman" w:cs="Times New Roman"/>
                      <w:szCs w:val="21"/>
                    </w:rPr>
                    <w:t>中心控制室</w:t>
                  </w:r>
                </w:p>
              </w:tc>
              <w:tc>
                <w:tcPr>
                  <w:tcW w:w="2463" w:type="pct"/>
                  <w:vAlign w:val="center"/>
                </w:tcPr>
                <w:p w14:paraId="5C143309">
                  <w:pPr>
                    <w:adjustRightInd w:val="0"/>
                    <w:snapToGrid w:val="0"/>
                    <w:jc w:val="center"/>
                    <w:rPr>
                      <w:rFonts w:ascii="Times New Roman" w:hAnsi="Times New Roman" w:cs="Times New Roman"/>
                      <w:bCs/>
                      <w:szCs w:val="21"/>
                    </w:rPr>
                  </w:pPr>
                  <w:r>
                    <w:rPr>
                      <w:rFonts w:ascii="Times New Roman" w:hAnsi="Times New Roman" w:cs="Times New Roman"/>
                      <w:bCs/>
                      <w:color w:val="000000" w:themeColor="text1"/>
                      <w:szCs w:val="21"/>
                      <w:u w:color="000000"/>
                      <w:lang w:bidi="en-US"/>
                      <w14:textFill>
                        <w14:solidFill>
                          <w14:schemeClr w14:val="tx1"/>
                        </w14:solidFill>
                      </w14:textFill>
                    </w:rPr>
                    <w:t>设置一座</w:t>
                  </w:r>
                  <w:r>
                    <w:rPr>
                      <w:rFonts w:ascii="Times New Roman" w:hAnsi="Times New Roman" w:cs="Times New Roman"/>
                      <w:bCs/>
                      <w:color w:val="000000" w:themeColor="text1"/>
                      <w:szCs w:val="21"/>
                      <w:u w:color="000000"/>
                      <w:lang w:bidi="ar"/>
                      <w14:textFill>
                        <w14:solidFill>
                          <w14:schemeClr w14:val="tx1"/>
                        </w14:solidFill>
                      </w14:textFill>
                    </w:rPr>
                    <w:t>中心控制室</w:t>
                  </w:r>
                  <w:r>
                    <w:rPr>
                      <w:rFonts w:ascii="Times New Roman" w:hAnsi="Times New Roman" w:cs="Times New Roman"/>
                      <w:bCs/>
                      <w:color w:val="000000" w:themeColor="text1"/>
                      <w:szCs w:val="21"/>
                      <w:u w:color="000000"/>
                      <w:lang w:bidi="en-US"/>
                      <w14:textFill>
                        <w14:solidFill>
                          <w14:schemeClr w14:val="tx1"/>
                        </w14:solidFill>
                      </w14:textFill>
                    </w:rPr>
                    <w:t>，建筑面积为840m</w:t>
                  </w:r>
                  <w:r>
                    <w:rPr>
                      <w:rFonts w:ascii="Times New Roman" w:hAnsi="Times New Roman" w:cs="Times New Roman"/>
                      <w:bCs/>
                      <w:color w:val="000000" w:themeColor="text1"/>
                      <w:szCs w:val="21"/>
                      <w:u w:color="000000"/>
                      <w:vertAlign w:val="superscript"/>
                      <w:lang w:bidi="en-US"/>
                      <w14:textFill>
                        <w14:solidFill>
                          <w14:schemeClr w14:val="tx1"/>
                        </w14:solidFill>
                      </w14:textFill>
                    </w:rPr>
                    <w:t>2</w:t>
                  </w:r>
                </w:p>
              </w:tc>
              <w:tc>
                <w:tcPr>
                  <w:tcW w:w="799" w:type="pct"/>
                  <w:vAlign w:val="center"/>
                </w:tcPr>
                <w:p w14:paraId="0DF6D144">
                  <w:pPr>
                    <w:adjustRightInd w:val="0"/>
                    <w:snapToGrid w:val="0"/>
                    <w:jc w:val="center"/>
                    <w:rPr>
                      <w:rFonts w:ascii="Times New Roman" w:hAnsi="Times New Roman" w:cs="Times New Roman"/>
                      <w:szCs w:val="21"/>
                    </w:rPr>
                  </w:pPr>
                  <w:r>
                    <w:rPr>
                      <w:rFonts w:ascii="Times New Roman" w:hAnsi="Times New Roman" w:cs="Times New Roman"/>
                      <w:bCs/>
                      <w:szCs w:val="21"/>
                    </w:rPr>
                    <w:t>依托</w:t>
                  </w:r>
                </w:p>
              </w:tc>
            </w:tr>
            <w:tr w14:paraId="0BC0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7F004E98">
                  <w:pPr>
                    <w:adjustRightInd w:val="0"/>
                    <w:snapToGrid w:val="0"/>
                    <w:jc w:val="center"/>
                    <w:rPr>
                      <w:rFonts w:ascii="Times New Roman" w:hAnsi="Times New Roman" w:cs="Times New Roman"/>
                      <w:bCs/>
                      <w:szCs w:val="21"/>
                    </w:rPr>
                  </w:pPr>
                </w:p>
              </w:tc>
              <w:tc>
                <w:tcPr>
                  <w:tcW w:w="915" w:type="pct"/>
                  <w:vAlign w:val="center"/>
                </w:tcPr>
                <w:p w14:paraId="49D41F38">
                  <w:pPr>
                    <w:adjustRightInd w:val="0"/>
                    <w:snapToGrid w:val="0"/>
                    <w:jc w:val="center"/>
                    <w:rPr>
                      <w:rFonts w:ascii="Times New Roman" w:hAnsi="Times New Roman" w:cs="Times New Roman"/>
                      <w:szCs w:val="21"/>
                    </w:rPr>
                  </w:pPr>
                  <w:r>
                    <w:rPr>
                      <w:rFonts w:ascii="Times New Roman" w:hAnsi="Times New Roman" w:cs="Times New Roman"/>
                      <w:szCs w:val="21"/>
                    </w:rPr>
                    <w:t>中心化验室</w:t>
                  </w:r>
                </w:p>
              </w:tc>
              <w:tc>
                <w:tcPr>
                  <w:tcW w:w="2463" w:type="pct"/>
                  <w:vAlign w:val="center"/>
                </w:tcPr>
                <w:p w14:paraId="69BE86E0">
                  <w:pPr>
                    <w:adjustRightInd w:val="0"/>
                    <w:snapToGrid w:val="0"/>
                    <w:jc w:val="center"/>
                    <w:rPr>
                      <w:rFonts w:ascii="Times New Roman" w:hAnsi="Times New Roman" w:cs="Times New Roman"/>
                      <w:bCs/>
                      <w:szCs w:val="21"/>
                    </w:rPr>
                  </w:pPr>
                  <w:r>
                    <w:rPr>
                      <w:rFonts w:ascii="Times New Roman" w:hAnsi="Times New Roman" w:cs="Times New Roman"/>
                      <w:bCs/>
                      <w:color w:val="000000" w:themeColor="text1"/>
                      <w:szCs w:val="21"/>
                      <w:u w:color="000000"/>
                      <w:lang w:bidi="en-US"/>
                      <w14:textFill>
                        <w14:solidFill>
                          <w14:schemeClr w14:val="tx1"/>
                        </w14:solidFill>
                      </w14:textFill>
                    </w:rPr>
                    <w:t>设置1座中心化验室，建筑面积为1350m</w:t>
                  </w:r>
                  <w:r>
                    <w:rPr>
                      <w:rFonts w:ascii="Times New Roman" w:hAnsi="Times New Roman" w:cs="Times New Roman"/>
                      <w:bCs/>
                      <w:color w:val="000000" w:themeColor="text1"/>
                      <w:szCs w:val="21"/>
                      <w:u w:color="000000"/>
                      <w:vertAlign w:val="superscript"/>
                      <w:lang w:bidi="en-US"/>
                      <w14:textFill>
                        <w14:solidFill>
                          <w14:schemeClr w14:val="tx1"/>
                        </w14:solidFill>
                      </w14:textFill>
                    </w:rPr>
                    <w:t>2</w:t>
                  </w:r>
                </w:p>
              </w:tc>
              <w:tc>
                <w:tcPr>
                  <w:tcW w:w="799" w:type="pct"/>
                  <w:vAlign w:val="center"/>
                </w:tcPr>
                <w:p w14:paraId="4D492FEB">
                  <w:pPr>
                    <w:adjustRightInd w:val="0"/>
                    <w:snapToGrid w:val="0"/>
                    <w:jc w:val="center"/>
                    <w:rPr>
                      <w:rFonts w:ascii="Times New Roman" w:hAnsi="Times New Roman" w:cs="Times New Roman"/>
                      <w:szCs w:val="21"/>
                    </w:rPr>
                  </w:pPr>
                  <w:r>
                    <w:rPr>
                      <w:rFonts w:ascii="Times New Roman" w:hAnsi="Times New Roman" w:cs="Times New Roman"/>
                      <w:szCs w:val="21"/>
                    </w:rPr>
                    <w:t>依托</w:t>
                  </w:r>
                </w:p>
              </w:tc>
            </w:tr>
            <w:tr w14:paraId="4D48B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1ACAF3DD">
                  <w:pPr>
                    <w:adjustRightInd w:val="0"/>
                    <w:snapToGrid w:val="0"/>
                    <w:jc w:val="center"/>
                    <w:rPr>
                      <w:rFonts w:ascii="Times New Roman" w:hAnsi="Times New Roman" w:cs="Times New Roman"/>
                      <w:bCs/>
                      <w:szCs w:val="21"/>
                    </w:rPr>
                  </w:pPr>
                </w:p>
              </w:tc>
              <w:tc>
                <w:tcPr>
                  <w:tcW w:w="915" w:type="pct"/>
                  <w:vAlign w:val="center"/>
                </w:tcPr>
                <w:p w14:paraId="76FA1709">
                  <w:pPr>
                    <w:adjustRightInd w:val="0"/>
                    <w:snapToGrid w:val="0"/>
                    <w:jc w:val="center"/>
                    <w:rPr>
                      <w:rFonts w:ascii="Times New Roman" w:hAnsi="Times New Roman" w:cs="Times New Roman"/>
                      <w:szCs w:val="21"/>
                    </w:rPr>
                  </w:pPr>
                  <w:r>
                    <w:rPr>
                      <w:rFonts w:ascii="Times New Roman" w:hAnsi="Times New Roman" w:cs="Times New Roman"/>
                      <w:szCs w:val="21"/>
                    </w:rPr>
                    <w:t>备品备件间</w:t>
                  </w:r>
                </w:p>
              </w:tc>
              <w:tc>
                <w:tcPr>
                  <w:tcW w:w="2463" w:type="pct"/>
                  <w:vAlign w:val="center"/>
                </w:tcPr>
                <w:p w14:paraId="7352A57C">
                  <w:pPr>
                    <w:adjustRightInd w:val="0"/>
                    <w:snapToGrid w:val="0"/>
                    <w:jc w:val="center"/>
                    <w:rPr>
                      <w:rFonts w:ascii="Times New Roman" w:hAnsi="Times New Roman" w:cs="Times New Roman"/>
                      <w:bCs/>
                      <w:szCs w:val="21"/>
                    </w:rPr>
                  </w:pPr>
                  <w:r>
                    <w:rPr>
                      <w:rFonts w:ascii="Times New Roman" w:hAnsi="Times New Roman" w:cs="Times New Roman"/>
                      <w:bCs/>
                      <w:color w:val="000000" w:themeColor="text1"/>
                      <w:szCs w:val="21"/>
                      <w:u w:color="000000"/>
                      <w:lang w:bidi="en-US"/>
                      <w14:textFill>
                        <w14:solidFill>
                          <w14:schemeClr w14:val="tx1"/>
                        </w14:solidFill>
                      </w14:textFill>
                    </w:rPr>
                    <w:t>设置一座备品备件库，建筑面积为720m</w:t>
                  </w:r>
                  <w:r>
                    <w:rPr>
                      <w:rFonts w:ascii="Times New Roman" w:hAnsi="Times New Roman" w:cs="Times New Roman"/>
                      <w:bCs/>
                      <w:color w:val="000000" w:themeColor="text1"/>
                      <w:szCs w:val="21"/>
                      <w:u w:color="000000"/>
                      <w:vertAlign w:val="superscript"/>
                      <w:lang w:bidi="en-US"/>
                      <w14:textFill>
                        <w14:solidFill>
                          <w14:schemeClr w14:val="tx1"/>
                        </w14:solidFill>
                      </w14:textFill>
                    </w:rPr>
                    <w:t>2</w:t>
                  </w:r>
                </w:p>
              </w:tc>
              <w:tc>
                <w:tcPr>
                  <w:tcW w:w="799" w:type="pct"/>
                  <w:vAlign w:val="center"/>
                </w:tcPr>
                <w:p w14:paraId="44A37192">
                  <w:pPr>
                    <w:adjustRightInd w:val="0"/>
                    <w:snapToGrid w:val="0"/>
                    <w:jc w:val="center"/>
                    <w:rPr>
                      <w:rFonts w:ascii="Times New Roman" w:hAnsi="Times New Roman" w:cs="Times New Roman"/>
                      <w:szCs w:val="21"/>
                    </w:rPr>
                  </w:pPr>
                  <w:r>
                    <w:rPr>
                      <w:rFonts w:ascii="Times New Roman" w:hAnsi="Times New Roman" w:cs="Times New Roman"/>
                      <w:bCs/>
                      <w:szCs w:val="21"/>
                    </w:rPr>
                    <w:t>依托</w:t>
                  </w:r>
                </w:p>
              </w:tc>
            </w:tr>
            <w:tr w14:paraId="006F8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7A2EEB2B">
                  <w:pPr>
                    <w:adjustRightInd w:val="0"/>
                    <w:snapToGrid w:val="0"/>
                    <w:jc w:val="center"/>
                    <w:rPr>
                      <w:rFonts w:ascii="Times New Roman" w:hAnsi="Times New Roman" w:cs="Times New Roman"/>
                      <w:bCs/>
                      <w:szCs w:val="21"/>
                    </w:rPr>
                  </w:pPr>
                </w:p>
              </w:tc>
              <w:tc>
                <w:tcPr>
                  <w:tcW w:w="915" w:type="pct"/>
                  <w:vAlign w:val="center"/>
                </w:tcPr>
                <w:p w14:paraId="7500CCC6">
                  <w:pPr>
                    <w:adjustRightInd w:val="0"/>
                    <w:snapToGrid w:val="0"/>
                    <w:jc w:val="center"/>
                    <w:rPr>
                      <w:rFonts w:ascii="Times New Roman" w:hAnsi="Times New Roman" w:cs="Times New Roman"/>
                      <w:szCs w:val="21"/>
                    </w:rPr>
                  </w:pPr>
                  <w:r>
                    <w:rPr>
                      <w:rFonts w:ascii="Times New Roman" w:hAnsi="Times New Roman" w:cs="Times New Roman"/>
                      <w:szCs w:val="21"/>
                    </w:rPr>
                    <w:t>区域配电室</w:t>
                  </w:r>
                </w:p>
              </w:tc>
              <w:tc>
                <w:tcPr>
                  <w:tcW w:w="2463" w:type="pct"/>
                  <w:vAlign w:val="center"/>
                </w:tcPr>
                <w:p w14:paraId="3ABCC762">
                  <w:pPr>
                    <w:adjustRightInd w:val="0"/>
                    <w:snapToGrid w:val="0"/>
                    <w:jc w:val="center"/>
                    <w:rPr>
                      <w:rFonts w:ascii="Times New Roman" w:hAnsi="Times New Roman" w:cs="Times New Roman"/>
                      <w:bCs/>
                      <w:szCs w:val="21"/>
                    </w:rPr>
                  </w:pPr>
                  <w:r>
                    <w:rPr>
                      <w:rFonts w:ascii="Times New Roman" w:hAnsi="Times New Roman" w:cs="Times New Roman"/>
                      <w:bCs/>
                      <w:color w:val="000000" w:themeColor="text1"/>
                      <w:szCs w:val="21"/>
                      <w:u w:color="000000"/>
                      <w:lang w:bidi="en-US"/>
                      <w14:textFill>
                        <w14:solidFill>
                          <w14:schemeClr w14:val="tx1"/>
                        </w14:solidFill>
                      </w14:textFill>
                    </w:rPr>
                    <w:t>设置一座区域配电室，建筑面积为540m</w:t>
                  </w:r>
                  <w:r>
                    <w:rPr>
                      <w:rFonts w:ascii="Times New Roman" w:hAnsi="Times New Roman" w:cs="Times New Roman"/>
                      <w:bCs/>
                      <w:color w:val="000000" w:themeColor="text1"/>
                      <w:szCs w:val="21"/>
                      <w:u w:color="000000"/>
                      <w:vertAlign w:val="superscript"/>
                      <w:lang w:bidi="en-US"/>
                      <w14:textFill>
                        <w14:solidFill>
                          <w14:schemeClr w14:val="tx1"/>
                        </w14:solidFill>
                      </w14:textFill>
                    </w:rPr>
                    <w:t>2</w:t>
                  </w:r>
                </w:p>
              </w:tc>
              <w:tc>
                <w:tcPr>
                  <w:tcW w:w="799" w:type="pct"/>
                  <w:vAlign w:val="center"/>
                </w:tcPr>
                <w:p w14:paraId="7739D363">
                  <w:pPr>
                    <w:adjustRightInd w:val="0"/>
                    <w:snapToGrid w:val="0"/>
                    <w:jc w:val="center"/>
                    <w:rPr>
                      <w:rFonts w:ascii="Times New Roman" w:hAnsi="Times New Roman" w:cs="Times New Roman"/>
                      <w:szCs w:val="21"/>
                    </w:rPr>
                  </w:pPr>
                  <w:r>
                    <w:rPr>
                      <w:rFonts w:ascii="Times New Roman" w:hAnsi="Times New Roman" w:cs="Times New Roman"/>
                      <w:szCs w:val="21"/>
                    </w:rPr>
                    <w:t>依托</w:t>
                  </w:r>
                </w:p>
              </w:tc>
            </w:tr>
            <w:tr w14:paraId="64BC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5188FC20">
                  <w:pPr>
                    <w:adjustRightInd w:val="0"/>
                    <w:snapToGrid w:val="0"/>
                    <w:jc w:val="center"/>
                    <w:rPr>
                      <w:rFonts w:ascii="Times New Roman" w:hAnsi="Times New Roman" w:cs="Times New Roman"/>
                      <w:bCs/>
                      <w:szCs w:val="21"/>
                    </w:rPr>
                  </w:pPr>
                </w:p>
              </w:tc>
              <w:tc>
                <w:tcPr>
                  <w:tcW w:w="915" w:type="pct"/>
                  <w:vAlign w:val="center"/>
                </w:tcPr>
                <w:p w14:paraId="0F3D46F9">
                  <w:pPr>
                    <w:adjustRightInd w:val="0"/>
                    <w:snapToGrid w:val="0"/>
                    <w:jc w:val="center"/>
                    <w:rPr>
                      <w:rFonts w:ascii="Times New Roman" w:hAnsi="Times New Roman" w:cs="Times New Roman"/>
                      <w:szCs w:val="21"/>
                    </w:rPr>
                  </w:pPr>
                  <w:r>
                    <w:rPr>
                      <w:rFonts w:ascii="Times New Roman" w:hAnsi="Times New Roman" w:cs="Times New Roman"/>
                      <w:szCs w:val="21"/>
                    </w:rPr>
                    <w:t>总变配电室</w:t>
                  </w:r>
                </w:p>
              </w:tc>
              <w:tc>
                <w:tcPr>
                  <w:tcW w:w="2463" w:type="pct"/>
                  <w:vAlign w:val="center"/>
                </w:tcPr>
                <w:p w14:paraId="3CD87A40">
                  <w:pPr>
                    <w:adjustRightInd w:val="0"/>
                    <w:snapToGrid w:val="0"/>
                    <w:jc w:val="center"/>
                    <w:rPr>
                      <w:rFonts w:ascii="Times New Roman" w:hAnsi="Times New Roman" w:cs="Times New Roman"/>
                      <w:bCs/>
                      <w:szCs w:val="21"/>
                    </w:rPr>
                  </w:pPr>
                  <w:r>
                    <w:rPr>
                      <w:rFonts w:ascii="Times New Roman" w:hAnsi="Times New Roman" w:cs="Times New Roman"/>
                      <w:bCs/>
                      <w:color w:val="000000" w:themeColor="text1"/>
                      <w:szCs w:val="21"/>
                      <w:u w:color="000000"/>
                      <w:lang w:bidi="en-US"/>
                      <w14:textFill>
                        <w14:solidFill>
                          <w14:schemeClr w14:val="tx1"/>
                        </w14:solidFill>
                      </w14:textFill>
                    </w:rPr>
                    <w:t>设置一座总变配电室，建筑面积为2400m</w:t>
                  </w:r>
                  <w:r>
                    <w:rPr>
                      <w:rFonts w:ascii="Times New Roman" w:hAnsi="Times New Roman" w:cs="Times New Roman"/>
                      <w:bCs/>
                      <w:color w:val="000000" w:themeColor="text1"/>
                      <w:szCs w:val="21"/>
                      <w:u w:color="000000"/>
                      <w:vertAlign w:val="superscript"/>
                      <w:lang w:bidi="en-US"/>
                      <w14:textFill>
                        <w14:solidFill>
                          <w14:schemeClr w14:val="tx1"/>
                        </w14:solidFill>
                      </w14:textFill>
                    </w:rPr>
                    <w:t>2</w:t>
                  </w:r>
                </w:p>
              </w:tc>
              <w:tc>
                <w:tcPr>
                  <w:tcW w:w="799" w:type="pct"/>
                  <w:vAlign w:val="center"/>
                </w:tcPr>
                <w:p w14:paraId="57D6C124">
                  <w:pPr>
                    <w:adjustRightInd w:val="0"/>
                    <w:snapToGrid w:val="0"/>
                    <w:jc w:val="center"/>
                    <w:rPr>
                      <w:rFonts w:ascii="Times New Roman" w:hAnsi="Times New Roman" w:cs="Times New Roman"/>
                      <w:szCs w:val="21"/>
                    </w:rPr>
                  </w:pPr>
                  <w:r>
                    <w:rPr>
                      <w:rFonts w:ascii="Times New Roman" w:hAnsi="Times New Roman" w:cs="Times New Roman"/>
                      <w:szCs w:val="21"/>
                    </w:rPr>
                    <w:t>依托</w:t>
                  </w:r>
                </w:p>
              </w:tc>
            </w:tr>
            <w:tr w14:paraId="7941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0F7F30E5">
                  <w:pPr>
                    <w:adjustRightInd w:val="0"/>
                    <w:snapToGrid w:val="0"/>
                    <w:jc w:val="center"/>
                    <w:rPr>
                      <w:rFonts w:ascii="Times New Roman" w:hAnsi="Times New Roman" w:cs="Times New Roman"/>
                      <w:bCs/>
                      <w:szCs w:val="21"/>
                    </w:rPr>
                  </w:pPr>
                </w:p>
              </w:tc>
              <w:tc>
                <w:tcPr>
                  <w:tcW w:w="915" w:type="pct"/>
                  <w:vAlign w:val="center"/>
                </w:tcPr>
                <w:p w14:paraId="1D837B90">
                  <w:pPr>
                    <w:adjustRightInd w:val="0"/>
                    <w:snapToGrid w:val="0"/>
                    <w:jc w:val="center"/>
                    <w:rPr>
                      <w:rFonts w:ascii="Times New Roman" w:hAnsi="Times New Roman" w:cs="Times New Roman"/>
                      <w:szCs w:val="21"/>
                    </w:rPr>
                  </w:pPr>
                  <w:r>
                    <w:rPr>
                      <w:rFonts w:ascii="Times New Roman" w:hAnsi="Times New Roman" w:cs="Times New Roman"/>
                      <w:szCs w:val="21"/>
                    </w:rPr>
                    <w:t>地磅房</w:t>
                  </w:r>
                </w:p>
              </w:tc>
              <w:tc>
                <w:tcPr>
                  <w:tcW w:w="2463" w:type="pct"/>
                  <w:vAlign w:val="center"/>
                </w:tcPr>
                <w:p w14:paraId="582809E5">
                  <w:pPr>
                    <w:adjustRightInd w:val="0"/>
                    <w:snapToGrid w:val="0"/>
                    <w:jc w:val="center"/>
                    <w:rPr>
                      <w:rFonts w:ascii="Times New Roman" w:hAnsi="Times New Roman" w:cs="Times New Roman"/>
                      <w:bCs/>
                      <w:szCs w:val="21"/>
                    </w:rPr>
                  </w:pPr>
                  <w:r>
                    <w:rPr>
                      <w:rFonts w:ascii="Times New Roman" w:hAnsi="Times New Roman" w:cs="Times New Roman"/>
                      <w:bCs/>
                      <w:color w:val="000000" w:themeColor="text1"/>
                      <w:szCs w:val="21"/>
                      <w:u w:color="000000"/>
                      <w:lang w:bidi="en-US"/>
                      <w14:textFill>
                        <w14:solidFill>
                          <w14:schemeClr w14:val="tx1"/>
                        </w14:solidFill>
                      </w14:textFill>
                    </w:rPr>
                    <w:t>设置一座地磅房，建筑面积为380m</w:t>
                  </w:r>
                  <w:r>
                    <w:rPr>
                      <w:rFonts w:ascii="Times New Roman" w:hAnsi="Times New Roman" w:cs="Times New Roman"/>
                      <w:bCs/>
                      <w:color w:val="000000" w:themeColor="text1"/>
                      <w:szCs w:val="21"/>
                      <w:u w:color="000000"/>
                      <w:vertAlign w:val="superscript"/>
                      <w:lang w:bidi="en-US"/>
                      <w14:textFill>
                        <w14:solidFill>
                          <w14:schemeClr w14:val="tx1"/>
                        </w14:solidFill>
                      </w14:textFill>
                    </w:rPr>
                    <w:t>2</w:t>
                  </w:r>
                </w:p>
              </w:tc>
              <w:tc>
                <w:tcPr>
                  <w:tcW w:w="799" w:type="pct"/>
                  <w:vAlign w:val="center"/>
                </w:tcPr>
                <w:p w14:paraId="13107414">
                  <w:pPr>
                    <w:adjustRightInd w:val="0"/>
                    <w:snapToGrid w:val="0"/>
                    <w:jc w:val="center"/>
                    <w:rPr>
                      <w:rFonts w:ascii="Times New Roman" w:hAnsi="Times New Roman" w:cs="Times New Roman"/>
                      <w:szCs w:val="21"/>
                    </w:rPr>
                  </w:pPr>
                  <w:r>
                    <w:rPr>
                      <w:rFonts w:ascii="Times New Roman" w:hAnsi="Times New Roman" w:cs="Times New Roman"/>
                      <w:bCs/>
                      <w:szCs w:val="21"/>
                    </w:rPr>
                    <w:t>依托</w:t>
                  </w:r>
                </w:p>
              </w:tc>
            </w:tr>
            <w:tr w14:paraId="5F92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7144C140">
                  <w:pPr>
                    <w:adjustRightInd w:val="0"/>
                    <w:snapToGrid w:val="0"/>
                    <w:jc w:val="center"/>
                    <w:rPr>
                      <w:rFonts w:ascii="Times New Roman" w:hAnsi="Times New Roman" w:cs="Times New Roman"/>
                      <w:bCs/>
                      <w:szCs w:val="21"/>
                    </w:rPr>
                  </w:pPr>
                </w:p>
              </w:tc>
              <w:tc>
                <w:tcPr>
                  <w:tcW w:w="915" w:type="pct"/>
                  <w:vAlign w:val="center"/>
                </w:tcPr>
                <w:p w14:paraId="75B696C7">
                  <w:pPr>
                    <w:adjustRightInd w:val="0"/>
                    <w:snapToGrid w:val="0"/>
                    <w:jc w:val="center"/>
                    <w:rPr>
                      <w:rFonts w:ascii="Times New Roman" w:hAnsi="Times New Roman" w:cs="Times New Roman"/>
                      <w:szCs w:val="21"/>
                    </w:rPr>
                  </w:pPr>
                  <w:r>
                    <w:rPr>
                      <w:rFonts w:ascii="Times New Roman" w:hAnsi="Times New Roman" w:cs="Times New Roman"/>
                      <w:szCs w:val="21"/>
                    </w:rPr>
                    <w:t>食堂及活动室</w:t>
                  </w:r>
                </w:p>
              </w:tc>
              <w:tc>
                <w:tcPr>
                  <w:tcW w:w="2463" w:type="pct"/>
                  <w:vAlign w:val="center"/>
                </w:tcPr>
                <w:p w14:paraId="78C34B19">
                  <w:pPr>
                    <w:adjustRightInd w:val="0"/>
                    <w:snapToGrid w:val="0"/>
                    <w:jc w:val="center"/>
                    <w:rPr>
                      <w:rFonts w:ascii="Times New Roman" w:hAnsi="Times New Roman" w:cs="Times New Roman"/>
                      <w:bCs/>
                      <w:szCs w:val="21"/>
                    </w:rPr>
                  </w:pPr>
                  <w:r>
                    <w:rPr>
                      <w:rFonts w:ascii="Times New Roman" w:hAnsi="Times New Roman" w:cs="Times New Roman"/>
                      <w:bCs/>
                      <w:color w:val="000000" w:themeColor="text1"/>
                      <w:szCs w:val="21"/>
                      <w:u w:color="000000"/>
                      <w:lang w:bidi="en-US"/>
                      <w14:textFill>
                        <w14:solidFill>
                          <w14:schemeClr w14:val="tx1"/>
                        </w14:solidFill>
                      </w14:textFill>
                    </w:rPr>
                    <w:t>设置一座食堂及活动室，建筑面积为3067.8m</w:t>
                  </w:r>
                  <w:r>
                    <w:rPr>
                      <w:rFonts w:ascii="Times New Roman" w:hAnsi="Times New Roman" w:cs="Times New Roman"/>
                      <w:bCs/>
                      <w:color w:val="000000" w:themeColor="text1"/>
                      <w:szCs w:val="21"/>
                      <w:u w:color="000000"/>
                      <w:vertAlign w:val="superscript"/>
                      <w:lang w:bidi="en-US"/>
                      <w14:textFill>
                        <w14:solidFill>
                          <w14:schemeClr w14:val="tx1"/>
                        </w14:solidFill>
                      </w14:textFill>
                    </w:rPr>
                    <w:t>2</w:t>
                  </w:r>
                </w:p>
              </w:tc>
              <w:tc>
                <w:tcPr>
                  <w:tcW w:w="799" w:type="pct"/>
                  <w:vAlign w:val="center"/>
                </w:tcPr>
                <w:p w14:paraId="7724F331">
                  <w:pPr>
                    <w:adjustRightInd w:val="0"/>
                    <w:snapToGrid w:val="0"/>
                    <w:jc w:val="center"/>
                    <w:rPr>
                      <w:rFonts w:ascii="Times New Roman" w:hAnsi="Times New Roman" w:cs="Times New Roman"/>
                      <w:szCs w:val="21"/>
                    </w:rPr>
                  </w:pPr>
                  <w:r>
                    <w:rPr>
                      <w:rFonts w:ascii="Times New Roman" w:hAnsi="Times New Roman" w:cs="Times New Roman"/>
                      <w:szCs w:val="21"/>
                    </w:rPr>
                    <w:t>依托</w:t>
                  </w:r>
                </w:p>
              </w:tc>
            </w:tr>
            <w:tr w14:paraId="4A1F9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restart"/>
                  <w:vAlign w:val="center"/>
                </w:tcPr>
                <w:p w14:paraId="613A766F">
                  <w:pPr>
                    <w:adjustRightInd w:val="0"/>
                    <w:snapToGrid w:val="0"/>
                    <w:jc w:val="center"/>
                    <w:rPr>
                      <w:rFonts w:ascii="Times New Roman" w:hAnsi="Times New Roman" w:cs="Times New Roman"/>
                      <w:szCs w:val="21"/>
                    </w:rPr>
                  </w:pPr>
                  <w:r>
                    <w:rPr>
                      <w:rFonts w:ascii="Times New Roman" w:hAnsi="Times New Roman" w:cs="Times New Roman"/>
                      <w:szCs w:val="21"/>
                    </w:rPr>
                    <w:t>公用工程</w:t>
                  </w:r>
                </w:p>
              </w:tc>
              <w:tc>
                <w:tcPr>
                  <w:tcW w:w="915" w:type="pct"/>
                  <w:vAlign w:val="center"/>
                </w:tcPr>
                <w:p w14:paraId="1ADE73F1">
                  <w:pPr>
                    <w:adjustRightInd w:val="0"/>
                    <w:snapToGrid w:val="0"/>
                    <w:jc w:val="center"/>
                    <w:rPr>
                      <w:rFonts w:ascii="Times New Roman" w:hAnsi="Times New Roman" w:cs="Times New Roman"/>
                      <w:bCs/>
                      <w:color w:val="000000" w:themeColor="text1"/>
                      <w:szCs w:val="21"/>
                      <w:u w:color="000000"/>
                      <w:lang w:bidi="en-US"/>
                      <w14:textFill>
                        <w14:solidFill>
                          <w14:schemeClr w14:val="tx1"/>
                        </w14:solidFill>
                      </w14:textFill>
                    </w:rPr>
                  </w:pPr>
                  <w:r>
                    <w:rPr>
                      <w:rFonts w:ascii="Times New Roman" w:hAnsi="Times New Roman" w:cs="Times New Roman"/>
                      <w:bCs/>
                      <w:color w:val="000000" w:themeColor="text1"/>
                      <w:szCs w:val="21"/>
                      <w:u w:color="000000"/>
                      <w:lang w:bidi="en-US"/>
                      <w14:textFill>
                        <w14:solidFill>
                          <w14:schemeClr w14:val="tx1"/>
                        </w14:solidFill>
                      </w14:textFill>
                    </w:rPr>
                    <w:t>汽车装卸区</w:t>
                  </w:r>
                </w:p>
              </w:tc>
              <w:tc>
                <w:tcPr>
                  <w:tcW w:w="2463" w:type="pct"/>
                  <w:vAlign w:val="center"/>
                </w:tcPr>
                <w:p w14:paraId="6312A271">
                  <w:pPr>
                    <w:adjustRightInd w:val="0"/>
                    <w:snapToGrid w:val="0"/>
                    <w:jc w:val="center"/>
                    <w:rPr>
                      <w:rFonts w:ascii="Times New Roman" w:hAnsi="Times New Roman" w:cs="Times New Roman"/>
                      <w:bCs/>
                      <w:color w:val="000000" w:themeColor="text1"/>
                      <w:szCs w:val="21"/>
                      <w:u w:color="000000"/>
                      <w:lang w:bidi="en-US"/>
                      <w14:textFill>
                        <w14:solidFill>
                          <w14:schemeClr w14:val="tx1"/>
                        </w14:solidFill>
                      </w14:textFill>
                    </w:rPr>
                  </w:pPr>
                  <w:r>
                    <w:rPr>
                      <w:rFonts w:ascii="Times New Roman" w:hAnsi="Times New Roman" w:cs="Times New Roman"/>
                      <w:bCs/>
                      <w:color w:val="000000" w:themeColor="text1"/>
                      <w:szCs w:val="21"/>
                      <w:u w:color="000000"/>
                      <w:lang w:bidi="en-US"/>
                      <w14:textFill>
                        <w14:solidFill>
                          <w14:schemeClr w14:val="tx1"/>
                        </w14:solidFill>
                      </w14:textFill>
                    </w:rPr>
                    <w:t>一座汽车装卸区，包含原料、产品的装卸设施</w:t>
                  </w:r>
                </w:p>
              </w:tc>
              <w:tc>
                <w:tcPr>
                  <w:tcW w:w="799" w:type="pct"/>
                  <w:vAlign w:val="center"/>
                </w:tcPr>
                <w:p w14:paraId="5CEEA43D">
                  <w:pPr>
                    <w:adjustRightInd w:val="0"/>
                    <w:snapToGrid w:val="0"/>
                    <w:jc w:val="center"/>
                    <w:rPr>
                      <w:rFonts w:ascii="Times New Roman" w:hAnsi="Times New Roman" w:cs="Times New Roman"/>
                      <w:szCs w:val="21"/>
                    </w:rPr>
                  </w:pPr>
                  <w:r>
                    <w:rPr>
                      <w:rFonts w:ascii="Times New Roman" w:hAnsi="Times New Roman" w:cs="Times New Roman"/>
                      <w:szCs w:val="21"/>
                    </w:rPr>
                    <w:t>部分依托</w:t>
                  </w:r>
                </w:p>
              </w:tc>
            </w:tr>
            <w:tr w14:paraId="2F83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48FBE8A4">
                  <w:pPr>
                    <w:adjustRightInd w:val="0"/>
                    <w:snapToGrid w:val="0"/>
                    <w:jc w:val="center"/>
                    <w:rPr>
                      <w:rFonts w:ascii="Times New Roman" w:hAnsi="Times New Roman" w:cs="Times New Roman"/>
                      <w:szCs w:val="21"/>
                    </w:rPr>
                  </w:pPr>
                </w:p>
              </w:tc>
              <w:tc>
                <w:tcPr>
                  <w:tcW w:w="915" w:type="pct"/>
                  <w:vAlign w:val="center"/>
                </w:tcPr>
                <w:p w14:paraId="0318AC5B">
                  <w:pPr>
                    <w:adjustRightInd w:val="0"/>
                    <w:snapToGrid w:val="0"/>
                    <w:jc w:val="center"/>
                    <w:rPr>
                      <w:rFonts w:ascii="Times New Roman" w:hAnsi="Times New Roman" w:cs="Times New Roman"/>
                      <w:bCs/>
                      <w:color w:val="000000" w:themeColor="text1"/>
                      <w:szCs w:val="21"/>
                      <w:u w:color="000000"/>
                      <w:lang w:bidi="en-US"/>
                      <w14:textFill>
                        <w14:solidFill>
                          <w14:schemeClr w14:val="tx1"/>
                        </w14:solidFill>
                      </w14:textFill>
                    </w:rPr>
                  </w:pPr>
                  <w:r>
                    <w:rPr>
                      <w:rFonts w:ascii="Times New Roman" w:hAnsi="Times New Roman" w:cs="Times New Roman"/>
                      <w:bCs/>
                      <w:color w:val="000000" w:themeColor="text1"/>
                      <w:szCs w:val="21"/>
                      <w:u w:color="000000"/>
                      <w:lang w:bidi="en-US"/>
                      <w14:textFill>
                        <w14:solidFill>
                          <w14:schemeClr w14:val="tx1"/>
                        </w14:solidFill>
                      </w14:textFill>
                    </w:rPr>
                    <w:t>消防</w:t>
                  </w:r>
                </w:p>
              </w:tc>
              <w:tc>
                <w:tcPr>
                  <w:tcW w:w="2463" w:type="pct"/>
                  <w:vAlign w:val="center"/>
                </w:tcPr>
                <w:p w14:paraId="6498CB31">
                  <w:pPr>
                    <w:adjustRightInd w:val="0"/>
                    <w:snapToGrid w:val="0"/>
                    <w:jc w:val="center"/>
                    <w:rPr>
                      <w:rFonts w:ascii="Times New Roman" w:hAnsi="Times New Roman" w:cs="Times New Roman"/>
                      <w:bCs/>
                      <w:color w:val="000000" w:themeColor="text1"/>
                      <w:szCs w:val="21"/>
                      <w:u w:color="000000"/>
                      <w:lang w:bidi="en-US"/>
                      <w14:textFill>
                        <w14:solidFill>
                          <w14:schemeClr w14:val="tx1"/>
                        </w14:solidFill>
                      </w14:textFill>
                    </w:rPr>
                  </w:pPr>
                  <w:r>
                    <w:rPr>
                      <w:rFonts w:ascii="Times New Roman" w:hAnsi="Times New Roman" w:cs="Times New Roman"/>
                      <w:bCs/>
                      <w:color w:val="000000" w:themeColor="text1"/>
                      <w:szCs w:val="21"/>
                      <w:u w:color="000000"/>
                      <w:lang w:bidi="en-US"/>
                      <w14:textFill>
                        <w14:solidFill>
                          <w14:schemeClr w14:val="tx1"/>
                        </w14:solidFill>
                      </w14:textFill>
                    </w:rPr>
                    <w:t>本项目设置消防泵站，两座消防水池，单个水池有效容积不小于2950m</w:t>
                  </w:r>
                  <w:r>
                    <w:rPr>
                      <w:rFonts w:ascii="Times New Roman" w:hAnsi="Times New Roman" w:cs="Times New Roman"/>
                      <w:bCs/>
                      <w:color w:val="000000" w:themeColor="text1"/>
                      <w:szCs w:val="21"/>
                      <w:u w:color="000000"/>
                      <w:vertAlign w:val="superscript"/>
                      <w:lang w:bidi="en-US"/>
                      <w14:textFill>
                        <w14:solidFill>
                          <w14:schemeClr w14:val="tx1"/>
                        </w14:solidFill>
                      </w14:textFill>
                    </w:rPr>
                    <w:t>3</w:t>
                  </w:r>
                </w:p>
              </w:tc>
              <w:tc>
                <w:tcPr>
                  <w:tcW w:w="799" w:type="pct"/>
                  <w:vAlign w:val="center"/>
                </w:tcPr>
                <w:p w14:paraId="54B7F01E">
                  <w:pPr>
                    <w:adjustRightInd w:val="0"/>
                    <w:snapToGrid w:val="0"/>
                    <w:jc w:val="center"/>
                    <w:rPr>
                      <w:rFonts w:ascii="Times New Roman" w:hAnsi="Times New Roman" w:cs="Times New Roman"/>
                      <w:szCs w:val="21"/>
                    </w:rPr>
                  </w:pPr>
                  <w:r>
                    <w:rPr>
                      <w:rFonts w:ascii="Times New Roman" w:hAnsi="Times New Roman" w:cs="Times New Roman"/>
                      <w:szCs w:val="21"/>
                    </w:rPr>
                    <w:t>依托</w:t>
                  </w:r>
                </w:p>
              </w:tc>
            </w:tr>
            <w:tr w14:paraId="086F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32BE3BD1">
                  <w:pPr>
                    <w:adjustRightInd w:val="0"/>
                    <w:snapToGrid w:val="0"/>
                    <w:jc w:val="center"/>
                    <w:rPr>
                      <w:rFonts w:ascii="Times New Roman" w:hAnsi="Times New Roman" w:cs="Times New Roman"/>
                      <w:szCs w:val="21"/>
                    </w:rPr>
                  </w:pPr>
                </w:p>
              </w:tc>
              <w:tc>
                <w:tcPr>
                  <w:tcW w:w="915" w:type="pct"/>
                  <w:vAlign w:val="center"/>
                </w:tcPr>
                <w:p w14:paraId="4709925F">
                  <w:pPr>
                    <w:adjustRightInd w:val="0"/>
                    <w:snapToGrid w:val="0"/>
                    <w:jc w:val="center"/>
                    <w:rPr>
                      <w:rFonts w:ascii="Times New Roman" w:hAnsi="Times New Roman" w:cs="Times New Roman"/>
                      <w:bCs/>
                      <w:color w:val="000000" w:themeColor="text1"/>
                      <w:szCs w:val="21"/>
                      <w:u w:color="000000"/>
                      <w:lang w:bidi="en-US"/>
                      <w14:textFill>
                        <w14:solidFill>
                          <w14:schemeClr w14:val="tx1"/>
                        </w14:solidFill>
                      </w14:textFill>
                    </w:rPr>
                  </w:pPr>
                  <w:r>
                    <w:rPr>
                      <w:rFonts w:ascii="Times New Roman" w:hAnsi="Times New Roman" w:cs="Times New Roman"/>
                      <w:bCs/>
                      <w:color w:val="000000" w:themeColor="text1"/>
                      <w:szCs w:val="21"/>
                      <w:u w:color="000000"/>
                      <w:lang w:bidi="en-US"/>
                      <w14:textFill>
                        <w14:solidFill>
                          <w14:schemeClr w14:val="tx1"/>
                        </w14:solidFill>
                      </w14:textFill>
                    </w:rPr>
                    <w:t>供热</w:t>
                  </w:r>
                </w:p>
              </w:tc>
              <w:tc>
                <w:tcPr>
                  <w:tcW w:w="2463" w:type="pct"/>
                  <w:vAlign w:val="center"/>
                </w:tcPr>
                <w:p w14:paraId="5541315C">
                  <w:pPr>
                    <w:adjustRightInd w:val="0"/>
                    <w:snapToGrid w:val="0"/>
                    <w:jc w:val="center"/>
                    <w:rPr>
                      <w:rFonts w:ascii="Times New Roman" w:hAnsi="Times New Roman" w:cs="Times New Roman"/>
                      <w:bCs/>
                      <w:color w:val="000000" w:themeColor="text1"/>
                      <w:szCs w:val="21"/>
                      <w:u w:color="000000"/>
                      <w:lang w:bidi="en-US"/>
                      <w14:textFill>
                        <w14:solidFill>
                          <w14:schemeClr w14:val="tx1"/>
                        </w14:solidFill>
                      </w14:textFill>
                    </w:rPr>
                  </w:pPr>
                  <w:r>
                    <w:rPr>
                      <w:rFonts w:ascii="Times New Roman" w:hAnsi="Times New Roman" w:cs="Times New Roman"/>
                      <w:bCs/>
                      <w:color w:val="000000" w:themeColor="text1"/>
                      <w:szCs w:val="21"/>
                      <w:u w:color="000000"/>
                      <w:lang w:bidi="en-US"/>
                      <w14:textFill>
                        <w14:solidFill>
                          <w14:schemeClr w14:val="tx1"/>
                        </w14:solidFill>
                      </w14:textFill>
                    </w:rPr>
                    <w:t>设置</w:t>
                  </w:r>
                  <w:bookmarkStart w:id="6" w:name="_Hlk150838039"/>
                  <w:r>
                    <w:rPr>
                      <w:rFonts w:ascii="Times New Roman" w:hAnsi="Times New Roman" w:cs="Times New Roman"/>
                      <w:bCs/>
                      <w:color w:val="000000" w:themeColor="text1"/>
                      <w:szCs w:val="21"/>
                      <w:u w:color="000000"/>
                      <w:lang w:bidi="en-US"/>
                      <w14:textFill>
                        <w14:solidFill>
                          <w14:schemeClr w14:val="tx1"/>
                        </w14:solidFill>
                      </w14:textFill>
                    </w:rPr>
                    <w:t>1套15t/h燃气锅炉</w:t>
                  </w:r>
                  <w:bookmarkEnd w:id="6"/>
                </w:p>
              </w:tc>
              <w:tc>
                <w:tcPr>
                  <w:tcW w:w="799" w:type="pct"/>
                  <w:vAlign w:val="center"/>
                </w:tcPr>
                <w:p w14:paraId="410F7103">
                  <w:pPr>
                    <w:adjustRightInd w:val="0"/>
                    <w:snapToGrid w:val="0"/>
                    <w:jc w:val="center"/>
                    <w:rPr>
                      <w:rFonts w:ascii="Times New Roman" w:hAnsi="Times New Roman" w:cs="Times New Roman"/>
                      <w:szCs w:val="21"/>
                    </w:rPr>
                  </w:pPr>
                  <w:r>
                    <w:rPr>
                      <w:rFonts w:ascii="Times New Roman" w:hAnsi="Times New Roman" w:cs="Times New Roman"/>
                      <w:szCs w:val="21"/>
                    </w:rPr>
                    <w:t>依托</w:t>
                  </w:r>
                </w:p>
              </w:tc>
            </w:tr>
            <w:tr w14:paraId="172C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30924B63">
                  <w:pPr>
                    <w:adjustRightInd w:val="0"/>
                    <w:snapToGrid w:val="0"/>
                    <w:jc w:val="center"/>
                    <w:rPr>
                      <w:rFonts w:ascii="Times New Roman" w:hAnsi="Times New Roman" w:cs="Times New Roman"/>
                      <w:szCs w:val="21"/>
                    </w:rPr>
                  </w:pPr>
                </w:p>
              </w:tc>
              <w:tc>
                <w:tcPr>
                  <w:tcW w:w="915" w:type="pct"/>
                  <w:vAlign w:val="center"/>
                </w:tcPr>
                <w:p w14:paraId="7762E6EF">
                  <w:pPr>
                    <w:adjustRightInd w:val="0"/>
                    <w:snapToGrid w:val="0"/>
                    <w:jc w:val="center"/>
                    <w:rPr>
                      <w:rFonts w:ascii="Times New Roman" w:hAnsi="Times New Roman" w:cs="Times New Roman"/>
                      <w:bCs/>
                      <w:color w:val="000000" w:themeColor="text1"/>
                      <w:szCs w:val="21"/>
                      <w:u w:color="000000"/>
                      <w:lang w:bidi="en-US"/>
                      <w14:textFill>
                        <w14:solidFill>
                          <w14:schemeClr w14:val="tx1"/>
                        </w14:solidFill>
                      </w14:textFill>
                    </w:rPr>
                  </w:pPr>
                  <w:r>
                    <w:rPr>
                      <w:rFonts w:ascii="Times New Roman" w:hAnsi="Times New Roman" w:cs="Times New Roman"/>
                      <w:bCs/>
                      <w:color w:val="000000" w:themeColor="text1"/>
                      <w:szCs w:val="21"/>
                      <w:u w:color="000000"/>
                      <w:lang w:bidi="en-US"/>
                      <w14:textFill>
                        <w14:solidFill>
                          <w14:schemeClr w14:val="tx1"/>
                        </w14:solidFill>
                      </w14:textFill>
                    </w:rPr>
                    <w:t>供电</w:t>
                  </w:r>
                </w:p>
              </w:tc>
              <w:tc>
                <w:tcPr>
                  <w:tcW w:w="2463" w:type="pct"/>
                  <w:vAlign w:val="center"/>
                </w:tcPr>
                <w:p w14:paraId="28425417">
                  <w:pPr>
                    <w:adjustRightInd w:val="0"/>
                    <w:snapToGrid w:val="0"/>
                    <w:jc w:val="center"/>
                    <w:rPr>
                      <w:rFonts w:ascii="Times New Roman" w:hAnsi="Times New Roman" w:cs="Times New Roman"/>
                      <w:bCs/>
                      <w:color w:val="000000" w:themeColor="text1"/>
                      <w:szCs w:val="21"/>
                      <w:u w:color="000000"/>
                      <w:lang w:bidi="en-US"/>
                      <w14:textFill>
                        <w14:solidFill>
                          <w14:schemeClr w14:val="tx1"/>
                        </w14:solidFill>
                      </w14:textFill>
                    </w:rPr>
                  </w:pPr>
                  <w:r>
                    <w:rPr>
                      <w:rFonts w:ascii="Times New Roman" w:hAnsi="Times New Roman" w:cs="Times New Roman"/>
                      <w:bCs/>
                      <w:color w:val="000000" w:themeColor="text1"/>
                      <w:szCs w:val="21"/>
                      <w:u w:color="000000"/>
                      <w:lang w:bidi="en-US"/>
                      <w14:textFill>
                        <w14:solidFill>
                          <w14:schemeClr w14:val="tx1"/>
                        </w14:solidFill>
                      </w14:textFill>
                    </w:rPr>
                    <w:t>一期项目拟建35kV输电线路自220kV幸福变外35kV开关站出线2回（采用2条单回路架设），至龙都石油35kV变电站</w:t>
                  </w:r>
                </w:p>
              </w:tc>
              <w:tc>
                <w:tcPr>
                  <w:tcW w:w="799" w:type="pct"/>
                  <w:vAlign w:val="center"/>
                </w:tcPr>
                <w:p w14:paraId="13A0B42D">
                  <w:pPr>
                    <w:adjustRightInd w:val="0"/>
                    <w:snapToGrid w:val="0"/>
                    <w:jc w:val="center"/>
                    <w:rPr>
                      <w:rFonts w:ascii="Times New Roman" w:hAnsi="Times New Roman" w:cs="Times New Roman"/>
                      <w:szCs w:val="21"/>
                    </w:rPr>
                  </w:pPr>
                  <w:r>
                    <w:rPr>
                      <w:rFonts w:ascii="Times New Roman" w:hAnsi="Times New Roman" w:cs="Times New Roman"/>
                      <w:szCs w:val="21"/>
                    </w:rPr>
                    <w:t>依托</w:t>
                  </w:r>
                </w:p>
              </w:tc>
            </w:tr>
            <w:tr w14:paraId="715C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2D3C3B06">
                  <w:pPr>
                    <w:adjustRightInd w:val="0"/>
                    <w:snapToGrid w:val="0"/>
                    <w:jc w:val="center"/>
                    <w:rPr>
                      <w:rFonts w:ascii="Times New Roman" w:hAnsi="Times New Roman" w:cs="Times New Roman"/>
                      <w:szCs w:val="21"/>
                    </w:rPr>
                  </w:pPr>
                </w:p>
              </w:tc>
              <w:tc>
                <w:tcPr>
                  <w:tcW w:w="915" w:type="pct"/>
                  <w:vAlign w:val="center"/>
                </w:tcPr>
                <w:p w14:paraId="7AB130BD">
                  <w:pPr>
                    <w:adjustRightInd w:val="0"/>
                    <w:snapToGrid w:val="0"/>
                    <w:jc w:val="center"/>
                    <w:rPr>
                      <w:rFonts w:ascii="Times New Roman" w:hAnsi="Times New Roman" w:cs="Times New Roman"/>
                      <w:bCs/>
                      <w:color w:val="000000" w:themeColor="text1"/>
                      <w:szCs w:val="21"/>
                      <w:u w:color="000000"/>
                      <w:lang w:bidi="en-US"/>
                      <w14:textFill>
                        <w14:solidFill>
                          <w14:schemeClr w14:val="tx1"/>
                        </w14:solidFill>
                      </w14:textFill>
                    </w:rPr>
                  </w:pPr>
                  <w:r>
                    <w:rPr>
                      <w:rFonts w:ascii="Times New Roman" w:hAnsi="Times New Roman" w:cs="Times New Roman"/>
                      <w:bCs/>
                      <w:color w:val="000000" w:themeColor="text1"/>
                      <w:szCs w:val="21"/>
                      <w:u w:color="000000"/>
                      <w:lang w:bidi="en-US"/>
                      <w14:textFill>
                        <w14:solidFill>
                          <w14:schemeClr w14:val="tx1"/>
                        </w14:solidFill>
                      </w14:textFill>
                    </w:rPr>
                    <w:t>空氮站</w:t>
                  </w:r>
                </w:p>
              </w:tc>
              <w:tc>
                <w:tcPr>
                  <w:tcW w:w="2463" w:type="pct"/>
                  <w:vAlign w:val="center"/>
                </w:tcPr>
                <w:p w14:paraId="7AA7C183">
                  <w:pPr>
                    <w:adjustRightInd w:val="0"/>
                    <w:snapToGrid w:val="0"/>
                    <w:jc w:val="center"/>
                    <w:rPr>
                      <w:rFonts w:ascii="Times New Roman" w:hAnsi="Times New Roman" w:cs="Times New Roman"/>
                      <w:bCs/>
                      <w:color w:val="000000" w:themeColor="text1"/>
                      <w:szCs w:val="21"/>
                      <w:u w:color="000000"/>
                      <w:lang w:bidi="en-US"/>
                      <w14:textFill>
                        <w14:solidFill>
                          <w14:schemeClr w14:val="tx1"/>
                        </w14:solidFill>
                      </w14:textFill>
                    </w:rPr>
                  </w:pPr>
                  <w:r>
                    <w:rPr>
                      <w:rFonts w:ascii="Times New Roman" w:hAnsi="Times New Roman" w:cs="Times New Roman"/>
                      <w:bCs/>
                      <w:color w:val="000000" w:themeColor="text1"/>
                      <w:szCs w:val="21"/>
                      <w:u w:color="000000"/>
                      <w:lang w:bidi="en-US"/>
                      <w14:textFill>
                        <w14:solidFill>
                          <w14:schemeClr w14:val="tx1"/>
                        </w14:solidFill>
                      </w14:textFill>
                    </w:rPr>
                    <w:t>全厂设置空氮站一座，非净化压缩空气最大供应量为1200Nm</w:t>
                  </w:r>
                  <w:r>
                    <w:rPr>
                      <w:rFonts w:ascii="Times New Roman" w:hAnsi="Times New Roman" w:cs="Times New Roman"/>
                      <w:bCs/>
                      <w:color w:val="000000" w:themeColor="text1"/>
                      <w:szCs w:val="21"/>
                      <w:u w:color="000000"/>
                      <w:vertAlign w:val="superscript"/>
                      <w:lang w:bidi="en-US"/>
                      <w14:textFill>
                        <w14:solidFill>
                          <w14:schemeClr w14:val="tx1"/>
                        </w14:solidFill>
                      </w14:textFill>
                    </w:rPr>
                    <w:t>3</w:t>
                  </w:r>
                  <w:r>
                    <w:rPr>
                      <w:rFonts w:ascii="Times New Roman" w:hAnsi="Times New Roman" w:cs="Times New Roman"/>
                      <w:bCs/>
                      <w:color w:val="000000" w:themeColor="text1"/>
                      <w:szCs w:val="21"/>
                      <w:u w:color="000000"/>
                      <w:lang w:bidi="en-US"/>
                      <w14:textFill>
                        <w14:solidFill>
                          <w14:schemeClr w14:val="tx1"/>
                        </w14:solidFill>
                      </w14:textFill>
                    </w:rPr>
                    <w:t>/h，净化风最大供应量为800Nm</w:t>
                  </w:r>
                  <w:r>
                    <w:rPr>
                      <w:rFonts w:ascii="Times New Roman" w:hAnsi="Times New Roman" w:cs="Times New Roman"/>
                      <w:bCs/>
                      <w:color w:val="000000" w:themeColor="text1"/>
                      <w:szCs w:val="21"/>
                      <w:u w:color="000000"/>
                      <w:vertAlign w:val="superscript"/>
                      <w:lang w:bidi="en-US"/>
                      <w14:textFill>
                        <w14:solidFill>
                          <w14:schemeClr w14:val="tx1"/>
                        </w14:solidFill>
                      </w14:textFill>
                    </w:rPr>
                    <w:t>3</w:t>
                  </w:r>
                  <w:r>
                    <w:rPr>
                      <w:rFonts w:ascii="Times New Roman" w:hAnsi="Times New Roman" w:cs="Times New Roman"/>
                      <w:bCs/>
                      <w:color w:val="000000" w:themeColor="text1"/>
                      <w:szCs w:val="21"/>
                      <w:u w:color="000000"/>
                      <w:lang w:bidi="en-US"/>
                      <w14:textFill>
                        <w14:solidFill>
                          <w14:schemeClr w14:val="tx1"/>
                        </w14:solidFill>
                      </w14:textFill>
                    </w:rPr>
                    <w:t>/h，氮气最大供应量为2000Nm</w:t>
                  </w:r>
                  <w:r>
                    <w:rPr>
                      <w:rFonts w:ascii="Times New Roman" w:hAnsi="Times New Roman" w:cs="Times New Roman"/>
                      <w:bCs/>
                      <w:color w:val="000000" w:themeColor="text1"/>
                      <w:szCs w:val="21"/>
                      <w:u w:color="000000"/>
                      <w:vertAlign w:val="superscript"/>
                      <w:lang w:bidi="en-US"/>
                      <w14:textFill>
                        <w14:solidFill>
                          <w14:schemeClr w14:val="tx1"/>
                        </w14:solidFill>
                      </w14:textFill>
                    </w:rPr>
                    <w:t>3</w:t>
                  </w:r>
                  <w:r>
                    <w:rPr>
                      <w:rFonts w:ascii="Times New Roman" w:hAnsi="Times New Roman" w:cs="Times New Roman"/>
                      <w:bCs/>
                      <w:color w:val="000000" w:themeColor="text1"/>
                      <w:szCs w:val="21"/>
                      <w:u w:color="000000"/>
                      <w:lang w:bidi="en-US"/>
                      <w14:textFill>
                        <w14:solidFill>
                          <w14:schemeClr w14:val="tx1"/>
                        </w14:solidFill>
                      </w14:textFill>
                    </w:rPr>
                    <w:t>/h</w:t>
                  </w:r>
                </w:p>
              </w:tc>
              <w:tc>
                <w:tcPr>
                  <w:tcW w:w="799" w:type="pct"/>
                  <w:vAlign w:val="center"/>
                </w:tcPr>
                <w:p w14:paraId="10B7AC5D">
                  <w:pPr>
                    <w:adjustRightInd w:val="0"/>
                    <w:snapToGrid w:val="0"/>
                    <w:jc w:val="center"/>
                    <w:rPr>
                      <w:rFonts w:ascii="Times New Roman" w:hAnsi="Times New Roman" w:cs="Times New Roman"/>
                      <w:szCs w:val="21"/>
                    </w:rPr>
                  </w:pPr>
                  <w:r>
                    <w:rPr>
                      <w:rFonts w:ascii="Times New Roman" w:hAnsi="Times New Roman" w:cs="Times New Roman"/>
                      <w:szCs w:val="21"/>
                    </w:rPr>
                    <w:t>依托</w:t>
                  </w:r>
                </w:p>
              </w:tc>
            </w:tr>
            <w:tr w14:paraId="020D7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restart"/>
                  <w:vAlign w:val="center"/>
                </w:tcPr>
                <w:p w14:paraId="3E8BC779">
                  <w:pPr>
                    <w:adjustRightInd w:val="0"/>
                    <w:snapToGrid w:val="0"/>
                    <w:jc w:val="center"/>
                    <w:rPr>
                      <w:rFonts w:ascii="Times New Roman" w:hAnsi="Times New Roman" w:cs="Times New Roman"/>
                      <w:bCs/>
                      <w:szCs w:val="21"/>
                    </w:rPr>
                  </w:pPr>
                  <w:r>
                    <w:rPr>
                      <w:rFonts w:ascii="Times New Roman" w:hAnsi="Times New Roman" w:cs="Times New Roman"/>
                      <w:szCs w:val="21"/>
                    </w:rPr>
                    <w:t>环保工程</w:t>
                  </w:r>
                </w:p>
              </w:tc>
              <w:tc>
                <w:tcPr>
                  <w:tcW w:w="915" w:type="pct"/>
                  <w:vAlign w:val="center"/>
                </w:tcPr>
                <w:p w14:paraId="13704F0B">
                  <w:pPr>
                    <w:adjustRightInd w:val="0"/>
                    <w:snapToGrid w:val="0"/>
                    <w:jc w:val="center"/>
                    <w:rPr>
                      <w:rFonts w:ascii="Times New Roman" w:hAnsi="Times New Roman" w:cs="Times New Roman"/>
                      <w:bCs/>
                      <w:szCs w:val="21"/>
                    </w:rPr>
                  </w:pPr>
                  <w:r>
                    <w:rPr>
                      <w:rFonts w:ascii="Times New Roman" w:hAnsi="Times New Roman" w:cs="Times New Roman"/>
                      <w:bCs/>
                      <w:szCs w:val="21"/>
                    </w:rPr>
                    <w:t>废气</w:t>
                  </w:r>
                </w:p>
              </w:tc>
              <w:tc>
                <w:tcPr>
                  <w:tcW w:w="2463" w:type="pct"/>
                  <w:vAlign w:val="center"/>
                </w:tcPr>
                <w:p w14:paraId="56951A8F">
                  <w:pPr>
                    <w:adjustRightInd w:val="0"/>
                    <w:snapToGrid w:val="0"/>
                    <w:jc w:val="center"/>
                    <w:rPr>
                      <w:rFonts w:ascii="Times New Roman" w:hAnsi="Times New Roman" w:cs="Times New Roman"/>
                      <w:bCs/>
                      <w:szCs w:val="21"/>
                    </w:rPr>
                  </w:pPr>
                  <w:r>
                    <w:rPr>
                      <w:rFonts w:ascii="Times New Roman" w:hAnsi="Times New Roman" w:cs="Times New Roman"/>
                      <w:bCs/>
                      <w:color w:val="000000" w:themeColor="text1"/>
                      <w:szCs w:val="21"/>
                      <w:u w:color="000000"/>
                      <w:lang w:bidi="en-US"/>
                      <w14:textFill>
                        <w14:solidFill>
                          <w14:schemeClr w14:val="tx1"/>
                        </w14:solidFill>
                      </w14:textFill>
                    </w:rPr>
                    <w:t>罐区、装卸区废气依托油气回收装置</w:t>
                  </w:r>
                </w:p>
              </w:tc>
              <w:tc>
                <w:tcPr>
                  <w:tcW w:w="799" w:type="pct"/>
                  <w:vAlign w:val="center"/>
                </w:tcPr>
                <w:p w14:paraId="3128B751">
                  <w:pPr>
                    <w:adjustRightInd w:val="0"/>
                    <w:snapToGrid w:val="0"/>
                    <w:jc w:val="center"/>
                    <w:rPr>
                      <w:rFonts w:ascii="Times New Roman" w:hAnsi="Times New Roman" w:cs="Times New Roman"/>
                      <w:bCs/>
                      <w:szCs w:val="21"/>
                    </w:rPr>
                  </w:pPr>
                  <w:r>
                    <w:rPr>
                      <w:rFonts w:ascii="Times New Roman" w:hAnsi="Times New Roman" w:cs="Times New Roman"/>
                      <w:szCs w:val="21"/>
                    </w:rPr>
                    <w:t>依托</w:t>
                  </w:r>
                </w:p>
              </w:tc>
            </w:tr>
            <w:tr w14:paraId="3F1A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pct"/>
                  <w:vMerge w:val="continue"/>
                  <w:vAlign w:val="center"/>
                </w:tcPr>
                <w:p w14:paraId="7A1BA4C3">
                  <w:pPr>
                    <w:adjustRightInd w:val="0"/>
                    <w:snapToGrid w:val="0"/>
                    <w:jc w:val="center"/>
                    <w:rPr>
                      <w:rFonts w:ascii="Times New Roman" w:hAnsi="Times New Roman" w:cs="Times New Roman"/>
                      <w:bCs/>
                      <w:szCs w:val="21"/>
                    </w:rPr>
                  </w:pPr>
                </w:p>
              </w:tc>
              <w:tc>
                <w:tcPr>
                  <w:tcW w:w="915" w:type="pct"/>
                  <w:vAlign w:val="center"/>
                </w:tcPr>
                <w:p w14:paraId="118CB392">
                  <w:pPr>
                    <w:adjustRightInd w:val="0"/>
                    <w:snapToGrid w:val="0"/>
                    <w:jc w:val="center"/>
                    <w:rPr>
                      <w:rFonts w:ascii="Times New Roman" w:hAnsi="Times New Roman" w:cs="Times New Roman"/>
                      <w:bCs/>
                      <w:szCs w:val="21"/>
                    </w:rPr>
                  </w:pPr>
                  <w:r>
                    <w:rPr>
                      <w:rFonts w:ascii="Times New Roman" w:hAnsi="Times New Roman" w:cs="Times New Roman"/>
                      <w:bCs/>
                      <w:color w:val="000000" w:themeColor="text1"/>
                      <w:szCs w:val="21"/>
                      <w:u w:color="000000"/>
                      <w:lang w:bidi="en-US"/>
                      <w14:textFill>
                        <w14:solidFill>
                          <w14:schemeClr w14:val="tx1"/>
                        </w14:solidFill>
                      </w14:textFill>
                    </w:rPr>
                    <w:t>固废</w:t>
                  </w:r>
                </w:p>
              </w:tc>
              <w:tc>
                <w:tcPr>
                  <w:tcW w:w="2463" w:type="pct"/>
                  <w:vAlign w:val="center"/>
                </w:tcPr>
                <w:p w14:paraId="5DD19CB6">
                  <w:pPr>
                    <w:adjustRightInd w:val="0"/>
                    <w:snapToGrid w:val="0"/>
                    <w:jc w:val="center"/>
                    <w:rPr>
                      <w:rFonts w:ascii="Times New Roman" w:hAnsi="Times New Roman" w:cs="Times New Roman"/>
                      <w:bCs/>
                      <w:szCs w:val="21"/>
                    </w:rPr>
                  </w:pPr>
                  <w:r>
                    <w:rPr>
                      <w:rFonts w:ascii="Times New Roman" w:hAnsi="Times New Roman" w:cs="Times New Roman"/>
                      <w:bCs/>
                      <w:color w:val="000000" w:themeColor="text1"/>
                      <w:szCs w:val="21"/>
                      <w:u w:color="000000"/>
                      <w:lang w:bidi="en-US"/>
                      <w14:textFill>
                        <w14:solidFill>
                          <w14:schemeClr w14:val="tx1"/>
                        </w14:solidFill>
                      </w14:textFill>
                    </w:rPr>
                    <w:t>危险废物：厂内设置一间150m</w:t>
                  </w:r>
                  <w:r>
                    <w:rPr>
                      <w:rFonts w:ascii="Times New Roman" w:hAnsi="Times New Roman" w:cs="Times New Roman"/>
                      <w:bCs/>
                      <w:color w:val="000000" w:themeColor="text1"/>
                      <w:szCs w:val="21"/>
                      <w:u w:color="000000"/>
                      <w:vertAlign w:val="superscript"/>
                      <w:lang w:bidi="en-US"/>
                      <w14:textFill>
                        <w14:solidFill>
                          <w14:schemeClr w14:val="tx1"/>
                        </w14:solidFill>
                      </w14:textFill>
                    </w:rPr>
                    <w:t>2</w:t>
                  </w:r>
                  <w:r>
                    <w:rPr>
                      <w:rFonts w:ascii="Times New Roman" w:hAnsi="Times New Roman" w:cs="Times New Roman"/>
                      <w:bCs/>
                      <w:color w:val="000000" w:themeColor="text1"/>
                      <w:szCs w:val="21"/>
                      <w:u w:color="000000"/>
                      <w:lang w:bidi="en-US"/>
                      <w14:textFill>
                        <w14:solidFill>
                          <w14:schemeClr w14:val="tx1"/>
                        </w14:solidFill>
                      </w14:textFill>
                    </w:rPr>
                    <w:t>危废贮存库，定期交由有资质单位处置；生活垃圾：厂内设置收集设施，由园区环卫部门定期清运</w:t>
                  </w:r>
                </w:p>
              </w:tc>
              <w:tc>
                <w:tcPr>
                  <w:tcW w:w="799" w:type="pct"/>
                  <w:vAlign w:val="center"/>
                </w:tcPr>
                <w:p w14:paraId="4D75E68E">
                  <w:pPr>
                    <w:adjustRightInd w:val="0"/>
                    <w:snapToGrid w:val="0"/>
                    <w:jc w:val="center"/>
                    <w:rPr>
                      <w:rFonts w:ascii="Times New Roman" w:hAnsi="Times New Roman" w:cs="Times New Roman"/>
                      <w:bCs/>
                      <w:szCs w:val="21"/>
                    </w:rPr>
                  </w:pPr>
                  <w:r>
                    <w:rPr>
                      <w:rFonts w:ascii="Times New Roman" w:hAnsi="Times New Roman" w:cs="Times New Roman"/>
                      <w:szCs w:val="21"/>
                    </w:rPr>
                    <w:t>依托</w:t>
                  </w:r>
                </w:p>
              </w:tc>
            </w:tr>
            <w:tr w14:paraId="4060E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823" w:type="pct"/>
                  <w:vMerge w:val="continue"/>
                  <w:vAlign w:val="center"/>
                </w:tcPr>
                <w:p w14:paraId="7F55686B">
                  <w:pPr>
                    <w:adjustRightInd w:val="0"/>
                    <w:snapToGrid w:val="0"/>
                    <w:jc w:val="center"/>
                    <w:rPr>
                      <w:rFonts w:ascii="Times New Roman" w:hAnsi="Times New Roman" w:cs="Times New Roman"/>
                      <w:bCs/>
                      <w:szCs w:val="21"/>
                    </w:rPr>
                  </w:pPr>
                </w:p>
              </w:tc>
              <w:tc>
                <w:tcPr>
                  <w:tcW w:w="915" w:type="pct"/>
                  <w:vAlign w:val="center"/>
                </w:tcPr>
                <w:p w14:paraId="0A93D75F">
                  <w:pPr>
                    <w:adjustRightInd w:val="0"/>
                    <w:snapToGrid w:val="0"/>
                    <w:jc w:val="center"/>
                    <w:rPr>
                      <w:rFonts w:ascii="Times New Roman" w:hAnsi="Times New Roman" w:cs="Times New Roman"/>
                      <w:bCs/>
                      <w:szCs w:val="21"/>
                    </w:rPr>
                  </w:pPr>
                  <w:r>
                    <w:rPr>
                      <w:rFonts w:ascii="Times New Roman" w:hAnsi="Times New Roman" w:cs="Times New Roman"/>
                      <w:bCs/>
                      <w:color w:val="000000" w:themeColor="text1"/>
                      <w:szCs w:val="21"/>
                      <w:u w:color="000000"/>
                      <w:lang w:bidi="en-US"/>
                      <w14:textFill>
                        <w14:solidFill>
                          <w14:schemeClr w14:val="tx1"/>
                        </w14:solidFill>
                      </w14:textFill>
                    </w:rPr>
                    <w:t>噪声</w:t>
                  </w:r>
                </w:p>
              </w:tc>
              <w:tc>
                <w:tcPr>
                  <w:tcW w:w="2463" w:type="pct"/>
                  <w:vAlign w:val="center"/>
                </w:tcPr>
                <w:p w14:paraId="64BA0CC9">
                  <w:pPr>
                    <w:adjustRightInd w:val="0"/>
                    <w:snapToGrid w:val="0"/>
                    <w:jc w:val="center"/>
                    <w:rPr>
                      <w:rFonts w:ascii="Times New Roman" w:hAnsi="Times New Roman" w:cs="Times New Roman"/>
                      <w:bCs/>
                      <w:szCs w:val="21"/>
                    </w:rPr>
                  </w:pPr>
                  <w:r>
                    <w:rPr>
                      <w:rFonts w:ascii="Times New Roman" w:hAnsi="Times New Roman" w:cs="Times New Roman"/>
                      <w:bCs/>
                      <w:color w:val="000000" w:themeColor="text1"/>
                      <w:szCs w:val="21"/>
                      <w:u w:color="000000"/>
                      <w:lang w:bidi="en-US"/>
                      <w14:textFill>
                        <w14:solidFill>
                          <w14:schemeClr w14:val="tx1"/>
                        </w14:solidFill>
                      </w14:textFill>
                    </w:rPr>
                    <w:t>设备入室、基础减振，选用低噪声泵类等</w:t>
                  </w:r>
                </w:p>
              </w:tc>
              <w:tc>
                <w:tcPr>
                  <w:tcW w:w="799" w:type="pct"/>
                  <w:vAlign w:val="center"/>
                </w:tcPr>
                <w:p w14:paraId="50895A7A">
                  <w:pPr>
                    <w:adjustRightInd w:val="0"/>
                    <w:snapToGrid w:val="0"/>
                    <w:jc w:val="center"/>
                    <w:rPr>
                      <w:rFonts w:ascii="Times New Roman" w:hAnsi="Times New Roman" w:cs="Times New Roman"/>
                      <w:bCs/>
                      <w:szCs w:val="21"/>
                    </w:rPr>
                  </w:pPr>
                  <w:r>
                    <w:rPr>
                      <w:rFonts w:ascii="Times New Roman" w:hAnsi="Times New Roman" w:cs="Times New Roman"/>
                      <w:szCs w:val="21"/>
                    </w:rPr>
                    <w:t>依托</w:t>
                  </w:r>
                </w:p>
              </w:tc>
            </w:tr>
            <w:tr w14:paraId="78394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 w:hRule="atLeast"/>
                <w:jc w:val="center"/>
              </w:trPr>
              <w:tc>
                <w:tcPr>
                  <w:tcW w:w="823" w:type="pct"/>
                  <w:vMerge w:val="continue"/>
                  <w:vAlign w:val="center"/>
                </w:tcPr>
                <w:p w14:paraId="5DD12C91">
                  <w:pPr>
                    <w:adjustRightInd w:val="0"/>
                    <w:snapToGrid w:val="0"/>
                    <w:jc w:val="center"/>
                    <w:rPr>
                      <w:rFonts w:ascii="Times New Roman" w:hAnsi="Times New Roman" w:cs="Times New Roman"/>
                      <w:bCs/>
                      <w:szCs w:val="21"/>
                    </w:rPr>
                  </w:pPr>
                </w:p>
              </w:tc>
              <w:tc>
                <w:tcPr>
                  <w:tcW w:w="915" w:type="pct"/>
                  <w:vAlign w:val="center"/>
                </w:tcPr>
                <w:p w14:paraId="3CA7A92B">
                  <w:pPr>
                    <w:adjustRightInd w:val="0"/>
                    <w:snapToGrid w:val="0"/>
                    <w:jc w:val="center"/>
                    <w:rPr>
                      <w:rFonts w:ascii="Times New Roman" w:hAnsi="Times New Roman" w:cs="Times New Roman"/>
                      <w:bCs/>
                      <w:szCs w:val="21"/>
                    </w:rPr>
                  </w:pPr>
                  <w:r>
                    <w:rPr>
                      <w:rFonts w:ascii="Times New Roman" w:hAnsi="Times New Roman" w:cs="Times New Roman"/>
                      <w:bCs/>
                      <w:color w:val="000000" w:themeColor="text1"/>
                      <w:szCs w:val="21"/>
                      <w:u w:color="000000"/>
                      <w:lang w:bidi="en-US"/>
                      <w14:textFill>
                        <w14:solidFill>
                          <w14:schemeClr w14:val="tx1"/>
                        </w14:solidFill>
                      </w14:textFill>
                    </w:rPr>
                    <w:t>风险</w:t>
                  </w:r>
                </w:p>
              </w:tc>
              <w:tc>
                <w:tcPr>
                  <w:tcW w:w="2463" w:type="pct"/>
                  <w:vAlign w:val="center"/>
                </w:tcPr>
                <w:p w14:paraId="07119F15">
                  <w:pPr>
                    <w:adjustRightInd w:val="0"/>
                    <w:snapToGrid w:val="0"/>
                    <w:jc w:val="center"/>
                    <w:rPr>
                      <w:rFonts w:ascii="Times New Roman" w:hAnsi="Times New Roman" w:cs="Times New Roman"/>
                      <w:szCs w:val="21"/>
                    </w:rPr>
                  </w:pPr>
                  <w:r>
                    <w:rPr>
                      <w:rFonts w:ascii="Times New Roman" w:hAnsi="Times New Roman" w:cs="Times New Roman"/>
                      <w:bCs/>
                      <w:color w:val="000000" w:themeColor="text1"/>
                      <w:szCs w:val="21"/>
                      <w:u w:color="000000"/>
                      <w:lang w:bidi="en-US"/>
                      <w14:textFill>
                        <w14:solidFill>
                          <w14:schemeClr w14:val="tx1"/>
                        </w14:solidFill>
                      </w14:textFill>
                    </w:rPr>
                    <w:t>防渗：按照《石油化工工程防渗技术规范》（GB/T50934-2013）以及《危险废物贮存污染控制标准》（GB18597-2023）；罐区按照《石油化工防火设计规范（GB50160-2008）(2018版)》设置围堰；2#罐组的防火堤尺寸长133.5m，宽56m，高1.2m；3#罐组防火堤长122.3m，宽58m，高1.2m；设置气体报警装置；现有一座6600m</w:t>
                  </w:r>
                  <w:r>
                    <w:rPr>
                      <w:rFonts w:ascii="Times New Roman" w:hAnsi="Times New Roman" w:cs="Times New Roman"/>
                      <w:bCs/>
                      <w:color w:val="000000" w:themeColor="text1"/>
                      <w:szCs w:val="21"/>
                      <w:u w:color="000000"/>
                      <w:vertAlign w:val="superscript"/>
                      <w:lang w:bidi="en-US"/>
                      <w14:textFill>
                        <w14:solidFill>
                          <w14:schemeClr w14:val="tx1"/>
                        </w14:solidFill>
                      </w14:textFill>
                    </w:rPr>
                    <w:t>3</w:t>
                  </w:r>
                  <w:r>
                    <w:rPr>
                      <w:rFonts w:ascii="Times New Roman" w:hAnsi="Times New Roman" w:cs="Times New Roman"/>
                      <w:bCs/>
                      <w:color w:val="000000" w:themeColor="text1"/>
                      <w:szCs w:val="21"/>
                      <w:u w:color="000000"/>
                      <w:lang w:bidi="en-US"/>
                      <w14:textFill>
                        <w14:solidFill>
                          <w14:schemeClr w14:val="tx1"/>
                        </w14:solidFill>
                      </w14:textFill>
                    </w:rPr>
                    <w:t>事故应急池</w:t>
                  </w:r>
                </w:p>
              </w:tc>
              <w:tc>
                <w:tcPr>
                  <w:tcW w:w="799" w:type="pct"/>
                  <w:vAlign w:val="center"/>
                </w:tcPr>
                <w:p w14:paraId="4A108E8B">
                  <w:pPr>
                    <w:adjustRightInd w:val="0"/>
                    <w:snapToGrid w:val="0"/>
                    <w:jc w:val="center"/>
                    <w:rPr>
                      <w:rFonts w:ascii="Times New Roman" w:hAnsi="Times New Roman" w:cs="Times New Roman"/>
                      <w:szCs w:val="21"/>
                    </w:rPr>
                  </w:pPr>
                  <w:r>
                    <w:rPr>
                      <w:rFonts w:ascii="Times New Roman" w:hAnsi="Times New Roman" w:cs="Times New Roman"/>
                      <w:szCs w:val="21"/>
                    </w:rPr>
                    <w:t>依托</w:t>
                  </w:r>
                </w:p>
              </w:tc>
            </w:tr>
          </w:tbl>
          <w:p w14:paraId="4594217D">
            <w:pPr>
              <w:adjustRightInd w:val="0"/>
              <w:snapToGrid w:val="0"/>
              <w:spacing w:line="360" w:lineRule="auto"/>
              <w:rPr>
                <w:rFonts w:ascii="Times New Roman" w:hAnsi="Times New Roman" w:cs="Times New Roman"/>
                <w:bCs/>
              </w:rPr>
            </w:pPr>
          </w:p>
          <w:p w14:paraId="7254E484">
            <w:pPr>
              <w:adjustRightInd w:val="0"/>
              <w:snapToGrid w:val="0"/>
              <w:spacing w:line="360" w:lineRule="auto"/>
              <w:rPr>
                <w:rFonts w:ascii="Times New Roman" w:hAnsi="Times New Roman" w:cs="Times New Roman"/>
                <w:bCs/>
              </w:rPr>
            </w:pPr>
            <w:r>
              <w:rPr>
                <w:rFonts w:ascii="Times New Roman" w:hAnsi="Times New Roman" w:cs="Times New Roman"/>
                <w:b/>
              </w:rPr>
              <w:t>3、项目主要产品和质量标准</w:t>
            </w:r>
          </w:p>
          <w:p w14:paraId="3DCF8860">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二期项目主要为60万吨/年成品油调配，公用工程及辅助生产设施均依托于一期。</w:t>
            </w:r>
          </w:p>
          <w:p w14:paraId="1256B30F">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项目主要产品为年产30万吨车用汽油、年产30万吨车用柴油。其中92#汽油、95#汽油产品质量执行《车用汽油》（GB17930-2016）国六指标要求，具体指标要求详见表2-2。车用柴油产品质量执行《车用柴油》（</w:t>
            </w:r>
            <w:r>
              <w:rPr>
                <w:rFonts w:ascii="Times New Roman" w:hAnsi="Times New Roman" w:cs="Times New Roman"/>
              </w:rPr>
              <w:t>GB 19147-2016</w:t>
            </w:r>
            <w:r>
              <w:rPr>
                <w:rFonts w:ascii="Times New Roman" w:hAnsi="Times New Roman" w:cs="Times New Roman"/>
                <w:bCs/>
              </w:rPr>
              <w:t>）国六指标要求，具体指标要求详见表2-3。</w:t>
            </w:r>
          </w:p>
          <w:p w14:paraId="3CC10599">
            <w:pPr>
              <w:adjustRightInd w:val="0"/>
              <w:snapToGrid w:val="0"/>
              <w:spacing w:line="360" w:lineRule="auto"/>
              <w:ind w:firstLine="442" w:firstLineChars="200"/>
              <w:jc w:val="center"/>
              <w:rPr>
                <w:rFonts w:ascii="Times New Roman" w:hAnsi="Times New Roman" w:cs="Times New Roman"/>
                <w:bCs/>
              </w:rPr>
            </w:pPr>
            <w:r>
              <w:rPr>
                <w:rFonts w:ascii="Times New Roman" w:hAnsi="Times New Roman" w:cs="Times New Roman"/>
                <w:b/>
                <w:spacing w:val="-10"/>
                <w:szCs w:val="21"/>
              </w:rPr>
              <w:t>表2-2  车用汽油规格</w:t>
            </w:r>
          </w:p>
          <w:tbl>
            <w:tblPr>
              <w:tblStyle w:val="16"/>
              <w:tblW w:w="487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149"/>
              <w:gridCol w:w="1059"/>
              <w:gridCol w:w="1060"/>
              <w:gridCol w:w="1060"/>
              <w:gridCol w:w="1410"/>
            </w:tblGrid>
            <w:tr w14:paraId="0C12C12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73" w:hRule="atLeast"/>
                <w:tblHeader/>
              </w:trPr>
              <w:tc>
                <w:tcPr>
                  <w:tcW w:w="2034" w:type="pct"/>
                  <w:vMerge w:val="restart"/>
                  <w:tcBorders>
                    <w:top w:val="single" w:color="auto" w:sz="12" w:space="0"/>
                    <w:left w:val="nil"/>
                    <w:bottom w:val="single" w:color="auto" w:sz="12" w:space="0"/>
                    <w:right w:val="single" w:color="auto" w:sz="6" w:space="0"/>
                  </w:tcBorders>
                  <w:vAlign w:val="center"/>
                </w:tcPr>
                <w:p w14:paraId="25151A25">
                  <w:pPr>
                    <w:keepNext/>
                    <w:keepLines/>
                    <w:pageBreakBefore/>
                    <w:jc w:val="center"/>
                    <w:rPr>
                      <w:rFonts w:ascii="Times New Roman" w:hAnsi="Times New Roman" w:cs="Times New Roman"/>
                      <w:sz w:val="21"/>
                      <w:szCs w:val="21"/>
                    </w:rPr>
                  </w:pPr>
                  <w:r>
                    <w:rPr>
                      <w:rFonts w:ascii="Times New Roman" w:hAnsi="Times New Roman" w:cs="Times New Roman"/>
                      <w:sz w:val="21"/>
                      <w:szCs w:val="21"/>
                    </w:rPr>
                    <w:t>项目</w:t>
                  </w:r>
                </w:p>
              </w:tc>
              <w:tc>
                <w:tcPr>
                  <w:tcW w:w="2054" w:type="pct"/>
                  <w:gridSpan w:val="3"/>
                  <w:tcBorders>
                    <w:top w:val="single" w:color="auto" w:sz="12" w:space="0"/>
                    <w:left w:val="single" w:color="auto" w:sz="6" w:space="0"/>
                    <w:bottom w:val="single" w:color="auto" w:sz="12" w:space="0"/>
                    <w:right w:val="single" w:color="auto" w:sz="6" w:space="0"/>
                  </w:tcBorders>
                  <w:vAlign w:val="center"/>
                </w:tcPr>
                <w:p w14:paraId="3598BE1B">
                  <w:pPr>
                    <w:keepNext/>
                    <w:keepLines/>
                    <w:pageBreakBefore/>
                    <w:jc w:val="center"/>
                    <w:rPr>
                      <w:rFonts w:ascii="Times New Roman" w:hAnsi="Times New Roman" w:cs="Times New Roman"/>
                      <w:sz w:val="21"/>
                      <w:szCs w:val="21"/>
                    </w:rPr>
                  </w:pPr>
                  <w:r>
                    <w:rPr>
                      <w:rFonts w:ascii="Times New Roman" w:hAnsi="Times New Roman" w:cs="Times New Roman"/>
                      <w:sz w:val="21"/>
                      <w:szCs w:val="21"/>
                    </w:rPr>
                    <w:t>规格</w:t>
                  </w:r>
                </w:p>
              </w:tc>
              <w:tc>
                <w:tcPr>
                  <w:tcW w:w="911" w:type="pct"/>
                  <w:vMerge w:val="restart"/>
                  <w:tcBorders>
                    <w:top w:val="single" w:color="auto" w:sz="12" w:space="0"/>
                    <w:left w:val="single" w:color="auto" w:sz="6" w:space="0"/>
                    <w:bottom w:val="single" w:color="auto" w:sz="12" w:space="0"/>
                    <w:right w:val="nil"/>
                  </w:tcBorders>
                  <w:vAlign w:val="center"/>
                </w:tcPr>
                <w:p w14:paraId="3FC1E248">
                  <w:pPr>
                    <w:keepNext/>
                    <w:keepLines/>
                    <w:pageBreakBefore/>
                    <w:jc w:val="center"/>
                    <w:rPr>
                      <w:rFonts w:ascii="Times New Roman" w:hAnsi="Times New Roman" w:cs="Times New Roman"/>
                      <w:sz w:val="21"/>
                      <w:szCs w:val="21"/>
                    </w:rPr>
                  </w:pPr>
                  <w:r>
                    <w:rPr>
                      <w:rFonts w:ascii="Times New Roman" w:hAnsi="Times New Roman" w:cs="Times New Roman"/>
                      <w:sz w:val="21"/>
                      <w:szCs w:val="21"/>
                    </w:rPr>
                    <w:t>方法</w:t>
                  </w:r>
                </w:p>
              </w:tc>
            </w:tr>
            <w:tr w14:paraId="0B7620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72" w:hRule="atLeast"/>
                <w:tblHeader/>
              </w:trPr>
              <w:tc>
                <w:tcPr>
                  <w:tcW w:w="3424" w:type="dxa"/>
                  <w:vMerge w:val="continue"/>
                  <w:tcBorders>
                    <w:top w:val="single" w:color="auto" w:sz="12" w:space="0"/>
                    <w:left w:val="nil"/>
                    <w:bottom w:val="single" w:color="auto" w:sz="12" w:space="0"/>
                    <w:right w:val="single" w:color="auto" w:sz="6" w:space="0"/>
                  </w:tcBorders>
                  <w:vAlign w:val="center"/>
                </w:tcPr>
                <w:p w14:paraId="46886BE0">
                  <w:pPr>
                    <w:keepNext/>
                    <w:keepLines/>
                    <w:pageBreakBefore/>
                    <w:rPr>
                      <w:rFonts w:ascii="Times New Roman" w:hAnsi="Times New Roman" w:cs="Times New Roman"/>
                      <w:sz w:val="21"/>
                      <w:szCs w:val="21"/>
                    </w:rPr>
                  </w:pPr>
                </w:p>
              </w:tc>
              <w:tc>
                <w:tcPr>
                  <w:tcW w:w="684" w:type="pct"/>
                  <w:tcBorders>
                    <w:top w:val="single" w:color="auto" w:sz="12" w:space="0"/>
                    <w:left w:val="single" w:color="auto" w:sz="6" w:space="0"/>
                    <w:bottom w:val="single" w:color="auto" w:sz="12" w:space="0"/>
                    <w:right w:val="single" w:color="auto" w:sz="6" w:space="0"/>
                  </w:tcBorders>
                  <w:vAlign w:val="center"/>
                </w:tcPr>
                <w:p w14:paraId="7A9F5C7E">
                  <w:pPr>
                    <w:keepNext/>
                    <w:keepLines/>
                    <w:pageBreakBefore/>
                    <w:jc w:val="center"/>
                    <w:rPr>
                      <w:rFonts w:ascii="Times New Roman" w:hAnsi="Times New Roman" w:cs="Times New Roman"/>
                      <w:sz w:val="21"/>
                      <w:szCs w:val="21"/>
                    </w:rPr>
                  </w:pPr>
                  <w:r>
                    <w:rPr>
                      <w:rFonts w:ascii="Times New Roman" w:hAnsi="Times New Roman" w:cs="Times New Roman"/>
                      <w:sz w:val="21"/>
                      <w:szCs w:val="21"/>
                    </w:rPr>
                    <w:t>89</w:t>
                  </w:r>
                </w:p>
              </w:tc>
              <w:tc>
                <w:tcPr>
                  <w:tcW w:w="685" w:type="pct"/>
                  <w:tcBorders>
                    <w:top w:val="single" w:color="auto" w:sz="12" w:space="0"/>
                    <w:left w:val="single" w:color="auto" w:sz="6" w:space="0"/>
                    <w:bottom w:val="single" w:color="auto" w:sz="12" w:space="0"/>
                    <w:right w:val="single" w:color="auto" w:sz="6" w:space="0"/>
                  </w:tcBorders>
                  <w:vAlign w:val="center"/>
                </w:tcPr>
                <w:p w14:paraId="4EAC5219">
                  <w:pPr>
                    <w:keepNext/>
                    <w:keepLines/>
                    <w:pageBreakBefore/>
                    <w:jc w:val="center"/>
                    <w:rPr>
                      <w:rFonts w:ascii="Times New Roman" w:hAnsi="Times New Roman" w:cs="Times New Roman"/>
                      <w:sz w:val="21"/>
                      <w:szCs w:val="21"/>
                    </w:rPr>
                  </w:pPr>
                  <w:r>
                    <w:rPr>
                      <w:rFonts w:ascii="Times New Roman" w:hAnsi="Times New Roman" w:cs="Times New Roman"/>
                      <w:sz w:val="21"/>
                      <w:szCs w:val="21"/>
                    </w:rPr>
                    <w:t>92</w:t>
                  </w:r>
                </w:p>
              </w:tc>
              <w:tc>
                <w:tcPr>
                  <w:tcW w:w="685" w:type="pct"/>
                  <w:tcBorders>
                    <w:top w:val="single" w:color="auto" w:sz="12" w:space="0"/>
                    <w:left w:val="single" w:color="auto" w:sz="6" w:space="0"/>
                    <w:bottom w:val="single" w:color="auto" w:sz="12" w:space="0"/>
                    <w:right w:val="single" w:color="auto" w:sz="6" w:space="0"/>
                  </w:tcBorders>
                  <w:vAlign w:val="center"/>
                </w:tcPr>
                <w:p w14:paraId="43D65A87">
                  <w:pPr>
                    <w:keepNext/>
                    <w:keepLines/>
                    <w:pageBreakBefore/>
                    <w:jc w:val="center"/>
                    <w:rPr>
                      <w:rFonts w:ascii="Times New Roman" w:hAnsi="Times New Roman" w:cs="Times New Roman"/>
                      <w:sz w:val="21"/>
                      <w:szCs w:val="21"/>
                    </w:rPr>
                  </w:pPr>
                  <w:r>
                    <w:rPr>
                      <w:rFonts w:ascii="Times New Roman" w:hAnsi="Times New Roman" w:cs="Times New Roman"/>
                      <w:sz w:val="21"/>
                      <w:szCs w:val="21"/>
                    </w:rPr>
                    <w:t>95</w:t>
                  </w:r>
                </w:p>
              </w:tc>
              <w:tc>
                <w:tcPr>
                  <w:tcW w:w="1533" w:type="dxa"/>
                  <w:vMerge w:val="continue"/>
                  <w:tcBorders>
                    <w:top w:val="single" w:color="auto" w:sz="12" w:space="0"/>
                    <w:left w:val="single" w:color="auto" w:sz="6" w:space="0"/>
                    <w:bottom w:val="single" w:color="auto" w:sz="12" w:space="0"/>
                    <w:right w:val="nil"/>
                  </w:tcBorders>
                  <w:vAlign w:val="center"/>
                </w:tcPr>
                <w:p w14:paraId="115BD7E5">
                  <w:pPr>
                    <w:keepNext/>
                    <w:keepLines/>
                    <w:pageBreakBefore/>
                    <w:rPr>
                      <w:rFonts w:ascii="Times New Roman" w:hAnsi="Times New Roman" w:cs="Times New Roman"/>
                      <w:sz w:val="21"/>
                      <w:szCs w:val="21"/>
                    </w:rPr>
                  </w:pPr>
                </w:p>
              </w:tc>
            </w:tr>
            <w:tr w14:paraId="56FA838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12" w:space="0"/>
                    <w:left w:val="nil"/>
                    <w:bottom w:val="single" w:color="auto" w:sz="6" w:space="0"/>
                    <w:right w:val="single" w:color="auto" w:sz="6" w:space="0"/>
                  </w:tcBorders>
                  <w:vAlign w:val="center"/>
                </w:tcPr>
                <w:p w14:paraId="4DC67380">
                  <w:pPr>
                    <w:keepNext/>
                    <w:keepLines/>
                    <w:pageBreakBefore/>
                    <w:rPr>
                      <w:rFonts w:ascii="Times New Roman" w:hAnsi="Times New Roman" w:cs="Times New Roman"/>
                      <w:sz w:val="21"/>
                      <w:szCs w:val="21"/>
                    </w:rPr>
                  </w:pPr>
                  <w:r>
                    <w:rPr>
                      <w:rFonts w:ascii="Times New Roman" w:hAnsi="Times New Roman" w:cs="Times New Roman"/>
                      <w:sz w:val="21"/>
                      <w:szCs w:val="21"/>
                    </w:rPr>
                    <w:t>抗爆性</w:t>
                  </w:r>
                </w:p>
                <w:p w14:paraId="5149CC0B">
                  <w:pPr>
                    <w:keepNext/>
                    <w:keepLines/>
                    <w:pageBreakBefore/>
                    <w:rPr>
                      <w:rFonts w:ascii="Times New Roman" w:hAnsi="Times New Roman" w:cs="Times New Roman"/>
                      <w:sz w:val="21"/>
                      <w:szCs w:val="21"/>
                    </w:rPr>
                  </w:pPr>
                  <w:r>
                    <w:rPr>
                      <w:rFonts w:ascii="Times New Roman" w:hAnsi="Times New Roman" w:cs="Times New Roman"/>
                      <w:sz w:val="21"/>
                      <w:szCs w:val="21"/>
                    </w:rPr>
                    <w:t>研究法辛烷值（RON）   不小于</w:t>
                  </w:r>
                </w:p>
                <w:p w14:paraId="172593F8">
                  <w:pPr>
                    <w:keepNext/>
                    <w:keepLines/>
                    <w:pageBreakBefore/>
                    <w:rPr>
                      <w:rFonts w:ascii="Times New Roman" w:hAnsi="Times New Roman" w:cs="Times New Roman"/>
                      <w:sz w:val="21"/>
                      <w:szCs w:val="21"/>
                    </w:rPr>
                  </w:pPr>
                  <w:r>
                    <w:rPr>
                      <w:rFonts w:ascii="Times New Roman" w:hAnsi="Times New Roman" w:cs="Times New Roman"/>
                      <w:sz w:val="21"/>
                      <w:szCs w:val="21"/>
                    </w:rPr>
                    <w:t>抗暴指数（RON+MON）/2   不小于</w:t>
                  </w:r>
                </w:p>
              </w:tc>
              <w:tc>
                <w:tcPr>
                  <w:tcW w:w="684" w:type="pct"/>
                  <w:tcBorders>
                    <w:top w:val="single" w:color="auto" w:sz="12" w:space="0"/>
                    <w:left w:val="single" w:color="auto" w:sz="6" w:space="0"/>
                    <w:bottom w:val="single" w:color="auto" w:sz="6" w:space="0"/>
                    <w:right w:val="single" w:color="auto" w:sz="6" w:space="0"/>
                  </w:tcBorders>
                  <w:vAlign w:val="center"/>
                </w:tcPr>
                <w:p w14:paraId="17AA5FFF">
                  <w:pPr>
                    <w:keepNext/>
                    <w:keepLines/>
                    <w:pageBreakBefore/>
                    <w:jc w:val="center"/>
                    <w:rPr>
                      <w:rFonts w:ascii="Times New Roman" w:hAnsi="Times New Roman" w:cs="Times New Roman"/>
                      <w:sz w:val="21"/>
                      <w:szCs w:val="21"/>
                    </w:rPr>
                  </w:pPr>
                </w:p>
                <w:p w14:paraId="7E317760">
                  <w:pPr>
                    <w:keepNext/>
                    <w:keepLines/>
                    <w:pageBreakBefore/>
                    <w:jc w:val="center"/>
                    <w:rPr>
                      <w:rFonts w:ascii="Times New Roman" w:hAnsi="Times New Roman" w:cs="Times New Roman"/>
                      <w:sz w:val="21"/>
                      <w:szCs w:val="21"/>
                    </w:rPr>
                  </w:pPr>
                  <w:r>
                    <w:rPr>
                      <w:rFonts w:ascii="Times New Roman" w:hAnsi="Times New Roman" w:cs="Times New Roman"/>
                      <w:sz w:val="21"/>
                      <w:szCs w:val="21"/>
                    </w:rPr>
                    <w:t>89</w:t>
                  </w:r>
                </w:p>
                <w:p w14:paraId="4ABD917D">
                  <w:pPr>
                    <w:keepNext/>
                    <w:keepLines/>
                    <w:pageBreakBefore/>
                    <w:jc w:val="center"/>
                    <w:rPr>
                      <w:rFonts w:ascii="Times New Roman" w:hAnsi="Times New Roman" w:cs="Times New Roman"/>
                      <w:sz w:val="21"/>
                      <w:szCs w:val="21"/>
                    </w:rPr>
                  </w:pPr>
                  <w:r>
                    <w:rPr>
                      <w:rFonts w:ascii="Times New Roman" w:hAnsi="Times New Roman" w:cs="Times New Roman"/>
                      <w:sz w:val="21"/>
                      <w:szCs w:val="21"/>
                    </w:rPr>
                    <w:t>84</w:t>
                  </w:r>
                </w:p>
              </w:tc>
              <w:tc>
                <w:tcPr>
                  <w:tcW w:w="685" w:type="pct"/>
                  <w:tcBorders>
                    <w:top w:val="single" w:color="auto" w:sz="12" w:space="0"/>
                    <w:left w:val="single" w:color="auto" w:sz="6" w:space="0"/>
                    <w:bottom w:val="single" w:color="auto" w:sz="6" w:space="0"/>
                    <w:right w:val="single" w:color="auto" w:sz="6" w:space="0"/>
                  </w:tcBorders>
                  <w:vAlign w:val="center"/>
                </w:tcPr>
                <w:p w14:paraId="65834CBD">
                  <w:pPr>
                    <w:keepNext/>
                    <w:keepLines/>
                    <w:pageBreakBefore/>
                    <w:jc w:val="center"/>
                    <w:rPr>
                      <w:rFonts w:ascii="Times New Roman" w:hAnsi="Times New Roman" w:cs="Times New Roman"/>
                      <w:sz w:val="21"/>
                      <w:szCs w:val="21"/>
                    </w:rPr>
                  </w:pPr>
                </w:p>
                <w:p w14:paraId="7923D0D0">
                  <w:pPr>
                    <w:keepNext/>
                    <w:keepLines/>
                    <w:pageBreakBefore/>
                    <w:jc w:val="center"/>
                    <w:rPr>
                      <w:rFonts w:ascii="Times New Roman" w:hAnsi="Times New Roman" w:cs="Times New Roman"/>
                      <w:sz w:val="21"/>
                      <w:szCs w:val="21"/>
                    </w:rPr>
                  </w:pPr>
                  <w:r>
                    <w:rPr>
                      <w:rFonts w:ascii="Times New Roman" w:hAnsi="Times New Roman" w:cs="Times New Roman"/>
                      <w:sz w:val="21"/>
                      <w:szCs w:val="21"/>
                    </w:rPr>
                    <w:t>92</w:t>
                  </w:r>
                </w:p>
                <w:p w14:paraId="6E0EB9D0">
                  <w:pPr>
                    <w:keepNext/>
                    <w:keepLines/>
                    <w:pageBreakBefore/>
                    <w:jc w:val="center"/>
                    <w:rPr>
                      <w:rFonts w:ascii="Times New Roman" w:hAnsi="Times New Roman" w:cs="Times New Roman"/>
                      <w:sz w:val="21"/>
                      <w:szCs w:val="21"/>
                    </w:rPr>
                  </w:pPr>
                  <w:r>
                    <w:rPr>
                      <w:rFonts w:ascii="Times New Roman" w:hAnsi="Times New Roman" w:cs="Times New Roman"/>
                      <w:sz w:val="21"/>
                      <w:szCs w:val="21"/>
                    </w:rPr>
                    <w:t>87</w:t>
                  </w:r>
                </w:p>
              </w:tc>
              <w:tc>
                <w:tcPr>
                  <w:tcW w:w="685" w:type="pct"/>
                  <w:tcBorders>
                    <w:top w:val="single" w:color="auto" w:sz="12" w:space="0"/>
                    <w:left w:val="single" w:color="auto" w:sz="6" w:space="0"/>
                    <w:bottom w:val="single" w:color="auto" w:sz="6" w:space="0"/>
                    <w:right w:val="single" w:color="auto" w:sz="6" w:space="0"/>
                  </w:tcBorders>
                  <w:vAlign w:val="center"/>
                </w:tcPr>
                <w:p w14:paraId="45FB6350">
                  <w:pPr>
                    <w:keepNext/>
                    <w:keepLines/>
                    <w:pageBreakBefore/>
                    <w:jc w:val="center"/>
                    <w:rPr>
                      <w:rFonts w:ascii="Times New Roman" w:hAnsi="Times New Roman" w:cs="Times New Roman"/>
                      <w:sz w:val="21"/>
                      <w:szCs w:val="21"/>
                    </w:rPr>
                  </w:pPr>
                </w:p>
                <w:p w14:paraId="581DCC8D">
                  <w:pPr>
                    <w:keepNext/>
                    <w:keepLines/>
                    <w:pageBreakBefore/>
                    <w:jc w:val="center"/>
                    <w:rPr>
                      <w:rFonts w:ascii="Times New Roman" w:hAnsi="Times New Roman" w:cs="Times New Roman"/>
                      <w:sz w:val="21"/>
                      <w:szCs w:val="21"/>
                    </w:rPr>
                  </w:pPr>
                  <w:r>
                    <w:rPr>
                      <w:rFonts w:ascii="Times New Roman" w:hAnsi="Times New Roman" w:cs="Times New Roman"/>
                      <w:sz w:val="21"/>
                      <w:szCs w:val="21"/>
                    </w:rPr>
                    <w:t>95</w:t>
                  </w:r>
                </w:p>
                <w:p w14:paraId="0A3D2AEC">
                  <w:pPr>
                    <w:keepNext/>
                    <w:keepLines/>
                    <w:pageBreakBefore/>
                    <w:jc w:val="center"/>
                    <w:rPr>
                      <w:rFonts w:ascii="Times New Roman" w:hAnsi="Times New Roman" w:cs="Times New Roman"/>
                      <w:sz w:val="21"/>
                      <w:szCs w:val="21"/>
                    </w:rPr>
                  </w:pPr>
                  <w:r>
                    <w:rPr>
                      <w:rFonts w:ascii="Times New Roman" w:hAnsi="Times New Roman" w:cs="Times New Roman"/>
                      <w:sz w:val="21"/>
                      <w:szCs w:val="21"/>
                    </w:rPr>
                    <w:t>90</w:t>
                  </w:r>
                </w:p>
              </w:tc>
              <w:tc>
                <w:tcPr>
                  <w:tcW w:w="911" w:type="pct"/>
                  <w:tcBorders>
                    <w:top w:val="single" w:color="auto" w:sz="12" w:space="0"/>
                    <w:left w:val="single" w:color="auto" w:sz="6" w:space="0"/>
                    <w:bottom w:val="single" w:color="auto" w:sz="6" w:space="0"/>
                    <w:right w:val="nil"/>
                  </w:tcBorders>
                  <w:vAlign w:val="center"/>
                </w:tcPr>
                <w:p w14:paraId="67A45036">
                  <w:pPr>
                    <w:keepNext/>
                    <w:keepLines/>
                    <w:pageBreakBefore/>
                    <w:jc w:val="center"/>
                    <w:rPr>
                      <w:rFonts w:ascii="Times New Roman" w:hAnsi="Times New Roman" w:cs="Times New Roman"/>
                      <w:sz w:val="21"/>
                      <w:szCs w:val="21"/>
                    </w:rPr>
                  </w:pPr>
                </w:p>
                <w:p w14:paraId="25A61577">
                  <w:pPr>
                    <w:keepNext/>
                    <w:keepLines/>
                    <w:pageBreakBefore/>
                    <w:jc w:val="center"/>
                    <w:rPr>
                      <w:rFonts w:ascii="Times New Roman" w:hAnsi="Times New Roman" w:cs="Times New Roman"/>
                      <w:sz w:val="21"/>
                      <w:szCs w:val="21"/>
                    </w:rPr>
                  </w:pPr>
                  <w:r>
                    <w:rPr>
                      <w:rFonts w:ascii="Times New Roman" w:hAnsi="Times New Roman" w:cs="Times New Roman"/>
                      <w:sz w:val="21"/>
                      <w:szCs w:val="21"/>
                    </w:rPr>
                    <w:t>GB/T5487</w:t>
                  </w:r>
                </w:p>
                <w:p w14:paraId="6F9234A5">
                  <w:pPr>
                    <w:keepNext/>
                    <w:keepLines/>
                    <w:pageBreakBefore/>
                    <w:jc w:val="center"/>
                    <w:rPr>
                      <w:rFonts w:ascii="Times New Roman" w:hAnsi="Times New Roman" w:cs="Times New Roman"/>
                      <w:sz w:val="21"/>
                      <w:szCs w:val="21"/>
                    </w:rPr>
                  </w:pPr>
                  <w:r>
                    <w:rPr>
                      <w:rFonts w:ascii="Times New Roman" w:hAnsi="Times New Roman" w:cs="Times New Roman"/>
                      <w:sz w:val="21"/>
                      <w:szCs w:val="21"/>
                    </w:rPr>
                    <w:t>GB/T503、GB/T5487</w:t>
                  </w:r>
                </w:p>
              </w:tc>
            </w:tr>
            <w:tr w14:paraId="16A5A5F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6" w:space="0"/>
                    <w:right w:val="single" w:color="auto" w:sz="6" w:space="0"/>
                  </w:tcBorders>
                  <w:vAlign w:val="center"/>
                </w:tcPr>
                <w:p w14:paraId="63955106">
                  <w:pPr>
                    <w:keepNext/>
                    <w:keepLines/>
                    <w:pageBreakBefore/>
                    <w:rPr>
                      <w:rFonts w:ascii="Times New Roman" w:hAnsi="Times New Roman" w:cs="Times New Roman"/>
                      <w:sz w:val="21"/>
                      <w:szCs w:val="21"/>
                    </w:rPr>
                  </w:pPr>
                  <w:r>
                    <w:rPr>
                      <w:rFonts w:ascii="Times New Roman" w:hAnsi="Times New Roman" w:cs="Times New Roman"/>
                      <w:sz w:val="21"/>
                      <w:szCs w:val="21"/>
                    </w:rPr>
                    <w:t>铅含量/ （g/l）          不大于</w:t>
                  </w:r>
                </w:p>
              </w:tc>
              <w:tc>
                <w:tcPr>
                  <w:tcW w:w="2054" w:type="pct"/>
                  <w:gridSpan w:val="3"/>
                  <w:tcBorders>
                    <w:top w:val="single" w:color="auto" w:sz="6" w:space="0"/>
                    <w:left w:val="single" w:color="auto" w:sz="6" w:space="0"/>
                    <w:bottom w:val="single" w:color="auto" w:sz="6" w:space="0"/>
                    <w:right w:val="single" w:color="auto" w:sz="6" w:space="0"/>
                  </w:tcBorders>
                  <w:vAlign w:val="center"/>
                </w:tcPr>
                <w:p w14:paraId="725231BD">
                  <w:pPr>
                    <w:keepNext/>
                    <w:keepLines/>
                    <w:pageBreakBefore/>
                    <w:jc w:val="center"/>
                    <w:rPr>
                      <w:rFonts w:ascii="Times New Roman" w:hAnsi="Times New Roman" w:cs="Times New Roman"/>
                      <w:sz w:val="21"/>
                      <w:szCs w:val="21"/>
                    </w:rPr>
                  </w:pPr>
                  <w:r>
                    <w:rPr>
                      <w:rFonts w:ascii="Times New Roman" w:hAnsi="Times New Roman" w:cs="Times New Roman"/>
                      <w:sz w:val="21"/>
                      <w:szCs w:val="21"/>
                    </w:rPr>
                    <w:t>0.005</w:t>
                  </w:r>
                </w:p>
              </w:tc>
              <w:tc>
                <w:tcPr>
                  <w:tcW w:w="911" w:type="pct"/>
                  <w:tcBorders>
                    <w:top w:val="single" w:color="auto" w:sz="6" w:space="0"/>
                    <w:left w:val="single" w:color="auto" w:sz="6" w:space="0"/>
                    <w:bottom w:val="single" w:color="auto" w:sz="6" w:space="0"/>
                    <w:right w:val="nil"/>
                  </w:tcBorders>
                  <w:vAlign w:val="center"/>
                </w:tcPr>
                <w:p w14:paraId="564B0257">
                  <w:pPr>
                    <w:keepNext/>
                    <w:keepLines/>
                    <w:pageBreakBefore/>
                    <w:jc w:val="center"/>
                    <w:rPr>
                      <w:rFonts w:ascii="Times New Roman" w:hAnsi="Times New Roman" w:cs="Times New Roman"/>
                      <w:sz w:val="21"/>
                      <w:szCs w:val="21"/>
                    </w:rPr>
                  </w:pPr>
                  <w:r>
                    <w:rPr>
                      <w:rFonts w:ascii="Times New Roman" w:hAnsi="Times New Roman" w:cs="Times New Roman"/>
                      <w:sz w:val="21"/>
                      <w:szCs w:val="21"/>
                    </w:rPr>
                    <w:t>GB/T8020</w:t>
                  </w:r>
                </w:p>
              </w:tc>
            </w:tr>
            <w:tr w14:paraId="3C982FB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6" w:space="0"/>
                    <w:right w:val="single" w:color="auto" w:sz="6" w:space="0"/>
                  </w:tcBorders>
                  <w:vAlign w:val="center"/>
                </w:tcPr>
                <w:p w14:paraId="6BDDA157">
                  <w:pPr>
                    <w:keepNext/>
                    <w:keepLines/>
                    <w:pageBreakBefore/>
                    <w:rPr>
                      <w:rFonts w:ascii="Times New Roman" w:hAnsi="Times New Roman" w:cs="Times New Roman"/>
                      <w:sz w:val="21"/>
                      <w:szCs w:val="21"/>
                    </w:rPr>
                  </w:pPr>
                  <w:r>
                    <w:rPr>
                      <w:rFonts w:ascii="Times New Roman" w:hAnsi="Times New Roman" w:cs="Times New Roman"/>
                      <w:sz w:val="21"/>
                      <w:szCs w:val="21"/>
                    </w:rPr>
                    <w:t xml:space="preserve">馏程， </w:t>
                  </w:r>
                </w:p>
                <w:p w14:paraId="30837CEB">
                  <w:pPr>
                    <w:keepNext/>
                    <w:keepLines/>
                    <w:pageBreakBefore/>
                    <w:rPr>
                      <w:rFonts w:ascii="Times New Roman" w:hAnsi="Times New Roman" w:cs="Times New Roman"/>
                      <w:sz w:val="21"/>
                      <w:szCs w:val="21"/>
                    </w:rPr>
                  </w:pPr>
                  <w:r>
                    <w:rPr>
                      <w:rFonts w:ascii="Times New Roman" w:hAnsi="Times New Roman" w:cs="Times New Roman"/>
                      <w:sz w:val="21"/>
                      <w:szCs w:val="21"/>
                    </w:rPr>
                    <w:t>10%蒸发温度/ ℃       不高于</w:t>
                  </w:r>
                </w:p>
                <w:p w14:paraId="3F5C1604">
                  <w:pPr>
                    <w:keepNext/>
                    <w:keepLines/>
                    <w:pageBreakBefore/>
                    <w:rPr>
                      <w:rFonts w:ascii="Times New Roman" w:hAnsi="Times New Roman" w:cs="Times New Roman"/>
                      <w:sz w:val="21"/>
                      <w:szCs w:val="21"/>
                    </w:rPr>
                  </w:pPr>
                  <w:r>
                    <w:rPr>
                      <w:rFonts w:ascii="Times New Roman" w:hAnsi="Times New Roman" w:cs="Times New Roman"/>
                      <w:sz w:val="21"/>
                      <w:szCs w:val="21"/>
                    </w:rPr>
                    <w:t>50%蒸发温度/ ℃       不高于</w:t>
                  </w:r>
                </w:p>
                <w:p w14:paraId="4AC57EB4">
                  <w:pPr>
                    <w:keepNext/>
                    <w:keepLines/>
                    <w:pageBreakBefore/>
                    <w:rPr>
                      <w:rFonts w:ascii="Times New Roman" w:hAnsi="Times New Roman" w:cs="Times New Roman"/>
                      <w:sz w:val="21"/>
                      <w:szCs w:val="21"/>
                    </w:rPr>
                  </w:pPr>
                  <w:r>
                    <w:rPr>
                      <w:rFonts w:ascii="Times New Roman" w:hAnsi="Times New Roman" w:cs="Times New Roman"/>
                      <w:sz w:val="21"/>
                      <w:szCs w:val="21"/>
                    </w:rPr>
                    <w:t>90%蒸发温度/ ℃       不高于</w:t>
                  </w:r>
                </w:p>
                <w:p w14:paraId="159AA4C6">
                  <w:pPr>
                    <w:keepNext/>
                    <w:keepLines/>
                    <w:pageBreakBefore/>
                    <w:rPr>
                      <w:rFonts w:ascii="Times New Roman" w:hAnsi="Times New Roman" w:cs="Times New Roman"/>
                      <w:sz w:val="21"/>
                      <w:szCs w:val="21"/>
                    </w:rPr>
                  </w:pPr>
                  <w:r>
                    <w:rPr>
                      <w:rFonts w:ascii="Times New Roman" w:hAnsi="Times New Roman" w:cs="Times New Roman"/>
                      <w:sz w:val="21"/>
                      <w:szCs w:val="21"/>
                    </w:rPr>
                    <w:t>终馏点/ ℃            不高于</w:t>
                  </w:r>
                </w:p>
                <w:p w14:paraId="68AFEA30">
                  <w:pPr>
                    <w:keepNext/>
                    <w:keepLines/>
                    <w:pageBreakBefore/>
                    <w:rPr>
                      <w:rFonts w:ascii="Times New Roman" w:hAnsi="Times New Roman" w:cs="Times New Roman"/>
                      <w:sz w:val="21"/>
                      <w:szCs w:val="21"/>
                    </w:rPr>
                  </w:pPr>
                  <w:r>
                    <w:rPr>
                      <w:rFonts w:ascii="Times New Roman" w:hAnsi="Times New Roman" w:cs="Times New Roman"/>
                      <w:sz w:val="21"/>
                      <w:szCs w:val="21"/>
                    </w:rPr>
                    <w:t>残留量（体积分数）/%  不大于</w:t>
                  </w:r>
                </w:p>
              </w:tc>
              <w:tc>
                <w:tcPr>
                  <w:tcW w:w="2054" w:type="pct"/>
                  <w:gridSpan w:val="3"/>
                  <w:tcBorders>
                    <w:top w:val="single" w:color="auto" w:sz="6" w:space="0"/>
                    <w:left w:val="single" w:color="auto" w:sz="6" w:space="0"/>
                    <w:bottom w:val="single" w:color="auto" w:sz="6" w:space="0"/>
                    <w:right w:val="single" w:color="auto" w:sz="6" w:space="0"/>
                  </w:tcBorders>
                  <w:vAlign w:val="center"/>
                </w:tcPr>
                <w:p w14:paraId="3FB81E5C">
                  <w:pPr>
                    <w:keepNext/>
                    <w:keepLines/>
                    <w:pageBreakBefore/>
                    <w:jc w:val="center"/>
                    <w:rPr>
                      <w:rFonts w:ascii="Times New Roman" w:hAnsi="Times New Roman" w:cs="Times New Roman"/>
                      <w:sz w:val="21"/>
                      <w:szCs w:val="21"/>
                    </w:rPr>
                  </w:pPr>
                </w:p>
                <w:p w14:paraId="157190FB">
                  <w:pPr>
                    <w:keepNext/>
                    <w:keepLines/>
                    <w:pageBreakBefore/>
                    <w:jc w:val="center"/>
                    <w:rPr>
                      <w:rFonts w:ascii="Times New Roman" w:hAnsi="Times New Roman" w:cs="Times New Roman"/>
                      <w:sz w:val="21"/>
                      <w:szCs w:val="21"/>
                    </w:rPr>
                  </w:pPr>
                  <w:r>
                    <w:rPr>
                      <w:rFonts w:ascii="Times New Roman" w:hAnsi="Times New Roman" w:cs="Times New Roman"/>
                      <w:sz w:val="21"/>
                      <w:szCs w:val="21"/>
                    </w:rPr>
                    <w:t>70</w:t>
                  </w:r>
                </w:p>
                <w:p w14:paraId="40D3B3B1">
                  <w:pPr>
                    <w:keepNext/>
                    <w:keepLines/>
                    <w:pageBreakBefore/>
                    <w:jc w:val="center"/>
                    <w:rPr>
                      <w:rFonts w:ascii="Times New Roman" w:hAnsi="Times New Roman" w:cs="Times New Roman"/>
                      <w:sz w:val="21"/>
                      <w:szCs w:val="21"/>
                    </w:rPr>
                  </w:pPr>
                  <w:r>
                    <w:rPr>
                      <w:rFonts w:ascii="Times New Roman" w:hAnsi="Times New Roman" w:cs="Times New Roman"/>
                      <w:sz w:val="21"/>
                      <w:szCs w:val="21"/>
                    </w:rPr>
                    <w:t>100</w:t>
                  </w:r>
                </w:p>
                <w:p w14:paraId="14A16438">
                  <w:pPr>
                    <w:keepNext/>
                    <w:keepLines/>
                    <w:pageBreakBefore/>
                    <w:jc w:val="center"/>
                    <w:rPr>
                      <w:rFonts w:ascii="Times New Roman" w:hAnsi="Times New Roman" w:cs="Times New Roman"/>
                      <w:sz w:val="21"/>
                      <w:szCs w:val="21"/>
                    </w:rPr>
                  </w:pPr>
                  <w:r>
                    <w:rPr>
                      <w:rFonts w:ascii="Times New Roman" w:hAnsi="Times New Roman" w:cs="Times New Roman"/>
                      <w:sz w:val="21"/>
                      <w:szCs w:val="21"/>
                    </w:rPr>
                    <w:t>190</w:t>
                  </w:r>
                </w:p>
                <w:p w14:paraId="0E8E86CC">
                  <w:pPr>
                    <w:keepNext/>
                    <w:keepLines/>
                    <w:pageBreakBefore/>
                    <w:jc w:val="center"/>
                    <w:rPr>
                      <w:rFonts w:ascii="Times New Roman" w:hAnsi="Times New Roman" w:cs="Times New Roman"/>
                      <w:sz w:val="21"/>
                      <w:szCs w:val="21"/>
                    </w:rPr>
                  </w:pPr>
                  <w:r>
                    <w:rPr>
                      <w:rFonts w:ascii="Times New Roman" w:hAnsi="Times New Roman" w:cs="Times New Roman"/>
                      <w:sz w:val="21"/>
                      <w:szCs w:val="21"/>
                    </w:rPr>
                    <w:t>205</w:t>
                  </w:r>
                </w:p>
                <w:p w14:paraId="0CD5FA68">
                  <w:pPr>
                    <w:keepNext/>
                    <w:keepLines/>
                    <w:pageBreakBefore/>
                    <w:jc w:val="center"/>
                    <w:rPr>
                      <w:rFonts w:ascii="Times New Roman" w:hAnsi="Times New Roman" w:cs="Times New Roman"/>
                      <w:sz w:val="21"/>
                      <w:szCs w:val="21"/>
                    </w:rPr>
                  </w:pPr>
                  <w:r>
                    <w:rPr>
                      <w:rFonts w:ascii="Times New Roman" w:hAnsi="Times New Roman" w:cs="Times New Roman"/>
                      <w:sz w:val="21"/>
                      <w:szCs w:val="21"/>
                    </w:rPr>
                    <w:t>2</w:t>
                  </w:r>
                </w:p>
              </w:tc>
              <w:tc>
                <w:tcPr>
                  <w:tcW w:w="911" w:type="pct"/>
                  <w:tcBorders>
                    <w:top w:val="single" w:color="auto" w:sz="6" w:space="0"/>
                    <w:left w:val="single" w:color="auto" w:sz="6" w:space="0"/>
                    <w:bottom w:val="single" w:color="auto" w:sz="6" w:space="0"/>
                    <w:right w:val="nil"/>
                  </w:tcBorders>
                  <w:vAlign w:val="center"/>
                </w:tcPr>
                <w:p w14:paraId="07F42766">
                  <w:pPr>
                    <w:keepNext/>
                    <w:keepLines/>
                    <w:pageBreakBefore/>
                    <w:jc w:val="center"/>
                    <w:rPr>
                      <w:rFonts w:ascii="Times New Roman" w:hAnsi="Times New Roman" w:cs="Times New Roman"/>
                      <w:sz w:val="21"/>
                      <w:szCs w:val="21"/>
                    </w:rPr>
                  </w:pPr>
                  <w:r>
                    <w:rPr>
                      <w:rFonts w:ascii="Times New Roman" w:hAnsi="Times New Roman" w:cs="Times New Roman"/>
                      <w:sz w:val="21"/>
                      <w:szCs w:val="21"/>
                    </w:rPr>
                    <w:t>GB/T6536</w:t>
                  </w:r>
                </w:p>
              </w:tc>
            </w:tr>
            <w:tr w14:paraId="00F1F8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6" w:space="0"/>
                    <w:right w:val="single" w:color="auto" w:sz="6" w:space="0"/>
                  </w:tcBorders>
                  <w:vAlign w:val="center"/>
                </w:tcPr>
                <w:p w14:paraId="356AAFFC">
                  <w:pPr>
                    <w:keepNext/>
                    <w:keepLines/>
                    <w:pageBreakBefore/>
                    <w:rPr>
                      <w:rFonts w:ascii="Times New Roman" w:hAnsi="Times New Roman" w:cs="Times New Roman"/>
                      <w:sz w:val="21"/>
                      <w:szCs w:val="21"/>
                    </w:rPr>
                  </w:pPr>
                  <w:r>
                    <w:rPr>
                      <w:rFonts w:ascii="Times New Roman" w:hAnsi="Times New Roman" w:cs="Times New Roman"/>
                      <w:sz w:val="21"/>
                      <w:szCs w:val="21"/>
                    </w:rPr>
                    <w:t>蒸汽压/KPa</w:t>
                  </w:r>
                </w:p>
                <w:p w14:paraId="58EE14BC">
                  <w:pPr>
                    <w:keepNext/>
                    <w:keepLines/>
                    <w:pageBreakBefore/>
                    <w:rPr>
                      <w:rFonts w:ascii="Times New Roman" w:hAnsi="Times New Roman" w:cs="Times New Roman"/>
                      <w:sz w:val="21"/>
                      <w:szCs w:val="21"/>
                    </w:rPr>
                  </w:pPr>
                  <w:r>
                    <w:rPr>
                      <w:rFonts w:ascii="Times New Roman" w:hAnsi="Times New Roman" w:cs="Times New Roman"/>
                      <w:sz w:val="21"/>
                      <w:szCs w:val="21"/>
                    </w:rPr>
                    <w:t>11月1日-4月30日</w:t>
                  </w:r>
                </w:p>
                <w:p w14:paraId="409E675C">
                  <w:pPr>
                    <w:keepNext/>
                    <w:keepLines/>
                    <w:pageBreakBefore/>
                    <w:rPr>
                      <w:rFonts w:ascii="Times New Roman" w:hAnsi="Times New Roman" w:cs="Times New Roman"/>
                      <w:sz w:val="21"/>
                      <w:szCs w:val="21"/>
                    </w:rPr>
                  </w:pPr>
                  <w:r>
                    <w:rPr>
                      <w:rFonts w:ascii="Times New Roman" w:hAnsi="Times New Roman" w:cs="Times New Roman"/>
                      <w:sz w:val="21"/>
                      <w:szCs w:val="21"/>
                    </w:rPr>
                    <w:t>5月1日-10月31日</w:t>
                  </w:r>
                </w:p>
              </w:tc>
              <w:tc>
                <w:tcPr>
                  <w:tcW w:w="2054" w:type="pct"/>
                  <w:gridSpan w:val="3"/>
                  <w:tcBorders>
                    <w:top w:val="single" w:color="auto" w:sz="6" w:space="0"/>
                    <w:left w:val="single" w:color="auto" w:sz="6" w:space="0"/>
                    <w:bottom w:val="single" w:color="auto" w:sz="6" w:space="0"/>
                    <w:right w:val="single" w:color="auto" w:sz="6" w:space="0"/>
                  </w:tcBorders>
                  <w:vAlign w:val="center"/>
                </w:tcPr>
                <w:p w14:paraId="17EFFFF4">
                  <w:pPr>
                    <w:keepNext/>
                    <w:keepLines/>
                    <w:pageBreakBefore/>
                    <w:jc w:val="center"/>
                    <w:rPr>
                      <w:rFonts w:ascii="Times New Roman" w:hAnsi="Times New Roman" w:cs="Times New Roman"/>
                      <w:sz w:val="21"/>
                      <w:szCs w:val="21"/>
                    </w:rPr>
                  </w:pPr>
                </w:p>
                <w:p w14:paraId="6D3AEAB6">
                  <w:pPr>
                    <w:keepNext/>
                    <w:keepLines/>
                    <w:pageBreakBefore/>
                    <w:jc w:val="center"/>
                    <w:rPr>
                      <w:rFonts w:ascii="Times New Roman" w:hAnsi="Times New Roman" w:cs="Times New Roman"/>
                      <w:sz w:val="21"/>
                      <w:szCs w:val="21"/>
                    </w:rPr>
                  </w:pPr>
                  <w:r>
                    <w:rPr>
                      <w:rFonts w:ascii="Times New Roman" w:hAnsi="Times New Roman" w:cs="Times New Roman"/>
                      <w:sz w:val="21"/>
                      <w:szCs w:val="21"/>
                    </w:rPr>
                    <w:t>45-85</w:t>
                  </w:r>
                </w:p>
                <w:p w14:paraId="084B355E">
                  <w:pPr>
                    <w:keepNext/>
                    <w:keepLines/>
                    <w:pageBreakBefore/>
                    <w:jc w:val="center"/>
                    <w:rPr>
                      <w:rFonts w:ascii="Times New Roman" w:hAnsi="Times New Roman" w:cs="Times New Roman"/>
                      <w:sz w:val="21"/>
                      <w:szCs w:val="21"/>
                    </w:rPr>
                  </w:pPr>
                  <w:r>
                    <w:rPr>
                      <w:rFonts w:ascii="Times New Roman" w:hAnsi="Times New Roman" w:cs="Times New Roman"/>
                      <w:sz w:val="21"/>
                      <w:szCs w:val="21"/>
                    </w:rPr>
                    <w:t>40-65</w:t>
                  </w:r>
                </w:p>
              </w:tc>
              <w:tc>
                <w:tcPr>
                  <w:tcW w:w="911" w:type="pct"/>
                  <w:tcBorders>
                    <w:top w:val="single" w:color="auto" w:sz="6" w:space="0"/>
                    <w:left w:val="single" w:color="auto" w:sz="6" w:space="0"/>
                    <w:bottom w:val="single" w:color="auto" w:sz="6" w:space="0"/>
                    <w:right w:val="nil"/>
                  </w:tcBorders>
                  <w:vAlign w:val="center"/>
                </w:tcPr>
                <w:p w14:paraId="484B0454">
                  <w:pPr>
                    <w:keepNext/>
                    <w:keepLines/>
                    <w:pageBreakBefore/>
                    <w:jc w:val="center"/>
                    <w:rPr>
                      <w:rFonts w:ascii="Times New Roman" w:hAnsi="Times New Roman" w:cs="Times New Roman"/>
                      <w:sz w:val="21"/>
                      <w:szCs w:val="21"/>
                    </w:rPr>
                  </w:pPr>
                  <w:r>
                    <w:rPr>
                      <w:rFonts w:ascii="Times New Roman" w:hAnsi="Times New Roman" w:cs="Times New Roman"/>
                      <w:sz w:val="21"/>
                      <w:szCs w:val="21"/>
                    </w:rPr>
                    <w:t>GB/T8017</w:t>
                  </w:r>
                </w:p>
              </w:tc>
            </w:tr>
            <w:tr w14:paraId="737D3D5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6" w:space="0"/>
                    <w:right w:val="single" w:color="auto" w:sz="6" w:space="0"/>
                  </w:tcBorders>
                  <w:vAlign w:val="center"/>
                </w:tcPr>
                <w:p w14:paraId="5DDD45AE">
                  <w:pPr>
                    <w:keepNext/>
                    <w:keepLines/>
                    <w:pageBreakBefore/>
                    <w:rPr>
                      <w:rFonts w:ascii="Times New Roman" w:hAnsi="Times New Roman" w:cs="Times New Roman"/>
                      <w:sz w:val="21"/>
                      <w:szCs w:val="21"/>
                    </w:rPr>
                  </w:pPr>
                  <w:r>
                    <w:rPr>
                      <w:rFonts w:ascii="Times New Roman" w:hAnsi="Times New Roman" w:cs="Times New Roman"/>
                      <w:sz w:val="21"/>
                      <w:szCs w:val="21"/>
                    </w:rPr>
                    <w:t>胶质含量/（mg/100ml）</w:t>
                  </w:r>
                </w:p>
                <w:p w14:paraId="0CC71FB3">
                  <w:pPr>
                    <w:keepNext/>
                    <w:keepLines/>
                    <w:pageBreakBefore/>
                    <w:rPr>
                      <w:rFonts w:ascii="Times New Roman" w:hAnsi="Times New Roman" w:cs="Times New Roman"/>
                      <w:sz w:val="21"/>
                      <w:szCs w:val="21"/>
                    </w:rPr>
                  </w:pPr>
                  <w:r>
                    <w:rPr>
                      <w:rFonts w:ascii="Times New Roman" w:hAnsi="Times New Roman" w:cs="Times New Roman"/>
                      <w:sz w:val="21"/>
                      <w:szCs w:val="21"/>
                    </w:rPr>
                    <w:t>未洗胶质含量（加入清净剂前）不大于</w:t>
                  </w:r>
                </w:p>
                <w:p w14:paraId="4E17BBCA">
                  <w:pPr>
                    <w:keepNext/>
                    <w:keepLines/>
                    <w:pageBreakBefore/>
                    <w:rPr>
                      <w:rFonts w:ascii="Times New Roman" w:hAnsi="Times New Roman" w:cs="Times New Roman"/>
                      <w:sz w:val="21"/>
                      <w:szCs w:val="21"/>
                    </w:rPr>
                  </w:pPr>
                  <w:r>
                    <w:rPr>
                      <w:rFonts w:ascii="Times New Roman" w:hAnsi="Times New Roman" w:cs="Times New Roman"/>
                      <w:sz w:val="21"/>
                      <w:szCs w:val="21"/>
                    </w:rPr>
                    <w:t>溶剂胶质含量         不大于</w:t>
                  </w:r>
                </w:p>
              </w:tc>
              <w:tc>
                <w:tcPr>
                  <w:tcW w:w="2054" w:type="pct"/>
                  <w:gridSpan w:val="3"/>
                  <w:tcBorders>
                    <w:top w:val="single" w:color="auto" w:sz="6" w:space="0"/>
                    <w:left w:val="single" w:color="auto" w:sz="6" w:space="0"/>
                    <w:bottom w:val="single" w:color="auto" w:sz="6" w:space="0"/>
                    <w:right w:val="single" w:color="auto" w:sz="6" w:space="0"/>
                  </w:tcBorders>
                  <w:vAlign w:val="center"/>
                </w:tcPr>
                <w:p w14:paraId="7F8C2333">
                  <w:pPr>
                    <w:keepNext/>
                    <w:keepLines/>
                    <w:pageBreakBefore/>
                    <w:jc w:val="center"/>
                    <w:rPr>
                      <w:rFonts w:ascii="Times New Roman" w:hAnsi="Times New Roman" w:cs="Times New Roman"/>
                      <w:sz w:val="21"/>
                      <w:szCs w:val="21"/>
                    </w:rPr>
                  </w:pPr>
                </w:p>
                <w:p w14:paraId="3E2F4E2B">
                  <w:pPr>
                    <w:keepNext/>
                    <w:keepLines/>
                    <w:pageBreakBefore/>
                    <w:jc w:val="center"/>
                    <w:rPr>
                      <w:rFonts w:ascii="Times New Roman" w:hAnsi="Times New Roman" w:cs="Times New Roman"/>
                      <w:sz w:val="21"/>
                      <w:szCs w:val="21"/>
                    </w:rPr>
                  </w:pPr>
                  <w:r>
                    <w:rPr>
                      <w:rFonts w:ascii="Times New Roman" w:hAnsi="Times New Roman" w:cs="Times New Roman"/>
                      <w:sz w:val="21"/>
                      <w:szCs w:val="21"/>
                    </w:rPr>
                    <w:t>30</w:t>
                  </w:r>
                </w:p>
                <w:p w14:paraId="54695F7C">
                  <w:pPr>
                    <w:keepNext/>
                    <w:keepLines/>
                    <w:pageBreakBefore/>
                    <w:jc w:val="center"/>
                    <w:rPr>
                      <w:rFonts w:ascii="Times New Roman" w:hAnsi="Times New Roman" w:cs="Times New Roman"/>
                      <w:sz w:val="21"/>
                      <w:szCs w:val="21"/>
                    </w:rPr>
                  </w:pPr>
                </w:p>
                <w:p w14:paraId="37D69E2A">
                  <w:pPr>
                    <w:keepNext/>
                    <w:keepLines/>
                    <w:pageBreakBefore/>
                    <w:jc w:val="center"/>
                    <w:rPr>
                      <w:rFonts w:ascii="Times New Roman" w:hAnsi="Times New Roman" w:cs="Times New Roman"/>
                      <w:sz w:val="21"/>
                      <w:szCs w:val="21"/>
                    </w:rPr>
                  </w:pPr>
                  <w:r>
                    <w:rPr>
                      <w:rFonts w:ascii="Times New Roman" w:hAnsi="Times New Roman" w:cs="Times New Roman"/>
                      <w:sz w:val="21"/>
                      <w:szCs w:val="21"/>
                    </w:rPr>
                    <w:t>5</w:t>
                  </w:r>
                </w:p>
              </w:tc>
              <w:tc>
                <w:tcPr>
                  <w:tcW w:w="911" w:type="pct"/>
                  <w:tcBorders>
                    <w:top w:val="single" w:color="auto" w:sz="6" w:space="0"/>
                    <w:left w:val="single" w:color="auto" w:sz="6" w:space="0"/>
                    <w:bottom w:val="single" w:color="auto" w:sz="6" w:space="0"/>
                    <w:right w:val="nil"/>
                  </w:tcBorders>
                  <w:vAlign w:val="center"/>
                </w:tcPr>
                <w:p w14:paraId="3F7E833B">
                  <w:pPr>
                    <w:keepNext/>
                    <w:keepLines/>
                    <w:pageBreakBefore/>
                    <w:jc w:val="center"/>
                    <w:rPr>
                      <w:rFonts w:ascii="Times New Roman" w:hAnsi="Times New Roman" w:cs="Times New Roman"/>
                      <w:sz w:val="21"/>
                      <w:szCs w:val="21"/>
                    </w:rPr>
                  </w:pPr>
                  <w:r>
                    <w:rPr>
                      <w:rFonts w:ascii="Times New Roman" w:hAnsi="Times New Roman" w:cs="Times New Roman"/>
                      <w:sz w:val="21"/>
                      <w:szCs w:val="21"/>
                    </w:rPr>
                    <w:t>GB/T8019</w:t>
                  </w:r>
                </w:p>
              </w:tc>
            </w:tr>
            <w:tr w14:paraId="45B5A5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6" w:space="0"/>
                    <w:right w:val="single" w:color="auto" w:sz="6" w:space="0"/>
                  </w:tcBorders>
                  <w:vAlign w:val="center"/>
                </w:tcPr>
                <w:p w14:paraId="26A6C9FC">
                  <w:pPr>
                    <w:keepNext/>
                    <w:keepLines/>
                    <w:pageBreakBefore/>
                    <w:rPr>
                      <w:rFonts w:ascii="Times New Roman" w:hAnsi="Times New Roman" w:cs="Times New Roman"/>
                      <w:sz w:val="21"/>
                      <w:szCs w:val="21"/>
                    </w:rPr>
                  </w:pPr>
                  <w:r>
                    <w:rPr>
                      <w:rFonts w:ascii="Times New Roman" w:hAnsi="Times New Roman" w:cs="Times New Roman"/>
                      <w:sz w:val="21"/>
                      <w:szCs w:val="21"/>
                    </w:rPr>
                    <w:t>诱导期/min          不小于</w:t>
                  </w:r>
                </w:p>
              </w:tc>
              <w:tc>
                <w:tcPr>
                  <w:tcW w:w="2054" w:type="pct"/>
                  <w:gridSpan w:val="3"/>
                  <w:tcBorders>
                    <w:top w:val="single" w:color="auto" w:sz="6" w:space="0"/>
                    <w:left w:val="single" w:color="auto" w:sz="6" w:space="0"/>
                    <w:bottom w:val="single" w:color="auto" w:sz="6" w:space="0"/>
                    <w:right w:val="single" w:color="auto" w:sz="6" w:space="0"/>
                  </w:tcBorders>
                  <w:vAlign w:val="center"/>
                </w:tcPr>
                <w:p w14:paraId="679F95CC">
                  <w:pPr>
                    <w:keepNext/>
                    <w:keepLines/>
                    <w:pageBreakBefore/>
                    <w:jc w:val="center"/>
                    <w:rPr>
                      <w:rFonts w:ascii="Times New Roman" w:hAnsi="Times New Roman" w:cs="Times New Roman"/>
                      <w:sz w:val="21"/>
                      <w:szCs w:val="21"/>
                    </w:rPr>
                  </w:pPr>
                  <w:r>
                    <w:rPr>
                      <w:rFonts w:ascii="Times New Roman" w:hAnsi="Times New Roman" w:cs="Times New Roman"/>
                      <w:sz w:val="21"/>
                      <w:szCs w:val="21"/>
                    </w:rPr>
                    <w:t>480</w:t>
                  </w:r>
                </w:p>
              </w:tc>
              <w:tc>
                <w:tcPr>
                  <w:tcW w:w="911" w:type="pct"/>
                  <w:tcBorders>
                    <w:top w:val="single" w:color="auto" w:sz="6" w:space="0"/>
                    <w:left w:val="single" w:color="auto" w:sz="6" w:space="0"/>
                    <w:bottom w:val="single" w:color="auto" w:sz="6" w:space="0"/>
                    <w:right w:val="nil"/>
                  </w:tcBorders>
                  <w:vAlign w:val="center"/>
                </w:tcPr>
                <w:p w14:paraId="7042975C">
                  <w:pPr>
                    <w:keepNext/>
                    <w:keepLines/>
                    <w:pageBreakBefore/>
                    <w:jc w:val="center"/>
                    <w:rPr>
                      <w:rFonts w:ascii="Times New Roman" w:hAnsi="Times New Roman" w:cs="Times New Roman"/>
                      <w:sz w:val="21"/>
                      <w:szCs w:val="21"/>
                    </w:rPr>
                  </w:pPr>
                  <w:r>
                    <w:rPr>
                      <w:rFonts w:ascii="Times New Roman" w:hAnsi="Times New Roman" w:cs="Times New Roman"/>
                      <w:sz w:val="21"/>
                      <w:szCs w:val="21"/>
                    </w:rPr>
                    <w:t>GB/T8018</w:t>
                  </w:r>
                </w:p>
              </w:tc>
            </w:tr>
            <w:tr w14:paraId="7D778A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6" w:space="0"/>
                    <w:right w:val="single" w:color="auto" w:sz="6" w:space="0"/>
                  </w:tcBorders>
                  <w:vAlign w:val="center"/>
                </w:tcPr>
                <w:p w14:paraId="64AD1D8B">
                  <w:pPr>
                    <w:keepNext/>
                    <w:keepLines/>
                    <w:pageBreakBefore/>
                    <w:rPr>
                      <w:rFonts w:ascii="Times New Roman" w:hAnsi="Times New Roman" w:cs="Times New Roman"/>
                      <w:sz w:val="21"/>
                      <w:szCs w:val="21"/>
                    </w:rPr>
                  </w:pPr>
                  <w:r>
                    <w:rPr>
                      <w:rFonts w:ascii="Times New Roman" w:hAnsi="Times New Roman" w:cs="Times New Roman"/>
                      <w:sz w:val="21"/>
                      <w:szCs w:val="21"/>
                    </w:rPr>
                    <w:t>硫含量mg/kg        不大于</w:t>
                  </w:r>
                </w:p>
              </w:tc>
              <w:tc>
                <w:tcPr>
                  <w:tcW w:w="2054" w:type="pct"/>
                  <w:gridSpan w:val="3"/>
                  <w:tcBorders>
                    <w:top w:val="single" w:color="auto" w:sz="6" w:space="0"/>
                    <w:left w:val="single" w:color="auto" w:sz="6" w:space="0"/>
                    <w:bottom w:val="single" w:color="auto" w:sz="6" w:space="0"/>
                    <w:right w:val="single" w:color="auto" w:sz="6" w:space="0"/>
                  </w:tcBorders>
                  <w:vAlign w:val="center"/>
                </w:tcPr>
                <w:p w14:paraId="60534066">
                  <w:pPr>
                    <w:keepNext/>
                    <w:keepLines/>
                    <w:pageBreakBefore/>
                    <w:jc w:val="center"/>
                    <w:rPr>
                      <w:rFonts w:ascii="Times New Roman" w:hAnsi="Times New Roman" w:cs="Times New Roman"/>
                      <w:sz w:val="21"/>
                      <w:szCs w:val="21"/>
                    </w:rPr>
                  </w:pPr>
                  <w:r>
                    <w:rPr>
                      <w:rFonts w:ascii="Times New Roman" w:hAnsi="Times New Roman" w:cs="Times New Roman"/>
                      <w:sz w:val="21"/>
                      <w:szCs w:val="21"/>
                    </w:rPr>
                    <w:t>10</w:t>
                  </w:r>
                </w:p>
              </w:tc>
              <w:tc>
                <w:tcPr>
                  <w:tcW w:w="911" w:type="pct"/>
                  <w:tcBorders>
                    <w:top w:val="single" w:color="auto" w:sz="6" w:space="0"/>
                    <w:left w:val="single" w:color="auto" w:sz="6" w:space="0"/>
                    <w:bottom w:val="single" w:color="auto" w:sz="6" w:space="0"/>
                    <w:right w:val="nil"/>
                  </w:tcBorders>
                  <w:vAlign w:val="center"/>
                </w:tcPr>
                <w:p w14:paraId="74DA8043">
                  <w:pPr>
                    <w:keepNext/>
                    <w:keepLines/>
                    <w:pageBreakBefore/>
                    <w:jc w:val="center"/>
                    <w:rPr>
                      <w:rFonts w:ascii="Times New Roman" w:hAnsi="Times New Roman" w:cs="Times New Roman"/>
                      <w:sz w:val="21"/>
                      <w:szCs w:val="21"/>
                    </w:rPr>
                  </w:pPr>
                  <w:r>
                    <w:rPr>
                      <w:rFonts w:ascii="Times New Roman" w:hAnsi="Times New Roman" w:cs="Times New Roman"/>
                      <w:sz w:val="21"/>
                      <w:szCs w:val="21"/>
                    </w:rPr>
                    <w:t>SH/T0689</w:t>
                  </w:r>
                </w:p>
              </w:tc>
            </w:tr>
            <w:tr w14:paraId="1A480C8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6" w:space="0"/>
                    <w:right w:val="single" w:color="auto" w:sz="6" w:space="0"/>
                  </w:tcBorders>
                  <w:vAlign w:val="center"/>
                </w:tcPr>
                <w:p w14:paraId="6DFC68F6">
                  <w:pPr>
                    <w:keepNext/>
                    <w:keepLines/>
                    <w:pageBreakBefore/>
                    <w:rPr>
                      <w:rFonts w:ascii="Times New Roman" w:hAnsi="Times New Roman" w:cs="Times New Roman"/>
                      <w:sz w:val="21"/>
                      <w:szCs w:val="21"/>
                    </w:rPr>
                  </w:pPr>
                  <w:r>
                    <w:rPr>
                      <w:rFonts w:ascii="Times New Roman" w:hAnsi="Times New Roman" w:cs="Times New Roman"/>
                      <w:sz w:val="21"/>
                      <w:szCs w:val="21"/>
                    </w:rPr>
                    <w:t>硫醇（博士试验）</w:t>
                  </w:r>
                </w:p>
              </w:tc>
              <w:tc>
                <w:tcPr>
                  <w:tcW w:w="2054" w:type="pct"/>
                  <w:gridSpan w:val="3"/>
                  <w:tcBorders>
                    <w:top w:val="single" w:color="auto" w:sz="6" w:space="0"/>
                    <w:left w:val="single" w:color="auto" w:sz="6" w:space="0"/>
                    <w:bottom w:val="single" w:color="auto" w:sz="6" w:space="0"/>
                    <w:right w:val="single" w:color="auto" w:sz="6" w:space="0"/>
                  </w:tcBorders>
                  <w:vAlign w:val="center"/>
                </w:tcPr>
                <w:p w14:paraId="0753A161">
                  <w:pPr>
                    <w:keepNext/>
                    <w:keepLines/>
                    <w:pageBreakBefore/>
                    <w:jc w:val="center"/>
                    <w:rPr>
                      <w:rFonts w:ascii="Times New Roman" w:hAnsi="Times New Roman" w:cs="Times New Roman"/>
                      <w:sz w:val="21"/>
                      <w:szCs w:val="21"/>
                    </w:rPr>
                  </w:pPr>
                  <w:r>
                    <w:rPr>
                      <w:rFonts w:ascii="Times New Roman" w:hAnsi="Times New Roman" w:cs="Times New Roman"/>
                      <w:sz w:val="21"/>
                      <w:szCs w:val="21"/>
                    </w:rPr>
                    <w:t>通过</w:t>
                  </w:r>
                </w:p>
              </w:tc>
              <w:tc>
                <w:tcPr>
                  <w:tcW w:w="911" w:type="pct"/>
                  <w:tcBorders>
                    <w:top w:val="single" w:color="auto" w:sz="6" w:space="0"/>
                    <w:left w:val="single" w:color="auto" w:sz="6" w:space="0"/>
                    <w:bottom w:val="single" w:color="auto" w:sz="6" w:space="0"/>
                    <w:right w:val="nil"/>
                  </w:tcBorders>
                  <w:vAlign w:val="center"/>
                </w:tcPr>
                <w:p w14:paraId="2E62AB08">
                  <w:pPr>
                    <w:keepNext/>
                    <w:keepLines/>
                    <w:pageBreakBefore/>
                    <w:jc w:val="center"/>
                    <w:rPr>
                      <w:rFonts w:ascii="Times New Roman" w:hAnsi="Times New Roman" w:cs="Times New Roman"/>
                      <w:sz w:val="21"/>
                      <w:szCs w:val="21"/>
                    </w:rPr>
                  </w:pPr>
                  <w:r>
                    <w:rPr>
                      <w:rFonts w:ascii="Times New Roman" w:hAnsi="Times New Roman" w:cs="Times New Roman"/>
                      <w:sz w:val="21"/>
                      <w:szCs w:val="21"/>
                    </w:rPr>
                    <w:t>NB/SH/T0174</w:t>
                  </w:r>
                </w:p>
              </w:tc>
            </w:tr>
            <w:tr w14:paraId="123B0DD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6" w:space="0"/>
                    <w:right w:val="single" w:color="auto" w:sz="6" w:space="0"/>
                  </w:tcBorders>
                  <w:vAlign w:val="center"/>
                </w:tcPr>
                <w:p w14:paraId="591465FC">
                  <w:pPr>
                    <w:keepNext/>
                    <w:keepLines/>
                    <w:pageBreakBefore/>
                    <w:rPr>
                      <w:rFonts w:ascii="Times New Roman" w:hAnsi="Times New Roman" w:cs="Times New Roman"/>
                      <w:sz w:val="21"/>
                      <w:szCs w:val="21"/>
                    </w:rPr>
                  </w:pPr>
                  <w:r>
                    <w:rPr>
                      <w:rFonts w:ascii="Times New Roman" w:hAnsi="Times New Roman" w:cs="Times New Roman"/>
                      <w:sz w:val="21"/>
                      <w:szCs w:val="21"/>
                    </w:rPr>
                    <w:t>铜片腐蚀（50℃,3h）/级  不大于</w:t>
                  </w:r>
                </w:p>
              </w:tc>
              <w:tc>
                <w:tcPr>
                  <w:tcW w:w="2054" w:type="pct"/>
                  <w:gridSpan w:val="3"/>
                  <w:tcBorders>
                    <w:top w:val="single" w:color="auto" w:sz="6" w:space="0"/>
                    <w:left w:val="single" w:color="auto" w:sz="6" w:space="0"/>
                    <w:bottom w:val="single" w:color="auto" w:sz="6" w:space="0"/>
                    <w:right w:val="single" w:color="auto" w:sz="6" w:space="0"/>
                  </w:tcBorders>
                  <w:vAlign w:val="center"/>
                </w:tcPr>
                <w:p w14:paraId="7E996C6E">
                  <w:pPr>
                    <w:keepNext/>
                    <w:keepLines/>
                    <w:pageBreakBefore/>
                    <w:jc w:val="center"/>
                    <w:rPr>
                      <w:rFonts w:ascii="Times New Roman" w:hAnsi="Times New Roman" w:cs="Times New Roman"/>
                      <w:sz w:val="21"/>
                      <w:szCs w:val="21"/>
                    </w:rPr>
                  </w:pPr>
                  <w:r>
                    <w:rPr>
                      <w:rFonts w:ascii="Times New Roman" w:hAnsi="Times New Roman" w:cs="Times New Roman"/>
                      <w:sz w:val="21"/>
                      <w:szCs w:val="21"/>
                    </w:rPr>
                    <w:t>1</w:t>
                  </w:r>
                </w:p>
              </w:tc>
              <w:tc>
                <w:tcPr>
                  <w:tcW w:w="911" w:type="pct"/>
                  <w:tcBorders>
                    <w:top w:val="single" w:color="auto" w:sz="6" w:space="0"/>
                    <w:left w:val="single" w:color="auto" w:sz="6" w:space="0"/>
                    <w:bottom w:val="single" w:color="auto" w:sz="6" w:space="0"/>
                    <w:right w:val="nil"/>
                  </w:tcBorders>
                  <w:vAlign w:val="center"/>
                </w:tcPr>
                <w:p w14:paraId="5EE1A9C7">
                  <w:pPr>
                    <w:keepNext/>
                    <w:keepLines/>
                    <w:pageBreakBefore/>
                    <w:jc w:val="center"/>
                    <w:rPr>
                      <w:rFonts w:ascii="Times New Roman" w:hAnsi="Times New Roman" w:cs="Times New Roman"/>
                      <w:sz w:val="21"/>
                      <w:szCs w:val="21"/>
                    </w:rPr>
                  </w:pPr>
                  <w:r>
                    <w:rPr>
                      <w:rFonts w:ascii="Times New Roman" w:hAnsi="Times New Roman" w:cs="Times New Roman"/>
                      <w:sz w:val="21"/>
                      <w:szCs w:val="21"/>
                    </w:rPr>
                    <w:t>GB/T5096</w:t>
                  </w:r>
                </w:p>
              </w:tc>
            </w:tr>
            <w:tr w14:paraId="080FD51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6" w:space="0"/>
                    <w:right w:val="single" w:color="auto" w:sz="6" w:space="0"/>
                  </w:tcBorders>
                  <w:vAlign w:val="center"/>
                </w:tcPr>
                <w:p w14:paraId="7E8E9CB6">
                  <w:pPr>
                    <w:keepNext/>
                    <w:keepLines/>
                    <w:pageBreakBefore/>
                    <w:rPr>
                      <w:rFonts w:ascii="Times New Roman" w:hAnsi="Times New Roman" w:cs="Times New Roman"/>
                      <w:sz w:val="21"/>
                      <w:szCs w:val="21"/>
                    </w:rPr>
                  </w:pPr>
                  <w:r>
                    <w:rPr>
                      <w:rFonts w:ascii="Times New Roman" w:hAnsi="Times New Roman" w:cs="Times New Roman"/>
                      <w:sz w:val="21"/>
                      <w:szCs w:val="21"/>
                    </w:rPr>
                    <w:t>水溶性酸或碱</w:t>
                  </w:r>
                </w:p>
              </w:tc>
              <w:tc>
                <w:tcPr>
                  <w:tcW w:w="2054" w:type="pct"/>
                  <w:gridSpan w:val="3"/>
                  <w:tcBorders>
                    <w:top w:val="single" w:color="auto" w:sz="6" w:space="0"/>
                    <w:left w:val="single" w:color="auto" w:sz="6" w:space="0"/>
                    <w:bottom w:val="single" w:color="auto" w:sz="6" w:space="0"/>
                    <w:right w:val="single" w:color="auto" w:sz="6" w:space="0"/>
                  </w:tcBorders>
                  <w:vAlign w:val="center"/>
                </w:tcPr>
                <w:p w14:paraId="401EE761">
                  <w:pPr>
                    <w:keepNext/>
                    <w:keepLines/>
                    <w:pageBreakBefore/>
                    <w:jc w:val="center"/>
                    <w:rPr>
                      <w:rFonts w:ascii="Times New Roman" w:hAnsi="Times New Roman" w:cs="Times New Roman"/>
                      <w:sz w:val="21"/>
                      <w:szCs w:val="21"/>
                    </w:rPr>
                  </w:pPr>
                  <w:r>
                    <w:rPr>
                      <w:rFonts w:ascii="Times New Roman" w:hAnsi="Times New Roman" w:cs="Times New Roman"/>
                      <w:sz w:val="21"/>
                      <w:szCs w:val="21"/>
                    </w:rPr>
                    <w:t>无</w:t>
                  </w:r>
                </w:p>
              </w:tc>
              <w:tc>
                <w:tcPr>
                  <w:tcW w:w="911" w:type="pct"/>
                  <w:tcBorders>
                    <w:top w:val="single" w:color="auto" w:sz="6" w:space="0"/>
                    <w:left w:val="single" w:color="auto" w:sz="6" w:space="0"/>
                    <w:bottom w:val="single" w:color="auto" w:sz="6" w:space="0"/>
                    <w:right w:val="nil"/>
                  </w:tcBorders>
                  <w:vAlign w:val="center"/>
                </w:tcPr>
                <w:p w14:paraId="7C9F586A">
                  <w:pPr>
                    <w:keepNext/>
                    <w:keepLines/>
                    <w:pageBreakBefore/>
                    <w:jc w:val="center"/>
                    <w:rPr>
                      <w:rFonts w:ascii="Times New Roman" w:hAnsi="Times New Roman" w:cs="Times New Roman"/>
                      <w:sz w:val="21"/>
                      <w:szCs w:val="21"/>
                    </w:rPr>
                  </w:pPr>
                  <w:r>
                    <w:rPr>
                      <w:rFonts w:ascii="Times New Roman" w:hAnsi="Times New Roman" w:cs="Times New Roman"/>
                      <w:sz w:val="21"/>
                      <w:szCs w:val="21"/>
                    </w:rPr>
                    <w:t>GB/T259</w:t>
                  </w:r>
                </w:p>
              </w:tc>
            </w:tr>
            <w:tr w14:paraId="66E5FE9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6" w:space="0"/>
                    <w:right w:val="single" w:color="auto" w:sz="6" w:space="0"/>
                  </w:tcBorders>
                  <w:vAlign w:val="center"/>
                </w:tcPr>
                <w:p w14:paraId="626EB37D">
                  <w:pPr>
                    <w:keepNext/>
                    <w:keepLines/>
                    <w:pageBreakBefore/>
                    <w:rPr>
                      <w:rFonts w:ascii="Times New Roman" w:hAnsi="Times New Roman" w:cs="Times New Roman"/>
                      <w:sz w:val="21"/>
                      <w:szCs w:val="21"/>
                    </w:rPr>
                  </w:pPr>
                  <w:r>
                    <w:rPr>
                      <w:rFonts w:ascii="Times New Roman" w:hAnsi="Times New Roman" w:cs="Times New Roman"/>
                      <w:sz w:val="21"/>
                      <w:szCs w:val="21"/>
                    </w:rPr>
                    <w:t>机械杂质及水分</w:t>
                  </w:r>
                </w:p>
              </w:tc>
              <w:tc>
                <w:tcPr>
                  <w:tcW w:w="2054" w:type="pct"/>
                  <w:gridSpan w:val="3"/>
                  <w:tcBorders>
                    <w:top w:val="single" w:color="auto" w:sz="6" w:space="0"/>
                    <w:left w:val="single" w:color="auto" w:sz="6" w:space="0"/>
                    <w:bottom w:val="single" w:color="auto" w:sz="6" w:space="0"/>
                    <w:right w:val="single" w:color="auto" w:sz="6" w:space="0"/>
                  </w:tcBorders>
                  <w:vAlign w:val="center"/>
                </w:tcPr>
                <w:p w14:paraId="4BE89DF9">
                  <w:pPr>
                    <w:keepNext/>
                    <w:keepLines/>
                    <w:pageBreakBefore/>
                    <w:jc w:val="center"/>
                    <w:rPr>
                      <w:rFonts w:ascii="Times New Roman" w:hAnsi="Times New Roman" w:cs="Times New Roman"/>
                      <w:sz w:val="21"/>
                      <w:szCs w:val="21"/>
                    </w:rPr>
                  </w:pPr>
                  <w:r>
                    <w:rPr>
                      <w:rFonts w:ascii="Times New Roman" w:hAnsi="Times New Roman" w:cs="Times New Roman"/>
                      <w:sz w:val="21"/>
                      <w:szCs w:val="21"/>
                    </w:rPr>
                    <w:t>无</w:t>
                  </w:r>
                </w:p>
              </w:tc>
              <w:tc>
                <w:tcPr>
                  <w:tcW w:w="911" w:type="pct"/>
                  <w:tcBorders>
                    <w:top w:val="single" w:color="auto" w:sz="6" w:space="0"/>
                    <w:left w:val="single" w:color="auto" w:sz="6" w:space="0"/>
                    <w:bottom w:val="single" w:color="auto" w:sz="6" w:space="0"/>
                    <w:right w:val="nil"/>
                  </w:tcBorders>
                  <w:vAlign w:val="center"/>
                </w:tcPr>
                <w:p w14:paraId="360131F3">
                  <w:pPr>
                    <w:keepNext/>
                    <w:keepLines/>
                    <w:pageBreakBefore/>
                    <w:jc w:val="center"/>
                    <w:rPr>
                      <w:rFonts w:ascii="Times New Roman" w:hAnsi="Times New Roman" w:cs="Times New Roman"/>
                      <w:sz w:val="21"/>
                      <w:szCs w:val="21"/>
                    </w:rPr>
                  </w:pPr>
                  <w:r>
                    <w:rPr>
                      <w:rFonts w:ascii="Times New Roman" w:hAnsi="Times New Roman" w:cs="Times New Roman"/>
                      <w:sz w:val="21"/>
                      <w:szCs w:val="21"/>
                    </w:rPr>
                    <w:t>目测</w:t>
                  </w:r>
                </w:p>
              </w:tc>
            </w:tr>
            <w:tr w14:paraId="509B8E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6" w:space="0"/>
                    <w:right w:val="single" w:color="auto" w:sz="6" w:space="0"/>
                  </w:tcBorders>
                  <w:vAlign w:val="center"/>
                </w:tcPr>
                <w:p w14:paraId="20657D84">
                  <w:pPr>
                    <w:keepNext/>
                    <w:keepLines/>
                    <w:pageBreakBefore/>
                    <w:rPr>
                      <w:rFonts w:ascii="Times New Roman" w:hAnsi="Times New Roman" w:cs="Times New Roman"/>
                      <w:sz w:val="21"/>
                      <w:szCs w:val="21"/>
                    </w:rPr>
                  </w:pPr>
                  <w:r>
                    <w:rPr>
                      <w:rFonts w:ascii="Times New Roman" w:hAnsi="Times New Roman" w:cs="Times New Roman"/>
                      <w:sz w:val="21"/>
                      <w:szCs w:val="21"/>
                    </w:rPr>
                    <w:t>苯含量（体积分数）/%   不大于</w:t>
                  </w:r>
                </w:p>
              </w:tc>
              <w:tc>
                <w:tcPr>
                  <w:tcW w:w="2054" w:type="pct"/>
                  <w:gridSpan w:val="3"/>
                  <w:tcBorders>
                    <w:top w:val="single" w:color="auto" w:sz="6" w:space="0"/>
                    <w:left w:val="single" w:color="auto" w:sz="6" w:space="0"/>
                    <w:bottom w:val="single" w:color="auto" w:sz="6" w:space="0"/>
                    <w:right w:val="single" w:color="auto" w:sz="6" w:space="0"/>
                  </w:tcBorders>
                  <w:vAlign w:val="center"/>
                </w:tcPr>
                <w:p w14:paraId="708CF86F">
                  <w:pPr>
                    <w:keepNext/>
                    <w:keepLines/>
                    <w:pageBreakBefore/>
                    <w:jc w:val="center"/>
                    <w:rPr>
                      <w:rFonts w:ascii="Times New Roman" w:hAnsi="Times New Roman" w:cs="Times New Roman"/>
                      <w:sz w:val="21"/>
                      <w:szCs w:val="21"/>
                    </w:rPr>
                  </w:pPr>
                  <w:r>
                    <w:rPr>
                      <w:rFonts w:ascii="Times New Roman" w:hAnsi="Times New Roman" w:cs="Times New Roman"/>
                      <w:sz w:val="21"/>
                      <w:szCs w:val="21"/>
                    </w:rPr>
                    <w:t>0.8</w:t>
                  </w:r>
                </w:p>
              </w:tc>
              <w:tc>
                <w:tcPr>
                  <w:tcW w:w="911" w:type="pct"/>
                  <w:tcBorders>
                    <w:top w:val="single" w:color="auto" w:sz="6" w:space="0"/>
                    <w:left w:val="single" w:color="auto" w:sz="6" w:space="0"/>
                    <w:bottom w:val="single" w:color="auto" w:sz="6" w:space="0"/>
                    <w:right w:val="nil"/>
                  </w:tcBorders>
                  <w:vAlign w:val="center"/>
                </w:tcPr>
                <w:p w14:paraId="6B239F1A">
                  <w:pPr>
                    <w:keepNext/>
                    <w:keepLines/>
                    <w:pageBreakBefore/>
                    <w:jc w:val="center"/>
                    <w:rPr>
                      <w:rFonts w:ascii="Times New Roman" w:hAnsi="Times New Roman" w:cs="Times New Roman"/>
                      <w:sz w:val="21"/>
                      <w:szCs w:val="21"/>
                    </w:rPr>
                  </w:pPr>
                  <w:r>
                    <w:rPr>
                      <w:rFonts w:ascii="Times New Roman" w:hAnsi="Times New Roman" w:cs="Times New Roman"/>
                      <w:sz w:val="21"/>
                      <w:szCs w:val="21"/>
                    </w:rPr>
                    <w:t>SH/T0713</w:t>
                  </w:r>
                </w:p>
              </w:tc>
            </w:tr>
            <w:tr w14:paraId="60E647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6" w:space="0"/>
                    <w:right w:val="single" w:color="auto" w:sz="6" w:space="0"/>
                  </w:tcBorders>
                  <w:vAlign w:val="center"/>
                </w:tcPr>
                <w:p w14:paraId="7AA827D4">
                  <w:pPr>
                    <w:keepNext/>
                    <w:keepLines/>
                    <w:pageBreakBefore/>
                    <w:rPr>
                      <w:rFonts w:ascii="Times New Roman" w:hAnsi="Times New Roman" w:cs="Times New Roman"/>
                      <w:sz w:val="21"/>
                      <w:szCs w:val="21"/>
                    </w:rPr>
                  </w:pPr>
                  <w:r>
                    <w:rPr>
                      <w:rFonts w:ascii="Times New Roman" w:hAnsi="Times New Roman" w:cs="Times New Roman"/>
                      <w:sz w:val="21"/>
                      <w:szCs w:val="21"/>
                    </w:rPr>
                    <w:t>芳烃含量（体积分数）/% 不大于</w:t>
                  </w:r>
                </w:p>
              </w:tc>
              <w:tc>
                <w:tcPr>
                  <w:tcW w:w="2054" w:type="pct"/>
                  <w:gridSpan w:val="3"/>
                  <w:tcBorders>
                    <w:top w:val="single" w:color="auto" w:sz="6" w:space="0"/>
                    <w:left w:val="single" w:color="auto" w:sz="6" w:space="0"/>
                    <w:bottom w:val="single" w:color="auto" w:sz="6" w:space="0"/>
                    <w:right w:val="single" w:color="auto" w:sz="6" w:space="0"/>
                  </w:tcBorders>
                  <w:vAlign w:val="center"/>
                </w:tcPr>
                <w:p w14:paraId="200CF7CA">
                  <w:pPr>
                    <w:keepNext/>
                    <w:keepLines/>
                    <w:pageBreakBefore/>
                    <w:jc w:val="center"/>
                    <w:rPr>
                      <w:rFonts w:ascii="Times New Roman" w:hAnsi="Times New Roman" w:cs="Times New Roman"/>
                      <w:sz w:val="21"/>
                      <w:szCs w:val="21"/>
                    </w:rPr>
                  </w:pPr>
                  <w:r>
                    <w:rPr>
                      <w:rFonts w:ascii="Times New Roman" w:hAnsi="Times New Roman" w:cs="Times New Roman"/>
                      <w:sz w:val="21"/>
                      <w:szCs w:val="21"/>
                    </w:rPr>
                    <w:t>35</w:t>
                  </w:r>
                </w:p>
              </w:tc>
              <w:tc>
                <w:tcPr>
                  <w:tcW w:w="911" w:type="pct"/>
                  <w:tcBorders>
                    <w:top w:val="single" w:color="auto" w:sz="6" w:space="0"/>
                    <w:left w:val="single" w:color="auto" w:sz="6" w:space="0"/>
                    <w:bottom w:val="single" w:color="auto" w:sz="6" w:space="0"/>
                    <w:right w:val="nil"/>
                  </w:tcBorders>
                  <w:vAlign w:val="center"/>
                </w:tcPr>
                <w:p w14:paraId="2C8AB8F5">
                  <w:pPr>
                    <w:keepNext/>
                    <w:keepLines/>
                    <w:pageBreakBefore/>
                    <w:jc w:val="center"/>
                    <w:rPr>
                      <w:rFonts w:ascii="Times New Roman" w:hAnsi="Times New Roman" w:cs="Times New Roman"/>
                      <w:sz w:val="21"/>
                      <w:szCs w:val="21"/>
                    </w:rPr>
                  </w:pPr>
                  <w:r>
                    <w:rPr>
                      <w:rFonts w:ascii="Times New Roman" w:hAnsi="Times New Roman" w:cs="Times New Roman"/>
                      <w:sz w:val="21"/>
                      <w:szCs w:val="21"/>
                    </w:rPr>
                    <w:t>GB/T30519</w:t>
                  </w:r>
                </w:p>
              </w:tc>
            </w:tr>
            <w:tr w14:paraId="4C8BCD6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6" w:space="0"/>
                    <w:right w:val="single" w:color="auto" w:sz="6" w:space="0"/>
                  </w:tcBorders>
                  <w:vAlign w:val="center"/>
                </w:tcPr>
                <w:p w14:paraId="7D5D512B">
                  <w:pPr>
                    <w:keepNext/>
                    <w:keepLines/>
                    <w:pageBreakBefore/>
                    <w:rPr>
                      <w:rFonts w:ascii="Times New Roman" w:hAnsi="Times New Roman" w:cs="Times New Roman"/>
                      <w:sz w:val="21"/>
                      <w:szCs w:val="21"/>
                    </w:rPr>
                  </w:pPr>
                  <w:r>
                    <w:rPr>
                      <w:rFonts w:ascii="Times New Roman" w:hAnsi="Times New Roman" w:cs="Times New Roman"/>
                      <w:sz w:val="21"/>
                      <w:szCs w:val="21"/>
                    </w:rPr>
                    <w:t>烯烃含量（体积分数）/% 不大于</w:t>
                  </w:r>
                </w:p>
              </w:tc>
              <w:tc>
                <w:tcPr>
                  <w:tcW w:w="2054" w:type="pct"/>
                  <w:gridSpan w:val="3"/>
                  <w:tcBorders>
                    <w:top w:val="single" w:color="auto" w:sz="6" w:space="0"/>
                    <w:left w:val="single" w:color="auto" w:sz="6" w:space="0"/>
                    <w:bottom w:val="single" w:color="auto" w:sz="6" w:space="0"/>
                    <w:right w:val="single" w:color="auto" w:sz="6" w:space="0"/>
                  </w:tcBorders>
                  <w:vAlign w:val="center"/>
                </w:tcPr>
                <w:p w14:paraId="7FFFECAE">
                  <w:pPr>
                    <w:keepNext/>
                    <w:keepLines/>
                    <w:pageBreakBefore/>
                    <w:jc w:val="center"/>
                    <w:rPr>
                      <w:rFonts w:ascii="Times New Roman" w:hAnsi="Times New Roman" w:cs="Times New Roman"/>
                      <w:sz w:val="21"/>
                      <w:szCs w:val="21"/>
                    </w:rPr>
                  </w:pPr>
                  <w:r>
                    <w:rPr>
                      <w:rFonts w:ascii="Times New Roman" w:hAnsi="Times New Roman" w:cs="Times New Roman"/>
                      <w:sz w:val="21"/>
                      <w:szCs w:val="21"/>
                    </w:rPr>
                    <w:t>15</w:t>
                  </w:r>
                </w:p>
              </w:tc>
              <w:tc>
                <w:tcPr>
                  <w:tcW w:w="911" w:type="pct"/>
                  <w:tcBorders>
                    <w:top w:val="single" w:color="auto" w:sz="6" w:space="0"/>
                    <w:left w:val="single" w:color="auto" w:sz="6" w:space="0"/>
                    <w:bottom w:val="single" w:color="auto" w:sz="6" w:space="0"/>
                    <w:right w:val="nil"/>
                  </w:tcBorders>
                  <w:vAlign w:val="center"/>
                </w:tcPr>
                <w:p w14:paraId="1827DE67">
                  <w:pPr>
                    <w:keepNext/>
                    <w:keepLines/>
                    <w:pageBreakBefore/>
                    <w:jc w:val="center"/>
                    <w:rPr>
                      <w:rFonts w:ascii="Times New Roman" w:hAnsi="Times New Roman" w:cs="Times New Roman"/>
                      <w:sz w:val="21"/>
                      <w:szCs w:val="21"/>
                    </w:rPr>
                  </w:pPr>
                  <w:r>
                    <w:rPr>
                      <w:rFonts w:ascii="Times New Roman" w:hAnsi="Times New Roman" w:cs="Times New Roman"/>
                      <w:sz w:val="21"/>
                      <w:szCs w:val="21"/>
                    </w:rPr>
                    <w:t>GB/T30519</w:t>
                  </w:r>
                </w:p>
              </w:tc>
            </w:tr>
            <w:tr w14:paraId="7119EE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6" w:space="0"/>
                    <w:right w:val="single" w:color="auto" w:sz="6" w:space="0"/>
                  </w:tcBorders>
                  <w:vAlign w:val="center"/>
                </w:tcPr>
                <w:p w14:paraId="2A53431B">
                  <w:pPr>
                    <w:keepNext/>
                    <w:keepLines/>
                    <w:pageBreakBefore/>
                    <w:rPr>
                      <w:rFonts w:ascii="Times New Roman" w:hAnsi="Times New Roman" w:cs="Times New Roman"/>
                      <w:sz w:val="21"/>
                      <w:szCs w:val="21"/>
                    </w:rPr>
                  </w:pPr>
                  <w:r>
                    <w:rPr>
                      <w:rFonts w:ascii="Times New Roman" w:hAnsi="Times New Roman" w:cs="Times New Roman"/>
                      <w:sz w:val="21"/>
                      <w:szCs w:val="21"/>
                    </w:rPr>
                    <w:t>氧含量（质量分数）/%   不大于</w:t>
                  </w:r>
                </w:p>
              </w:tc>
              <w:tc>
                <w:tcPr>
                  <w:tcW w:w="2054" w:type="pct"/>
                  <w:gridSpan w:val="3"/>
                  <w:tcBorders>
                    <w:top w:val="single" w:color="auto" w:sz="6" w:space="0"/>
                    <w:left w:val="single" w:color="auto" w:sz="6" w:space="0"/>
                    <w:bottom w:val="single" w:color="auto" w:sz="6" w:space="0"/>
                    <w:right w:val="single" w:color="auto" w:sz="6" w:space="0"/>
                  </w:tcBorders>
                  <w:vAlign w:val="center"/>
                </w:tcPr>
                <w:p w14:paraId="57422B1D">
                  <w:pPr>
                    <w:keepNext/>
                    <w:keepLines/>
                    <w:pageBreakBefore/>
                    <w:jc w:val="center"/>
                    <w:rPr>
                      <w:rFonts w:ascii="Times New Roman" w:hAnsi="Times New Roman" w:cs="Times New Roman"/>
                      <w:sz w:val="21"/>
                      <w:szCs w:val="21"/>
                    </w:rPr>
                  </w:pPr>
                  <w:r>
                    <w:rPr>
                      <w:rFonts w:ascii="Times New Roman" w:hAnsi="Times New Roman" w:cs="Times New Roman"/>
                      <w:sz w:val="21"/>
                      <w:szCs w:val="21"/>
                    </w:rPr>
                    <w:t>2.7</w:t>
                  </w:r>
                </w:p>
              </w:tc>
              <w:tc>
                <w:tcPr>
                  <w:tcW w:w="911" w:type="pct"/>
                  <w:tcBorders>
                    <w:top w:val="single" w:color="auto" w:sz="6" w:space="0"/>
                    <w:left w:val="single" w:color="auto" w:sz="6" w:space="0"/>
                    <w:bottom w:val="single" w:color="auto" w:sz="6" w:space="0"/>
                    <w:right w:val="nil"/>
                  </w:tcBorders>
                  <w:vAlign w:val="center"/>
                </w:tcPr>
                <w:p w14:paraId="207CDC3E">
                  <w:pPr>
                    <w:keepNext/>
                    <w:keepLines/>
                    <w:pageBreakBefore/>
                    <w:jc w:val="center"/>
                    <w:rPr>
                      <w:rFonts w:ascii="Times New Roman" w:hAnsi="Times New Roman" w:cs="Times New Roman"/>
                      <w:sz w:val="21"/>
                      <w:szCs w:val="21"/>
                    </w:rPr>
                  </w:pPr>
                  <w:r>
                    <w:rPr>
                      <w:rFonts w:ascii="Times New Roman" w:hAnsi="Times New Roman" w:cs="Times New Roman"/>
                      <w:sz w:val="21"/>
                      <w:szCs w:val="21"/>
                    </w:rPr>
                    <w:t>NB/SH/T0663</w:t>
                  </w:r>
                </w:p>
              </w:tc>
            </w:tr>
            <w:tr w14:paraId="2865043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6" w:space="0"/>
                    <w:right w:val="single" w:color="auto" w:sz="6" w:space="0"/>
                  </w:tcBorders>
                  <w:vAlign w:val="center"/>
                </w:tcPr>
                <w:p w14:paraId="0AEACB66">
                  <w:pPr>
                    <w:keepNext/>
                    <w:keepLines/>
                    <w:pageBreakBefore/>
                    <w:rPr>
                      <w:rFonts w:ascii="Times New Roman" w:hAnsi="Times New Roman" w:cs="Times New Roman"/>
                      <w:sz w:val="21"/>
                      <w:szCs w:val="21"/>
                    </w:rPr>
                  </w:pPr>
                  <w:r>
                    <w:rPr>
                      <w:rFonts w:ascii="Times New Roman" w:hAnsi="Times New Roman" w:cs="Times New Roman"/>
                      <w:sz w:val="21"/>
                      <w:szCs w:val="21"/>
                    </w:rPr>
                    <w:t>甲醇含量（质量分数）/% 不大于</w:t>
                  </w:r>
                </w:p>
              </w:tc>
              <w:tc>
                <w:tcPr>
                  <w:tcW w:w="2054" w:type="pct"/>
                  <w:gridSpan w:val="3"/>
                  <w:tcBorders>
                    <w:top w:val="single" w:color="auto" w:sz="6" w:space="0"/>
                    <w:left w:val="single" w:color="auto" w:sz="6" w:space="0"/>
                    <w:bottom w:val="single" w:color="auto" w:sz="6" w:space="0"/>
                    <w:right w:val="single" w:color="auto" w:sz="6" w:space="0"/>
                  </w:tcBorders>
                  <w:vAlign w:val="center"/>
                </w:tcPr>
                <w:p w14:paraId="6C89C006">
                  <w:pPr>
                    <w:keepNext/>
                    <w:keepLines/>
                    <w:pageBreakBefore/>
                    <w:jc w:val="center"/>
                    <w:rPr>
                      <w:rFonts w:ascii="Times New Roman" w:hAnsi="Times New Roman" w:cs="Times New Roman"/>
                      <w:sz w:val="21"/>
                      <w:szCs w:val="21"/>
                    </w:rPr>
                  </w:pPr>
                  <w:r>
                    <w:rPr>
                      <w:rFonts w:ascii="Times New Roman" w:hAnsi="Times New Roman" w:cs="Times New Roman"/>
                      <w:sz w:val="21"/>
                      <w:szCs w:val="21"/>
                    </w:rPr>
                    <w:t>0.3</w:t>
                  </w:r>
                </w:p>
              </w:tc>
              <w:tc>
                <w:tcPr>
                  <w:tcW w:w="911" w:type="pct"/>
                  <w:tcBorders>
                    <w:top w:val="single" w:color="auto" w:sz="6" w:space="0"/>
                    <w:left w:val="single" w:color="auto" w:sz="6" w:space="0"/>
                    <w:bottom w:val="single" w:color="auto" w:sz="6" w:space="0"/>
                    <w:right w:val="nil"/>
                  </w:tcBorders>
                  <w:vAlign w:val="center"/>
                </w:tcPr>
                <w:p w14:paraId="7B989A51">
                  <w:pPr>
                    <w:keepNext/>
                    <w:keepLines/>
                    <w:pageBreakBefore/>
                    <w:jc w:val="center"/>
                    <w:rPr>
                      <w:rFonts w:ascii="Times New Roman" w:hAnsi="Times New Roman" w:cs="Times New Roman"/>
                      <w:sz w:val="21"/>
                      <w:szCs w:val="21"/>
                    </w:rPr>
                  </w:pPr>
                  <w:r>
                    <w:rPr>
                      <w:rFonts w:ascii="Times New Roman" w:hAnsi="Times New Roman" w:cs="Times New Roman"/>
                      <w:sz w:val="21"/>
                      <w:szCs w:val="21"/>
                    </w:rPr>
                    <w:t>NB/SH/T0663</w:t>
                  </w:r>
                </w:p>
              </w:tc>
            </w:tr>
            <w:tr w14:paraId="64B7E0B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6" w:space="0"/>
                    <w:right w:val="single" w:color="auto" w:sz="6" w:space="0"/>
                  </w:tcBorders>
                  <w:vAlign w:val="center"/>
                </w:tcPr>
                <w:p w14:paraId="4660B13D">
                  <w:pPr>
                    <w:keepNext/>
                    <w:keepLines/>
                    <w:pageBreakBefore/>
                    <w:rPr>
                      <w:rFonts w:ascii="Times New Roman" w:hAnsi="Times New Roman" w:cs="Times New Roman"/>
                      <w:sz w:val="21"/>
                      <w:szCs w:val="21"/>
                    </w:rPr>
                  </w:pPr>
                  <w:r>
                    <w:rPr>
                      <w:rFonts w:ascii="Times New Roman" w:hAnsi="Times New Roman" w:cs="Times New Roman"/>
                      <w:sz w:val="21"/>
                      <w:szCs w:val="21"/>
                    </w:rPr>
                    <w:t>锰含量/（g/l）        不大于</w:t>
                  </w:r>
                </w:p>
              </w:tc>
              <w:tc>
                <w:tcPr>
                  <w:tcW w:w="2054" w:type="pct"/>
                  <w:gridSpan w:val="3"/>
                  <w:tcBorders>
                    <w:top w:val="single" w:color="auto" w:sz="6" w:space="0"/>
                    <w:left w:val="single" w:color="auto" w:sz="6" w:space="0"/>
                    <w:bottom w:val="single" w:color="auto" w:sz="6" w:space="0"/>
                    <w:right w:val="single" w:color="auto" w:sz="6" w:space="0"/>
                  </w:tcBorders>
                  <w:vAlign w:val="center"/>
                </w:tcPr>
                <w:p w14:paraId="067C4E86">
                  <w:pPr>
                    <w:keepNext/>
                    <w:keepLines/>
                    <w:pageBreakBefore/>
                    <w:jc w:val="center"/>
                    <w:rPr>
                      <w:rFonts w:ascii="Times New Roman" w:hAnsi="Times New Roman" w:cs="Times New Roman"/>
                      <w:sz w:val="21"/>
                      <w:szCs w:val="21"/>
                    </w:rPr>
                  </w:pPr>
                  <w:r>
                    <w:rPr>
                      <w:rFonts w:ascii="Times New Roman" w:hAnsi="Times New Roman" w:cs="Times New Roman"/>
                      <w:sz w:val="21"/>
                      <w:szCs w:val="21"/>
                    </w:rPr>
                    <w:t>0.002</w:t>
                  </w:r>
                </w:p>
              </w:tc>
              <w:tc>
                <w:tcPr>
                  <w:tcW w:w="911" w:type="pct"/>
                  <w:tcBorders>
                    <w:top w:val="single" w:color="auto" w:sz="6" w:space="0"/>
                    <w:left w:val="single" w:color="auto" w:sz="6" w:space="0"/>
                    <w:bottom w:val="single" w:color="auto" w:sz="6" w:space="0"/>
                    <w:right w:val="nil"/>
                  </w:tcBorders>
                  <w:vAlign w:val="center"/>
                </w:tcPr>
                <w:p w14:paraId="69DD2A97">
                  <w:pPr>
                    <w:keepNext/>
                    <w:keepLines/>
                    <w:pageBreakBefore/>
                    <w:jc w:val="center"/>
                    <w:rPr>
                      <w:rFonts w:ascii="Times New Roman" w:hAnsi="Times New Roman" w:cs="Times New Roman"/>
                      <w:sz w:val="21"/>
                      <w:szCs w:val="21"/>
                    </w:rPr>
                  </w:pPr>
                  <w:r>
                    <w:rPr>
                      <w:rFonts w:ascii="Times New Roman" w:hAnsi="Times New Roman" w:cs="Times New Roman"/>
                      <w:sz w:val="21"/>
                      <w:szCs w:val="21"/>
                    </w:rPr>
                    <w:t>SH/T0711</w:t>
                  </w:r>
                </w:p>
              </w:tc>
            </w:tr>
            <w:tr w14:paraId="5ABB623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6" w:space="0"/>
                    <w:right w:val="single" w:color="auto" w:sz="6" w:space="0"/>
                  </w:tcBorders>
                  <w:vAlign w:val="center"/>
                </w:tcPr>
                <w:p w14:paraId="7D356C20">
                  <w:pPr>
                    <w:keepNext/>
                    <w:keepLines/>
                    <w:pageBreakBefore/>
                    <w:rPr>
                      <w:rFonts w:ascii="Times New Roman" w:hAnsi="Times New Roman" w:cs="Times New Roman"/>
                      <w:sz w:val="21"/>
                      <w:szCs w:val="21"/>
                    </w:rPr>
                  </w:pPr>
                  <w:r>
                    <w:rPr>
                      <w:rFonts w:ascii="Times New Roman" w:hAnsi="Times New Roman" w:cs="Times New Roman"/>
                      <w:sz w:val="21"/>
                      <w:szCs w:val="21"/>
                    </w:rPr>
                    <w:t>铁含量/（g/l）        不大于</w:t>
                  </w:r>
                </w:p>
              </w:tc>
              <w:tc>
                <w:tcPr>
                  <w:tcW w:w="2054" w:type="pct"/>
                  <w:gridSpan w:val="3"/>
                  <w:tcBorders>
                    <w:top w:val="single" w:color="auto" w:sz="6" w:space="0"/>
                    <w:left w:val="single" w:color="auto" w:sz="6" w:space="0"/>
                    <w:bottom w:val="single" w:color="auto" w:sz="6" w:space="0"/>
                    <w:right w:val="single" w:color="auto" w:sz="6" w:space="0"/>
                  </w:tcBorders>
                  <w:vAlign w:val="center"/>
                </w:tcPr>
                <w:p w14:paraId="0582140B">
                  <w:pPr>
                    <w:keepNext/>
                    <w:keepLines/>
                    <w:pageBreakBefore/>
                    <w:jc w:val="center"/>
                    <w:rPr>
                      <w:rFonts w:ascii="Times New Roman" w:hAnsi="Times New Roman" w:cs="Times New Roman"/>
                      <w:sz w:val="21"/>
                      <w:szCs w:val="21"/>
                    </w:rPr>
                  </w:pPr>
                  <w:r>
                    <w:rPr>
                      <w:rFonts w:ascii="Times New Roman" w:hAnsi="Times New Roman" w:cs="Times New Roman"/>
                      <w:sz w:val="21"/>
                      <w:szCs w:val="21"/>
                    </w:rPr>
                    <w:t>0.01</w:t>
                  </w:r>
                </w:p>
              </w:tc>
              <w:tc>
                <w:tcPr>
                  <w:tcW w:w="911" w:type="pct"/>
                  <w:tcBorders>
                    <w:top w:val="single" w:color="auto" w:sz="6" w:space="0"/>
                    <w:left w:val="single" w:color="auto" w:sz="6" w:space="0"/>
                    <w:bottom w:val="single" w:color="auto" w:sz="6" w:space="0"/>
                    <w:right w:val="nil"/>
                  </w:tcBorders>
                  <w:vAlign w:val="center"/>
                </w:tcPr>
                <w:p w14:paraId="6A47ACC1">
                  <w:pPr>
                    <w:keepNext/>
                    <w:keepLines/>
                    <w:pageBreakBefore/>
                    <w:jc w:val="center"/>
                    <w:rPr>
                      <w:rFonts w:ascii="Times New Roman" w:hAnsi="Times New Roman" w:cs="Times New Roman"/>
                      <w:sz w:val="21"/>
                      <w:szCs w:val="21"/>
                    </w:rPr>
                  </w:pPr>
                  <w:r>
                    <w:rPr>
                      <w:rFonts w:ascii="Times New Roman" w:hAnsi="Times New Roman" w:cs="Times New Roman"/>
                      <w:sz w:val="21"/>
                      <w:szCs w:val="21"/>
                    </w:rPr>
                    <w:t>SH/T0712</w:t>
                  </w:r>
                </w:p>
              </w:tc>
            </w:tr>
            <w:tr w14:paraId="4C08EB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34" w:type="pct"/>
                  <w:tcBorders>
                    <w:top w:val="single" w:color="auto" w:sz="6" w:space="0"/>
                    <w:left w:val="nil"/>
                    <w:bottom w:val="single" w:color="auto" w:sz="12" w:space="0"/>
                    <w:right w:val="single" w:color="auto" w:sz="6" w:space="0"/>
                  </w:tcBorders>
                  <w:vAlign w:val="center"/>
                </w:tcPr>
                <w:p w14:paraId="61B4E792">
                  <w:pPr>
                    <w:keepNext/>
                    <w:keepLines/>
                    <w:pageBreakBefore/>
                    <w:rPr>
                      <w:rFonts w:ascii="Times New Roman" w:hAnsi="Times New Roman" w:cs="Times New Roman"/>
                      <w:sz w:val="21"/>
                      <w:szCs w:val="21"/>
                    </w:rPr>
                  </w:pPr>
                  <w:r>
                    <w:rPr>
                      <w:rFonts w:ascii="Times New Roman" w:hAnsi="Times New Roman" w:cs="Times New Roman"/>
                      <w:sz w:val="21"/>
                      <w:szCs w:val="21"/>
                    </w:rPr>
                    <w:t>密度（20℃）/（kg/m</w:t>
                  </w:r>
                  <w:r>
                    <w:rPr>
                      <w:rFonts w:ascii="Times New Roman" w:hAnsi="Times New Roman" w:cs="Times New Roman"/>
                      <w:sz w:val="21"/>
                      <w:szCs w:val="21"/>
                      <w:vertAlign w:val="superscript"/>
                    </w:rPr>
                    <w:t>3</w:t>
                  </w:r>
                  <w:r>
                    <w:rPr>
                      <w:rFonts w:ascii="Times New Roman" w:hAnsi="Times New Roman" w:cs="Times New Roman"/>
                      <w:sz w:val="21"/>
                      <w:szCs w:val="21"/>
                    </w:rPr>
                    <w:t>）</w:t>
                  </w:r>
                </w:p>
              </w:tc>
              <w:tc>
                <w:tcPr>
                  <w:tcW w:w="2054" w:type="pct"/>
                  <w:gridSpan w:val="3"/>
                  <w:tcBorders>
                    <w:top w:val="single" w:color="auto" w:sz="6" w:space="0"/>
                    <w:left w:val="single" w:color="auto" w:sz="6" w:space="0"/>
                    <w:bottom w:val="single" w:color="auto" w:sz="12" w:space="0"/>
                    <w:right w:val="single" w:color="auto" w:sz="6" w:space="0"/>
                  </w:tcBorders>
                  <w:vAlign w:val="center"/>
                </w:tcPr>
                <w:p w14:paraId="7424C053">
                  <w:pPr>
                    <w:keepNext/>
                    <w:keepLines/>
                    <w:pageBreakBefore/>
                    <w:jc w:val="center"/>
                    <w:rPr>
                      <w:rFonts w:ascii="Times New Roman" w:hAnsi="Times New Roman" w:cs="Times New Roman"/>
                      <w:sz w:val="21"/>
                      <w:szCs w:val="21"/>
                    </w:rPr>
                  </w:pPr>
                  <w:r>
                    <w:rPr>
                      <w:rFonts w:ascii="Times New Roman" w:hAnsi="Times New Roman" w:cs="Times New Roman"/>
                      <w:sz w:val="21"/>
                      <w:szCs w:val="21"/>
                    </w:rPr>
                    <w:t>720-775</w:t>
                  </w:r>
                </w:p>
              </w:tc>
              <w:tc>
                <w:tcPr>
                  <w:tcW w:w="911" w:type="pct"/>
                  <w:tcBorders>
                    <w:top w:val="single" w:color="auto" w:sz="6" w:space="0"/>
                    <w:left w:val="single" w:color="auto" w:sz="6" w:space="0"/>
                    <w:bottom w:val="single" w:color="auto" w:sz="12" w:space="0"/>
                    <w:right w:val="nil"/>
                  </w:tcBorders>
                  <w:vAlign w:val="center"/>
                </w:tcPr>
                <w:p w14:paraId="40F32CC2">
                  <w:pPr>
                    <w:keepNext/>
                    <w:keepLines/>
                    <w:pageBreakBefore/>
                    <w:ind w:left="117"/>
                    <w:jc w:val="center"/>
                    <w:rPr>
                      <w:rFonts w:ascii="Times New Roman" w:hAnsi="Times New Roman" w:cs="Times New Roman"/>
                      <w:sz w:val="21"/>
                      <w:szCs w:val="21"/>
                    </w:rPr>
                  </w:pPr>
                  <w:r>
                    <w:rPr>
                      <w:rFonts w:ascii="Times New Roman" w:hAnsi="Times New Roman" w:cs="Times New Roman"/>
                      <w:sz w:val="21"/>
                      <w:szCs w:val="21"/>
                    </w:rPr>
                    <w:t>GB/T1884、GB/T1885</w:t>
                  </w:r>
                </w:p>
              </w:tc>
            </w:tr>
          </w:tbl>
          <w:p w14:paraId="0557547C">
            <w:pPr>
              <w:keepNext/>
              <w:keepLines/>
              <w:adjustRightInd w:val="0"/>
              <w:snapToGrid w:val="0"/>
              <w:ind w:firstLine="442" w:firstLineChars="200"/>
              <w:jc w:val="center"/>
              <w:rPr>
                <w:rFonts w:ascii="Times New Roman" w:hAnsi="Times New Roman" w:cs="Times New Roman"/>
                <w:b/>
                <w:color w:val="000000"/>
                <w:szCs w:val="18"/>
              </w:rPr>
            </w:pPr>
            <w:r>
              <w:rPr>
                <w:rFonts w:ascii="Times New Roman" w:hAnsi="Times New Roman" w:cs="Times New Roman"/>
                <w:b/>
                <w:spacing w:val="-10"/>
                <w:szCs w:val="21"/>
              </w:rPr>
              <w:t>表2-3 车用柴油规格</w:t>
            </w:r>
          </w:p>
          <w:tbl>
            <w:tblPr>
              <w:tblStyle w:val="16"/>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267"/>
              <w:gridCol w:w="550"/>
              <w:gridCol w:w="551"/>
              <w:gridCol w:w="550"/>
              <w:gridCol w:w="550"/>
              <w:gridCol w:w="550"/>
              <w:gridCol w:w="551"/>
              <w:gridCol w:w="1376"/>
            </w:tblGrid>
            <w:tr w14:paraId="0610A3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73" w:hRule="atLeast"/>
                <w:tblHeader/>
              </w:trPr>
              <w:tc>
                <w:tcPr>
                  <w:tcW w:w="2056" w:type="pct"/>
                  <w:vMerge w:val="restart"/>
                  <w:tcBorders>
                    <w:top w:val="single" w:color="auto" w:sz="12" w:space="0"/>
                    <w:left w:val="nil"/>
                    <w:bottom w:val="single" w:color="auto" w:sz="12" w:space="0"/>
                    <w:right w:val="single" w:color="auto" w:sz="6" w:space="0"/>
                  </w:tcBorders>
                  <w:vAlign w:val="center"/>
                </w:tcPr>
                <w:p w14:paraId="0250D91D">
                  <w:pPr>
                    <w:keepNext/>
                    <w:keepLines/>
                    <w:jc w:val="center"/>
                    <w:rPr>
                      <w:rFonts w:ascii="Times New Roman" w:hAnsi="Times New Roman" w:cs="Times New Roman"/>
                      <w:sz w:val="21"/>
                      <w:szCs w:val="21"/>
                    </w:rPr>
                  </w:pPr>
                  <w:r>
                    <w:rPr>
                      <w:rFonts w:ascii="Times New Roman" w:hAnsi="Times New Roman" w:cs="Times New Roman"/>
                      <w:sz w:val="21"/>
                      <w:szCs w:val="21"/>
                    </w:rPr>
                    <w:t>项目</w:t>
                  </w:r>
                </w:p>
              </w:tc>
              <w:tc>
                <w:tcPr>
                  <w:tcW w:w="2077" w:type="pct"/>
                  <w:gridSpan w:val="6"/>
                  <w:tcBorders>
                    <w:top w:val="single" w:color="auto" w:sz="12" w:space="0"/>
                    <w:left w:val="single" w:color="auto" w:sz="6" w:space="0"/>
                    <w:bottom w:val="single" w:color="auto" w:sz="12" w:space="0"/>
                    <w:right w:val="single" w:color="auto" w:sz="6" w:space="0"/>
                  </w:tcBorders>
                  <w:vAlign w:val="center"/>
                </w:tcPr>
                <w:p w14:paraId="72A5EC9F">
                  <w:pPr>
                    <w:keepNext/>
                    <w:keepLines/>
                    <w:jc w:val="center"/>
                    <w:rPr>
                      <w:rFonts w:ascii="Times New Roman" w:hAnsi="Times New Roman" w:cs="Times New Roman"/>
                      <w:sz w:val="21"/>
                      <w:szCs w:val="21"/>
                    </w:rPr>
                  </w:pPr>
                  <w:r>
                    <w:rPr>
                      <w:rFonts w:ascii="Times New Roman" w:hAnsi="Times New Roman" w:cs="Times New Roman"/>
                      <w:sz w:val="21"/>
                      <w:szCs w:val="21"/>
                    </w:rPr>
                    <w:t>质量指标</w:t>
                  </w:r>
                </w:p>
              </w:tc>
              <w:tc>
                <w:tcPr>
                  <w:tcW w:w="866" w:type="pct"/>
                  <w:vMerge w:val="restart"/>
                  <w:tcBorders>
                    <w:top w:val="single" w:color="auto" w:sz="12" w:space="0"/>
                    <w:left w:val="single" w:color="auto" w:sz="6" w:space="0"/>
                    <w:bottom w:val="single" w:color="auto" w:sz="12" w:space="0"/>
                    <w:right w:val="nil"/>
                  </w:tcBorders>
                  <w:vAlign w:val="center"/>
                </w:tcPr>
                <w:p w14:paraId="62738DB7">
                  <w:pPr>
                    <w:keepNext/>
                    <w:keepLines/>
                    <w:jc w:val="center"/>
                    <w:rPr>
                      <w:rFonts w:ascii="Times New Roman" w:hAnsi="Times New Roman" w:cs="Times New Roman"/>
                      <w:sz w:val="21"/>
                      <w:szCs w:val="21"/>
                    </w:rPr>
                  </w:pPr>
                  <w:r>
                    <w:rPr>
                      <w:rFonts w:ascii="Times New Roman" w:hAnsi="Times New Roman" w:cs="Times New Roman"/>
                      <w:sz w:val="21"/>
                      <w:szCs w:val="21"/>
                    </w:rPr>
                    <w:t>方法</w:t>
                  </w:r>
                </w:p>
              </w:tc>
            </w:tr>
            <w:tr w14:paraId="63EA93F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72" w:hRule="atLeast"/>
                <w:tblHeader/>
              </w:trPr>
              <w:tc>
                <w:tcPr>
                  <w:tcW w:w="3543" w:type="dxa"/>
                  <w:vMerge w:val="continue"/>
                  <w:tcBorders>
                    <w:top w:val="single" w:color="auto" w:sz="12" w:space="0"/>
                    <w:left w:val="nil"/>
                    <w:bottom w:val="single" w:color="auto" w:sz="12" w:space="0"/>
                    <w:right w:val="single" w:color="auto" w:sz="6" w:space="0"/>
                  </w:tcBorders>
                  <w:vAlign w:val="center"/>
                </w:tcPr>
                <w:p w14:paraId="47550062">
                  <w:pPr>
                    <w:keepNext/>
                    <w:keepLines/>
                    <w:rPr>
                      <w:rFonts w:ascii="Times New Roman" w:hAnsi="Times New Roman" w:cs="Times New Roman"/>
                      <w:sz w:val="21"/>
                      <w:szCs w:val="21"/>
                    </w:rPr>
                  </w:pPr>
                </w:p>
              </w:tc>
              <w:tc>
                <w:tcPr>
                  <w:tcW w:w="346" w:type="pct"/>
                  <w:tcBorders>
                    <w:top w:val="single" w:color="auto" w:sz="12" w:space="0"/>
                    <w:left w:val="single" w:color="auto" w:sz="6" w:space="0"/>
                    <w:bottom w:val="single" w:color="auto" w:sz="12" w:space="0"/>
                    <w:right w:val="single" w:color="auto" w:sz="6" w:space="0"/>
                  </w:tcBorders>
                  <w:vAlign w:val="center"/>
                </w:tcPr>
                <w:p w14:paraId="22FC99C7">
                  <w:pPr>
                    <w:keepNext/>
                    <w:keepLines/>
                    <w:jc w:val="center"/>
                    <w:rPr>
                      <w:rFonts w:ascii="Times New Roman" w:hAnsi="Times New Roman" w:cs="Times New Roman"/>
                      <w:sz w:val="21"/>
                      <w:szCs w:val="21"/>
                    </w:rPr>
                  </w:pPr>
                  <w:r>
                    <w:rPr>
                      <w:rFonts w:ascii="Times New Roman" w:hAnsi="Times New Roman" w:cs="Times New Roman"/>
                      <w:sz w:val="21"/>
                      <w:szCs w:val="21"/>
                    </w:rPr>
                    <w:t>5号</w:t>
                  </w:r>
                </w:p>
              </w:tc>
              <w:tc>
                <w:tcPr>
                  <w:tcW w:w="347" w:type="pct"/>
                  <w:tcBorders>
                    <w:top w:val="single" w:color="auto" w:sz="12" w:space="0"/>
                    <w:left w:val="single" w:color="auto" w:sz="6" w:space="0"/>
                    <w:bottom w:val="single" w:color="auto" w:sz="12" w:space="0"/>
                    <w:right w:val="single" w:color="auto" w:sz="6" w:space="0"/>
                  </w:tcBorders>
                  <w:vAlign w:val="center"/>
                </w:tcPr>
                <w:p w14:paraId="4FA42987">
                  <w:pPr>
                    <w:keepNext/>
                    <w:keepLines/>
                    <w:jc w:val="center"/>
                    <w:rPr>
                      <w:rFonts w:ascii="Times New Roman" w:hAnsi="Times New Roman" w:cs="Times New Roman"/>
                      <w:sz w:val="21"/>
                      <w:szCs w:val="21"/>
                    </w:rPr>
                  </w:pPr>
                  <w:r>
                    <w:rPr>
                      <w:rFonts w:ascii="Times New Roman" w:hAnsi="Times New Roman" w:cs="Times New Roman"/>
                      <w:sz w:val="21"/>
                      <w:szCs w:val="21"/>
                    </w:rPr>
                    <w:t>0号</w:t>
                  </w:r>
                </w:p>
              </w:tc>
              <w:tc>
                <w:tcPr>
                  <w:tcW w:w="346" w:type="pct"/>
                  <w:tcBorders>
                    <w:top w:val="single" w:color="auto" w:sz="12" w:space="0"/>
                    <w:left w:val="single" w:color="auto" w:sz="6" w:space="0"/>
                    <w:bottom w:val="single" w:color="auto" w:sz="12" w:space="0"/>
                    <w:right w:val="single" w:color="auto" w:sz="6" w:space="0"/>
                  </w:tcBorders>
                  <w:vAlign w:val="center"/>
                </w:tcPr>
                <w:p w14:paraId="67DA0FC2">
                  <w:pPr>
                    <w:keepNext/>
                    <w:keepLines/>
                    <w:jc w:val="center"/>
                    <w:rPr>
                      <w:rFonts w:ascii="Times New Roman" w:hAnsi="Times New Roman" w:cs="Times New Roman"/>
                      <w:sz w:val="21"/>
                      <w:szCs w:val="21"/>
                    </w:rPr>
                  </w:pPr>
                  <w:r>
                    <w:rPr>
                      <w:rFonts w:ascii="Times New Roman" w:hAnsi="Times New Roman" w:cs="Times New Roman"/>
                      <w:sz w:val="21"/>
                      <w:szCs w:val="21"/>
                    </w:rPr>
                    <w:t>-10号</w:t>
                  </w:r>
                </w:p>
              </w:tc>
              <w:tc>
                <w:tcPr>
                  <w:tcW w:w="346" w:type="pct"/>
                  <w:tcBorders>
                    <w:top w:val="single" w:color="auto" w:sz="12" w:space="0"/>
                    <w:left w:val="single" w:color="auto" w:sz="6" w:space="0"/>
                    <w:bottom w:val="single" w:color="auto" w:sz="12" w:space="0"/>
                    <w:right w:val="single" w:color="auto" w:sz="6" w:space="0"/>
                  </w:tcBorders>
                  <w:vAlign w:val="center"/>
                </w:tcPr>
                <w:p w14:paraId="339B7F03">
                  <w:pPr>
                    <w:keepNext/>
                    <w:keepLines/>
                    <w:jc w:val="center"/>
                    <w:rPr>
                      <w:rFonts w:ascii="Times New Roman" w:hAnsi="Times New Roman" w:cs="Times New Roman"/>
                      <w:sz w:val="21"/>
                      <w:szCs w:val="21"/>
                    </w:rPr>
                  </w:pPr>
                  <w:r>
                    <w:rPr>
                      <w:rFonts w:ascii="Times New Roman" w:hAnsi="Times New Roman" w:cs="Times New Roman"/>
                      <w:sz w:val="21"/>
                      <w:szCs w:val="21"/>
                    </w:rPr>
                    <w:t>-20号</w:t>
                  </w:r>
                </w:p>
              </w:tc>
              <w:tc>
                <w:tcPr>
                  <w:tcW w:w="346" w:type="pct"/>
                  <w:tcBorders>
                    <w:top w:val="single" w:color="auto" w:sz="12" w:space="0"/>
                    <w:left w:val="single" w:color="auto" w:sz="6" w:space="0"/>
                    <w:bottom w:val="single" w:color="auto" w:sz="12" w:space="0"/>
                    <w:right w:val="single" w:color="auto" w:sz="6" w:space="0"/>
                  </w:tcBorders>
                  <w:vAlign w:val="center"/>
                </w:tcPr>
                <w:p w14:paraId="6F646164">
                  <w:pPr>
                    <w:keepNext/>
                    <w:keepLines/>
                    <w:jc w:val="center"/>
                    <w:rPr>
                      <w:rFonts w:ascii="Times New Roman" w:hAnsi="Times New Roman" w:cs="Times New Roman"/>
                      <w:sz w:val="21"/>
                      <w:szCs w:val="21"/>
                    </w:rPr>
                  </w:pPr>
                  <w:r>
                    <w:rPr>
                      <w:rFonts w:ascii="Times New Roman" w:hAnsi="Times New Roman" w:cs="Times New Roman"/>
                      <w:sz w:val="21"/>
                      <w:szCs w:val="21"/>
                    </w:rPr>
                    <w:t>-35号</w:t>
                  </w:r>
                </w:p>
              </w:tc>
              <w:tc>
                <w:tcPr>
                  <w:tcW w:w="347" w:type="pct"/>
                  <w:tcBorders>
                    <w:top w:val="single" w:color="auto" w:sz="12" w:space="0"/>
                    <w:left w:val="single" w:color="auto" w:sz="6" w:space="0"/>
                    <w:bottom w:val="single" w:color="auto" w:sz="12" w:space="0"/>
                    <w:right w:val="single" w:color="auto" w:sz="6" w:space="0"/>
                  </w:tcBorders>
                  <w:vAlign w:val="center"/>
                </w:tcPr>
                <w:p w14:paraId="78F92838">
                  <w:pPr>
                    <w:keepNext/>
                    <w:keepLines/>
                    <w:jc w:val="center"/>
                    <w:rPr>
                      <w:rFonts w:ascii="Times New Roman" w:hAnsi="Times New Roman" w:cs="Times New Roman"/>
                      <w:sz w:val="21"/>
                      <w:szCs w:val="21"/>
                    </w:rPr>
                  </w:pPr>
                  <w:r>
                    <w:rPr>
                      <w:rFonts w:ascii="Times New Roman" w:hAnsi="Times New Roman" w:cs="Times New Roman"/>
                      <w:sz w:val="21"/>
                      <w:szCs w:val="21"/>
                    </w:rPr>
                    <w:t>-50号</w:t>
                  </w:r>
                </w:p>
              </w:tc>
              <w:tc>
                <w:tcPr>
                  <w:tcW w:w="1559" w:type="dxa"/>
                  <w:vMerge w:val="continue"/>
                  <w:tcBorders>
                    <w:top w:val="single" w:color="auto" w:sz="12" w:space="0"/>
                    <w:left w:val="single" w:color="auto" w:sz="6" w:space="0"/>
                    <w:bottom w:val="single" w:color="auto" w:sz="12" w:space="0"/>
                    <w:right w:val="nil"/>
                  </w:tcBorders>
                  <w:vAlign w:val="center"/>
                </w:tcPr>
                <w:p w14:paraId="0988E5F5">
                  <w:pPr>
                    <w:keepNext/>
                    <w:keepLines/>
                    <w:rPr>
                      <w:rFonts w:ascii="Times New Roman" w:hAnsi="Times New Roman" w:cs="Times New Roman"/>
                      <w:sz w:val="21"/>
                      <w:szCs w:val="21"/>
                    </w:rPr>
                  </w:pPr>
                </w:p>
              </w:tc>
            </w:tr>
            <w:tr w14:paraId="4864173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12" w:space="0"/>
                    <w:left w:val="nil"/>
                    <w:bottom w:val="single" w:color="auto" w:sz="6" w:space="0"/>
                    <w:right w:val="single" w:color="auto" w:sz="6" w:space="0"/>
                  </w:tcBorders>
                  <w:vAlign w:val="center"/>
                </w:tcPr>
                <w:p w14:paraId="393C1C4A">
                  <w:pPr>
                    <w:keepNext/>
                    <w:keepLines/>
                    <w:rPr>
                      <w:rFonts w:ascii="Times New Roman" w:hAnsi="Times New Roman" w:cs="Times New Roman"/>
                      <w:sz w:val="21"/>
                      <w:szCs w:val="21"/>
                    </w:rPr>
                  </w:pPr>
                  <w:r>
                    <w:rPr>
                      <w:rFonts w:ascii="Times New Roman" w:hAnsi="Times New Roman" w:cs="Times New Roman"/>
                      <w:sz w:val="21"/>
                      <w:szCs w:val="21"/>
                    </w:rPr>
                    <w:t>氧化安定性（以总不溶物计）/（mg/100ml）不大于</w:t>
                  </w:r>
                </w:p>
              </w:tc>
              <w:tc>
                <w:tcPr>
                  <w:tcW w:w="2077" w:type="pct"/>
                  <w:gridSpan w:val="6"/>
                  <w:tcBorders>
                    <w:top w:val="single" w:color="auto" w:sz="12" w:space="0"/>
                    <w:left w:val="single" w:color="auto" w:sz="6" w:space="0"/>
                    <w:bottom w:val="single" w:color="auto" w:sz="6" w:space="0"/>
                    <w:right w:val="single" w:color="auto" w:sz="6" w:space="0"/>
                  </w:tcBorders>
                  <w:vAlign w:val="center"/>
                </w:tcPr>
                <w:p w14:paraId="52161262">
                  <w:pPr>
                    <w:keepNext/>
                    <w:keepLines/>
                    <w:jc w:val="center"/>
                    <w:rPr>
                      <w:rFonts w:ascii="Times New Roman" w:hAnsi="Times New Roman" w:cs="Times New Roman"/>
                      <w:sz w:val="21"/>
                      <w:szCs w:val="21"/>
                    </w:rPr>
                  </w:pPr>
                </w:p>
                <w:p w14:paraId="33CC08BA">
                  <w:pPr>
                    <w:keepNext/>
                    <w:keepLines/>
                    <w:jc w:val="center"/>
                    <w:rPr>
                      <w:rFonts w:ascii="Times New Roman" w:hAnsi="Times New Roman" w:cs="Times New Roman"/>
                      <w:sz w:val="21"/>
                      <w:szCs w:val="21"/>
                    </w:rPr>
                  </w:pPr>
                  <w:r>
                    <w:rPr>
                      <w:rFonts w:ascii="Times New Roman" w:hAnsi="Times New Roman" w:cs="Times New Roman"/>
                      <w:sz w:val="21"/>
                      <w:szCs w:val="21"/>
                    </w:rPr>
                    <w:t>2.5</w:t>
                  </w:r>
                </w:p>
              </w:tc>
              <w:tc>
                <w:tcPr>
                  <w:tcW w:w="866" w:type="pct"/>
                  <w:tcBorders>
                    <w:top w:val="single" w:color="auto" w:sz="12" w:space="0"/>
                    <w:left w:val="single" w:color="auto" w:sz="6" w:space="0"/>
                    <w:bottom w:val="single" w:color="auto" w:sz="6" w:space="0"/>
                    <w:right w:val="nil"/>
                  </w:tcBorders>
                  <w:vAlign w:val="center"/>
                </w:tcPr>
                <w:p w14:paraId="35779A38">
                  <w:pPr>
                    <w:keepNext/>
                    <w:keepLines/>
                    <w:jc w:val="center"/>
                    <w:rPr>
                      <w:rFonts w:ascii="Times New Roman" w:hAnsi="Times New Roman" w:cs="Times New Roman"/>
                      <w:sz w:val="21"/>
                      <w:szCs w:val="21"/>
                    </w:rPr>
                  </w:pPr>
                  <w:r>
                    <w:rPr>
                      <w:rFonts w:ascii="Times New Roman" w:hAnsi="Times New Roman" w:cs="Times New Roman"/>
                      <w:sz w:val="21"/>
                      <w:szCs w:val="21"/>
                    </w:rPr>
                    <w:t>SH/T0175</w:t>
                  </w:r>
                </w:p>
              </w:tc>
            </w:tr>
            <w:tr w14:paraId="6FAA683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6" w:space="0"/>
                    <w:right w:val="single" w:color="auto" w:sz="6" w:space="0"/>
                  </w:tcBorders>
                  <w:vAlign w:val="center"/>
                </w:tcPr>
                <w:p w14:paraId="42DC17D0">
                  <w:pPr>
                    <w:keepNext/>
                    <w:keepLines/>
                    <w:rPr>
                      <w:rFonts w:ascii="Times New Roman" w:hAnsi="Times New Roman" w:cs="Times New Roman"/>
                      <w:sz w:val="21"/>
                      <w:szCs w:val="21"/>
                    </w:rPr>
                  </w:pPr>
                  <w:r>
                    <w:rPr>
                      <w:rFonts w:ascii="Times New Roman" w:hAnsi="Times New Roman" w:cs="Times New Roman"/>
                      <w:sz w:val="21"/>
                      <w:szCs w:val="21"/>
                    </w:rPr>
                    <w:t>硫含量mg/kg         不大于</w:t>
                  </w:r>
                </w:p>
              </w:tc>
              <w:tc>
                <w:tcPr>
                  <w:tcW w:w="2077" w:type="pct"/>
                  <w:gridSpan w:val="6"/>
                  <w:tcBorders>
                    <w:top w:val="single" w:color="auto" w:sz="6" w:space="0"/>
                    <w:left w:val="single" w:color="auto" w:sz="6" w:space="0"/>
                    <w:bottom w:val="single" w:color="auto" w:sz="6" w:space="0"/>
                    <w:right w:val="single" w:color="auto" w:sz="6" w:space="0"/>
                  </w:tcBorders>
                  <w:vAlign w:val="center"/>
                </w:tcPr>
                <w:p w14:paraId="108A5730">
                  <w:pPr>
                    <w:keepNext/>
                    <w:keepLines/>
                    <w:jc w:val="center"/>
                    <w:rPr>
                      <w:rFonts w:ascii="Times New Roman" w:hAnsi="Times New Roman" w:cs="Times New Roman"/>
                      <w:sz w:val="21"/>
                      <w:szCs w:val="21"/>
                    </w:rPr>
                  </w:pPr>
                  <w:r>
                    <w:rPr>
                      <w:rFonts w:ascii="Times New Roman" w:hAnsi="Times New Roman" w:cs="Times New Roman"/>
                      <w:sz w:val="21"/>
                      <w:szCs w:val="21"/>
                    </w:rPr>
                    <w:t>10</w:t>
                  </w:r>
                </w:p>
              </w:tc>
              <w:tc>
                <w:tcPr>
                  <w:tcW w:w="866" w:type="pct"/>
                  <w:tcBorders>
                    <w:top w:val="single" w:color="auto" w:sz="6" w:space="0"/>
                    <w:left w:val="single" w:color="auto" w:sz="6" w:space="0"/>
                    <w:bottom w:val="single" w:color="auto" w:sz="6" w:space="0"/>
                    <w:right w:val="nil"/>
                  </w:tcBorders>
                  <w:vAlign w:val="center"/>
                </w:tcPr>
                <w:p w14:paraId="263F9100">
                  <w:pPr>
                    <w:keepNext/>
                    <w:keepLines/>
                    <w:jc w:val="center"/>
                    <w:rPr>
                      <w:rFonts w:ascii="Times New Roman" w:hAnsi="Times New Roman" w:cs="Times New Roman"/>
                      <w:sz w:val="21"/>
                      <w:szCs w:val="21"/>
                    </w:rPr>
                  </w:pPr>
                  <w:r>
                    <w:rPr>
                      <w:rFonts w:ascii="Times New Roman" w:hAnsi="Times New Roman" w:cs="Times New Roman"/>
                      <w:sz w:val="21"/>
                      <w:szCs w:val="21"/>
                    </w:rPr>
                    <w:t>SH/T0689</w:t>
                  </w:r>
                </w:p>
              </w:tc>
            </w:tr>
            <w:tr w14:paraId="7C94836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6" w:space="0"/>
                    <w:right w:val="single" w:color="auto" w:sz="6" w:space="0"/>
                  </w:tcBorders>
                  <w:vAlign w:val="center"/>
                </w:tcPr>
                <w:p w14:paraId="072EF97B">
                  <w:pPr>
                    <w:keepNext/>
                    <w:keepLines/>
                    <w:ind w:left="210" w:hanging="210" w:hangingChars="100"/>
                    <w:rPr>
                      <w:rFonts w:ascii="Times New Roman" w:hAnsi="Times New Roman" w:cs="Times New Roman"/>
                      <w:sz w:val="21"/>
                      <w:szCs w:val="21"/>
                    </w:rPr>
                  </w:pPr>
                  <w:r>
                    <w:rPr>
                      <w:rFonts w:ascii="Times New Roman" w:hAnsi="Times New Roman" w:cs="Times New Roman"/>
                      <w:sz w:val="21"/>
                      <w:szCs w:val="21"/>
                    </w:rPr>
                    <w:t>酸度（以KOH计）/（mg/100ml）不大于</w:t>
                  </w:r>
                </w:p>
              </w:tc>
              <w:tc>
                <w:tcPr>
                  <w:tcW w:w="2077" w:type="pct"/>
                  <w:gridSpan w:val="6"/>
                  <w:tcBorders>
                    <w:top w:val="single" w:color="auto" w:sz="6" w:space="0"/>
                    <w:left w:val="single" w:color="auto" w:sz="6" w:space="0"/>
                    <w:bottom w:val="single" w:color="auto" w:sz="6" w:space="0"/>
                    <w:right w:val="single" w:color="auto" w:sz="6" w:space="0"/>
                  </w:tcBorders>
                  <w:vAlign w:val="center"/>
                </w:tcPr>
                <w:p w14:paraId="302592D1">
                  <w:pPr>
                    <w:keepNext/>
                    <w:keepLines/>
                    <w:jc w:val="center"/>
                    <w:rPr>
                      <w:rFonts w:ascii="Times New Roman" w:hAnsi="Times New Roman" w:cs="Times New Roman"/>
                      <w:sz w:val="21"/>
                      <w:szCs w:val="21"/>
                    </w:rPr>
                  </w:pPr>
                  <w:r>
                    <w:rPr>
                      <w:rFonts w:ascii="Times New Roman" w:hAnsi="Times New Roman" w:cs="Times New Roman"/>
                      <w:sz w:val="21"/>
                      <w:szCs w:val="21"/>
                    </w:rPr>
                    <w:t>7</w:t>
                  </w:r>
                </w:p>
              </w:tc>
              <w:tc>
                <w:tcPr>
                  <w:tcW w:w="866" w:type="pct"/>
                  <w:tcBorders>
                    <w:top w:val="single" w:color="auto" w:sz="6" w:space="0"/>
                    <w:left w:val="single" w:color="auto" w:sz="6" w:space="0"/>
                    <w:bottom w:val="single" w:color="auto" w:sz="6" w:space="0"/>
                    <w:right w:val="nil"/>
                  </w:tcBorders>
                  <w:vAlign w:val="center"/>
                </w:tcPr>
                <w:p w14:paraId="2C7E1912">
                  <w:pPr>
                    <w:keepNext/>
                    <w:keepLines/>
                    <w:jc w:val="center"/>
                    <w:rPr>
                      <w:rFonts w:ascii="Times New Roman" w:hAnsi="Times New Roman" w:cs="Times New Roman"/>
                      <w:sz w:val="21"/>
                      <w:szCs w:val="21"/>
                    </w:rPr>
                  </w:pPr>
                  <w:r>
                    <w:rPr>
                      <w:rFonts w:ascii="Times New Roman" w:hAnsi="Times New Roman" w:cs="Times New Roman"/>
                      <w:sz w:val="21"/>
                      <w:szCs w:val="21"/>
                    </w:rPr>
                    <w:t>GB/T258</w:t>
                  </w:r>
                </w:p>
              </w:tc>
            </w:tr>
            <w:tr w14:paraId="187666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6" w:space="0"/>
                    <w:right w:val="single" w:color="auto" w:sz="6" w:space="0"/>
                  </w:tcBorders>
                  <w:vAlign w:val="center"/>
                </w:tcPr>
                <w:p w14:paraId="68820BA3">
                  <w:pPr>
                    <w:keepNext/>
                    <w:keepLines/>
                    <w:rPr>
                      <w:rFonts w:ascii="Times New Roman" w:hAnsi="Times New Roman" w:cs="Times New Roman"/>
                      <w:sz w:val="21"/>
                      <w:szCs w:val="21"/>
                    </w:rPr>
                  </w:pPr>
                  <w:r>
                    <w:rPr>
                      <w:rFonts w:ascii="Times New Roman" w:hAnsi="Times New Roman" w:cs="Times New Roman"/>
                      <w:sz w:val="21"/>
                      <w:szCs w:val="21"/>
                    </w:rPr>
                    <w:t>10%蒸余物残炭（质量分数）/%  不大于</w:t>
                  </w:r>
                </w:p>
              </w:tc>
              <w:tc>
                <w:tcPr>
                  <w:tcW w:w="2077" w:type="pct"/>
                  <w:gridSpan w:val="6"/>
                  <w:tcBorders>
                    <w:top w:val="single" w:color="auto" w:sz="6" w:space="0"/>
                    <w:left w:val="single" w:color="auto" w:sz="6" w:space="0"/>
                    <w:bottom w:val="single" w:color="auto" w:sz="6" w:space="0"/>
                    <w:right w:val="single" w:color="auto" w:sz="6" w:space="0"/>
                  </w:tcBorders>
                  <w:vAlign w:val="center"/>
                </w:tcPr>
                <w:p w14:paraId="60056AEB">
                  <w:pPr>
                    <w:keepNext/>
                    <w:keepLines/>
                    <w:jc w:val="center"/>
                    <w:rPr>
                      <w:rFonts w:ascii="Times New Roman" w:hAnsi="Times New Roman" w:cs="Times New Roman"/>
                      <w:sz w:val="21"/>
                      <w:szCs w:val="21"/>
                    </w:rPr>
                  </w:pPr>
                  <w:r>
                    <w:rPr>
                      <w:rFonts w:ascii="Times New Roman" w:hAnsi="Times New Roman" w:cs="Times New Roman"/>
                      <w:sz w:val="21"/>
                      <w:szCs w:val="21"/>
                    </w:rPr>
                    <w:t>0.3</w:t>
                  </w:r>
                </w:p>
              </w:tc>
              <w:tc>
                <w:tcPr>
                  <w:tcW w:w="866" w:type="pct"/>
                  <w:tcBorders>
                    <w:top w:val="single" w:color="auto" w:sz="6" w:space="0"/>
                    <w:left w:val="single" w:color="auto" w:sz="6" w:space="0"/>
                    <w:bottom w:val="single" w:color="auto" w:sz="6" w:space="0"/>
                    <w:right w:val="nil"/>
                  </w:tcBorders>
                  <w:vAlign w:val="center"/>
                </w:tcPr>
                <w:p w14:paraId="4AE39921">
                  <w:pPr>
                    <w:keepNext/>
                    <w:keepLines/>
                    <w:jc w:val="center"/>
                    <w:rPr>
                      <w:rFonts w:ascii="Times New Roman" w:hAnsi="Times New Roman" w:cs="Times New Roman"/>
                      <w:sz w:val="21"/>
                      <w:szCs w:val="21"/>
                    </w:rPr>
                  </w:pPr>
                  <w:r>
                    <w:rPr>
                      <w:rFonts w:ascii="Times New Roman" w:hAnsi="Times New Roman" w:cs="Times New Roman"/>
                      <w:sz w:val="21"/>
                      <w:szCs w:val="21"/>
                    </w:rPr>
                    <w:t>GB/T17144</w:t>
                  </w:r>
                </w:p>
              </w:tc>
            </w:tr>
            <w:tr w14:paraId="6E698B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6" w:space="0"/>
                    <w:right w:val="single" w:color="auto" w:sz="6" w:space="0"/>
                  </w:tcBorders>
                  <w:vAlign w:val="center"/>
                </w:tcPr>
                <w:p w14:paraId="1136ADA3">
                  <w:pPr>
                    <w:keepNext/>
                    <w:keepLines/>
                    <w:rPr>
                      <w:rFonts w:ascii="Times New Roman" w:hAnsi="Times New Roman" w:cs="Times New Roman"/>
                      <w:sz w:val="21"/>
                      <w:szCs w:val="21"/>
                    </w:rPr>
                  </w:pPr>
                  <w:r>
                    <w:rPr>
                      <w:rFonts w:ascii="Times New Roman" w:hAnsi="Times New Roman" w:cs="Times New Roman"/>
                      <w:sz w:val="21"/>
                      <w:szCs w:val="21"/>
                    </w:rPr>
                    <w:t>灰分（质量分数）/%      不大于</w:t>
                  </w:r>
                </w:p>
              </w:tc>
              <w:tc>
                <w:tcPr>
                  <w:tcW w:w="2077" w:type="pct"/>
                  <w:gridSpan w:val="6"/>
                  <w:tcBorders>
                    <w:top w:val="single" w:color="auto" w:sz="6" w:space="0"/>
                    <w:left w:val="single" w:color="auto" w:sz="6" w:space="0"/>
                    <w:bottom w:val="single" w:color="auto" w:sz="6" w:space="0"/>
                    <w:right w:val="single" w:color="auto" w:sz="6" w:space="0"/>
                  </w:tcBorders>
                  <w:vAlign w:val="center"/>
                </w:tcPr>
                <w:p w14:paraId="79B00BAC">
                  <w:pPr>
                    <w:keepNext/>
                    <w:keepLines/>
                    <w:jc w:val="center"/>
                    <w:rPr>
                      <w:rFonts w:ascii="Times New Roman" w:hAnsi="Times New Roman" w:cs="Times New Roman"/>
                      <w:sz w:val="21"/>
                      <w:szCs w:val="21"/>
                    </w:rPr>
                  </w:pPr>
                  <w:r>
                    <w:rPr>
                      <w:rFonts w:ascii="Times New Roman" w:hAnsi="Times New Roman" w:cs="Times New Roman"/>
                      <w:sz w:val="21"/>
                      <w:szCs w:val="21"/>
                    </w:rPr>
                    <w:t>0.01</w:t>
                  </w:r>
                </w:p>
              </w:tc>
              <w:tc>
                <w:tcPr>
                  <w:tcW w:w="866" w:type="pct"/>
                  <w:tcBorders>
                    <w:top w:val="single" w:color="auto" w:sz="6" w:space="0"/>
                    <w:left w:val="single" w:color="auto" w:sz="6" w:space="0"/>
                    <w:bottom w:val="single" w:color="auto" w:sz="6" w:space="0"/>
                    <w:right w:val="nil"/>
                  </w:tcBorders>
                  <w:vAlign w:val="center"/>
                </w:tcPr>
                <w:p w14:paraId="71BCADEF">
                  <w:pPr>
                    <w:keepNext/>
                    <w:keepLines/>
                    <w:jc w:val="center"/>
                    <w:rPr>
                      <w:rFonts w:ascii="Times New Roman" w:hAnsi="Times New Roman" w:cs="Times New Roman"/>
                      <w:sz w:val="21"/>
                      <w:szCs w:val="21"/>
                    </w:rPr>
                  </w:pPr>
                  <w:r>
                    <w:rPr>
                      <w:rFonts w:ascii="Times New Roman" w:hAnsi="Times New Roman" w:cs="Times New Roman"/>
                      <w:sz w:val="21"/>
                      <w:szCs w:val="21"/>
                    </w:rPr>
                    <w:t>GB/T508</w:t>
                  </w:r>
                </w:p>
              </w:tc>
            </w:tr>
            <w:tr w14:paraId="301FC86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6" w:space="0"/>
                    <w:right w:val="single" w:color="auto" w:sz="6" w:space="0"/>
                  </w:tcBorders>
                  <w:vAlign w:val="center"/>
                </w:tcPr>
                <w:p w14:paraId="62235489">
                  <w:pPr>
                    <w:keepNext/>
                    <w:keepLines/>
                    <w:rPr>
                      <w:rFonts w:ascii="Times New Roman" w:hAnsi="Times New Roman" w:cs="Times New Roman"/>
                      <w:sz w:val="21"/>
                      <w:szCs w:val="21"/>
                    </w:rPr>
                  </w:pPr>
                  <w:r>
                    <w:rPr>
                      <w:rFonts w:ascii="Times New Roman" w:hAnsi="Times New Roman" w:cs="Times New Roman"/>
                      <w:sz w:val="21"/>
                      <w:szCs w:val="21"/>
                    </w:rPr>
                    <w:t>铜片腐蚀（50℃,3h）/级   不大于</w:t>
                  </w:r>
                </w:p>
              </w:tc>
              <w:tc>
                <w:tcPr>
                  <w:tcW w:w="2077" w:type="pct"/>
                  <w:gridSpan w:val="6"/>
                  <w:tcBorders>
                    <w:top w:val="single" w:color="auto" w:sz="6" w:space="0"/>
                    <w:left w:val="single" w:color="auto" w:sz="6" w:space="0"/>
                    <w:bottom w:val="single" w:color="auto" w:sz="6" w:space="0"/>
                    <w:right w:val="single" w:color="auto" w:sz="6" w:space="0"/>
                  </w:tcBorders>
                  <w:vAlign w:val="center"/>
                </w:tcPr>
                <w:p w14:paraId="006EFB7E">
                  <w:pPr>
                    <w:keepNext/>
                    <w:keepLines/>
                    <w:jc w:val="center"/>
                    <w:rPr>
                      <w:rFonts w:ascii="Times New Roman" w:hAnsi="Times New Roman" w:cs="Times New Roman"/>
                      <w:sz w:val="21"/>
                      <w:szCs w:val="21"/>
                    </w:rPr>
                  </w:pPr>
                  <w:r>
                    <w:rPr>
                      <w:rFonts w:ascii="Times New Roman" w:hAnsi="Times New Roman" w:cs="Times New Roman"/>
                      <w:sz w:val="21"/>
                      <w:szCs w:val="21"/>
                    </w:rPr>
                    <w:t>1</w:t>
                  </w:r>
                </w:p>
              </w:tc>
              <w:tc>
                <w:tcPr>
                  <w:tcW w:w="866" w:type="pct"/>
                  <w:tcBorders>
                    <w:top w:val="single" w:color="auto" w:sz="6" w:space="0"/>
                    <w:left w:val="single" w:color="auto" w:sz="6" w:space="0"/>
                    <w:bottom w:val="single" w:color="auto" w:sz="6" w:space="0"/>
                    <w:right w:val="nil"/>
                  </w:tcBorders>
                  <w:vAlign w:val="center"/>
                </w:tcPr>
                <w:p w14:paraId="3CB2BD95">
                  <w:pPr>
                    <w:keepNext/>
                    <w:keepLines/>
                    <w:jc w:val="center"/>
                    <w:rPr>
                      <w:rFonts w:ascii="Times New Roman" w:hAnsi="Times New Roman" w:cs="Times New Roman"/>
                      <w:sz w:val="21"/>
                      <w:szCs w:val="21"/>
                    </w:rPr>
                  </w:pPr>
                  <w:r>
                    <w:rPr>
                      <w:rFonts w:ascii="Times New Roman" w:hAnsi="Times New Roman" w:cs="Times New Roman"/>
                      <w:sz w:val="21"/>
                      <w:szCs w:val="21"/>
                    </w:rPr>
                    <w:t>GB/T5096</w:t>
                  </w:r>
                </w:p>
              </w:tc>
            </w:tr>
            <w:tr w14:paraId="4789509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6" w:space="0"/>
                    <w:right w:val="single" w:color="auto" w:sz="6" w:space="0"/>
                  </w:tcBorders>
                  <w:vAlign w:val="center"/>
                </w:tcPr>
                <w:p w14:paraId="4E591E51">
                  <w:pPr>
                    <w:keepNext/>
                    <w:keepLines/>
                    <w:rPr>
                      <w:rFonts w:ascii="Times New Roman" w:hAnsi="Times New Roman" w:cs="Times New Roman"/>
                      <w:sz w:val="21"/>
                      <w:szCs w:val="21"/>
                    </w:rPr>
                  </w:pPr>
                  <w:r>
                    <w:rPr>
                      <w:rFonts w:ascii="Times New Roman" w:hAnsi="Times New Roman" w:cs="Times New Roman"/>
                      <w:sz w:val="21"/>
                      <w:szCs w:val="21"/>
                    </w:rPr>
                    <w:t>水含量（体积分数）/%    不大于</w:t>
                  </w:r>
                </w:p>
              </w:tc>
              <w:tc>
                <w:tcPr>
                  <w:tcW w:w="2077" w:type="pct"/>
                  <w:gridSpan w:val="6"/>
                  <w:tcBorders>
                    <w:top w:val="single" w:color="auto" w:sz="6" w:space="0"/>
                    <w:left w:val="single" w:color="auto" w:sz="6" w:space="0"/>
                    <w:bottom w:val="single" w:color="auto" w:sz="6" w:space="0"/>
                    <w:right w:val="single" w:color="auto" w:sz="6" w:space="0"/>
                  </w:tcBorders>
                  <w:vAlign w:val="center"/>
                </w:tcPr>
                <w:p w14:paraId="4BECFB04">
                  <w:pPr>
                    <w:keepNext/>
                    <w:keepLines/>
                    <w:jc w:val="center"/>
                    <w:rPr>
                      <w:rFonts w:ascii="Times New Roman" w:hAnsi="Times New Roman" w:cs="Times New Roman"/>
                      <w:sz w:val="21"/>
                      <w:szCs w:val="21"/>
                    </w:rPr>
                  </w:pPr>
                  <w:r>
                    <w:rPr>
                      <w:rFonts w:ascii="Times New Roman" w:hAnsi="Times New Roman" w:cs="Times New Roman"/>
                      <w:sz w:val="21"/>
                      <w:szCs w:val="21"/>
                    </w:rPr>
                    <w:t>痕迹</w:t>
                  </w:r>
                </w:p>
              </w:tc>
              <w:tc>
                <w:tcPr>
                  <w:tcW w:w="866" w:type="pct"/>
                  <w:tcBorders>
                    <w:top w:val="single" w:color="auto" w:sz="6" w:space="0"/>
                    <w:left w:val="single" w:color="auto" w:sz="6" w:space="0"/>
                    <w:bottom w:val="single" w:color="auto" w:sz="6" w:space="0"/>
                    <w:right w:val="nil"/>
                  </w:tcBorders>
                  <w:vAlign w:val="center"/>
                </w:tcPr>
                <w:p w14:paraId="5D66B061">
                  <w:pPr>
                    <w:keepNext/>
                    <w:keepLines/>
                    <w:jc w:val="center"/>
                    <w:rPr>
                      <w:rFonts w:ascii="Times New Roman" w:hAnsi="Times New Roman" w:cs="Times New Roman"/>
                      <w:sz w:val="21"/>
                      <w:szCs w:val="21"/>
                    </w:rPr>
                  </w:pPr>
                  <w:r>
                    <w:rPr>
                      <w:rFonts w:ascii="Times New Roman" w:hAnsi="Times New Roman" w:cs="Times New Roman"/>
                      <w:sz w:val="21"/>
                      <w:szCs w:val="21"/>
                    </w:rPr>
                    <w:t>GB/T260</w:t>
                  </w:r>
                </w:p>
              </w:tc>
            </w:tr>
            <w:tr w14:paraId="7773AB9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6" w:space="0"/>
                    <w:right w:val="single" w:color="auto" w:sz="6" w:space="0"/>
                  </w:tcBorders>
                  <w:vAlign w:val="center"/>
                </w:tcPr>
                <w:p w14:paraId="79E61C34">
                  <w:pPr>
                    <w:keepNext/>
                    <w:keepLines/>
                    <w:rPr>
                      <w:rFonts w:ascii="Times New Roman" w:hAnsi="Times New Roman" w:cs="Times New Roman"/>
                      <w:sz w:val="21"/>
                      <w:szCs w:val="21"/>
                    </w:rPr>
                  </w:pPr>
                  <w:r>
                    <w:rPr>
                      <w:rFonts w:ascii="Times New Roman" w:hAnsi="Times New Roman" w:cs="Times New Roman"/>
                      <w:sz w:val="21"/>
                      <w:szCs w:val="21"/>
                    </w:rPr>
                    <w:t>润滑性</w:t>
                  </w:r>
                </w:p>
                <w:p w14:paraId="0BD4E530">
                  <w:pPr>
                    <w:keepNext/>
                    <w:keepLines/>
                    <w:rPr>
                      <w:rFonts w:ascii="Times New Roman" w:hAnsi="Times New Roman" w:cs="Times New Roman"/>
                      <w:sz w:val="21"/>
                      <w:szCs w:val="21"/>
                    </w:rPr>
                  </w:pPr>
                  <w:r>
                    <w:rPr>
                      <w:rFonts w:ascii="Times New Roman" w:hAnsi="Times New Roman" w:cs="Times New Roman"/>
                      <w:sz w:val="21"/>
                      <w:szCs w:val="21"/>
                    </w:rPr>
                    <w:t>校正磨痕直径（60℃）/um 不大于</w:t>
                  </w:r>
                </w:p>
              </w:tc>
              <w:tc>
                <w:tcPr>
                  <w:tcW w:w="2077" w:type="pct"/>
                  <w:gridSpan w:val="6"/>
                  <w:tcBorders>
                    <w:top w:val="single" w:color="auto" w:sz="6" w:space="0"/>
                    <w:left w:val="single" w:color="auto" w:sz="6" w:space="0"/>
                    <w:bottom w:val="single" w:color="auto" w:sz="6" w:space="0"/>
                    <w:right w:val="single" w:color="auto" w:sz="6" w:space="0"/>
                  </w:tcBorders>
                  <w:vAlign w:val="center"/>
                </w:tcPr>
                <w:p w14:paraId="0169244E">
                  <w:pPr>
                    <w:keepNext/>
                    <w:keepLines/>
                    <w:jc w:val="center"/>
                    <w:rPr>
                      <w:rFonts w:ascii="Times New Roman" w:hAnsi="Times New Roman" w:cs="Times New Roman"/>
                      <w:sz w:val="21"/>
                      <w:szCs w:val="21"/>
                    </w:rPr>
                  </w:pPr>
                </w:p>
                <w:p w14:paraId="39A26ADA">
                  <w:pPr>
                    <w:keepNext/>
                    <w:keepLines/>
                    <w:jc w:val="center"/>
                    <w:rPr>
                      <w:rFonts w:ascii="Times New Roman" w:hAnsi="Times New Roman" w:cs="Times New Roman"/>
                      <w:sz w:val="21"/>
                      <w:szCs w:val="21"/>
                    </w:rPr>
                  </w:pPr>
                  <w:r>
                    <w:rPr>
                      <w:rFonts w:ascii="Times New Roman" w:hAnsi="Times New Roman" w:cs="Times New Roman"/>
                      <w:sz w:val="21"/>
                      <w:szCs w:val="21"/>
                    </w:rPr>
                    <w:t>460</w:t>
                  </w:r>
                </w:p>
              </w:tc>
              <w:tc>
                <w:tcPr>
                  <w:tcW w:w="866" w:type="pct"/>
                  <w:tcBorders>
                    <w:top w:val="single" w:color="auto" w:sz="6" w:space="0"/>
                    <w:left w:val="single" w:color="auto" w:sz="6" w:space="0"/>
                    <w:bottom w:val="single" w:color="auto" w:sz="6" w:space="0"/>
                    <w:right w:val="nil"/>
                  </w:tcBorders>
                  <w:vAlign w:val="center"/>
                </w:tcPr>
                <w:p w14:paraId="26E9EE9C">
                  <w:pPr>
                    <w:keepNext/>
                    <w:keepLines/>
                    <w:jc w:val="center"/>
                    <w:rPr>
                      <w:rFonts w:ascii="Times New Roman" w:hAnsi="Times New Roman" w:cs="Times New Roman"/>
                      <w:sz w:val="21"/>
                      <w:szCs w:val="21"/>
                    </w:rPr>
                  </w:pPr>
                  <w:r>
                    <w:rPr>
                      <w:rFonts w:ascii="Times New Roman" w:hAnsi="Times New Roman" w:cs="Times New Roman"/>
                      <w:sz w:val="21"/>
                      <w:szCs w:val="21"/>
                    </w:rPr>
                    <w:t>SH/T0765</w:t>
                  </w:r>
                </w:p>
              </w:tc>
            </w:tr>
            <w:tr w14:paraId="163498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6" w:space="0"/>
                    <w:right w:val="single" w:color="auto" w:sz="6" w:space="0"/>
                  </w:tcBorders>
                  <w:vAlign w:val="center"/>
                </w:tcPr>
                <w:p w14:paraId="2B89ABCC">
                  <w:pPr>
                    <w:keepNext/>
                    <w:keepLines/>
                    <w:rPr>
                      <w:rFonts w:ascii="Times New Roman" w:hAnsi="Times New Roman" w:cs="Times New Roman"/>
                      <w:sz w:val="21"/>
                      <w:szCs w:val="21"/>
                    </w:rPr>
                  </w:pPr>
                  <w:r>
                    <w:rPr>
                      <w:rFonts w:ascii="Times New Roman" w:hAnsi="Times New Roman" w:cs="Times New Roman"/>
                      <w:sz w:val="21"/>
                      <w:szCs w:val="21"/>
                    </w:rPr>
                    <w:t>多环芳烃含量（质量分数）/% 不大于</w:t>
                  </w:r>
                </w:p>
              </w:tc>
              <w:tc>
                <w:tcPr>
                  <w:tcW w:w="2077" w:type="pct"/>
                  <w:gridSpan w:val="6"/>
                  <w:tcBorders>
                    <w:top w:val="single" w:color="auto" w:sz="6" w:space="0"/>
                    <w:left w:val="single" w:color="auto" w:sz="6" w:space="0"/>
                    <w:bottom w:val="single" w:color="auto" w:sz="6" w:space="0"/>
                    <w:right w:val="single" w:color="auto" w:sz="6" w:space="0"/>
                  </w:tcBorders>
                  <w:vAlign w:val="center"/>
                </w:tcPr>
                <w:p w14:paraId="5B908DF2">
                  <w:pPr>
                    <w:keepNext/>
                    <w:keepLines/>
                    <w:jc w:val="center"/>
                    <w:rPr>
                      <w:rFonts w:ascii="Times New Roman" w:hAnsi="Times New Roman" w:cs="Times New Roman"/>
                      <w:sz w:val="21"/>
                      <w:szCs w:val="21"/>
                    </w:rPr>
                  </w:pPr>
                  <w:r>
                    <w:rPr>
                      <w:rFonts w:ascii="Times New Roman" w:hAnsi="Times New Roman" w:cs="Times New Roman"/>
                      <w:sz w:val="21"/>
                      <w:szCs w:val="21"/>
                    </w:rPr>
                    <w:t>7</w:t>
                  </w:r>
                </w:p>
              </w:tc>
              <w:tc>
                <w:tcPr>
                  <w:tcW w:w="866" w:type="pct"/>
                  <w:tcBorders>
                    <w:top w:val="single" w:color="auto" w:sz="6" w:space="0"/>
                    <w:left w:val="single" w:color="auto" w:sz="6" w:space="0"/>
                    <w:bottom w:val="single" w:color="auto" w:sz="6" w:space="0"/>
                    <w:right w:val="nil"/>
                  </w:tcBorders>
                  <w:vAlign w:val="center"/>
                </w:tcPr>
                <w:p w14:paraId="53A258C6">
                  <w:pPr>
                    <w:keepNext/>
                    <w:keepLines/>
                    <w:jc w:val="center"/>
                    <w:rPr>
                      <w:rFonts w:ascii="Times New Roman" w:hAnsi="Times New Roman" w:cs="Times New Roman"/>
                      <w:sz w:val="21"/>
                      <w:szCs w:val="21"/>
                    </w:rPr>
                  </w:pPr>
                  <w:r>
                    <w:rPr>
                      <w:rFonts w:ascii="Times New Roman" w:hAnsi="Times New Roman" w:cs="Times New Roman"/>
                      <w:sz w:val="21"/>
                      <w:szCs w:val="21"/>
                    </w:rPr>
                    <w:t>SH/T0806</w:t>
                  </w:r>
                </w:p>
              </w:tc>
            </w:tr>
            <w:tr w14:paraId="1D55F0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6" w:space="0"/>
                    <w:right w:val="single" w:color="auto" w:sz="6" w:space="0"/>
                  </w:tcBorders>
                  <w:vAlign w:val="center"/>
                </w:tcPr>
                <w:p w14:paraId="7AC35274">
                  <w:pPr>
                    <w:keepNext/>
                    <w:keepLines/>
                    <w:rPr>
                      <w:rFonts w:ascii="Times New Roman" w:hAnsi="Times New Roman" w:cs="Times New Roman"/>
                      <w:sz w:val="21"/>
                      <w:szCs w:val="21"/>
                    </w:rPr>
                  </w:pPr>
                  <w:r>
                    <w:rPr>
                      <w:rFonts w:ascii="Times New Roman" w:hAnsi="Times New Roman" w:cs="Times New Roman"/>
                      <w:sz w:val="21"/>
                      <w:szCs w:val="21"/>
                    </w:rPr>
                    <w:t>总污染物含量/（mg/kg）  不大于</w:t>
                  </w:r>
                </w:p>
              </w:tc>
              <w:tc>
                <w:tcPr>
                  <w:tcW w:w="2077" w:type="pct"/>
                  <w:gridSpan w:val="6"/>
                  <w:tcBorders>
                    <w:top w:val="single" w:color="auto" w:sz="6" w:space="0"/>
                    <w:left w:val="single" w:color="auto" w:sz="6" w:space="0"/>
                    <w:bottom w:val="single" w:color="auto" w:sz="6" w:space="0"/>
                    <w:right w:val="single" w:color="auto" w:sz="6" w:space="0"/>
                  </w:tcBorders>
                  <w:vAlign w:val="center"/>
                </w:tcPr>
                <w:p w14:paraId="323F2AD8">
                  <w:pPr>
                    <w:keepNext/>
                    <w:keepLines/>
                    <w:jc w:val="center"/>
                    <w:rPr>
                      <w:rFonts w:ascii="Times New Roman" w:hAnsi="Times New Roman" w:cs="Times New Roman"/>
                      <w:sz w:val="21"/>
                      <w:szCs w:val="21"/>
                    </w:rPr>
                  </w:pPr>
                  <w:r>
                    <w:rPr>
                      <w:rFonts w:ascii="Times New Roman" w:hAnsi="Times New Roman" w:cs="Times New Roman"/>
                      <w:sz w:val="21"/>
                      <w:szCs w:val="21"/>
                    </w:rPr>
                    <w:t>24</w:t>
                  </w:r>
                </w:p>
              </w:tc>
              <w:tc>
                <w:tcPr>
                  <w:tcW w:w="866" w:type="pct"/>
                  <w:tcBorders>
                    <w:top w:val="single" w:color="auto" w:sz="6" w:space="0"/>
                    <w:left w:val="single" w:color="auto" w:sz="6" w:space="0"/>
                    <w:bottom w:val="single" w:color="auto" w:sz="6" w:space="0"/>
                    <w:right w:val="nil"/>
                  </w:tcBorders>
                  <w:vAlign w:val="center"/>
                </w:tcPr>
                <w:p w14:paraId="3C5B804D">
                  <w:pPr>
                    <w:keepNext/>
                    <w:keepLines/>
                    <w:jc w:val="center"/>
                    <w:rPr>
                      <w:rFonts w:ascii="Times New Roman" w:hAnsi="Times New Roman" w:cs="Times New Roman"/>
                      <w:sz w:val="21"/>
                      <w:szCs w:val="21"/>
                    </w:rPr>
                  </w:pPr>
                  <w:r>
                    <w:rPr>
                      <w:rFonts w:ascii="Times New Roman" w:hAnsi="Times New Roman" w:cs="Times New Roman"/>
                      <w:sz w:val="21"/>
                      <w:szCs w:val="21"/>
                    </w:rPr>
                    <w:t>GB/T33400</w:t>
                  </w:r>
                </w:p>
              </w:tc>
            </w:tr>
            <w:tr w14:paraId="4B95A0B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6" w:space="0"/>
                    <w:right w:val="single" w:color="auto" w:sz="6" w:space="0"/>
                  </w:tcBorders>
                  <w:vAlign w:val="center"/>
                </w:tcPr>
                <w:p w14:paraId="04E5FF28">
                  <w:pPr>
                    <w:keepNext/>
                    <w:keepLines/>
                    <w:rPr>
                      <w:rFonts w:ascii="Times New Roman" w:hAnsi="Times New Roman" w:cs="Times New Roman"/>
                      <w:sz w:val="21"/>
                      <w:szCs w:val="21"/>
                    </w:rPr>
                  </w:pPr>
                  <w:r>
                    <w:rPr>
                      <w:rFonts w:ascii="Times New Roman" w:hAnsi="Times New Roman" w:cs="Times New Roman"/>
                      <w:sz w:val="21"/>
                      <w:szCs w:val="21"/>
                    </w:rPr>
                    <w:t>运动粘度（20℃）/（mm</w:t>
                  </w:r>
                  <w:r>
                    <w:rPr>
                      <w:rFonts w:ascii="Times New Roman" w:hAnsi="Times New Roman" w:cs="Times New Roman"/>
                      <w:sz w:val="21"/>
                      <w:szCs w:val="21"/>
                      <w:vertAlign w:val="superscript"/>
                    </w:rPr>
                    <w:t>2</w:t>
                  </w:r>
                  <w:r>
                    <w:rPr>
                      <w:rFonts w:ascii="Times New Roman" w:hAnsi="Times New Roman" w:cs="Times New Roman"/>
                      <w:sz w:val="21"/>
                      <w:szCs w:val="21"/>
                    </w:rPr>
                    <w:t>/s）</w:t>
                  </w:r>
                </w:p>
              </w:tc>
              <w:tc>
                <w:tcPr>
                  <w:tcW w:w="693" w:type="pct"/>
                  <w:gridSpan w:val="2"/>
                  <w:tcBorders>
                    <w:top w:val="single" w:color="auto" w:sz="6" w:space="0"/>
                    <w:left w:val="single" w:color="auto" w:sz="6" w:space="0"/>
                    <w:bottom w:val="single" w:color="auto" w:sz="6" w:space="0"/>
                    <w:right w:val="single" w:color="auto" w:sz="6" w:space="0"/>
                  </w:tcBorders>
                  <w:vAlign w:val="center"/>
                </w:tcPr>
                <w:p w14:paraId="067A675E">
                  <w:pPr>
                    <w:keepNext/>
                    <w:keepLines/>
                    <w:jc w:val="center"/>
                    <w:rPr>
                      <w:rFonts w:ascii="Times New Roman" w:hAnsi="Times New Roman" w:cs="Times New Roman"/>
                      <w:sz w:val="21"/>
                      <w:szCs w:val="21"/>
                    </w:rPr>
                  </w:pPr>
                  <w:r>
                    <w:rPr>
                      <w:rFonts w:ascii="Times New Roman" w:hAnsi="Times New Roman" w:cs="Times New Roman"/>
                      <w:sz w:val="21"/>
                      <w:szCs w:val="21"/>
                    </w:rPr>
                    <w:t>3.0-8.0</w:t>
                  </w:r>
                </w:p>
              </w:tc>
              <w:tc>
                <w:tcPr>
                  <w:tcW w:w="692" w:type="pct"/>
                  <w:gridSpan w:val="2"/>
                  <w:tcBorders>
                    <w:top w:val="single" w:color="auto" w:sz="6" w:space="0"/>
                    <w:left w:val="single" w:color="auto" w:sz="6" w:space="0"/>
                    <w:bottom w:val="single" w:color="auto" w:sz="6" w:space="0"/>
                    <w:right w:val="single" w:color="auto" w:sz="6" w:space="0"/>
                  </w:tcBorders>
                  <w:vAlign w:val="center"/>
                </w:tcPr>
                <w:p w14:paraId="20DC3FB7">
                  <w:pPr>
                    <w:keepNext/>
                    <w:keepLines/>
                    <w:jc w:val="center"/>
                    <w:rPr>
                      <w:rFonts w:ascii="Times New Roman" w:hAnsi="Times New Roman" w:cs="Times New Roman"/>
                      <w:sz w:val="21"/>
                      <w:szCs w:val="21"/>
                    </w:rPr>
                  </w:pPr>
                  <w:r>
                    <w:rPr>
                      <w:rFonts w:ascii="Times New Roman" w:hAnsi="Times New Roman" w:cs="Times New Roman"/>
                      <w:sz w:val="21"/>
                      <w:szCs w:val="21"/>
                    </w:rPr>
                    <w:t>GB/T265</w:t>
                  </w:r>
                </w:p>
              </w:tc>
              <w:tc>
                <w:tcPr>
                  <w:tcW w:w="693" w:type="pct"/>
                  <w:gridSpan w:val="2"/>
                  <w:tcBorders>
                    <w:top w:val="single" w:color="auto" w:sz="6" w:space="0"/>
                    <w:left w:val="single" w:color="auto" w:sz="6" w:space="0"/>
                    <w:bottom w:val="single" w:color="auto" w:sz="6" w:space="0"/>
                    <w:right w:val="single" w:color="auto" w:sz="6" w:space="0"/>
                  </w:tcBorders>
                  <w:vAlign w:val="center"/>
                </w:tcPr>
                <w:p w14:paraId="3C851CA8">
                  <w:pPr>
                    <w:keepNext/>
                    <w:keepLines/>
                    <w:jc w:val="center"/>
                    <w:rPr>
                      <w:rFonts w:ascii="Times New Roman" w:hAnsi="Times New Roman" w:cs="Times New Roman"/>
                      <w:sz w:val="21"/>
                      <w:szCs w:val="21"/>
                    </w:rPr>
                  </w:pPr>
                  <w:r>
                    <w:rPr>
                      <w:rFonts w:ascii="Times New Roman" w:hAnsi="Times New Roman" w:cs="Times New Roman"/>
                      <w:sz w:val="21"/>
                      <w:szCs w:val="21"/>
                    </w:rPr>
                    <w:t>1.8-7.0</w:t>
                  </w:r>
                </w:p>
              </w:tc>
              <w:tc>
                <w:tcPr>
                  <w:tcW w:w="866" w:type="pct"/>
                  <w:tcBorders>
                    <w:top w:val="single" w:color="auto" w:sz="6" w:space="0"/>
                    <w:left w:val="single" w:color="auto" w:sz="6" w:space="0"/>
                    <w:bottom w:val="single" w:color="auto" w:sz="6" w:space="0"/>
                    <w:right w:val="nil"/>
                  </w:tcBorders>
                  <w:vAlign w:val="center"/>
                </w:tcPr>
                <w:p w14:paraId="59A93651">
                  <w:pPr>
                    <w:keepNext/>
                    <w:keepLines/>
                    <w:jc w:val="center"/>
                    <w:rPr>
                      <w:rFonts w:ascii="Times New Roman" w:hAnsi="Times New Roman" w:cs="Times New Roman"/>
                      <w:sz w:val="21"/>
                      <w:szCs w:val="21"/>
                    </w:rPr>
                  </w:pPr>
                  <w:r>
                    <w:rPr>
                      <w:rFonts w:ascii="Times New Roman" w:hAnsi="Times New Roman" w:cs="Times New Roman"/>
                      <w:sz w:val="21"/>
                      <w:szCs w:val="21"/>
                    </w:rPr>
                    <w:t>GB/T265</w:t>
                  </w:r>
                </w:p>
              </w:tc>
            </w:tr>
            <w:tr w14:paraId="66F4D39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6" w:space="0"/>
                    <w:right w:val="single" w:color="auto" w:sz="6" w:space="0"/>
                  </w:tcBorders>
                  <w:vAlign w:val="center"/>
                </w:tcPr>
                <w:p w14:paraId="464427EF">
                  <w:pPr>
                    <w:keepNext/>
                    <w:keepLines/>
                    <w:rPr>
                      <w:rFonts w:ascii="Times New Roman" w:hAnsi="Times New Roman" w:cs="Times New Roman"/>
                      <w:sz w:val="21"/>
                      <w:szCs w:val="21"/>
                    </w:rPr>
                  </w:pPr>
                  <w:r>
                    <w:rPr>
                      <w:rFonts w:ascii="Times New Roman" w:hAnsi="Times New Roman" w:cs="Times New Roman"/>
                      <w:sz w:val="21"/>
                      <w:szCs w:val="21"/>
                    </w:rPr>
                    <w:t>凝点/℃           不高于</w:t>
                  </w:r>
                </w:p>
              </w:tc>
              <w:tc>
                <w:tcPr>
                  <w:tcW w:w="346" w:type="pct"/>
                  <w:tcBorders>
                    <w:top w:val="single" w:color="auto" w:sz="6" w:space="0"/>
                    <w:left w:val="single" w:color="auto" w:sz="6" w:space="0"/>
                    <w:bottom w:val="single" w:color="auto" w:sz="6" w:space="0"/>
                    <w:right w:val="single" w:color="auto" w:sz="6" w:space="0"/>
                  </w:tcBorders>
                  <w:vAlign w:val="center"/>
                </w:tcPr>
                <w:p w14:paraId="3FBCDB49">
                  <w:pPr>
                    <w:keepNext/>
                    <w:keepLines/>
                    <w:jc w:val="center"/>
                    <w:rPr>
                      <w:rFonts w:ascii="Times New Roman" w:hAnsi="Times New Roman" w:cs="Times New Roman"/>
                      <w:sz w:val="21"/>
                      <w:szCs w:val="21"/>
                    </w:rPr>
                  </w:pPr>
                  <w:r>
                    <w:rPr>
                      <w:rFonts w:ascii="Times New Roman" w:hAnsi="Times New Roman" w:cs="Times New Roman"/>
                      <w:sz w:val="21"/>
                      <w:szCs w:val="21"/>
                    </w:rPr>
                    <w:t>5</w:t>
                  </w:r>
                </w:p>
              </w:tc>
              <w:tc>
                <w:tcPr>
                  <w:tcW w:w="347" w:type="pct"/>
                  <w:tcBorders>
                    <w:top w:val="single" w:color="auto" w:sz="6" w:space="0"/>
                    <w:left w:val="single" w:color="auto" w:sz="6" w:space="0"/>
                    <w:bottom w:val="single" w:color="auto" w:sz="6" w:space="0"/>
                    <w:right w:val="single" w:color="auto" w:sz="6" w:space="0"/>
                  </w:tcBorders>
                  <w:vAlign w:val="center"/>
                </w:tcPr>
                <w:p w14:paraId="4B3542BB">
                  <w:pPr>
                    <w:keepNext/>
                    <w:keepLines/>
                    <w:jc w:val="center"/>
                    <w:rPr>
                      <w:rFonts w:ascii="Times New Roman" w:hAnsi="Times New Roman" w:cs="Times New Roman"/>
                      <w:sz w:val="21"/>
                      <w:szCs w:val="21"/>
                    </w:rPr>
                  </w:pPr>
                  <w:r>
                    <w:rPr>
                      <w:rFonts w:ascii="Times New Roman" w:hAnsi="Times New Roman" w:cs="Times New Roman"/>
                      <w:sz w:val="21"/>
                      <w:szCs w:val="21"/>
                    </w:rPr>
                    <w:t>0</w:t>
                  </w:r>
                </w:p>
              </w:tc>
              <w:tc>
                <w:tcPr>
                  <w:tcW w:w="346" w:type="pct"/>
                  <w:tcBorders>
                    <w:top w:val="single" w:color="auto" w:sz="6" w:space="0"/>
                    <w:left w:val="single" w:color="auto" w:sz="6" w:space="0"/>
                    <w:bottom w:val="single" w:color="auto" w:sz="6" w:space="0"/>
                    <w:right w:val="single" w:color="auto" w:sz="6" w:space="0"/>
                  </w:tcBorders>
                  <w:vAlign w:val="center"/>
                </w:tcPr>
                <w:p w14:paraId="554DD726">
                  <w:pPr>
                    <w:keepNext/>
                    <w:keepLines/>
                    <w:jc w:val="center"/>
                    <w:rPr>
                      <w:rFonts w:ascii="Times New Roman" w:hAnsi="Times New Roman" w:cs="Times New Roman"/>
                      <w:sz w:val="21"/>
                      <w:szCs w:val="21"/>
                    </w:rPr>
                  </w:pPr>
                  <w:r>
                    <w:rPr>
                      <w:rFonts w:ascii="Times New Roman" w:hAnsi="Times New Roman" w:cs="Times New Roman"/>
                      <w:sz w:val="21"/>
                      <w:szCs w:val="21"/>
                    </w:rPr>
                    <w:t>-10</w:t>
                  </w:r>
                </w:p>
              </w:tc>
              <w:tc>
                <w:tcPr>
                  <w:tcW w:w="346" w:type="pct"/>
                  <w:tcBorders>
                    <w:top w:val="single" w:color="auto" w:sz="6" w:space="0"/>
                    <w:left w:val="single" w:color="auto" w:sz="6" w:space="0"/>
                    <w:bottom w:val="single" w:color="auto" w:sz="6" w:space="0"/>
                    <w:right w:val="single" w:color="auto" w:sz="6" w:space="0"/>
                  </w:tcBorders>
                  <w:vAlign w:val="center"/>
                </w:tcPr>
                <w:p w14:paraId="2643B721">
                  <w:pPr>
                    <w:keepNext/>
                    <w:keepLines/>
                    <w:jc w:val="center"/>
                    <w:rPr>
                      <w:rFonts w:ascii="Times New Roman" w:hAnsi="Times New Roman" w:cs="Times New Roman"/>
                      <w:sz w:val="21"/>
                      <w:szCs w:val="21"/>
                    </w:rPr>
                  </w:pPr>
                  <w:r>
                    <w:rPr>
                      <w:rFonts w:ascii="Times New Roman" w:hAnsi="Times New Roman" w:cs="Times New Roman"/>
                      <w:sz w:val="21"/>
                      <w:szCs w:val="21"/>
                    </w:rPr>
                    <w:t>-20</w:t>
                  </w:r>
                </w:p>
              </w:tc>
              <w:tc>
                <w:tcPr>
                  <w:tcW w:w="346" w:type="pct"/>
                  <w:tcBorders>
                    <w:top w:val="single" w:color="auto" w:sz="6" w:space="0"/>
                    <w:left w:val="single" w:color="auto" w:sz="6" w:space="0"/>
                    <w:bottom w:val="single" w:color="auto" w:sz="6" w:space="0"/>
                    <w:right w:val="single" w:color="auto" w:sz="6" w:space="0"/>
                  </w:tcBorders>
                  <w:vAlign w:val="center"/>
                </w:tcPr>
                <w:p w14:paraId="0ED53D2A">
                  <w:pPr>
                    <w:keepNext/>
                    <w:keepLines/>
                    <w:jc w:val="center"/>
                    <w:rPr>
                      <w:rFonts w:ascii="Times New Roman" w:hAnsi="Times New Roman" w:cs="Times New Roman"/>
                      <w:sz w:val="21"/>
                      <w:szCs w:val="21"/>
                    </w:rPr>
                  </w:pPr>
                  <w:r>
                    <w:rPr>
                      <w:rFonts w:ascii="Times New Roman" w:hAnsi="Times New Roman" w:cs="Times New Roman"/>
                      <w:sz w:val="21"/>
                      <w:szCs w:val="21"/>
                    </w:rPr>
                    <w:t>-35</w:t>
                  </w:r>
                </w:p>
              </w:tc>
              <w:tc>
                <w:tcPr>
                  <w:tcW w:w="347" w:type="pct"/>
                  <w:tcBorders>
                    <w:top w:val="single" w:color="auto" w:sz="6" w:space="0"/>
                    <w:left w:val="single" w:color="auto" w:sz="6" w:space="0"/>
                    <w:bottom w:val="single" w:color="auto" w:sz="6" w:space="0"/>
                    <w:right w:val="single" w:color="auto" w:sz="6" w:space="0"/>
                  </w:tcBorders>
                  <w:vAlign w:val="center"/>
                </w:tcPr>
                <w:p w14:paraId="2598355F">
                  <w:pPr>
                    <w:keepNext/>
                    <w:keepLines/>
                    <w:jc w:val="center"/>
                    <w:rPr>
                      <w:rFonts w:ascii="Times New Roman" w:hAnsi="Times New Roman" w:cs="Times New Roman"/>
                      <w:sz w:val="21"/>
                      <w:szCs w:val="21"/>
                    </w:rPr>
                  </w:pPr>
                  <w:r>
                    <w:rPr>
                      <w:rFonts w:ascii="Times New Roman" w:hAnsi="Times New Roman" w:cs="Times New Roman"/>
                      <w:sz w:val="21"/>
                      <w:szCs w:val="21"/>
                    </w:rPr>
                    <w:t>-50</w:t>
                  </w:r>
                </w:p>
              </w:tc>
              <w:tc>
                <w:tcPr>
                  <w:tcW w:w="866" w:type="pct"/>
                  <w:tcBorders>
                    <w:top w:val="single" w:color="auto" w:sz="6" w:space="0"/>
                    <w:left w:val="single" w:color="auto" w:sz="6" w:space="0"/>
                    <w:bottom w:val="single" w:color="auto" w:sz="6" w:space="0"/>
                    <w:right w:val="nil"/>
                  </w:tcBorders>
                  <w:vAlign w:val="center"/>
                </w:tcPr>
                <w:p w14:paraId="5B44516E">
                  <w:pPr>
                    <w:keepNext/>
                    <w:keepLines/>
                    <w:jc w:val="center"/>
                    <w:rPr>
                      <w:rFonts w:ascii="Times New Roman" w:hAnsi="Times New Roman" w:cs="Times New Roman"/>
                      <w:sz w:val="21"/>
                      <w:szCs w:val="21"/>
                    </w:rPr>
                  </w:pPr>
                  <w:r>
                    <w:rPr>
                      <w:rFonts w:ascii="Times New Roman" w:hAnsi="Times New Roman" w:cs="Times New Roman"/>
                      <w:sz w:val="21"/>
                      <w:szCs w:val="21"/>
                    </w:rPr>
                    <w:t>GB/T510</w:t>
                  </w:r>
                </w:p>
              </w:tc>
            </w:tr>
            <w:tr w14:paraId="4BC5B5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6" w:space="0"/>
                    <w:right w:val="single" w:color="auto" w:sz="6" w:space="0"/>
                  </w:tcBorders>
                  <w:vAlign w:val="center"/>
                </w:tcPr>
                <w:p w14:paraId="5965E72D">
                  <w:pPr>
                    <w:keepNext/>
                    <w:keepLines/>
                    <w:rPr>
                      <w:rFonts w:ascii="Times New Roman" w:hAnsi="Times New Roman" w:cs="Times New Roman"/>
                      <w:sz w:val="21"/>
                      <w:szCs w:val="21"/>
                    </w:rPr>
                  </w:pPr>
                  <w:r>
                    <w:rPr>
                      <w:rFonts w:ascii="Times New Roman" w:hAnsi="Times New Roman" w:cs="Times New Roman"/>
                      <w:sz w:val="21"/>
                      <w:szCs w:val="21"/>
                    </w:rPr>
                    <w:t>冷滤点/℃         不高于</w:t>
                  </w:r>
                </w:p>
              </w:tc>
              <w:tc>
                <w:tcPr>
                  <w:tcW w:w="346" w:type="pct"/>
                  <w:tcBorders>
                    <w:top w:val="single" w:color="auto" w:sz="6" w:space="0"/>
                    <w:left w:val="single" w:color="auto" w:sz="6" w:space="0"/>
                    <w:bottom w:val="single" w:color="auto" w:sz="6" w:space="0"/>
                    <w:right w:val="single" w:color="auto" w:sz="6" w:space="0"/>
                  </w:tcBorders>
                  <w:vAlign w:val="center"/>
                </w:tcPr>
                <w:p w14:paraId="35628057">
                  <w:pPr>
                    <w:keepNext/>
                    <w:keepLines/>
                    <w:jc w:val="center"/>
                    <w:rPr>
                      <w:rFonts w:ascii="Times New Roman" w:hAnsi="Times New Roman" w:cs="Times New Roman"/>
                      <w:sz w:val="21"/>
                      <w:szCs w:val="21"/>
                    </w:rPr>
                  </w:pPr>
                  <w:r>
                    <w:rPr>
                      <w:rFonts w:ascii="Times New Roman" w:hAnsi="Times New Roman" w:cs="Times New Roman"/>
                      <w:sz w:val="21"/>
                      <w:szCs w:val="21"/>
                    </w:rPr>
                    <w:t>8</w:t>
                  </w:r>
                </w:p>
              </w:tc>
              <w:tc>
                <w:tcPr>
                  <w:tcW w:w="347" w:type="pct"/>
                  <w:tcBorders>
                    <w:top w:val="single" w:color="auto" w:sz="6" w:space="0"/>
                    <w:left w:val="single" w:color="auto" w:sz="6" w:space="0"/>
                    <w:bottom w:val="single" w:color="auto" w:sz="6" w:space="0"/>
                    <w:right w:val="single" w:color="auto" w:sz="6" w:space="0"/>
                  </w:tcBorders>
                  <w:vAlign w:val="center"/>
                </w:tcPr>
                <w:p w14:paraId="1EE25F07">
                  <w:pPr>
                    <w:keepNext/>
                    <w:keepLines/>
                    <w:jc w:val="center"/>
                    <w:rPr>
                      <w:rFonts w:ascii="Times New Roman" w:hAnsi="Times New Roman" w:cs="Times New Roman"/>
                      <w:sz w:val="21"/>
                      <w:szCs w:val="21"/>
                    </w:rPr>
                  </w:pPr>
                  <w:r>
                    <w:rPr>
                      <w:rFonts w:ascii="Times New Roman" w:hAnsi="Times New Roman" w:cs="Times New Roman"/>
                      <w:sz w:val="21"/>
                      <w:szCs w:val="21"/>
                    </w:rPr>
                    <w:t>4</w:t>
                  </w:r>
                </w:p>
              </w:tc>
              <w:tc>
                <w:tcPr>
                  <w:tcW w:w="346" w:type="pct"/>
                  <w:tcBorders>
                    <w:top w:val="single" w:color="auto" w:sz="6" w:space="0"/>
                    <w:left w:val="single" w:color="auto" w:sz="6" w:space="0"/>
                    <w:bottom w:val="single" w:color="auto" w:sz="6" w:space="0"/>
                    <w:right w:val="single" w:color="auto" w:sz="6" w:space="0"/>
                  </w:tcBorders>
                  <w:vAlign w:val="center"/>
                </w:tcPr>
                <w:p w14:paraId="6D6445B7">
                  <w:pPr>
                    <w:keepNext/>
                    <w:keepLines/>
                    <w:jc w:val="center"/>
                    <w:rPr>
                      <w:rFonts w:ascii="Times New Roman" w:hAnsi="Times New Roman" w:cs="Times New Roman"/>
                      <w:sz w:val="21"/>
                      <w:szCs w:val="21"/>
                    </w:rPr>
                  </w:pPr>
                  <w:r>
                    <w:rPr>
                      <w:rFonts w:ascii="Times New Roman" w:hAnsi="Times New Roman" w:cs="Times New Roman"/>
                      <w:sz w:val="21"/>
                      <w:szCs w:val="21"/>
                    </w:rPr>
                    <w:t>-5</w:t>
                  </w:r>
                </w:p>
              </w:tc>
              <w:tc>
                <w:tcPr>
                  <w:tcW w:w="346" w:type="pct"/>
                  <w:tcBorders>
                    <w:top w:val="single" w:color="auto" w:sz="6" w:space="0"/>
                    <w:left w:val="single" w:color="auto" w:sz="6" w:space="0"/>
                    <w:bottom w:val="single" w:color="auto" w:sz="6" w:space="0"/>
                    <w:right w:val="single" w:color="auto" w:sz="6" w:space="0"/>
                  </w:tcBorders>
                  <w:vAlign w:val="center"/>
                </w:tcPr>
                <w:p w14:paraId="3AD363D5">
                  <w:pPr>
                    <w:keepNext/>
                    <w:keepLines/>
                    <w:jc w:val="center"/>
                    <w:rPr>
                      <w:rFonts w:ascii="Times New Roman" w:hAnsi="Times New Roman" w:cs="Times New Roman"/>
                      <w:sz w:val="21"/>
                      <w:szCs w:val="21"/>
                    </w:rPr>
                  </w:pPr>
                  <w:r>
                    <w:rPr>
                      <w:rFonts w:ascii="Times New Roman" w:hAnsi="Times New Roman" w:cs="Times New Roman"/>
                      <w:sz w:val="21"/>
                      <w:szCs w:val="21"/>
                    </w:rPr>
                    <w:t>-14</w:t>
                  </w:r>
                </w:p>
              </w:tc>
              <w:tc>
                <w:tcPr>
                  <w:tcW w:w="346" w:type="pct"/>
                  <w:tcBorders>
                    <w:top w:val="single" w:color="auto" w:sz="6" w:space="0"/>
                    <w:left w:val="single" w:color="auto" w:sz="6" w:space="0"/>
                    <w:bottom w:val="single" w:color="auto" w:sz="6" w:space="0"/>
                    <w:right w:val="single" w:color="auto" w:sz="6" w:space="0"/>
                  </w:tcBorders>
                  <w:vAlign w:val="center"/>
                </w:tcPr>
                <w:p w14:paraId="5AA9C103">
                  <w:pPr>
                    <w:keepNext/>
                    <w:keepLines/>
                    <w:jc w:val="center"/>
                    <w:rPr>
                      <w:rFonts w:ascii="Times New Roman" w:hAnsi="Times New Roman" w:cs="Times New Roman"/>
                      <w:sz w:val="21"/>
                      <w:szCs w:val="21"/>
                    </w:rPr>
                  </w:pPr>
                  <w:r>
                    <w:rPr>
                      <w:rFonts w:ascii="Times New Roman" w:hAnsi="Times New Roman" w:cs="Times New Roman"/>
                      <w:sz w:val="21"/>
                      <w:szCs w:val="21"/>
                    </w:rPr>
                    <w:t>-29</w:t>
                  </w:r>
                </w:p>
              </w:tc>
              <w:tc>
                <w:tcPr>
                  <w:tcW w:w="347" w:type="pct"/>
                  <w:tcBorders>
                    <w:top w:val="single" w:color="auto" w:sz="6" w:space="0"/>
                    <w:left w:val="single" w:color="auto" w:sz="6" w:space="0"/>
                    <w:bottom w:val="single" w:color="auto" w:sz="6" w:space="0"/>
                    <w:right w:val="single" w:color="auto" w:sz="6" w:space="0"/>
                  </w:tcBorders>
                  <w:vAlign w:val="center"/>
                </w:tcPr>
                <w:p w14:paraId="3D5E79BD">
                  <w:pPr>
                    <w:keepNext/>
                    <w:keepLines/>
                    <w:jc w:val="center"/>
                    <w:rPr>
                      <w:rFonts w:ascii="Times New Roman" w:hAnsi="Times New Roman" w:cs="Times New Roman"/>
                      <w:sz w:val="21"/>
                      <w:szCs w:val="21"/>
                    </w:rPr>
                  </w:pPr>
                  <w:r>
                    <w:rPr>
                      <w:rFonts w:ascii="Times New Roman" w:hAnsi="Times New Roman" w:cs="Times New Roman"/>
                      <w:sz w:val="21"/>
                      <w:szCs w:val="21"/>
                    </w:rPr>
                    <w:t>-44</w:t>
                  </w:r>
                </w:p>
              </w:tc>
              <w:tc>
                <w:tcPr>
                  <w:tcW w:w="866" w:type="pct"/>
                  <w:tcBorders>
                    <w:top w:val="single" w:color="auto" w:sz="6" w:space="0"/>
                    <w:left w:val="single" w:color="auto" w:sz="6" w:space="0"/>
                    <w:bottom w:val="single" w:color="auto" w:sz="6" w:space="0"/>
                    <w:right w:val="nil"/>
                  </w:tcBorders>
                  <w:vAlign w:val="center"/>
                </w:tcPr>
                <w:p w14:paraId="6C7125D8">
                  <w:pPr>
                    <w:keepNext/>
                    <w:keepLines/>
                    <w:jc w:val="center"/>
                    <w:rPr>
                      <w:rFonts w:ascii="Times New Roman" w:hAnsi="Times New Roman" w:cs="Times New Roman"/>
                      <w:sz w:val="21"/>
                      <w:szCs w:val="21"/>
                    </w:rPr>
                  </w:pPr>
                  <w:r>
                    <w:rPr>
                      <w:rFonts w:ascii="Times New Roman" w:hAnsi="Times New Roman" w:cs="Times New Roman"/>
                      <w:sz w:val="21"/>
                      <w:szCs w:val="21"/>
                    </w:rPr>
                    <w:t>GB/T0248</w:t>
                  </w:r>
                </w:p>
              </w:tc>
            </w:tr>
            <w:tr w14:paraId="70B43AD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6" w:space="0"/>
                    <w:right w:val="single" w:color="auto" w:sz="6" w:space="0"/>
                  </w:tcBorders>
                  <w:vAlign w:val="center"/>
                </w:tcPr>
                <w:p w14:paraId="7AD75807">
                  <w:pPr>
                    <w:keepNext/>
                    <w:keepLines/>
                    <w:rPr>
                      <w:rFonts w:ascii="Times New Roman" w:hAnsi="Times New Roman" w:cs="Times New Roman"/>
                      <w:sz w:val="21"/>
                      <w:szCs w:val="21"/>
                    </w:rPr>
                  </w:pPr>
                  <w:r>
                    <w:rPr>
                      <w:rFonts w:ascii="Times New Roman" w:hAnsi="Times New Roman" w:cs="Times New Roman"/>
                      <w:sz w:val="21"/>
                      <w:szCs w:val="21"/>
                    </w:rPr>
                    <w:t>闪点（闭口）/ ℃   不低于</w:t>
                  </w:r>
                </w:p>
              </w:tc>
              <w:tc>
                <w:tcPr>
                  <w:tcW w:w="1039" w:type="pct"/>
                  <w:gridSpan w:val="3"/>
                  <w:tcBorders>
                    <w:top w:val="single" w:color="auto" w:sz="6" w:space="0"/>
                    <w:left w:val="single" w:color="auto" w:sz="6" w:space="0"/>
                    <w:bottom w:val="single" w:color="auto" w:sz="6" w:space="0"/>
                    <w:right w:val="single" w:color="auto" w:sz="6" w:space="0"/>
                  </w:tcBorders>
                  <w:vAlign w:val="center"/>
                </w:tcPr>
                <w:p w14:paraId="32590EDD">
                  <w:pPr>
                    <w:keepNext/>
                    <w:keepLines/>
                    <w:jc w:val="center"/>
                    <w:rPr>
                      <w:rFonts w:ascii="Times New Roman" w:hAnsi="Times New Roman" w:cs="Times New Roman"/>
                      <w:sz w:val="21"/>
                      <w:szCs w:val="21"/>
                    </w:rPr>
                  </w:pPr>
                  <w:r>
                    <w:rPr>
                      <w:rFonts w:ascii="Times New Roman" w:hAnsi="Times New Roman" w:cs="Times New Roman"/>
                      <w:sz w:val="21"/>
                      <w:szCs w:val="21"/>
                    </w:rPr>
                    <w:t>60</w:t>
                  </w:r>
                </w:p>
              </w:tc>
              <w:tc>
                <w:tcPr>
                  <w:tcW w:w="346" w:type="pct"/>
                  <w:tcBorders>
                    <w:top w:val="single" w:color="auto" w:sz="6" w:space="0"/>
                    <w:left w:val="single" w:color="auto" w:sz="6" w:space="0"/>
                    <w:bottom w:val="single" w:color="auto" w:sz="6" w:space="0"/>
                    <w:right w:val="single" w:color="auto" w:sz="6" w:space="0"/>
                  </w:tcBorders>
                  <w:vAlign w:val="center"/>
                </w:tcPr>
                <w:p w14:paraId="1D9BF3C0">
                  <w:pPr>
                    <w:keepNext/>
                    <w:keepLines/>
                    <w:jc w:val="center"/>
                    <w:rPr>
                      <w:rFonts w:ascii="Times New Roman" w:hAnsi="Times New Roman" w:cs="Times New Roman"/>
                      <w:sz w:val="21"/>
                      <w:szCs w:val="21"/>
                    </w:rPr>
                  </w:pPr>
                  <w:r>
                    <w:rPr>
                      <w:rFonts w:ascii="Times New Roman" w:hAnsi="Times New Roman" w:cs="Times New Roman"/>
                      <w:sz w:val="21"/>
                      <w:szCs w:val="21"/>
                    </w:rPr>
                    <w:t>50</w:t>
                  </w:r>
                </w:p>
              </w:tc>
              <w:tc>
                <w:tcPr>
                  <w:tcW w:w="693" w:type="pct"/>
                  <w:gridSpan w:val="2"/>
                  <w:tcBorders>
                    <w:top w:val="single" w:color="auto" w:sz="6" w:space="0"/>
                    <w:left w:val="single" w:color="auto" w:sz="6" w:space="0"/>
                    <w:bottom w:val="single" w:color="auto" w:sz="6" w:space="0"/>
                    <w:right w:val="single" w:color="auto" w:sz="6" w:space="0"/>
                  </w:tcBorders>
                  <w:vAlign w:val="center"/>
                </w:tcPr>
                <w:p w14:paraId="02E2E0D3">
                  <w:pPr>
                    <w:keepNext/>
                    <w:keepLines/>
                    <w:jc w:val="center"/>
                    <w:rPr>
                      <w:rFonts w:ascii="Times New Roman" w:hAnsi="Times New Roman" w:cs="Times New Roman"/>
                      <w:sz w:val="21"/>
                      <w:szCs w:val="21"/>
                    </w:rPr>
                  </w:pPr>
                  <w:r>
                    <w:rPr>
                      <w:rFonts w:ascii="Times New Roman" w:hAnsi="Times New Roman" w:cs="Times New Roman"/>
                      <w:sz w:val="21"/>
                      <w:szCs w:val="21"/>
                    </w:rPr>
                    <w:t>45</w:t>
                  </w:r>
                </w:p>
              </w:tc>
              <w:tc>
                <w:tcPr>
                  <w:tcW w:w="866" w:type="pct"/>
                  <w:tcBorders>
                    <w:top w:val="single" w:color="auto" w:sz="6" w:space="0"/>
                    <w:left w:val="single" w:color="auto" w:sz="6" w:space="0"/>
                    <w:bottom w:val="single" w:color="auto" w:sz="6" w:space="0"/>
                    <w:right w:val="nil"/>
                  </w:tcBorders>
                  <w:vAlign w:val="center"/>
                </w:tcPr>
                <w:p w14:paraId="54D7AA7C">
                  <w:pPr>
                    <w:keepNext/>
                    <w:keepLines/>
                    <w:jc w:val="center"/>
                    <w:rPr>
                      <w:rFonts w:ascii="Times New Roman" w:hAnsi="Times New Roman" w:cs="Times New Roman"/>
                      <w:sz w:val="21"/>
                      <w:szCs w:val="21"/>
                    </w:rPr>
                  </w:pPr>
                  <w:r>
                    <w:rPr>
                      <w:rFonts w:ascii="Times New Roman" w:hAnsi="Times New Roman" w:cs="Times New Roman"/>
                      <w:sz w:val="21"/>
                      <w:szCs w:val="21"/>
                    </w:rPr>
                    <w:t>GB/T261</w:t>
                  </w:r>
                </w:p>
              </w:tc>
            </w:tr>
            <w:tr w14:paraId="30BEFD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6" w:space="0"/>
                    <w:right w:val="single" w:color="auto" w:sz="6" w:space="0"/>
                  </w:tcBorders>
                  <w:vAlign w:val="center"/>
                </w:tcPr>
                <w:p w14:paraId="4D42ABF0">
                  <w:pPr>
                    <w:keepNext/>
                    <w:keepLines/>
                    <w:rPr>
                      <w:rFonts w:ascii="Times New Roman" w:hAnsi="Times New Roman" w:cs="Times New Roman"/>
                      <w:sz w:val="21"/>
                      <w:szCs w:val="21"/>
                    </w:rPr>
                  </w:pPr>
                  <w:r>
                    <w:rPr>
                      <w:rFonts w:ascii="Times New Roman" w:hAnsi="Times New Roman" w:cs="Times New Roman"/>
                      <w:sz w:val="21"/>
                      <w:szCs w:val="21"/>
                    </w:rPr>
                    <w:t>十六烷值          不小于</w:t>
                  </w:r>
                </w:p>
              </w:tc>
              <w:tc>
                <w:tcPr>
                  <w:tcW w:w="1039" w:type="pct"/>
                  <w:gridSpan w:val="3"/>
                  <w:tcBorders>
                    <w:top w:val="single" w:color="auto" w:sz="6" w:space="0"/>
                    <w:left w:val="single" w:color="auto" w:sz="6" w:space="0"/>
                    <w:bottom w:val="single" w:color="auto" w:sz="6" w:space="0"/>
                    <w:right w:val="single" w:color="auto" w:sz="6" w:space="0"/>
                  </w:tcBorders>
                  <w:vAlign w:val="center"/>
                </w:tcPr>
                <w:p w14:paraId="11CB0203">
                  <w:pPr>
                    <w:keepNext/>
                    <w:keepLines/>
                    <w:jc w:val="center"/>
                    <w:rPr>
                      <w:rFonts w:ascii="Times New Roman" w:hAnsi="Times New Roman" w:cs="Times New Roman"/>
                      <w:sz w:val="21"/>
                      <w:szCs w:val="21"/>
                    </w:rPr>
                  </w:pPr>
                  <w:r>
                    <w:rPr>
                      <w:rFonts w:ascii="Times New Roman" w:hAnsi="Times New Roman" w:cs="Times New Roman"/>
                      <w:sz w:val="21"/>
                      <w:szCs w:val="21"/>
                    </w:rPr>
                    <w:t>51</w:t>
                  </w:r>
                </w:p>
              </w:tc>
              <w:tc>
                <w:tcPr>
                  <w:tcW w:w="346" w:type="pct"/>
                  <w:tcBorders>
                    <w:top w:val="single" w:color="auto" w:sz="6" w:space="0"/>
                    <w:left w:val="single" w:color="auto" w:sz="6" w:space="0"/>
                    <w:bottom w:val="single" w:color="auto" w:sz="6" w:space="0"/>
                    <w:right w:val="single" w:color="auto" w:sz="6" w:space="0"/>
                  </w:tcBorders>
                  <w:vAlign w:val="center"/>
                </w:tcPr>
                <w:p w14:paraId="3418EF2D">
                  <w:pPr>
                    <w:keepNext/>
                    <w:keepLines/>
                    <w:jc w:val="center"/>
                    <w:rPr>
                      <w:rFonts w:ascii="Times New Roman" w:hAnsi="Times New Roman" w:cs="Times New Roman"/>
                      <w:sz w:val="21"/>
                      <w:szCs w:val="21"/>
                    </w:rPr>
                  </w:pPr>
                  <w:r>
                    <w:rPr>
                      <w:rFonts w:ascii="Times New Roman" w:hAnsi="Times New Roman" w:cs="Times New Roman"/>
                      <w:sz w:val="21"/>
                      <w:szCs w:val="21"/>
                    </w:rPr>
                    <w:t>49</w:t>
                  </w:r>
                </w:p>
              </w:tc>
              <w:tc>
                <w:tcPr>
                  <w:tcW w:w="693" w:type="pct"/>
                  <w:gridSpan w:val="2"/>
                  <w:tcBorders>
                    <w:top w:val="single" w:color="auto" w:sz="6" w:space="0"/>
                    <w:left w:val="single" w:color="auto" w:sz="6" w:space="0"/>
                    <w:bottom w:val="single" w:color="auto" w:sz="6" w:space="0"/>
                    <w:right w:val="single" w:color="auto" w:sz="6" w:space="0"/>
                  </w:tcBorders>
                  <w:vAlign w:val="center"/>
                </w:tcPr>
                <w:p w14:paraId="3B9C7321">
                  <w:pPr>
                    <w:keepNext/>
                    <w:keepLines/>
                    <w:jc w:val="center"/>
                    <w:rPr>
                      <w:rFonts w:ascii="Times New Roman" w:hAnsi="Times New Roman" w:cs="Times New Roman"/>
                      <w:sz w:val="21"/>
                      <w:szCs w:val="21"/>
                    </w:rPr>
                  </w:pPr>
                  <w:r>
                    <w:rPr>
                      <w:rFonts w:ascii="Times New Roman" w:hAnsi="Times New Roman" w:cs="Times New Roman"/>
                      <w:sz w:val="21"/>
                      <w:szCs w:val="21"/>
                    </w:rPr>
                    <w:t>47</w:t>
                  </w:r>
                </w:p>
              </w:tc>
              <w:tc>
                <w:tcPr>
                  <w:tcW w:w="866" w:type="pct"/>
                  <w:tcBorders>
                    <w:top w:val="single" w:color="auto" w:sz="6" w:space="0"/>
                    <w:left w:val="single" w:color="auto" w:sz="6" w:space="0"/>
                    <w:bottom w:val="single" w:color="auto" w:sz="6" w:space="0"/>
                    <w:right w:val="nil"/>
                  </w:tcBorders>
                  <w:vAlign w:val="center"/>
                </w:tcPr>
                <w:p w14:paraId="7BF99466">
                  <w:pPr>
                    <w:keepNext/>
                    <w:keepLines/>
                    <w:jc w:val="center"/>
                    <w:rPr>
                      <w:rFonts w:ascii="Times New Roman" w:hAnsi="Times New Roman" w:cs="Times New Roman"/>
                      <w:sz w:val="21"/>
                      <w:szCs w:val="21"/>
                    </w:rPr>
                  </w:pPr>
                  <w:r>
                    <w:rPr>
                      <w:rFonts w:ascii="Times New Roman" w:hAnsi="Times New Roman" w:cs="Times New Roman"/>
                      <w:sz w:val="21"/>
                      <w:szCs w:val="21"/>
                    </w:rPr>
                    <w:t>GB/T386</w:t>
                  </w:r>
                </w:p>
              </w:tc>
            </w:tr>
            <w:tr w14:paraId="46AE80F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6" w:space="0"/>
                    <w:right w:val="single" w:color="auto" w:sz="6" w:space="0"/>
                  </w:tcBorders>
                  <w:vAlign w:val="center"/>
                </w:tcPr>
                <w:p w14:paraId="2A22091C">
                  <w:pPr>
                    <w:keepNext/>
                    <w:keepLines/>
                    <w:rPr>
                      <w:rFonts w:ascii="Times New Roman" w:hAnsi="Times New Roman" w:cs="Times New Roman"/>
                      <w:sz w:val="21"/>
                      <w:szCs w:val="21"/>
                    </w:rPr>
                  </w:pPr>
                  <w:r>
                    <w:rPr>
                      <w:rFonts w:ascii="Times New Roman" w:hAnsi="Times New Roman" w:cs="Times New Roman"/>
                      <w:sz w:val="21"/>
                      <w:szCs w:val="21"/>
                    </w:rPr>
                    <w:t>十六烷指数        不小于</w:t>
                  </w:r>
                </w:p>
              </w:tc>
              <w:tc>
                <w:tcPr>
                  <w:tcW w:w="1039" w:type="pct"/>
                  <w:gridSpan w:val="3"/>
                  <w:tcBorders>
                    <w:top w:val="single" w:color="auto" w:sz="6" w:space="0"/>
                    <w:left w:val="single" w:color="auto" w:sz="6" w:space="0"/>
                    <w:bottom w:val="single" w:color="auto" w:sz="6" w:space="0"/>
                    <w:right w:val="single" w:color="auto" w:sz="6" w:space="0"/>
                  </w:tcBorders>
                  <w:vAlign w:val="center"/>
                </w:tcPr>
                <w:p w14:paraId="76C42DDE">
                  <w:pPr>
                    <w:keepNext/>
                    <w:keepLines/>
                    <w:jc w:val="center"/>
                    <w:rPr>
                      <w:rFonts w:ascii="Times New Roman" w:hAnsi="Times New Roman" w:cs="Times New Roman"/>
                      <w:sz w:val="21"/>
                      <w:szCs w:val="21"/>
                    </w:rPr>
                  </w:pPr>
                  <w:r>
                    <w:rPr>
                      <w:rFonts w:ascii="Times New Roman" w:hAnsi="Times New Roman" w:cs="Times New Roman"/>
                      <w:sz w:val="21"/>
                      <w:szCs w:val="21"/>
                    </w:rPr>
                    <w:t>46</w:t>
                  </w:r>
                </w:p>
              </w:tc>
              <w:tc>
                <w:tcPr>
                  <w:tcW w:w="346" w:type="pct"/>
                  <w:tcBorders>
                    <w:top w:val="single" w:color="auto" w:sz="6" w:space="0"/>
                    <w:left w:val="single" w:color="auto" w:sz="6" w:space="0"/>
                    <w:bottom w:val="single" w:color="auto" w:sz="6" w:space="0"/>
                    <w:right w:val="single" w:color="auto" w:sz="6" w:space="0"/>
                  </w:tcBorders>
                  <w:vAlign w:val="center"/>
                </w:tcPr>
                <w:p w14:paraId="5F208E6A">
                  <w:pPr>
                    <w:keepNext/>
                    <w:keepLines/>
                    <w:jc w:val="center"/>
                    <w:rPr>
                      <w:rFonts w:ascii="Times New Roman" w:hAnsi="Times New Roman" w:cs="Times New Roman"/>
                      <w:sz w:val="21"/>
                      <w:szCs w:val="21"/>
                    </w:rPr>
                  </w:pPr>
                  <w:r>
                    <w:rPr>
                      <w:rFonts w:ascii="Times New Roman" w:hAnsi="Times New Roman" w:cs="Times New Roman"/>
                      <w:sz w:val="21"/>
                      <w:szCs w:val="21"/>
                    </w:rPr>
                    <w:t>46</w:t>
                  </w:r>
                </w:p>
              </w:tc>
              <w:tc>
                <w:tcPr>
                  <w:tcW w:w="693" w:type="pct"/>
                  <w:gridSpan w:val="2"/>
                  <w:tcBorders>
                    <w:top w:val="single" w:color="auto" w:sz="6" w:space="0"/>
                    <w:left w:val="single" w:color="auto" w:sz="6" w:space="0"/>
                    <w:bottom w:val="single" w:color="auto" w:sz="6" w:space="0"/>
                    <w:right w:val="single" w:color="auto" w:sz="6" w:space="0"/>
                  </w:tcBorders>
                  <w:vAlign w:val="center"/>
                </w:tcPr>
                <w:p w14:paraId="7F046094">
                  <w:pPr>
                    <w:keepNext/>
                    <w:keepLines/>
                    <w:jc w:val="center"/>
                    <w:rPr>
                      <w:rFonts w:ascii="Times New Roman" w:hAnsi="Times New Roman" w:cs="Times New Roman"/>
                      <w:sz w:val="21"/>
                      <w:szCs w:val="21"/>
                    </w:rPr>
                  </w:pPr>
                  <w:r>
                    <w:rPr>
                      <w:rFonts w:ascii="Times New Roman" w:hAnsi="Times New Roman" w:cs="Times New Roman"/>
                      <w:sz w:val="21"/>
                      <w:szCs w:val="21"/>
                    </w:rPr>
                    <w:t>43</w:t>
                  </w:r>
                </w:p>
              </w:tc>
              <w:tc>
                <w:tcPr>
                  <w:tcW w:w="866" w:type="pct"/>
                  <w:tcBorders>
                    <w:top w:val="single" w:color="auto" w:sz="6" w:space="0"/>
                    <w:left w:val="single" w:color="auto" w:sz="6" w:space="0"/>
                    <w:bottom w:val="single" w:color="auto" w:sz="6" w:space="0"/>
                    <w:right w:val="nil"/>
                  </w:tcBorders>
                  <w:vAlign w:val="center"/>
                </w:tcPr>
                <w:p w14:paraId="65FA196E">
                  <w:pPr>
                    <w:keepNext/>
                    <w:keepLines/>
                    <w:jc w:val="center"/>
                    <w:rPr>
                      <w:rFonts w:ascii="Times New Roman" w:hAnsi="Times New Roman" w:cs="Times New Roman"/>
                      <w:sz w:val="21"/>
                      <w:szCs w:val="21"/>
                    </w:rPr>
                  </w:pPr>
                  <w:r>
                    <w:rPr>
                      <w:rFonts w:ascii="Times New Roman" w:hAnsi="Times New Roman" w:cs="Times New Roman"/>
                      <w:sz w:val="21"/>
                      <w:szCs w:val="21"/>
                    </w:rPr>
                    <w:t>GB/T0694</w:t>
                  </w:r>
                </w:p>
              </w:tc>
            </w:tr>
            <w:tr w14:paraId="6854266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6" w:space="0"/>
                    <w:right w:val="single" w:color="auto" w:sz="6" w:space="0"/>
                  </w:tcBorders>
                  <w:vAlign w:val="center"/>
                </w:tcPr>
                <w:p w14:paraId="2F96E5DE">
                  <w:pPr>
                    <w:keepNext/>
                    <w:keepLines/>
                    <w:rPr>
                      <w:rFonts w:ascii="Times New Roman" w:hAnsi="Times New Roman" w:cs="Times New Roman"/>
                      <w:sz w:val="21"/>
                      <w:szCs w:val="21"/>
                    </w:rPr>
                  </w:pPr>
                  <w:r>
                    <w:rPr>
                      <w:rFonts w:ascii="Times New Roman" w:hAnsi="Times New Roman" w:cs="Times New Roman"/>
                      <w:sz w:val="21"/>
                      <w:szCs w:val="21"/>
                    </w:rPr>
                    <w:t>馏程</w:t>
                  </w:r>
                </w:p>
                <w:p w14:paraId="4AFD3078">
                  <w:pPr>
                    <w:keepNext/>
                    <w:keepLines/>
                    <w:rPr>
                      <w:rFonts w:ascii="Times New Roman" w:hAnsi="Times New Roman" w:cs="Times New Roman"/>
                      <w:sz w:val="21"/>
                      <w:szCs w:val="21"/>
                    </w:rPr>
                  </w:pPr>
                  <w:r>
                    <w:rPr>
                      <w:rFonts w:ascii="Times New Roman" w:hAnsi="Times New Roman" w:cs="Times New Roman"/>
                      <w:sz w:val="21"/>
                      <w:szCs w:val="21"/>
                    </w:rPr>
                    <w:t>50%回收温度/℃       不高于</w:t>
                  </w:r>
                </w:p>
                <w:p w14:paraId="6E39359F">
                  <w:pPr>
                    <w:keepNext/>
                    <w:keepLines/>
                    <w:rPr>
                      <w:rFonts w:ascii="Times New Roman" w:hAnsi="Times New Roman" w:cs="Times New Roman"/>
                      <w:sz w:val="21"/>
                      <w:szCs w:val="21"/>
                    </w:rPr>
                  </w:pPr>
                  <w:r>
                    <w:rPr>
                      <w:rFonts w:ascii="Times New Roman" w:hAnsi="Times New Roman" w:cs="Times New Roman"/>
                      <w:sz w:val="21"/>
                      <w:szCs w:val="21"/>
                    </w:rPr>
                    <w:t>90%回收温度/℃       不高于</w:t>
                  </w:r>
                </w:p>
                <w:p w14:paraId="23CB0049">
                  <w:pPr>
                    <w:keepNext/>
                    <w:keepLines/>
                    <w:rPr>
                      <w:rFonts w:ascii="Times New Roman" w:hAnsi="Times New Roman" w:cs="Times New Roman"/>
                      <w:sz w:val="21"/>
                      <w:szCs w:val="21"/>
                    </w:rPr>
                  </w:pPr>
                  <w:r>
                    <w:rPr>
                      <w:rFonts w:ascii="Times New Roman" w:hAnsi="Times New Roman" w:cs="Times New Roman"/>
                      <w:sz w:val="21"/>
                      <w:szCs w:val="21"/>
                    </w:rPr>
                    <w:t>95%回收温度/℃       不高于</w:t>
                  </w:r>
                </w:p>
              </w:tc>
              <w:tc>
                <w:tcPr>
                  <w:tcW w:w="2077" w:type="pct"/>
                  <w:gridSpan w:val="6"/>
                  <w:tcBorders>
                    <w:top w:val="single" w:color="auto" w:sz="6" w:space="0"/>
                    <w:left w:val="single" w:color="auto" w:sz="6" w:space="0"/>
                    <w:bottom w:val="single" w:color="auto" w:sz="6" w:space="0"/>
                    <w:right w:val="single" w:color="auto" w:sz="6" w:space="0"/>
                  </w:tcBorders>
                  <w:vAlign w:val="center"/>
                </w:tcPr>
                <w:p w14:paraId="3DD6BD2C">
                  <w:pPr>
                    <w:keepNext/>
                    <w:keepLines/>
                    <w:jc w:val="center"/>
                    <w:rPr>
                      <w:rFonts w:ascii="Times New Roman" w:hAnsi="Times New Roman" w:cs="Times New Roman"/>
                      <w:sz w:val="21"/>
                      <w:szCs w:val="21"/>
                    </w:rPr>
                  </w:pPr>
                </w:p>
                <w:p w14:paraId="722413DA">
                  <w:pPr>
                    <w:keepNext/>
                    <w:keepLines/>
                    <w:jc w:val="center"/>
                    <w:rPr>
                      <w:rFonts w:ascii="Times New Roman" w:hAnsi="Times New Roman" w:cs="Times New Roman"/>
                      <w:sz w:val="21"/>
                      <w:szCs w:val="21"/>
                    </w:rPr>
                  </w:pPr>
                  <w:r>
                    <w:rPr>
                      <w:rFonts w:ascii="Times New Roman" w:hAnsi="Times New Roman" w:cs="Times New Roman"/>
                      <w:sz w:val="21"/>
                      <w:szCs w:val="21"/>
                    </w:rPr>
                    <w:t>300</w:t>
                  </w:r>
                </w:p>
                <w:p w14:paraId="6D1A8E59">
                  <w:pPr>
                    <w:keepNext/>
                    <w:keepLines/>
                    <w:jc w:val="center"/>
                    <w:rPr>
                      <w:rFonts w:ascii="Times New Roman" w:hAnsi="Times New Roman" w:cs="Times New Roman"/>
                      <w:sz w:val="21"/>
                      <w:szCs w:val="21"/>
                    </w:rPr>
                  </w:pPr>
                  <w:r>
                    <w:rPr>
                      <w:rFonts w:ascii="Times New Roman" w:hAnsi="Times New Roman" w:cs="Times New Roman"/>
                      <w:sz w:val="21"/>
                      <w:szCs w:val="21"/>
                    </w:rPr>
                    <w:t>355</w:t>
                  </w:r>
                </w:p>
                <w:p w14:paraId="2ED3EBC9">
                  <w:pPr>
                    <w:keepNext/>
                    <w:keepLines/>
                    <w:jc w:val="center"/>
                    <w:rPr>
                      <w:rFonts w:ascii="Times New Roman" w:hAnsi="Times New Roman" w:cs="Times New Roman"/>
                      <w:sz w:val="21"/>
                      <w:szCs w:val="21"/>
                    </w:rPr>
                  </w:pPr>
                  <w:r>
                    <w:rPr>
                      <w:rFonts w:ascii="Times New Roman" w:hAnsi="Times New Roman" w:cs="Times New Roman"/>
                      <w:sz w:val="21"/>
                      <w:szCs w:val="21"/>
                    </w:rPr>
                    <w:t>365</w:t>
                  </w:r>
                </w:p>
              </w:tc>
              <w:tc>
                <w:tcPr>
                  <w:tcW w:w="866" w:type="pct"/>
                  <w:tcBorders>
                    <w:top w:val="single" w:color="auto" w:sz="6" w:space="0"/>
                    <w:left w:val="single" w:color="auto" w:sz="6" w:space="0"/>
                    <w:bottom w:val="single" w:color="auto" w:sz="6" w:space="0"/>
                    <w:right w:val="nil"/>
                  </w:tcBorders>
                  <w:vAlign w:val="center"/>
                </w:tcPr>
                <w:p w14:paraId="130956D0">
                  <w:pPr>
                    <w:keepNext/>
                    <w:keepLines/>
                    <w:jc w:val="center"/>
                    <w:rPr>
                      <w:rFonts w:ascii="Times New Roman" w:hAnsi="Times New Roman" w:cs="Times New Roman"/>
                      <w:sz w:val="21"/>
                      <w:szCs w:val="21"/>
                    </w:rPr>
                  </w:pPr>
                  <w:r>
                    <w:rPr>
                      <w:rFonts w:ascii="Times New Roman" w:hAnsi="Times New Roman" w:cs="Times New Roman"/>
                      <w:sz w:val="21"/>
                      <w:szCs w:val="21"/>
                    </w:rPr>
                    <w:t>GB/T6536</w:t>
                  </w:r>
                </w:p>
              </w:tc>
            </w:tr>
            <w:tr w14:paraId="35D5AE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6" w:space="0"/>
                    <w:right w:val="single" w:color="auto" w:sz="6" w:space="0"/>
                  </w:tcBorders>
                  <w:vAlign w:val="center"/>
                </w:tcPr>
                <w:p w14:paraId="7F522A23">
                  <w:pPr>
                    <w:keepNext/>
                    <w:keepLines/>
                    <w:rPr>
                      <w:rFonts w:ascii="Times New Roman" w:hAnsi="Times New Roman" w:cs="Times New Roman"/>
                      <w:sz w:val="21"/>
                      <w:szCs w:val="21"/>
                    </w:rPr>
                  </w:pPr>
                  <w:r>
                    <w:rPr>
                      <w:rFonts w:ascii="Times New Roman" w:hAnsi="Times New Roman" w:cs="Times New Roman"/>
                      <w:sz w:val="21"/>
                      <w:szCs w:val="21"/>
                    </w:rPr>
                    <w:t>密度（20℃）/（kg/m</w:t>
                  </w:r>
                  <w:r>
                    <w:rPr>
                      <w:rFonts w:ascii="Times New Roman" w:hAnsi="Times New Roman" w:cs="Times New Roman"/>
                      <w:sz w:val="21"/>
                      <w:szCs w:val="21"/>
                      <w:vertAlign w:val="superscript"/>
                    </w:rPr>
                    <w:t>3</w:t>
                  </w:r>
                  <w:r>
                    <w:rPr>
                      <w:rFonts w:ascii="Times New Roman" w:hAnsi="Times New Roman" w:cs="Times New Roman"/>
                      <w:sz w:val="21"/>
                      <w:szCs w:val="21"/>
                    </w:rPr>
                    <w:t>）</w:t>
                  </w:r>
                </w:p>
              </w:tc>
              <w:tc>
                <w:tcPr>
                  <w:tcW w:w="1039" w:type="pct"/>
                  <w:gridSpan w:val="3"/>
                  <w:tcBorders>
                    <w:top w:val="single" w:color="auto" w:sz="6" w:space="0"/>
                    <w:left w:val="single" w:color="auto" w:sz="6" w:space="0"/>
                    <w:bottom w:val="single" w:color="auto" w:sz="6" w:space="0"/>
                    <w:right w:val="single" w:color="auto" w:sz="6" w:space="0"/>
                  </w:tcBorders>
                  <w:vAlign w:val="center"/>
                </w:tcPr>
                <w:p w14:paraId="0E277010">
                  <w:pPr>
                    <w:keepNext/>
                    <w:keepLines/>
                    <w:jc w:val="center"/>
                    <w:rPr>
                      <w:rFonts w:ascii="Times New Roman" w:hAnsi="Times New Roman" w:cs="Times New Roman"/>
                      <w:sz w:val="21"/>
                      <w:szCs w:val="21"/>
                    </w:rPr>
                  </w:pPr>
                  <w:r>
                    <w:rPr>
                      <w:rFonts w:ascii="Times New Roman" w:hAnsi="Times New Roman" w:cs="Times New Roman"/>
                      <w:sz w:val="21"/>
                      <w:szCs w:val="21"/>
                    </w:rPr>
                    <w:t>810-845</w:t>
                  </w:r>
                </w:p>
              </w:tc>
              <w:tc>
                <w:tcPr>
                  <w:tcW w:w="1039" w:type="pct"/>
                  <w:gridSpan w:val="3"/>
                  <w:tcBorders>
                    <w:top w:val="single" w:color="auto" w:sz="6" w:space="0"/>
                    <w:left w:val="single" w:color="auto" w:sz="6" w:space="0"/>
                    <w:bottom w:val="single" w:color="auto" w:sz="6" w:space="0"/>
                    <w:right w:val="single" w:color="auto" w:sz="6" w:space="0"/>
                  </w:tcBorders>
                  <w:vAlign w:val="center"/>
                </w:tcPr>
                <w:p w14:paraId="1A02C64B">
                  <w:pPr>
                    <w:keepNext/>
                    <w:keepLines/>
                    <w:jc w:val="center"/>
                    <w:rPr>
                      <w:rFonts w:ascii="Times New Roman" w:hAnsi="Times New Roman" w:cs="Times New Roman"/>
                      <w:sz w:val="21"/>
                      <w:szCs w:val="21"/>
                    </w:rPr>
                  </w:pPr>
                  <w:r>
                    <w:rPr>
                      <w:rFonts w:ascii="Times New Roman" w:hAnsi="Times New Roman" w:cs="Times New Roman"/>
                      <w:sz w:val="21"/>
                      <w:szCs w:val="21"/>
                    </w:rPr>
                    <w:t>790-840</w:t>
                  </w:r>
                </w:p>
              </w:tc>
              <w:tc>
                <w:tcPr>
                  <w:tcW w:w="866" w:type="pct"/>
                  <w:tcBorders>
                    <w:top w:val="single" w:color="auto" w:sz="6" w:space="0"/>
                    <w:left w:val="single" w:color="auto" w:sz="6" w:space="0"/>
                    <w:bottom w:val="single" w:color="auto" w:sz="6" w:space="0"/>
                    <w:right w:val="nil"/>
                  </w:tcBorders>
                  <w:vAlign w:val="center"/>
                </w:tcPr>
                <w:p w14:paraId="777DF2BA">
                  <w:pPr>
                    <w:keepNext/>
                    <w:keepLines/>
                    <w:jc w:val="center"/>
                    <w:rPr>
                      <w:rFonts w:ascii="Times New Roman" w:hAnsi="Times New Roman" w:cs="Times New Roman"/>
                      <w:sz w:val="21"/>
                      <w:szCs w:val="21"/>
                    </w:rPr>
                  </w:pPr>
                  <w:r>
                    <w:rPr>
                      <w:rFonts w:ascii="Times New Roman" w:hAnsi="Times New Roman" w:cs="Times New Roman"/>
                      <w:sz w:val="21"/>
                      <w:szCs w:val="21"/>
                    </w:rPr>
                    <w:t>GB/T1884 GB/T1885</w:t>
                  </w:r>
                </w:p>
              </w:tc>
            </w:tr>
            <w:tr w14:paraId="4D251A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056" w:type="pct"/>
                  <w:tcBorders>
                    <w:top w:val="single" w:color="auto" w:sz="6" w:space="0"/>
                    <w:left w:val="nil"/>
                    <w:bottom w:val="single" w:color="auto" w:sz="12" w:space="0"/>
                    <w:right w:val="single" w:color="auto" w:sz="6" w:space="0"/>
                  </w:tcBorders>
                  <w:vAlign w:val="center"/>
                </w:tcPr>
                <w:p w14:paraId="618E7202">
                  <w:pPr>
                    <w:keepNext/>
                    <w:keepLines/>
                    <w:rPr>
                      <w:rFonts w:ascii="Times New Roman" w:hAnsi="Times New Roman" w:cs="Times New Roman"/>
                      <w:sz w:val="21"/>
                      <w:szCs w:val="21"/>
                    </w:rPr>
                  </w:pPr>
                  <w:r>
                    <w:rPr>
                      <w:rFonts w:ascii="Times New Roman" w:hAnsi="Times New Roman" w:cs="Times New Roman"/>
                      <w:sz w:val="21"/>
                      <w:szCs w:val="21"/>
                    </w:rPr>
                    <w:t>脂肪酸甲酯含量（体积分数）/%  不大于</w:t>
                  </w:r>
                </w:p>
              </w:tc>
              <w:tc>
                <w:tcPr>
                  <w:tcW w:w="2077" w:type="pct"/>
                  <w:gridSpan w:val="6"/>
                  <w:tcBorders>
                    <w:top w:val="single" w:color="auto" w:sz="6" w:space="0"/>
                    <w:left w:val="single" w:color="auto" w:sz="6" w:space="0"/>
                    <w:bottom w:val="single" w:color="auto" w:sz="12" w:space="0"/>
                    <w:right w:val="single" w:color="auto" w:sz="6" w:space="0"/>
                  </w:tcBorders>
                  <w:vAlign w:val="center"/>
                </w:tcPr>
                <w:p w14:paraId="30B8A339">
                  <w:pPr>
                    <w:keepNext/>
                    <w:keepLines/>
                    <w:jc w:val="center"/>
                    <w:rPr>
                      <w:rFonts w:ascii="Times New Roman" w:hAnsi="Times New Roman" w:cs="Times New Roman"/>
                      <w:sz w:val="21"/>
                      <w:szCs w:val="21"/>
                    </w:rPr>
                  </w:pPr>
                  <w:r>
                    <w:rPr>
                      <w:rFonts w:ascii="Times New Roman" w:hAnsi="Times New Roman" w:cs="Times New Roman"/>
                      <w:sz w:val="21"/>
                      <w:szCs w:val="21"/>
                    </w:rPr>
                    <w:t>1.0</w:t>
                  </w:r>
                </w:p>
              </w:tc>
              <w:tc>
                <w:tcPr>
                  <w:tcW w:w="866" w:type="pct"/>
                  <w:tcBorders>
                    <w:top w:val="single" w:color="auto" w:sz="6" w:space="0"/>
                    <w:left w:val="single" w:color="auto" w:sz="6" w:space="0"/>
                    <w:bottom w:val="single" w:color="auto" w:sz="12" w:space="0"/>
                    <w:right w:val="nil"/>
                  </w:tcBorders>
                  <w:vAlign w:val="center"/>
                </w:tcPr>
                <w:p w14:paraId="365A9C25">
                  <w:pPr>
                    <w:keepNext/>
                    <w:keepLines/>
                    <w:ind w:left="117"/>
                    <w:jc w:val="center"/>
                    <w:rPr>
                      <w:rFonts w:ascii="Times New Roman" w:hAnsi="Times New Roman" w:cs="Times New Roman"/>
                      <w:sz w:val="21"/>
                      <w:szCs w:val="21"/>
                    </w:rPr>
                  </w:pPr>
                  <w:r>
                    <w:rPr>
                      <w:rFonts w:ascii="Times New Roman" w:hAnsi="Times New Roman" w:cs="Times New Roman"/>
                      <w:sz w:val="21"/>
                      <w:szCs w:val="21"/>
                    </w:rPr>
                    <w:t>NB/SH/T0916</w:t>
                  </w:r>
                </w:p>
              </w:tc>
            </w:tr>
          </w:tbl>
          <w:p w14:paraId="44DF72B0">
            <w:pPr>
              <w:adjustRightInd w:val="0"/>
              <w:snapToGrid w:val="0"/>
              <w:spacing w:line="360" w:lineRule="auto"/>
              <w:rPr>
                <w:rFonts w:ascii="Times New Roman" w:hAnsi="Times New Roman" w:cs="Times New Roman"/>
                <w:b/>
              </w:rPr>
            </w:pPr>
            <w:r>
              <w:rPr>
                <w:rFonts w:ascii="Times New Roman" w:hAnsi="Times New Roman" w:cs="Times New Roman"/>
                <w:b/>
              </w:rPr>
              <w:t>4、主要原辅材料</w:t>
            </w:r>
          </w:p>
          <w:p w14:paraId="36BD1515">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汽油主要原料包括：MTBE、异辛烷、轻质石脑油和混合芳烃。柴油主要原料包括：轻质燃料油、煤基柴油、柴油抗磨剂和十六烷值改进剂。具体生产配比方案见表2-4、表2-5。本项目原辅料均为外购，通过罐车运输进厂后储存于原料罐中。</w:t>
            </w:r>
          </w:p>
          <w:p w14:paraId="705CAADA">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项目主要原辅材料性质见表2-6至表2-12。</w:t>
            </w:r>
          </w:p>
          <w:p w14:paraId="35E0BDBD">
            <w:pPr>
              <w:adjustRightInd w:val="0"/>
              <w:snapToGrid w:val="0"/>
              <w:ind w:firstLine="442" w:firstLineChars="200"/>
              <w:jc w:val="center"/>
              <w:rPr>
                <w:rFonts w:ascii="Times New Roman" w:hAnsi="Times New Roman" w:cs="Times New Roman"/>
                <w:b/>
                <w:color w:val="000000"/>
                <w:szCs w:val="18"/>
              </w:rPr>
            </w:pPr>
            <w:r>
              <w:rPr>
                <w:rFonts w:ascii="Times New Roman" w:hAnsi="Times New Roman" w:cs="Times New Roman"/>
                <w:b/>
                <w:spacing w:val="-10"/>
                <w:szCs w:val="21"/>
              </w:rPr>
              <w:t>表2-4  汽油生产配比方案</w:t>
            </w:r>
          </w:p>
          <w:tbl>
            <w:tblPr>
              <w:tblStyle w:val="16"/>
              <w:tblW w:w="48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8"/>
              <w:gridCol w:w="2551"/>
              <w:gridCol w:w="2318"/>
              <w:gridCol w:w="1400"/>
            </w:tblGrid>
            <w:tr w14:paraId="3779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65" w:type="pct"/>
                  <w:tcBorders>
                    <w:top w:val="single" w:color="auto" w:sz="4" w:space="0"/>
                    <w:left w:val="single" w:color="auto" w:sz="4" w:space="0"/>
                    <w:bottom w:val="single" w:color="auto" w:sz="4" w:space="0"/>
                    <w:right w:val="single" w:color="auto" w:sz="4" w:space="0"/>
                  </w:tcBorders>
                  <w:noWrap/>
                  <w:vAlign w:val="center"/>
                </w:tcPr>
                <w:p w14:paraId="09DBD5F4">
                  <w:pPr>
                    <w:jc w:val="center"/>
                    <w:rPr>
                      <w:rFonts w:ascii="Times New Roman" w:hAnsi="Times New Roman" w:cs="Times New Roman"/>
                      <w:szCs w:val="21"/>
                    </w:rPr>
                  </w:pPr>
                  <w:r>
                    <w:rPr>
                      <w:rFonts w:ascii="Times New Roman" w:hAnsi="Times New Roman" w:cs="Times New Roman"/>
                      <w:szCs w:val="21"/>
                    </w:rPr>
                    <w:t>调合组分</w:t>
                  </w:r>
                </w:p>
              </w:tc>
              <w:tc>
                <w:tcPr>
                  <w:tcW w:w="1642" w:type="pct"/>
                  <w:tcBorders>
                    <w:top w:val="single" w:color="auto" w:sz="4" w:space="0"/>
                    <w:left w:val="single" w:color="auto" w:sz="4" w:space="0"/>
                    <w:bottom w:val="single" w:color="auto" w:sz="4" w:space="0"/>
                    <w:right w:val="single" w:color="auto" w:sz="4" w:space="0"/>
                  </w:tcBorders>
                  <w:noWrap/>
                  <w:vAlign w:val="center"/>
                </w:tcPr>
                <w:p w14:paraId="51ABA065">
                  <w:pPr>
                    <w:jc w:val="center"/>
                    <w:textAlignment w:val="center"/>
                    <w:rPr>
                      <w:rFonts w:ascii="Times New Roman" w:hAnsi="Times New Roman" w:cs="Times New Roman"/>
                      <w:szCs w:val="21"/>
                    </w:rPr>
                  </w:pPr>
                  <w:r>
                    <w:rPr>
                      <w:rFonts w:ascii="Times New Roman" w:hAnsi="Times New Roman" w:cs="Times New Roman"/>
                      <w:szCs w:val="21"/>
                      <w:lang w:bidi="ar"/>
                    </w:rPr>
                    <w:t>92号车用汽油（万吨）</w:t>
                  </w:r>
                </w:p>
              </w:tc>
              <w:tc>
                <w:tcPr>
                  <w:tcW w:w="1492" w:type="pct"/>
                  <w:tcBorders>
                    <w:top w:val="single" w:color="auto" w:sz="4" w:space="0"/>
                    <w:left w:val="single" w:color="auto" w:sz="4" w:space="0"/>
                    <w:bottom w:val="single" w:color="auto" w:sz="4" w:space="0"/>
                    <w:right w:val="single" w:color="auto" w:sz="4" w:space="0"/>
                  </w:tcBorders>
                  <w:noWrap/>
                  <w:vAlign w:val="center"/>
                </w:tcPr>
                <w:p w14:paraId="403529B8">
                  <w:pPr>
                    <w:jc w:val="center"/>
                    <w:textAlignment w:val="center"/>
                    <w:rPr>
                      <w:rFonts w:ascii="Times New Roman" w:hAnsi="Times New Roman" w:cs="Times New Roman"/>
                      <w:szCs w:val="21"/>
                    </w:rPr>
                  </w:pPr>
                  <w:r>
                    <w:rPr>
                      <w:rFonts w:ascii="Times New Roman" w:hAnsi="Times New Roman" w:cs="Times New Roman"/>
                      <w:szCs w:val="21"/>
                      <w:lang w:bidi="ar"/>
                    </w:rPr>
                    <w:t>95号车用汽油（万吨）</w:t>
                  </w:r>
                </w:p>
              </w:tc>
              <w:tc>
                <w:tcPr>
                  <w:tcW w:w="902" w:type="pct"/>
                  <w:tcBorders>
                    <w:top w:val="single" w:color="auto" w:sz="4" w:space="0"/>
                    <w:left w:val="single" w:color="auto" w:sz="4" w:space="0"/>
                    <w:bottom w:val="single" w:color="auto" w:sz="4" w:space="0"/>
                    <w:right w:val="single" w:color="auto" w:sz="4" w:space="0"/>
                  </w:tcBorders>
                  <w:noWrap/>
                  <w:vAlign w:val="center"/>
                </w:tcPr>
                <w:p w14:paraId="528E4851">
                  <w:pPr>
                    <w:jc w:val="center"/>
                    <w:textAlignment w:val="center"/>
                    <w:rPr>
                      <w:rFonts w:ascii="Times New Roman" w:hAnsi="Times New Roman" w:cs="Times New Roman"/>
                      <w:szCs w:val="21"/>
                    </w:rPr>
                  </w:pPr>
                  <w:r>
                    <w:rPr>
                      <w:rFonts w:ascii="Times New Roman" w:hAnsi="Times New Roman" w:cs="Times New Roman"/>
                      <w:szCs w:val="21"/>
                      <w:lang w:bidi="ar"/>
                    </w:rPr>
                    <w:t>合计（万吨）</w:t>
                  </w:r>
                </w:p>
              </w:tc>
            </w:tr>
            <w:tr w14:paraId="28E05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65" w:type="pct"/>
                  <w:tcBorders>
                    <w:top w:val="single" w:color="auto" w:sz="4" w:space="0"/>
                    <w:left w:val="single" w:color="auto" w:sz="4" w:space="0"/>
                    <w:bottom w:val="single" w:color="auto" w:sz="4" w:space="0"/>
                    <w:right w:val="single" w:color="auto" w:sz="4" w:space="0"/>
                  </w:tcBorders>
                  <w:noWrap/>
                  <w:vAlign w:val="center"/>
                </w:tcPr>
                <w:p w14:paraId="3E102DF2">
                  <w:pPr>
                    <w:jc w:val="center"/>
                    <w:textAlignment w:val="center"/>
                    <w:rPr>
                      <w:rFonts w:ascii="Times New Roman" w:hAnsi="Times New Roman" w:cs="Times New Roman"/>
                      <w:szCs w:val="21"/>
                    </w:rPr>
                  </w:pPr>
                  <w:r>
                    <w:rPr>
                      <w:rFonts w:ascii="Times New Roman" w:hAnsi="Times New Roman" w:cs="Times New Roman"/>
                      <w:szCs w:val="21"/>
                      <w:lang w:bidi="ar"/>
                    </w:rPr>
                    <w:t>MTBE</w:t>
                  </w:r>
                </w:p>
              </w:tc>
              <w:tc>
                <w:tcPr>
                  <w:tcW w:w="1642" w:type="pct"/>
                  <w:tcBorders>
                    <w:top w:val="single" w:color="auto" w:sz="4" w:space="0"/>
                    <w:left w:val="single" w:color="auto" w:sz="4" w:space="0"/>
                    <w:bottom w:val="single" w:color="auto" w:sz="4" w:space="0"/>
                    <w:right w:val="single" w:color="auto" w:sz="4" w:space="0"/>
                  </w:tcBorders>
                  <w:noWrap/>
                  <w:vAlign w:val="center"/>
                </w:tcPr>
                <w:p w14:paraId="0DBF62AD">
                  <w:pPr>
                    <w:jc w:val="center"/>
                    <w:textAlignment w:val="center"/>
                    <w:rPr>
                      <w:rFonts w:ascii="Times New Roman" w:hAnsi="Times New Roman" w:cs="Times New Roman"/>
                      <w:szCs w:val="21"/>
                    </w:rPr>
                  </w:pPr>
                  <w:r>
                    <w:rPr>
                      <w:rFonts w:ascii="Times New Roman" w:hAnsi="Times New Roman" w:cs="Times New Roman"/>
                      <w:szCs w:val="21"/>
                      <w:lang w:bidi="ar"/>
                    </w:rPr>
                    <w:t>2.35</w:t>
                  </w:r>
                </w:p>
              </w:tc>
              <w:tc>
                <w:tcPr>
                  <w:tcW w:w="1492" w:type="pct"/>
                  <w:tcBorders>
                    <w:top w:val="single" w:color="auto" w:sz="4" w:space="0"/>
                    <w:left w:val="single" w:color="auto" w:sz="4" w:space="0"/>
                    <w:bottom w:val="single" w:color="auto" w:sz="4" w:space="0"/>
                    <w:right w:val="single" w:color="auto" w:sz="4" w:space="0"/>
                  </w:tcBorders>
                  <w:noWrap/>
                  <w:vAlign w:val="center"/>
                </w:tcPr>
                <w:p w14:paraId="02393E73">
                  <w:pPr>
                    <w:jc w:val="center"/>
                    <w:textAlignment w:val="center"/>
                    <w:rPr>
                      <w:rFonts w:ascii="Times New Roman" w:hAnsi="Times New Roman" w:cs="Times New Roman"/>
                      <w:szCs w:val="21"/>
                    </w:rPr>
                  </w:pPr>
                  <w:r>
                    <w:rPr>
                      <w:rFonts w:ascii="Times New Roman" w:hAnsi="Times New Roman" w:cs="Times New Roman"/>
                      <w:szCs w:val="21"/>
                      <w:lang w:bidi="ar"/>
                    </w:rPr>
                    <w:t>1.25</w:t>
                  </w:r>
                </w:p>
              </w:tc>
              <w:tc>
                <w:tcPr>
                  <w:tcW w:w="902" w:type="pct"/>
                  <w:tcBorders>
                    <w:top w:val="single" w:color="auto" w:sz="4" w:space="0"/>
                    <w:left w:val="single" w:color="auto" w:sz="4" w:space="0"/>
                    <w:bottom w:val="single" w:color="auto" w:sz="4" w:space="0"/>
                    <w:right w:val="single" w:color="auto" w:sz="4" w:space="0"/>
                  </w:tcBorders>
                  <w:noWrap/>
                  <w:vAlign w:val="center"/>
                </w:tcPr>
                <w:p w14:paraId="691D6CB6">
                  <w:pPr>
                    <w:jc w:val="center"/>
                    <w:textAlignment w:val="center"/>
                    <w:rPr>
                      <w:rFonts w:ascii="Times New Roman" w:hAnsi="Times New Roman" w:cs="Times New Roman"/>
                      <w:szCs w:val="21"/>
                    </w:rPr>
                  </w:pPr>
                  <w:r>
                    <w:rPr>
                      <w:rFonts w:ascii="Times New Roman" w:hAnsi="Times New Roman" w:cs="Times New Roman"/>
                      <w:szCs w:val="21"/>
                      <w:lang w:bidi="ar"/>
                    </w:rPr>
                    <w:t>3.6</w:t>
                  </w:r>
                </w:p>
              </w:tc>
            </w:tr>
            <w:tr w14:paraId="39620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65" w:type="pct"/>
                  <w:tcBorders>
                    <w:top w:val="single" w:color="auto" w:sz="4" w:space="0"/>
                    <w:left w:val="single" w:color="auto" w:sz="4" w:space="0"/>
                    <w:bottom w:val="single" w:color="auto" w:sz="4" w:space="0"/>
                    <w:right w:val="single" w:color="auto" w:sz="4" w:space="0"/>
                  </w:tcBorders>
                  <w:noWrap/>
                  <w:vAlign w:val="center"/>
                </w:tcPr>
                <w:p w14:paraId="42AA8960">
                  <w:pPr>
                    <w:jc w:val="center"/>
                    <w:textAlignment w:val="center"/>
                    <w:rPr>
                      <w:rFonts w:ascii="Times New Roman" w:hAnsi="Times New Roman" w:cs="Times New Roman"/>
                      <w:szCs w:val="21"/>
                    </w:rPr>
                  </w:pPr>
                  <w:r>
                    <w:rPr>
                      <w:rFonts w:ascii="Times New Roman" w:hAnsi="Times New Roman" w:cs="Times New Roman"/>
                      <w:szCs w:val="21"/>
                      <w:lang w:bidi="ar"/>
                    </w:rPr>
                    <w:t>异辛烷</w:t>
                  </w:r>
                </w:p>
              </w:tc>
              <w:tc>
                <w:tcPr>
                  <w:tcW w:w="1642" w:type="pct"/>
                  <w:tcBorders>
                    <w:top w:val="single" w:color="auto" w:sz="4" w:space="0"/>
                    <w:left w:val="single" w:color="auto" w:sz="4" w:space="0"/>
                    <w:bottom w:val="single" w:color="auto" w:sz="4" w:space="0"/>
                    <w:right w:val="single" w:color="auto" w:sz="4" w:space="0"/>
                  </w:tcBorders>
                  <w:noWrap/>
                  <w:vAlign w:val="center"/>
                </w:tcPr>
                <w:p w14:paraId="23650F0E">
                  <w:pPr>
                    <w:jc w:val="center"/>
                    <w:textAlignment w:val="center"/>
                    <w:rPr>
                      <w:rFonts w:ascii="Times New Roman" w:hAnsi="Times New Roman" w:cs="Times New Roman"/>
                      <w:szCs w:val="21"/>
                    </w:rPr>
                  </w:pPr>
                  <w:r>
                    <w:rPr>
                      <w:rFonts w:ascii="Times New Roman" w:hAnsi="Times New Roman" w:cs="Times New Roman"/>
                      <w:szCs w:val="21"/>
                      <w:lang w:bidi="ar"/>
                    </w:rPr>
                    <w:t>5.7</w:t>
                  </w:r>
                </w:p>
              </w:tc>
              <w:tc>
                <w:tcPr>
                  <w:tcW w:w="1492" w:type="pct"/>
                  <w:tcBorders>
                    <w:top w:val="single" w:color="auto" w:sz="4" w:space="0"/>
                    <w:left w:val="single" w:color="auto" w:sz="4" w:space="0"/>
                    <w:bottom w:val="single" w:color="auto" w:sz="4" w:space="0"/>
                    <w:right w:val="single" w:color="auto" w:sz="4" w:space="0"/>
                  </w:tcBorders>
                  <w:noWrap/>
                  <w:vAlign w:val="center"/>
                </w:tcPr>
                <w:p w14:paraId="76FF4421">
                  <w:pPr>
                    <w:jc w:val="center"/>
                    <w:textAlignment w:val="center"/>
                    <w:rPr>
                      <w:rFonts w:ascii="Times New Roman" w:hAnsi="Times New Roman" w:cs="Times New Roman"/>
                      <w:szCs w:val="21"/>
                    </w:rPr>
                  </w:pPr>
                  <w:r>
                    <w:rPr>
                      <w:rFonts w:ascii="Times New Roman" w:hAnsi="Times New Roman" w:cs="Times New Roman"/>
                      <w:szCs w:val="21"/>
                      <w:lang w:bidi="ar"/>
                    </w:rPr>
                    <w:t>3.89</w:t>
                  </w:r>
                </w:p>
              </w:tc>
              <w:tc>
                <w:tcPr>
                  <w:tcW w:w="902" w:type="pct"/>
                  <w:tcBorders>
                    <w:top w:val="single" w:color="auto" w:sz="4" w:space="0"/>
                    <w:left w:val="single" w:color="auto" w:sz="4" w:space="0"/>
                    <w:bottom w:val="single" w:color="auto" w:sz="4" w:space="0"/>
                    <w:right w:val="single" w:color="auto" w:sz="4" w:space="0"/>
                  </w:tcBorders>
                  <w:noWrap/>
                  <w:vAlign w:val="center"/>
                </w:tcPr>
                <w:p w14:paraId="39E5A119">
                  <w:pPr>
                    <w:jc w:val="center"/>
                    <w:textAlignment w:val="center"/>
                    <w:rPr>
                      <w:rFonts w:ascii="Times New Roman" w:hAnsi="Times New Roman" w:cs="Times New Roman"/>
                      <w:szCs w:val="21"/>
                    </w:rPr>
                  </w:pPr>
                  <w:r>
                    <w:rPr>
                      <w:rFonts w:ascii="Times New Roman" w:hAnsi="Times New Roman" w:cs="Times New Roman"/>
                      <w:szCs w:val="21"/>
                      <w:lang w:bidi="ar"/>
                    </w:rPr>
                    <w:t>9.59</w:t>
                  </w:r>
                </w:p>
              </w:tc>
            </w:tr>
            <w:tr w14:paraId="52E6B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965" w:type="pct"/>
                  <w:tcBorders>
                    <w:top w:val="single" w:color="auto" w:sz="4" w:space="0"/>
                    <w:left w:val="single" w:color="auto" w:sz="4" w:space="0"/>
                    <w:bottom w:val="single" w:color="auto" w:sz="4" w:space="0"/>
                    <w:right w:val="single" w:color="auto" w:sz="4" w:space="0"/>
                  </w:tcBorders>
                  <w:noWrap/>
                  <w:vAlign w:val="center"/>
                </w:tcPr>
                <w:p w14:paraId="7FB3F5A6">
                  <w:pPr>
                    <w:jc w:val="center"/>
                    <w:textAlignment w:val="center"/>
                    <w:rPr>
                      <w:rFonts w:ascii="Times New Roman" w:hAnsi="Times New Roman" w:cs="Times New Roman"/>
                      <w:szCs w:val="21"/>
                    </w:rPr>
                  </w:pPr>
                  <w:r>
                    <w:rPr>
                      <w:rFonts w:ascii="Times New Roman" w:hAnsi="Times New Roman" w:cs="Times New Roman"/>
                      <w:szCs w:val="21"/>
                      <w:lang w:bidi="ar"/>
                    </w:rPr>
                    <w:t>轻质石脑油</w:t>
                  </w:r>
                </w:p>
              </w:tc>
              <w:tc>
                <w:tcPr>
                  <w:tcW w:w="1642" w:type="pct"/>
                  <w:tcBorders>
                    <w:top w:val="single" w:color="auto" w:sz="4" w:space="0"/>
                    <w:left w:val="single" w:color="auto" w:sz="4" w:space="0"/>
                    <w:bottom w:val="single" w:color="auto" w:sz="4" w:space="0"/>
                    <w:right w:val="single" w:color="auto" w:sz="4" w:space="0"/>
                  </w:tcBorders>
                  <w:noWrap/>
                  <w:vAlign w:val="center"/>
                </w:tcPr>
                <w:p w14:paraId="35E3DEA9">
                  <w:pPr>
                    <w:jc w:val="center"/>
                    <w:textAlignment w:val="center"/>
                    <w:rPr>
                      <w:rFonts w:ascii="Times New Roman" w:hAnsi="Times New Roman" w:cs="Times New Roman"/>
                      <w:szCs w:val="21"/>
                    </w:rPr>
                  </w:pPr>
                  <w:r>
                    <w:rPr>
                      <w:rFonts w:ascii="Times New Roman" w:hAnsi="Times New Roman" w:cs="Times New Roman"/>
                      <w:szCs w:val="21"/>
                      <w:lang w:bidi="ar"/>
                    </w:rPr>
                    <w:t>8.45</w:t>
                  </w:r>
                </w:p>
              </w:tc>
              <w:tc>
                <w:tcPr>
                  <w:tcW w:w="1492" w:type="pct"/>
                  <w:tcBorders>
                    <w:top w:val="single" w:color="auto" w:sz="4" w:space="0"/>
                    <w:left w:val="single" w:color="auto" w:sz="4" w:space="0"/>
                    <w:bottom w:val="single" w:color="auto" w:sz="4" w:space="0"/>
                    <w:right w:val="single" w:color="auto" w:sz="4" w:space="0"/>
                  </w:tcBorders>
                  <w:noWrap/>
                  <w:vAlign w:val="center"/>
                </w:tcPr>
                <w:p w14:paraId="01E1CEE4">
                  <w:pPr>
                    <w:jc w:val="center"/>
                    <w:textAlignment w:val="center"/>
                    <w:rPr>
                      <w:rFonts w:ascii="Times New Roman" w:hAnsi="Times New Roman" w:cs="Times New Roman"/>
                      <w:szCs w:val="21"/>
                    </w:rPr>
                  </w:pPr>
                  <w:r>
                    <w:rPr>
                      <w:rFonts w:ascii="Times New Roman" w:hAnsi="Times New Roman" w:cs="Times New Roman"/>
                      <w:szCs w:val="21"/>
                      <w:lang w:bidi="ar"/>
                    </w:rPr>
                    <w:t>2.96</w:t>
                  </w:r>
                </w:p>
              </w:tc>
              <w:tc>
                <w:tcPr>
                  <w:tcW w:w="902" w:type="pct"/>
                  <w:tcBorders>
                    <w:top w:val="single" w:color="auto" w:sz="4" w:space="0"/>
                    <w:left w:val="single" w:color="auto" w:sz="4" w:space="0"/>
                    <w:bottom w:val="single" w:color="auto" w:sz="4" w:space="0"/>
                    <w:right w:val="single" w:color="auto" w:sz="4" w:space="0"/>
                  </w:tcBorders>
                  <w:noWrap/>
                  <w:vAlign w:val="center"/>
                </w:tcPr>
                <w:p w14:paraId="4ECABDF8">
                  <w:pPr>
                    <w:jc w:val="center"/>
                    <w:textAlignment w:val="center"/>
                    <w:rPr>
                      <w:rFonts w:ascii="Times New Roman" w:hAnsi="Times New Roman" w:cs="Times New Roman"/>
                      <w:szCs w:val="21"/>
                    </w:rPr>
                  </w:pPr>
                  <w:r>
                    <w:rPr>
                      <w:rFonts w:ascii="Times New Roman" w:hAnsi="Times New Roman" w:cs="Times New Roman"/>
                      <w:szCs w:val="21"/>
                      <w:lang w:bidi="ar"/>
                    </w:rPr>
                    <w:t>11.41</w:t>
                  </w:r>
                </w:p>
              </w:tc>
            </w:tr>
            <w:tr w14:paraId="5CFB1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65" w:type="pct"/>
                  <w:tcBorders>
                    <w:top w:val="single" w:color="auto" w:sz="4" w:space="0"/>
                    <w:left w:val="single" w:color="auto" w:sz="4" w:space="0"/>
                    <w:bottom w:val="single" w:color="auto" w:sz="4" w:space="0"/>
                    <w:right w:val="single" w:color="auto" w:sz="4" w:space="0"/>
                  </w:tcBorders>
                  <w:noWrap/>
                  <w:vAlign w:val="center"/>
                </w:tcPr>
                <w:p w14:paraId="77C72703">
                  <w:pPr>
                    <w:jc w:val="center"/>
                    <w:textAlignment w:val="center"/>
                    <w:rPr>
                      <w:rFonts w:ascii="Times New Roman" w:hAnsi="Times New Roman" w:cs="Times New Roman"/>
                      <w:szCs w:val="21"/>
                    </w:rPr>
                  </w:pPr>
                  <w:r>
                    <w:rPr>
                      <w:rFonts w:ascii="Times New Roman" w:hAnsi="Times New Roman" w:cs="Times New Roman"/>
                      <w:szCs w:val="21"/>
                      <w:lang w:bidi="ar"/>
                    </w:rPr>
                    <w:t>混合芳烃</w:t>
                  </w:r>
                </w:p>
              </w:tc>
              <w:tc>
                <w:tcPr>
                  <w:tcW w:w="1642" w:type="pct"/>
                  <w:tcBorders>
                    <w:top w:val="single" w:color="auto" w:sz="4" w:space="0"/>
                    <w:left w:val="single" w:color="auto" w:sz="4" w:space="0"/>
                    <w:bottom w:val="single" w:color="auto" w:sz="4" w:space="0"/>
                    <w:right w:val="single" w:color="auto" w:sz="4" w:space="0"/>
                  </w:tcBorders>
                  <w:noWrap/>
                  <w:vAlign w:val="center"/>
                </w:tcPr>
                <w:p w14:paraId="2E309394">
                  <w:pPr>
                    <w:jc w:val="center"/>
                    <w:textAlignment w:val="center"/>
                    <w:rPr>
                      <w:rFonts w:ascii="Times New Roman" w:hAnsi="Times New Roman" w:cs="Times New Roman"/>
                      <w:szCs w:val="21"/>
                    </w:rPr>
                  </w:pPr>
                  <w:r>
                    <w:rPr>
                      <w:rFonts w:ascii="Times New Roman" w:hAnsi="Times New Roman" w:cs="Times New Roman"/>
                      <w:szCs w:val="21"/>
                      <w:lang w:bidi="ar"/>
                    </w:rPr>
                    <w:t>3.5</w:t>
                  </w:r>
                </w:p>
              </w:tc>
              <w:tc>
                <w:tcPr>
                  <w:tcW w:w="1492" w:type="pct"/>
                  <w:tcBorders>
                    <w:top w:val="single" w:color="auto" w:sz="4" w:space="0"/>
                    <w:left w:val="single" w:color="auto" w:sz="4" w:space="0"/>
                    <w:bottom w:val="single" w:color="auto" w:sz="4" w:space="0"/>
                    <w:right w:val="single" w:color="auto" w:sz="4" w:space="0"/>
                  </w:tcBorders>
                  <w:noWrap/>
                  <w:vAlign w:val="center"/>
                </w:tcPr>
                <w:p w14:paraId="189A676A">
                  <w:pPr>
                    <w:jc w:val="center"/>
                    <w:textAlignment w:val="center"/>
                    <w:rPr>
                      <w:rFonts w:ascii="Times New Roman" w:hAnsi="Times New Roman" w:cs="Times New Roman"/>
                      <w:szCs w:val="21"/>
                    </w:rPr>
                  </w:pPr>
                  <w:r>
                    <w:rPr>
                      <w:rFonts w:ascii="Times New Roman" w:hAnsi="Times New Roman" w:cs="Times New Roman"/>
                      <w:szCs w:val="21"/>
                      <w:lang w:bidi="ar"/>
                    </w:rPr>
                    <w:t>1.9</w:t>
                  </w:r>
                </w:p>
              </w:tc>
              <w:tc>
                <w:tcPr>
                  <w:tcW w:w="902" w:type="pct"/>
                  <w:tcBorders>
                    <w:top w:val="single" w:color="auto" w:sz="4" w:space="0"/>
                    <w:left w:val="single" w:color="auto" w:sz="4" w:space="0"/>
                    <w:bottom w:val="single" w:color="auto" w:sz="4" w:space="0"/>
                    <w:right w:val="single" w:color="auto" w:sz="4" w:space="0"/>
                  </w:tcBorders>
                  <w:noWrap/>
                  <w:vAlign w:val="center"/>
                </w:tcPr>
                <w:p w14:paraId="767E0E65">
                  <w:pPr>
                    <w:jc w:val="center"/>
                    <w:textAlignment w:val="center"/>
                    <w:rPr>
                      <w:rFonts w:ascii="Times New Roman" w:hAnsi="Times New Roman" w:cs="Times New Roman"/>
                      <w:szCs w:val="21"/>
                    </w:rPr>
                  </w:pPr>
                  <w:r>
                    <w:rPr>
                      <w:rFonts w:ascii="Times New Roman" w:hAnsi="Times New Roman" w:cs="Times New Roman"/>
                      <w:szCs w:val="21"/>
                      <w:lang w:bidi="ar"/>
                    </w:rPr>
                    <w:t>5.4</w:t>
                  </w:r>
                </w:p>
              </w:tc>
            </w:tr>
            <w:tr w14:paraId="07FD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65" w:type="pct"/>
                  <w:tcBorders>
                    <w:top w:val="single" w:color="auto" w:sz="4" w:space="0"/>
                    <w:left w:val="single" w:color="auto" w:sz="4" w:space="0"/>
                    <w:bottom w:val="single" w:color="auto" w:sz="4" w:space="0"/>
                    <w:right w:val="single" w:color="auto" w:sz="4" w:space="0"/>
                  </w:tcBorders>
                  <w:noWrap/>
                  <w:vAlign w:val="center"/>
                </w:tcPr>
                <w:p w14:paraId="28BD693D">
                  <w:pPr>
                    <w:jc w:val="center"/>
                    <w:textAlignment w:val="center"/>
                    <w:rPr>
                      <w:rFonts w:ascii="Times New Roman" w:hAnsi="Times New Roman" w:cs="Times New Roman"/>
                      <w:szCs w:val="21"/>
                    </w:rPr>
                  </w:pPr>
                  <w:r>
                    <w:rPr>
                      <w:rFonts w:ascii="Times New Roman" w:hAnsi="Times New Roman" w:cs="Times New Roman"/>
                      <w:szCs w:val="21"/>
                      <w:lang w:bidi="ar"/>
                    </w:rPr>
                    <w:t>合计</w:t>
                  </w:r>
                </w:p>
              </w:tc>
              <w:tc>
                <w:tcPr>
                  <w:tcW w:w="1642" w:type="pct"/>
                  <w:tcBorders>
                    <w:top w:val="single" w:color="auto" w:sz="4" w:space="0"/>
                    <w:left w:val="single" w:color="auto" w:sz="4" w:space="0"/>
                    <w:bottom w:val="single" w:color="auto" w:sz="4" w:space="0"/>
                    <w:right w:val="single" w:color="auto" w:sz="4" w:space="0"/>
                  </w:tcBorders>
                  <w:noWrap/>
                  <w:vAlign w:val="center"/>
                </w:tcPr>
                <w:p w14:paraId="057B14B1">
                  <w:pPr>
                    <w:jc w:val="center"/>
                    <w:textAlignment w:val="center"/>
                    <w:rPr>
                      <w:rFonts w:ascii="Times New Roman" w:hAnsi="Times New Roman" w:cs="Times New Roman"/>
                      <w:szCs w:val="21"/>
                    </w:rPr>
                  </w:pPr>
                  <w:r>
                    <w:rPr>
                      <w:rFonts w:ascii="Times New Roman" w:hAnsi="Times New Roman" w:cs="Times New Roman"/>
                      <w:szCs w:val="21"/>
                      <w:lang w:bidi="ar"/>
                    </w:rPr>
                    <w:t>20</w:t>
                  </w:r>
                </w:p>
              </w:tc>
              <w:tc>
                <w:tcPr>
                  <w:tcW w:w="1492" w:type="pct"/>
                  <w:tcBorders>
                    <w:top w:val="single" w:color="auto" w:sz="4" w:space="0"/>
                    <w:left w:val="single" w:color="auto" w:sz="4" w:space="0"/>
                    <w:bottom w:val="single" w:color="auto" w:sz="4" w:space="0"/>
                    <w:right w:val="single" w:color="auto" w:sz="4" w:space="0"/>
                  </w:tcBorders>
                  <w:noWrap/>
                  <w:vAlign w:val="center"/>
                </w:tcPr>
                <w:p w14:paraId="5DD5815F">
                  <w:pPr>
                    <w:jc w:val="center"/>
                    <w:textAlignment w:val="center"/>
                    <w:rPr>
                      <w:rFonts w:ascii="Times New Roman" w:hAnsi="Times New Roman" w:cs="Times New Roman"/>
                      <w:szCs w:val="21"/>
                    </w:rPr>
                  </w:pPr>
                  <w:r>
                    <w:rPr>
                      <w:rFonts w:ascii="Times New Roman" w:hAnsi="Times New Roman" w:cs="Times New Roman"/>
                      <w:szCs w:val="21"/>
                      <w:lang w:bidi="ar"/>
                    </w:rPr>
                    <w:t>10</w:t>
                  </w:r>
                </w:p>
              </w:tc>
              <w:tc>
                <w:tcPr>
                  <w:tcW w:w="902" w:type="pct"/>
                  <w:tcBorders>
                    <w:top w:val="single" w:color="auto" w:sz="4" w:space="0"/>
                    <w:left w:val="single" w:color="auto" w:sz="4" w:space="0"/>
                    <w:bottom w:val="single" w:color="auto" w:sz="4" w:space="0"/>
                    <w:right w:val="single" w:color="auto" w:sz="4" w:space="0"/>
                  </w:tcBorders>
                  <w:noWrap/>
                  <w:vAlign w:val="center"/>
                </w:tcPr>
                <w:p w14:paraId="62D106C1">
                  <w:pPr>
                    <w:jc w:val="center"/>
                    <w:textAlignment w:val="center"/>
                    <w:rPr>
                      <w:rFonts w:ascii="Times New Roman" w:hAnsi="Times New Roman" w:cs="Times New Roman"/>
                      <w:szCs w:val="21"/>
                    </w:rPr>
                  </w:pPr>
                  <w:r>
                    <w:rPr>
                      <w:rFonts w:ascii="Times New Roman" w:hAnsi="Times New Roman" w:cs="Times New Roman"/>
                      <w:szCs w:val="21"/>
                      <w:lang w:bidi="ar"/>
                    </w:rPr>
                    <w:t>30</w:t>
                  </w:r>
                </w:p>
              </w:tc>
            </w:tr>
          </w:tbl>
          <w:p w14:paraId="12F03239">
            <w:pPr>
              <w:adjustRightInd w:val="0"/>
              <w:snapToGrid w:val="0"/>
              <w:spacing w:line="360" w:lineRule="auto"/>
              <w:ind w:firstLine="480" w:firstLineChars="200"/>
              <w:jc w:val="center"/>
              <w:rPr>
                <w:rFonts w:ascii="Times New Roman" w:hAnsi="Times New Roman" w:cs="Times New Roman"/>
                <w:bCs/>
              </w:rPr>
            </w:pPr>
          </w:p>
          <w:p w14:paraId="23C370E0">
            <w:pPr>
              <w:adjustRightInd w:val="0"/>
              <w:snapToGrid w:val="0"/>
              <w:ind w:firstLine="442" w:firstLineChars="200"/>
              <w:jc w:val="center"/>
              <w:rPr>
                <w:rFonts w:ascii="Times New Roman" w:hAnsi="Times New Roman" w:cs="Times New Roman"/>
                <w:b/>
                <w:color w:val="000000"/>
                <w:szCs w:val="18"/>
              </w:rPr>
            </w:pPr>
            <w:r>
              <w:rPr>
                <w:rFonts w:ascii="Times New Roman" w:hAnsi="Times New Roman" w:cs="Times New Roman"/>
                <w:b/>
                <w:spacing w:val="-10"/>
                <w:szCs w:val="21"/>
              </w:rPr>
              <w:t>表2-5  柴油生产配比方案</w:t>
            </w:r>
          </w:p>
          <w:tbl>
            <w:tblPr>
              <w:tblStyle w:val="16"/>
              <w:tblW w:w="46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34"/>
              <w:gridCol w:w="3671"/>
            </w:tblGrid>
            <w:tr w14:paraId="43B4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521" w:type="pct"/>
                  <w:tcBorders>
                    <w:top w:val="single" w:color="auto" w:sz="4" w:space="0"/>
                    <w:left w:val="single" w:color="auto" w:sz="4" w:space="0"/>
                    <w:bottom w:val="single" w:color="auto" w:sz="4" w:space="0"/>
                    <w:right w:val="single" w:color="auto" w:sz="4" w:space="0"/>
                  </w:tcBorders>
                  <w:noWrap/>
                  <w:vAlign w:val="center"/>
                </w:tcPr>
                <w:p w14:paraId="1BCE15BF">
                  <w:pPr>
                    <w:jc w:val="center"/>
                    <w:rPr>
                      <w:rFonts w:ascii="Times New Roman" w:hAnsi="Times New Roman" w:cs="Times New Roman"/>
                      <w:szCs w:val="21"/>
                    </w:rPr>
                  </w:pPr>
                  <w:r>
                    <w:rPr>
                      <w:rFonts w:ascii="Times New Roman" w:hAnsi="Times New Roman" w:cs="Times New Roman"/>
                      <w:szCs w:val="21"/>
                    </w:rPr>
                    <w:t>调合组分</w:t>
                  </w:r>
                </w:p>
              </w:tc>
              <w:tc>
                <w:tcPr>
                  <w:tcW w:w="2479" w:type="pct"/>
                  <w:tcBorders>
                    <w:top w:val="single" w:color="auto" w:sz="4" w:space="0"/>
                    <w:left w:val="single" w:color="auto" w:sz="4" w:space="0"/>
                    <w:bottom w:val="single" w:color="auto" w:sz="4" w:space="0"/>
                    <w:right w:val="single" w:color="auto" w:sz="4" w:space="0"/>
                  </w:tcBorders>
                  <w:noWrap/>
                  <w:vAlign w:val="center"/>
                </w:tcPr>
                <w:p w14:paraId="4C250818">
                  <w:pPr>
                    <w:jc w:val="center"/>
                    <w:textAlignment w:val="center"/>
                    <w:rPr>
                      <w:rFonts w:ascii="Times New Roman" w:hAnsi="Times New Roman" w:cs="Times New Roman"/>
                      <w:szCs w:val="21"/>
                    </w:rPr>
                  </w:pPr>
                  <w:r>
                    <w:rPr>
                      <w:rFonts w:ascii="Times New Roman" w:hAnsi="Times New Roman" w:cs="Times New Roman"/>
                      <w:szCs w:val="21"/>
                      <w:lang w:bidi="ar"/>
                    </w:rPr>
                    <w:t>车用柴油（万吨）</w:t>
                  </w:r>
                </w:p>
              </w:tc>
            </w:tr>
            <w:tr w14:paraId="48607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521" w:type="pct"/>
                  <w:tcBorders>
                    <w:top w:val="single" w:color="auto" w:sz="4" w:space="0"/>
                    <w:left w:val="single" w:color="auto" w:sz="4" w:space="0"/>
                    <w:bottom w:val="single" w:color="auto" w:sz="4" w:space="0"/>
                    <w:right w:val="single" w:color="auto" w:sz="4" w:space="0"/>
                  </w:tcBorders>
                  <w:noWrap/>
                  <w:vAlign w:val="center"/>
                </w:tcPr>
                <w:p w14:paraId="7808DCDF">
                  <w:pPr>
                    <w:jc w:val="center"/>
                    <w:textAlignment w:val="center"/>
                    <w:rPr>
                      <w:rFonts w:ascii="Times New Roman" w:hAnsi="Times New Roman" w:cs="Times New Roman"/>
                      <w:szCs w:val="21"/>
                    </w:rPr>
                  </w:pPr>
                  <w:r>
                    <w:rPr>
                      <w:rFonts w:ascii="Times New Roman" w:hAnsi="Times New Roman" w:cs="Times New Roman"/>
                      <w:szCs w:val="21"/>
                      <w:lang w:bidi="ar"/>
                    </w:rPr>
                    <w:t>轻质燃料油</w:t>
                  </w:r>
                </w:p>
              </w:tc>
              <w:tc>
                <w:tcPr>
                  <w:tcW w:w="2479" w:type="pct"/>
                  <w:tcBorders>
                    <w:top w:val="single" w:color="auto" w:sz="4" w:space="0"/>
                    <w:left w:val="single" w:color="auto" w:sz="4" w:space="0"/>
                    <w:bottom w:val="single" w:color="auto" w:sz="4" w:space="0"/>
                    <w:right w:val="single" w:color="auto" w:sz="4" w:space="0"/>
                  </w:tcBorders>
                  <w:noWrap/>
                  <w:vAlign w:val="center"/>
                </w:tcPr>
                <w:p w14:paraId="070E3DAB">
                  <w:pPr>
                    <w:jc w:val="center"/>
                    <w:textAlignment w:val="center"/>
                    <w:rPr>
                      <w:rFonts w:ascii="Times New Roman" w:hAnsi="Times New Roman" w:cs="Times New Roman"/>
                      <w:szCs w:val="21"/>
                    </w:rPr>
                  </w:pPr>
                  <w:r>
                    <w:rPr>
                      <w:rFonts w:ascii="Times New Roman" w:hAnsi="Times New Roman" w:cs="Times New Roman"/>
                      <w:szCs w:val="21"/>
                      <w:lang w:bidi="ar"/>
                    </w:rPr>
                    <w:t>13.56</w:t>
                  </w:r>
                </w:p>
              </w:tc>
            </w:tr>
            <w:tr w14:paraId="04DA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521" w:type="pct"/>
                  <w:tcBorders>
                    <w:top w:val="single" w:color="auto" w:sz="4" w:space="0"/>
                    <w:left w:val="single" w:color="auto" w:sz="4" w:space="0"/>
                    <w:bottom w:val="single" w:color="auto" w:sz="4" w:space="0"/>
                    <w:right w:val="single" w:color="auto" w:sz="4" w:space="0"/>
                  </w:tcBorders>
                  <w:noWrap/>
                  <w:vAlign w:val="center"/>
                </w:tcPr>
                <w:p w14:paraId="37BE5515">
                  <w:pPr>
                    <w:jc w:val="center"/>
                    <w:textAlignment w:val="center"/>
                    <w:rPr>
                      <w:rFonts w:ascii="Times New Roman" w:hAnsi="Times New Roman" w:cs="Times New Roman"/>
                      <w:szCs w:val="21"/>
                    </w:rPr>
                  </w:pPr>
                  <w:r>
                    <w:rPr>
                      <w:rFonts w:ascii="Times New Roman" w:hAnsi="Times New Roman" w:cs="Times New Roman"/>
                      <w:szCs w:val="21"/>
                      <w:lang w:bidi="ar"/>
                    </w:rPr>
                    <w:t>煤基柴油</w:t>
                  </w:r>
                </w:p>
              </w:tc>
              <w:tc>
                <w:tcPr>
                  <w:tcW w:w="2479" w:type="pct"/>
                  <w:tcBorders>
                    <w:top w:val="single" w:color="auto" w:sz="4" w:space="0"/>
                    <w:left w:val="single" w:color="auto" w:sz="4" w:space="0"/>
                    <w:bottom w:val="single" w:color="auto" w:sz="4" w:space="0"/>
                    <w:right w:val="single" w:color="auto" w:sz="4" w:space="0"/>
                  </w:tcBorders>
                  <w:noWrap/>
                  <w:vAlign w:val="center"/>
                </w:tcPr>
                <w:p w14:paraId="1BD2E651">
                  <w:pPr>
                    <w:jc w:val="center"/>
                    <w:textAlignment w:val="center"/>
                    <w:rPr>
                      <w:rFonts w:ascii="Times New Roman" w:hAnsi="Times New Roman" w:cs="Times New Roman"/>
                      <w:szCs w:val="21"/>
                    </w:rPr>
                  </w:pPr>
                  <w:r>
                    <w:rPr>
                      <w:rFonts w:ascii="Times New Roman" w:hAnsi="Times New Roman" w:cs="Times New Roman"/>
                      <w:szCs w:val="21"/>
                      <w:lang w:bidi="ar"/>
                    </w:rPr>
                    <w:t>16.42</w:t>
                  </w:r>
                </w:p>
              </w:tc>
            </w:tr>
            <w:tr w14:paraId="3FCF7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521" w:type="pct"/>
                  <w:tcBorders>
                    <w:top w:val="single" w:color="auto" w:sz="4" w:space="0"/>
                    <w:left w:val="single" w:color="auto" w:sz="4" w:space="0"/>
                    <w:bottom w:val="single" w:color="auto" w:sz="4" w:space="0"/>
                    <w:right w:val="single" w:color="auto" w:sz="4" w:space="0"/>
                  </w:tcBorders>
                  <w:noWrap/>
                  <w:vAlign w:val="center"/>
                </w:tcPr>
                <w:p w14:paraId="491BA690">
                  <w:pPr>
                    <w:jc w:val="center"/>
                    <w:textAlignment w:val="center"/>
                    <w:rPr>
                      <w:rFonts w:ascii="Times New Roman" w:hAnsi="Times New Roman" w:cs="Times New Roman"/>
                      <w:szCs w:val="21"/>
                    </w:rPr>
                  </w:pPr>
                  <w:r>
                    <w:rPr>
                      <w:rFonts w:ascii="Times New Roman" w:hAnsi="Times New Roman" w:cs="Times New Roman"/>
                      <w:szCs w:val="21"/>
                      <w:lang w:bidi="ar"/>
                    </w:rPr>
                    <w:t>柴油抗磨剂和十六烷值改进剂</w:t>
                  </w:r>
                </w:p>
              </w:tc>
              <w:tc>
                <w:tcPr>
                  <w:tcW w:w="2479" w:type="pct"/>
                  <w:tcBorders>
                    <w:top w:val="single" w:color="auto" w:sz="4" w:space="0"/>
                    <w:left w:val="single" w:color="auto" w:sz="4" w:space="0"/>
                    <w:bottom w:val="single" w:color="auto" w:sz="4" w:space="0"/>
                    <w:right w:val="single" w:color="auto" w:sz="4" w:space="0"/>
                  </w:tcBorders>
                  <w:noWrap/>
                  <w:vAlign w:val="center"/>
                </w:tcPr>
                <w:p w14:paraId="44D1CDC2">
                  <w:pPr>
                    <w:jc w:val="center"/>
                    <w:textAlignment w:val="center"/>
                    <w:rPr>
                      <w:rFonts w:ascii="Times New Roman" w:hAnsi="Times New Roman" w:cs="Times New Roman"/>
                      <w:szCs w:val="21"/>
                    </w:rPr>
                  </w:pPr>
                  <w:r>
                    <w:rPr>
                      <w:rFonts w:ascii="Times New Roman" w:hAnsi="Times New Roman" w:cs="Times New Roman"/>
                      <w:szCs w:val="21"/>
                      <w:lang w:bidi="ar"/>
                    </w:rPr>
                    <w:t>0.02</w:t>
                  </w:r>
                </w:p>
              </w:tc>
            </w:tr>
            <w:tr w14:paraId="08484F41">
              <w:tblPrEx>
                <w:tblCellMar>
                  <w:top w:w="0" w:type="dxa"/>
                  <w:left w:w="108" w:type="dxa"/>
                  <w:bottom w:w="0" w:type="dxa"/>
                  <w:right w:w="108" w:type="dxa"/>
                </w:tblCellMar>
              </w:tblPrEx>
              <w:trPr>
                <w:trHeight w:val="285" w:hRule="atLeast"/>
                <w:jc w:val="center"/>
              </w:trPr>
              <w:tc>
                <w:tcPr>
                  <w:tcW w:w="2521" w:type="pct"/>
                  <w:tcBorders>
                    <w:top w:val="single" w:color="auto" w:sz="4" w:space="0"/>
                    <w:left w:val="single" w:color="auto" w:sz="4" w:space="0"/>
                    <w:bottom w:val="single" w:color="auto" w:sz="4" w:space="0"/>
                    <w:right w:val="single" w:color="auto" w:sz="4" w:space="0"/>
                  </w:tcBorders>
                  <w:noWrap/>
                  <w:vAlign w:val="center"/>
                </w:tcPr>
                <w:p w14:paraId="152646CE">
                  <w:pPr>
                    <w:jc w:val="center"/>
                    <w:textAlignment w:val="center"/>
                    <w:rPr>
                      <w:rFonts w:ascii="Times New Roman" w:hAnsi="Times New Roman" w:cs="Times New Roman"/>
                      <w:szCs w:val="21"/>
                    </w:rPr>
                  </w:pPr>
                  <w:r>
                    <w:rPr>
                      <w:rFonts w:ascii="Times New Roman" w:hAnsi="Times New Roman" w:cs="Times New Roman"/>
                      <w:szCs w:val="21"/>
                      <w:lang w:bidi="ar"/>
                    </w:rPr>
                    <w:t>合计</w:t>
                  </w:r>
                </w:p>
              </w:tc>
              <w:tc>
                <w:tcPr>
                  <w:tcW w:w="2479" w:type="pct"/>
                  <w:tcBorders>
                    <w:top w:val="single" w:color="auto" w:sz="4" w:space="0"/>
                    <w:left w:val="single" w:color="auto" w:sz="4" w:space="0"/>
                    <w:bottom w:val="single" w:color="auto" w:sz="4" w:space="0"/>
                    <w:right w:val="single" w:color="auto" w:sz="4" w:space="0"/>
                  </w:tcBorders>
                  <w:noWrap/>
                  <w:vAlign w:val="center"/>
                </w:tcPr>
                <w:p w14:paraId="78770002">
                  <w:pPr>
                    <w:jc w:val="center"/>
                    <w:textAlignment w:val="center"/>
                    <w:rPr>
                      <w:rFonts w:ascii="Times New Roman" w:hAnsi="Times New Roman" w:cs="Times New Roman"/>
                      <w:szCs w:val="21"/>
                    </w:rPr>
                  </w:pPr>
                  <w:r>
                    <w:rPr>
                      <w:rFonts w:ascii="Times New Roman" w:hAnsi="Times New Roman" w:cs="Times New Roman"/>
                      <w:szCs w:val="21"/>
                      <w:lang w:bidi="ar"/>
                    </w:rPr>
                    <w:t>30</w:t>
                  </w:r>
                </w:p>
              </w:tc>
            </w:tr>
          </w:tbl>
          <w:p w14:paraId="59153446">
            <w:pPr>
              <w:adjustRightInd w:val="0"/>
              <w:snapToGrid w:val="0"/>
              <w:spacing w:line="360" w:lineRule="auto"/>
              <w:ind w:firstLine="480" w:firstLineChars="200"/>
              <w:jc w:val="center"/>
              <w:rPr>
                <w:rFonts w:ascii="Times New Roman" w:hAnsi="Times New Roman" w:cs="Times New Roman"/>
                <w:bCs/>
              </w:rPr>
            </w:pPr>
          </w:p>
          <w:p w14:paraId="0E3E26F6">
            <w:pPr>
              <w:adjustRightInd w:val="0"/>
              <w:snapToGrid w:val="0"/>
              <w:ind w:firstLine="442" w:firstLineChars="200"/>
              <w:jc w:val="center"/>
              <w:rPr>
                <w:rFonts w:ascii="Times New Roman" w:hAnsi="Times New Roman" w:cs="Times New Roman"/>
                <w:b/>
                <w:color w:val="000000"/>
                <w:szCs w:val="18"/>
              </w:rPr>
            </w:pPr>
            <w:r>
              <w:rPr>
                <w:rFonts w:ascii="Times New Roman" w:hAnsi="Times New Roman" w:cs="Times New Roman"/>
                <w:b/>
                <w:spacing w:val="-10"/>
                <w:szCs w:val="21"/>
              </w:rPr>
              <w:t>表2-6  MTBE性质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2"/>
              <w:gridCol w:w="4014"/>
              <w:gridCol w:w="2644"/>
            </w:tblGrid>
            <w:tr w14:paraId="4FDC9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Pr>
                <w:p w14:paraId="01695AF3">
                  <w:pPr>
                    <w:adjustRightInd w:val="0"/>
                    <w:snapToGrid w:val="0"/>
                    <w:rPr>
                      <w:rFonts w:ascii="Times New Roman" w:hAnsi="Times New Roman" w:cs="Times New Roman"/>
                      <w:bCs/>
                      <w:szCs w:val="21"/>
                    </w:rPr>
                  </w:pPr>
                  <w:r>
                    <w:rPr>
                      <w:rFonts w:ascii="Times New Roman" w:hAnsi="Times New Roman" w:cs="Times New Roman"/>
                      <w:bCs/>
                      <w:szCs w:val="21"/>
                    </w:rPr>
                    <w:t>项目</w:t>
                  </w:r>
                </w:p>
              </w:tc>
              <w:tc>
                <w:tcPr>
                  <w:tcW w:w="4014" w:type="dxa"/>
                </w:tcPr>
                <w:p w14:paraId="41D2DCDE">
                  <w:pPr>
                    <w:adjustRightInd w:val="0"/>
                    <w:snapToGrid w:val="0"/>
                    <w:rPr>
                      <w:rFonts w:ascii="Times New Roman" w:hAnsi="Times New Roman" w:cs="Times New Roman"/>
                      <w:bCs/>
                      <w:szCs w:val="21"/>
                    </w:rPr>
                  </w:pPr>
                  <w:r>
                    <w:rPr>
                      <w:rFonts w:ascii="Times New Roman" w:hAnsi="Times New Roman" w:cs="Times New Roman"/>
                      <w:bCs/>
                      <w:szCs w:val="21"/>
                    </w:rPr>
                    <w:t>检验项目</w:t>
                  </w:r>
                </w:p>
              </w:tc>
              <w:tc>
                <w:tcPr>
                  <w:tcW w:w="2644" w:type="dxa"/>
                </w:tcPr>
                <w:p w14:paraId="516FFA27">
                  <w:pPr>
                    <w:adjustRightInd w:val="0"/>
                    <w:snapToGrid w:val="0"/>
                    <w:rPr>
                      <w:rFonts w:ascii="Times New Roman" w:hAnsi="Times New Roman" w:cs="Times New Roman"/>
                      <w:bCs/>
                      <w:szCs w:val="21"/>
                    </w:rPr>
                  </w:pPr>
                  <w:r>
                    <w:rPr>
                      <w:rFonts w:ascii="Times New Roman" w:hAnsi="Times New Roman" w:cs="Times New Roman"/>
                      <w:bCs/>
                      <w:szCs w:val="21"/>
                    </w:rPr>
                    <w:t>质量指标</w:t>
                  </w:r>
                </w:p>
              </w:tc>
            </w:tr>
            <w:tr w14:paraId="36CB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Pr>
                <w:p w14:paraId="5C8FB211">
                  <w:pPr>
                    <w:adjustRightInd w:val="0"/>
                    <w:snapToGrid w:val="0"/>
                    <w:rPr>
                      <w:rFonts w:ascii="Times New Roman" w:hAnsi="Times New Roman" w:cs="Times New Roman"/>
                      <w:bCs/>
                      <w:szCs w:val="21"/>
                    </w:rPr>
                  </w:pPr>
                  <w:r>
                    <w:rPr>
                      <w:rFonts w:ascii="Times New Roman" w:hAnsi="Times New Roman" w:cs="Times New Roman"/>
                      <w:bCs/>
                      <w:szCs w:val="21"/>
                    </w:rPr>
                    <w:t>1</w:t>
                  </w:r>
                </w:p>
              </w:tc>
              <w:tc>
                <w:tcPr>
                  <w:tcW w:w="4014" w:type="dxa"/>
                </w:tcPr>
                <w:p w14:paraId="0FAF151D">
                  <w:pPr>
                    <w:adjustRightInd w:val="0"/>
                    <w:snapToGrid w:val="0"/>
                    <w:rPr>
                      <w:rFonts w:ascii="Times New Roman" w:hAnsi="Times New Roman" w:cs="Times New Roman"/>
                      <w:bCs/>
                      <w:szCs w:val="21"/>
                    </w:rPr>
                  </w:pPr>
                  <w:r>
                    <w:rPr>
                      <w:rFonts w:ascii="Times New Roman" w:hAnsi="Times New Roman" w:cs="Times New Roman"/>
                      <w:bCs/>
                      <w:szCs w:val="21"/>
                    </w:rPr>
                    <w:t>研究法辛烷值（RON）</w:t>
                  </w:r>
                </w:p>
              </w:tc>
              <w:tc>
                <w:tcPr>
                  <w:tcW w:w="2644" w:type="dxa"/>
                </w:tcPr>
                <w:p w14:paraId="4AC9B255">
                  <w:pPr>
                    <w:adjustRightInd w:val="0"/>
                    <w:snapToGrid w:val="0"/>
                    <w:rPr>
                      <w:rFonts w:ascii="Times New Roman" w:hAnsi="Times New Roman" w:cs="Times New Roman"/>
                      <w:bCs/>
                      <w:szCs w:val="21"/>
                    </w:rPr>
                  </w:pPr>
                  <w:r>
                    <w:rPr>
                      <w:rFonts w:ascii="Times New Roman" w:hAnsi="Times New Roman" w:cs="Times New Roman"/>
                      <w:bCs/>
                      <w:szCs w:val="21"/>
                    </w:rPr>
                    <w:t>117.0</w:t>
                  </w:r>
                </w:p>
              </w:tc>
            </w:tr>
            <w:tr w14:paraId="2485E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Pr>
                <w:p w14:paraId="2CACF978">
                  <w:pPr>
                    <w:adjustRightInd w:val="0"/>
                    <w:snapToGrid w:val="0"/>
                    <w:rPr>
                      <w:rFonts w:ascii="Times New Roman" w:hAnsi="Times New Roman" w:cs="Times New Roman"/>
                      <w:bCs/>
                      <w:szCs w:val="21"/>
                    </w:rPr>
                  </w:pPr>
                  <w:r>
                    <w:rPr>
                      <w:rFonts w:ascii="Times New Roman" w:hAnsi="Times New Roman" w:cs="Times New Roman"/>
                      <w:bCs/>
                      <w:szCs w:val="21"/>
                    </w:rPr>
                    <w:t>2</w:t>
                  </w:r>
                </w:p>
              </w:tc>
              <w:tc>
                <w:tcPr>
                  <w:tcW w:w="4014" w:type="dxa"/>
                </w:tcPr>
                <w:p w14:paraId="02EB330F">
                  <w:pPr>
                    <w:adjustRightInd w:val="0"/>
                    <w:snapToGrid w:val="0"/>
                    <w:rPr>
                      <w:rFonts w:ascii="Times New Roman" w:hAnsi="Times New Roman" w:cs="Times New Roman"/>
                      <w:bCs/>
                      <w:szCs w:val="21"/>
                    </w:rPr>
                  </w:pPr>
                  <w:r>
                    <w:rPr>
                      <w:rFonts w:ascii="Times New Roman" w:hAnsi="Times New Roman" w:cs="Times New Roman"/>
                      <w:bCs/>
                      <w:szCs w:val="21"/>
                    </w:rPr>
                    <w:t>硫含量/（mg/kg）</w:t>
                  </w:r>
                </w:p>
              </w:tc>
              <w:tc>
                <w:tcPr>
                  <w:tcW w:w="2644" w:type="dxa"/>
                </w:tcPr>
                <w:p w14:paraId="14127E59">
                  <w:pPr>
                    <w:adjustRightInd w:val="0"/>
                    <w:snapToGrid w:val="0"/>
                    <w:rPr>
                      <w:rFonts w:ascii="Times New Roman" w:hAnsi="Times New Roman" w:cs="Times New Roman"/>
                      <w:bCs/>
                      <w:szCs w:val="21"/>
                    </w:rPr>
                  </w:pPr>
                  <w:r>
                    <w:rPr>
                      <w:rFonts w:ascii="Times New Roman" w:hAnsi="Times New Roman" w:cs="Times New Roman"/>
                      <w:bCs/>
                      <w:szCs w:val="21"/>
                    </w:rPr>
                    <w:t>2.0</w:t>
                  </w:r>
                </w:p>
              </w:tc>
            </w:tr>
            <w:tr w14:paraId="342C7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Pr>
                <w:p w14:paraId="3F67BF82">
                  <w:pPr>
                    <w:adjustRightInd w:val="0"/>
                    <w:snapToGrid w:val="0"/>
                    <w:rPr>
                      <w:rFonts w:ascii="Times New Roman" w:hAnsi="Times New Roman" w:cs="Times New Roman"/>
                      <w:bCs/>
                      <w:szCs w:val="21"/>
                    </w:rPr>
                  </w:pPr>
                  <w:r>
                    <w:rPr>
                      <w:rFonts w:ascii="Times New Roman" w:hAnsi="Times New Roman" w:cs="Times New Roman"/>
                      <w:bCs/>
                      <w:szCs w:val="21"/>
                    </w:rPr>
                    <w:t>3</w:t>
                  </w:r>
                </w:p>
              </w:tc>
              <w:tc>
                <w:tcPr>
                  <w:tcW w:w="4014" w:type="dxa"/>
                </w:tcPr>
                <w:p w14:paraId="0A2AB97E">
                  <w:pPr>
                    <w:adjustRightInd w:val="0"/>
                    <w:snapToGrid w:val="0"/>
                    <w:rPr>
                      <w:rFonts w:ascii="Times New Roman" w:hAnsi="Times New Roman" w:cs="Times New Roman"/>
                      <w:bCs/>
                      <w:szCs w:val="21"/>
                    </w:rPr>
                  </w:pPr>
                  <w:r>
                    <w:rPr>
                      <w:rFonts w:ascii="Times New Roman" w:hAnsi="Times New Roman" w:cs="Times New Roman"/>
                      <w:bCs/>
                      <w:szCs w:val="21"/>
                    </w:rPr>
                    <w:t>氯含量/（mg/kg）</w:t>
                  </w:r>
                </w:p>
              </w:tc>
              <w:tc>
                <w:tcPr>
                  <w:tcW w:w="2644" w:type="dxa"/>
                </w:tcPr>
                <w:p w14:paraId="241AD364">
                  <w:pPr>
                    <w:adjustRightInd w:val="0"/>
                    <w:snapToGrid w:val="0"/>
                    <w:rPr>
                      <w:rFonts w:ascii="Times New Roman" w:hAnsi="Times New Roman" w:cs="Times New Roman"/>
                      <w:bCs/>
                      <w:szCs w:val="21"/>
                    </w:rPr>
                  </w:pPr>
                  <w:r>
                    <w:rPr>
                      <w:rFonts w:ascii="Times New Roman" w:hAnsi="Times New Roman" w:cs="Times New Roman"/>
                      <w:bCs/>
                      <w:szCs w:val="21"/>
                    </w:rPr>
                    <w:t>0.0</w:t>
                  </w:r>
                </w:p>
              </w:tc>
            </w:tr>
            <w:tr w14:paraId="2EEC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Pr>
                <w:p w14:paraId="297D0FC9">
                  <w:pPr>
                    <w:adjustRightInd w:val="0"/>
                    <w:snapToGrid w:val="0"/>
                    <w:rPr>
                      <w:rFonts w:ascii="Times New Roman" w:hAnsi="Times New Roman" w:cs="Times New Roman"/>
                      <w:bCs/>
                      <w:szCs w:val="21"/>
                    </w:rPr>
                  </w:pPr>
                  <w:r>
                    <w:rPr>
                      <w:rFonts w:ascii="Times New Roman" w:hAnsi="Times New Roman" w:cs="Times New Roman"/>
                      <w:bCs/>
                      <w:szCs w:val="21"/>
                    </w:rPr>
                    <w:t>4</w:t>
                  </w:r>
                </w:p>
              </w:tc>
              <w:tc>
                <w:tcPr>
                  <w:tcW w:w="4014" w:type="dxa"/>
                </w:tcPr>
                <w:p w14:paraId="3DD36797">
                  <w:pPr>
                    <w:adjustRightInd w:val="0"/>
                    <w:snapToGrid w:val="0"/>
                    <w:rPr>
                      <w:rFonts w:ascii="Times New Roman" w:hAnsi="Times New Roman" w:cs="Times New Roman"/>
                      <w:bCs/>
                      <w:szCs w:val="21"/>
                    </w:rPr>
                  </w:pPr>
                  <w:r>
                    <w:rPr>
                      <w:rFonts w:ascii="Times New Roman" w:hAnsi="Times New Roman" w:cs="Times New Roman"/>
                      <w:bCs/>
                      <w:szCs w:val="21"/>
                    </w:rPr>
                    <w:t>密度/（20℃）/（kg/m</w:t>
                  </w:r>
                  <w:r>
                    <w:rPr>
                      <w:rFonts w:ascii="Times New Roman" w:hAnsi="Times New Roman" w:cs="Times New Roman"/>
                      <w:bCs/>
                      <w:szCs w:val="21"/>
                      <w:vertAlign w:val="superscript"/>
                    </w:rPr>
                    <w:t>3</w:t>
                  </w:r>
                  <w:r>
                    <w:rPr>
                      <w:rFonts w:ascii="Times New Roman" w:hAnsi="Times New Roman" w:cs="Times New Roman"/>
                      <w:bCs/>
                      <w:szCs w:val="21"/>
                    </w:rPr>
                    <w:t>）</w:t>
                  </w:r>
                </w:p>
              </w:tc>
              <w:tc>
                <w:tcPr>
                  <w:tcW w:w="2644" w:type="dxa"/>
                </w:tcPr>
                <w:p w14:paraId="7239CFF6">
                  <w:pPr>
                    <w:adjustRightInd w:val="0"/>
                    <w:snapToGrid w:val="0"/>
                    <w:rPr>
                      <w:rFonts w:ascii="Times New Roman" w:hAnsi="Times New Roman" w:cs="Times New Roman"/>
                      <w:bCs/>
                      <w:szCs w:val="21"/>
                    </w:rPr>
                  </w:pPr>
                  <w:r>
                    <w:rPr>
                      <w:rFonts w:ascii="Times New Roman" w:hAnsi="Times New Roman" w:cs="Times New Roman"/>
                      <w:bCs/>
                      <w:szCs w:val="21"/>
                    </w:rPr>
                    <w:t>740.0</w:t>
                  </w:r>
                </w:p>
              </w:tc>
            </w:tr>
            <w:tr w14:paraId="6EC88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Pr>
                <w:p w14:paraId="31E85B57">
                  <w:pPr>
                    <w:adjustRightInd w:val="0"/>
                    <w:snapToGrid w:val="0"/>
                    <w:rPr>
                      <w:rFonts w:ascii="Times New Roman" w:hAnsi="Times New Roman" w:cs="Times New Roman"/>
                      <w:bCs/>
                      <w:szCs w:val="21"/>
                    </w:rPr>
                  </w:pPr>
                  <w:r>
                    <w:rPr>
                      <w:rFonts w:ascii="Times New Roman" w:hAnsi="Times New Roman" w:cs="Times New Roman"/>
                      <w:bCs/>
                      <w:szCs w:val="21"/>
                    </w:rPr>
                    <w:t>5</w:t>
                  </w:r>
                </w:p>
              </w:tc>
              <w:tc>
                <w:tcPr>
                  <w:tcW w:w="4014" w:type="dxa"/>
                </w:tcPr>
                <w:p w14:paraId="3A04ED46">
                  <w:pPr>
                    <w:adjustRightInd w:val="0"/>
                    <w:snapToGrid w:val="0"/>
                    <w:rPr>
                      <w:rFonts w:ascii="Times New Roman" w:hAnsi="Times New Roman" w:cs="Times New Roman"/>
                      <w:bCs/>
                      <w:szCs w:val="21"/>
                    </w:rPr>
                  </w:pPr>
                  <w:r>
                    <w:rPr>
                      <w:rFonts w:ascii="Times New Roman" w:hAnsi="Times New Roman" w:cs="Times New Roman"/>
                      <w:bCs/>
                      <w:szCs w:val="21"/>
                    </w:rPr>
                    <w:t>水分/（mg/kg）</w:t>
                  </w:r>
                </w:p>
              </w:tc>
              <w:tc>
                <w:tcPr>
                  <w:tcW w:w="2644" w:type="dxa"/>
                </w:tcPr>
                <w:p w14:paraId="6A0F7A02">
                  <w:pPr>
                    <w:adjustRightInd w:val="0"/>
                    <w:snapToGrid w:val="0"/>
                    <w:rPr>
                      <w:rFonts w:ascii="Times New Roman" w:hAnsi="Times New Roman" w:cs="Times New Roman"/>
                      <w:bCs/>
                      <w:szCs w:val="21"/>
                    </w:rPr>
                  </w:pPr>
                  <w:r>
                    <w:rPr>
                      <w:rFonts w:ascii="Times New Roman" w:hAnsi="Times New Roman" w:cs="Times New Roman"/>
                      <w:bCs/>
                      <w:szCs w:val="21"/>
                    </w:rPr>
                    <w:t>230.0</w:t>
                  </w:r>
                </w:p>
              </w:tc>
            </w:tr>
            <w:tr w14:paraId="6A33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Pr>
                <w:p w14:paraId="1E1369D7">
                  <w:pPr>
                    <w:adjustRightInd w:val="0"/>
                    <w:snapToGrid w:val="0"/>
                    <w:rPr>
                      <w:rFonts w:ascii="Times New Roman" w:hAnsi="Times New Roman" w:cs="Times New Roman"/>
                      <w:bCs/>
                      <w:szCs w:val="21"/>
                    </w:rPr>
                  </w:pPr>
                  <w:r>
                    <w:rPr>
                      <w:rFonts w:ascii="Times New Roman" w:hAnsi="Times New Roman" w:cs="Times New Roman"/>
                      <w:bCs/>
                      <w:szCs w:val="21"/>
                    </w:rPr>
                    <w:t>6</w:t>
                  </w:r>
                </w:p>
              </w:tc>
              <w:tc>
                <w:tcPr>
                  <w:tcW w:w="4014" w:type="dxa"/>
                </w:tcPr>
                <w:p w14:paraId="69D00F61">
                  <w:pPr>
                    <w:adjustRightInd w:val="0"/>
                    <w:snapToGrid w:val="0"/>
                    <w:rPr>
                      <w:rFonts w:ascii="Times New Roman" w:hAnsi="Times New Roman" w:cs="Times New Roman"/>
                      <w:bCs/>
                      <w:szCs w:val="21"/>
                    </w:rPr>
                  </w:pPr>
                  <w:r>
                    <w:rPr>
                      <w:rFonts w:ascii="Times New Roman" w:hAnsi="Times New Roman" w:cs="Times New Roman"/>
                      <w:bCs/>
                      <w:szCs w:val="21"/>
                    </w:rPr>
                    <w:t>MTBE（m/m）</w:t>
                  </w:r>
                </w:p>
              </w:tc>
              <w:tc>
                <w:tcPr>
                  <w:tcW w:w="2644" w:type="dxa"/>
                </w:tcPr>
                <w:p w14:paraId="6DEAF7DE">
                  <w:pPr>
                    <w:adjustRightInd w:val="0"/>
                    <w:snapToGrid w:val="0"/>
                    <w:rPr>
                      <w:rFonts w:ascii="Times New Roman" w:hAnsi="Times New Roman" w:cs="Times New Roman"/>
                      <w:bCs/>
                      <w:szCs w:val="21"/>
                    </w:rPr>
                  </w:pPr>
                  <w:r>
                    <w:rPr>
                      <w:rFonts w:ascii="Times New Roman" w:hAnsi="Times New Roman" w:cs="Times New Roman"/>
                      <w:bCs/>
                      <w:szCs w:val="21"/>
                    </w:rPr>
                    <w:t>99.7</w:t>
                  </w:r>
                </w:p>
              </w:tc>
            </w:tr>
            <w:tr w14:paraId="3A070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Pr>
                <w:p w14:paraId="663BF357">
                  <w:pPr>
                    <w:adjustRightInd w:val="0"/>
                    <w:snapToGrid w:val="0"/>
                    <w:rPr>
                      <w:rFonts w:ascii="Times New Roman" w:hAnsi="Times New Roman" w:cs="Times New Roman"/>
                      <w:bCs/>
                      <w:szCs w:val="21"/>
                    </w:rPr>
                  </w:pPr>
                  <w:r>
                    <w:rPr>
                      <w:rFonts w:ascii="Times New Roman" w:hAnsi="Times New Roman" w:cs="Times New Roman"/>
                      <w:bCs/>
                      <w:szCs w:val="21"/>
                    </w:rPr>
                    <w:t>7</w:t>
                  </w:r>
                </w:p>
              </w:tc>
              <w:tc>
                <w:tcPr>
                  <w:tcW w:w="4014" w:type="dxa"/>
                </w:tcPr>
                <w:p w14:paraId="24F33550">
                  <w:pPr>
                    <w:adjustRightInd w:val="0"/>
                    <w:snapToGrid w:val="0"/>
                    <w:rPr>
                      <w:rFonts w:ascii="Times New Roman" w:hAnsi="Times New Roman" w:cs="Times New Roman"/>
                      <w:bCs/>
                      <w:szCs w:val="21"/>
                    </w:rPr>
                  </w:pPr>
                  <w:r>
                    <w:rPr>
                      <w:rFonts w:ascii="Times New Roman" w:hAnsi="Times New Roman" w:cs="Times New Roman"/>
                      <w:bCs/>
                      <w:szCs w:val="21"/>
                    </w:rPr>
                    <w:t>甲醇（m/m）</w:t>
                  </w:r>
                </w:p>
              </w:tc>
              <w:tc>
                <w:tcPr>
                  <w:tcW w:w="2644" w:type="dxa"/>
                </w:tcPr>
                <w:p w14:paraId="2150F656">
                  <w:pPr>
                    <w:adjustRightInd w:val="0"/>
                    <w:snapToGrid w:val="0"/>
                    <w:rPr>
                      <w:rFonts w:ascii="Times New Roman" w:hAnsi="Times New Roman" w:cs="Times New Roman"/>
                      <w:bCs/>
                      <w:szCs w:val="21"/>
                    </w:rPr>
                  </w:pPr>
                  <w:r>
                    <w:rPr>
                      <w:rFonts w:ascii="Times New Roman" w:hAnsi="Times New Roman" w:cs="Times New Roman"/>
                      <w:bCs/>
                      <w:szCs w:val="21"/>
                    </w:rPr>
                    <w:t>0.08</w:t>
                  </w:r>
                </w:p>
              </w:tc>
            </w:tr>
            <w:tr w14:paraId="7609A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Pr>
                <w:p w14:paraId="3A458D3A">
                  <w:pPr>
                    <w:adjustRightInd w:val="0"/>
                    <w:snapToGrid w:val="0"/>
                    <w:rPr>
                      <w:rFonts w:ascii="Times New Roman" w:hAnsi="Times New Roman" w:cs="Times New Roman"/>
                      <w:bCs/>
                      <w:szCs w:val="21"/>
                    </w:rPr>
                  </w:pPr>
                  <w:r>
                    <w:rPr>
                      <w:rFonts w:ascii="Times New Roman" w:hAnsi="Times New Roman" w:cs="Times New Roman"/>
                      <w:bCs/>
                      <w:szCs w:val="21"/>
                    </w:rPr>
                    <w:t>8</w:t>
                  </w:r>
                </w:p>
              </w:tc>
              <w:tc>
                <w:tcPr>
                  <w:tcW w:w="4014" w:type="dxa"/>
                </w:tcPr>
                <w:p w14:paraId="1947D046">
                  <w:pPr>
                    <w:adjustRightInd w:val="0"/>
                    <w:snapToGrid w:val="0"/>
                    <w:rPr>
                      <w:rFonts w:ascii="Times New Roman" w:hAnsi="Times New Roman" w:cs="Times New Roman"/>
                      <w:bCs/>
                      <w:szCs w:val="21"/>
                    </w:rPr>
                  </w:pPr>
                  <w:r>
                    <w:rPr>
                      <w:rFonts w:ascii="Times New Roman" w:hAnsi="Times New Roman" w:cs="Times New Roman"/>
                      <w:bCs/>
                      <w:szCs w:val="21"/>
                    </w:rPr>
                    <w:t>丁醇（m/m）</w:t>
                  </w:r>
                </w:p>
              </w:tc>
              <w:tc>
                <w:tcPr>
                  <w:tcW w:w="2644" w:type="dxa"/>
                </w:tcPr>
                <w:p w14:paraId="730DDDFA">
                  <w:pPr>
                    <w:adjustRightInd w:val="0"/>
                    <w:snapToGrid w:val="0"/>
                    <w:rPr>
                      <w:rFonts w:ascii="Times New Roman" w:hAnsi="Times New Roman" w:cs="Times New Roman"/>
                      <w:bCs/>
                      <w:szCs w:val="21"/>
                    </w:rPr>
                  </w:pPr>
                  <w:r>
                    <w:rPr>
                      <w:rFonts w:ascii="Times New Roman" w:hAnsi="Times New Roman" w:cs="Times New Roman"/>
                      <w:bCs/>
                      <w:szCs w:val="21"/>
                    </w:rPr>
                    <w:t>0.2</w:t>
                  </w:r>
                </w:p>
              </w:tc>
            </w:tr>
          </w:tbl>
          <w:p w14:paraId="213F9E25">
            <w:pPr>
              <w:adjustRightInd w:val="0"/>
              <w:snapToGrid w:val="0"/>
              <w:spacing w:line="360" w:lineRule="auto"/>
              <w:ind w:firstLine="482" w:firstLineChars="200"/>
              <w:jc w:val="center"/>
              <w:rPr>
                <w:rFonts w:ascii="Times New Roman" w:hAnsi="Times New Roman" w:cs="Times New Roman"/>
                <w:b/>
                <w:color w:val="000000"/>
                <w:szCs w:val="18"/>
              </w:rPr>
            </w:pPr>
          </w:p>
          <w:p w14:paraId="6ADCC8C1">
            <w:pPr>
              <w:adjustRightInd w:val="0"/>
              <w:snapToGrid w:val="0"/>
              <w:ind w:firstLine="442" w:firstLineChars="200"/>
              <w:jc w:val="center"/>
              <w:rPr>
                <w:rFonts w:ascii="Times New Roman" w:hAnsi="Times New Roman" w:cs="Times New Roman"/>
                <w:b/>
                <w:color w:val="000000"/>
                <w:szCs w:val="18"/>
              </w:rPr>
            </w:pPr>
            <w:r>
              <w:rPr>
                <w:rFonts w:ascii="Times New Roman" w:hAnsi="Times New Roman" w:cs="Times New Roman"/>
                <w:b/>
                <w:spacing w:val="-10"/>
                <w:szCs w:val="21"/>
              </w:rPr>
              <w:t>表2-7  煤基柴油性质</w:t>
            </w:r>
          </w:p>
          <w:tbl>
            <w:tblPr>
              <w:tblStyle w:val="16"/>
              <w:tblW w:w="5000" w:type="pct"/>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5399"/>
              <w:gridCol w:w="1726"/>
            </w:tblGrid>
            <w:tr w14:paraId="37B7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330E8E9F">
                  <w:pPr>
                    <w:rPr>
                      <w:rFonts w:ascii="Times New Roman" w:hAnsi="Times New Roman" w:cs="Times New Roman"/>
                      <w:b/>
                      <w:bCs/>
                      <w:szCs w:val="21"/>
                    </w:rPr>
                  </w:pPr>
                  <w:r>
                    <w:rPr>
                      <w:rFonts w:ascii="Times New Roman" w:hAnsi="Times New Roman" w:cs="Times New Roman"/>
                      <w:b/>
                      <w:bCs/>
                      <w:szCs w:val="21"/>
                    </w:rPr>
                    <w:t>序号</w:t>
                  </w:r>
                </w:p>
              </w:tc>
              <w:tc>
                <w:tcPr>
                  <w:tcW w:w="5891" w:type="dxa"/>
                </w:tcPr>
                <w:p w14:paraId="50824300">
                  <w:pPr>
                    <w:rPr>
                      <w:rFonts w:ascii="Times New Roman" w:hAnsi="Times New Roman" w:cs="Times New Roman"/>
                      <w:b/>
                      <w:bCs/>
                      <w:szCs w:val="21"/>
                    </w:rPr>
                  </w:pPr>
                  <w:r>
                    <w:rPr>
                      <w:rFonts w:ascii="Times New Roman" w:hAnsi="Times New Roman" w:cs="Times New Roman"/>
                      <w:b/>
                      <w:bCs/>
                      <w:szCs w:val="21"/>
                    </w:rPr>
                    <w:t>项目</w:t>
                  </w:r>
                </w:p>
              </w:tc>
              <w:tc>
                <w:tcPr>
                  <w:tcW w:w="1868" w:type="dxa"/>
                </w:tcPr>
                <w:p w14:paraId="30513DA7">
                  <w:pPr>
                    <w:rPr>
                      <w:rFonts w:ascii="Times New Roman" w:hAnsi="Times New Roman" w:cs="Times New Roman"/>
                      <w:b/>
                      <w:bCs/>
                      <w:szCs w:val="21"/>
                    </w:rPr>
                  </w:pPr>
                  <w:r>
                    <w:rPr>
                      <w:rFonts w:ascii="Times New Roman" w:hAnsi="Times New Roman" w:cs="Times New Roman"/>
                      <w:b/>
                      <w:bCs/>
                      <w:szCs w:val="21"/>
                    </w:rPr>
                    <w:t>质量指标</w:t>
                  </w:r>
                </w:p>
              </w:tc>
            </w:tr>
            <w:tr w14:paraId="5DD4D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03145BFD">
                  <w:pPr>
                    <w:rPr>
                      <w:rFonts w:ascii="Times New Roman" w:hAnsi="Times New Roman" w:cs="Times New Roman"/>
                      <w:szCs w:val="21"/>
                    </w:rPr>
                  </w:pPr>
                  <w:r>
                    <w:rPr>
                      <w:rFonts w:ascii="Times New Roman" w:hAnsi="Times New Roman" w:cs="Times New Roman"/>
                      <w:szCs w:val="21"/>
                    </w:rPr>
                    <w:t>1</w:t>
                  </w:r>
                </w:p>
              </w:tc>
              <w:tc>
                <w:tcPr>
                  <w:tcW w:w="5891" w:type="dxa"/>
                </w:tcPr>
                <w:p w14:paraId="3F19BA79">
                  <w:pPr>
                    <w:rPr>
                      <w:rFonts w:ascii="Times New Roman" w:hAnsi="Times New Roman" w:cs="Times New Roman"/>
                      <w:szCs w:val="21"/>
                    </w:rPr>
                  </w:pPr>
                  <w:r>
                    <w:rPr>
                      <w:rFonts w:ascii="Times New Roman" w:hAnsi="Times New Roman" w:cs="Times New Roman"/>
                      <w:szCs w:val="21"/>
                    </w:rPr>
                    <w:t>氧化安定性（以总不溶物计）/（mg/100mL）</w:t>
                  </w:r>
                </w:p>
              </w:tc>
              <w:tc>
                <w:tcPr>
                  <w:tcW w:w="1868" w:type="dxa"/>
                </w:tcPr>
                <w:p w14:paraId="59138B53">
                  <w:pPr>
                    <w:rPr>
                      <w:rFonts w:ascii="Times New Roman" w:hAnsi="Times New Roman" w:cs="Times New Roman"/>
                      <w:szCs w:val="21"/>
                    </w:rPr>
                  </w:pPr>
                  <w:r>
                    <w:rPr>
                      <w:rFonts w:ascii="Times New Roman" w:hAnsi="Times New Roman" w:cs="Times New Roman"/>
                      <w:szCs w:val="21"/>
                    </w:rPr>
                    <w:t>不大于 2.5</w:t>
                  </w:r>
                </w:p>
              </w:tc>
            </w:tr>
            <w:tr w14:paraId="7AF3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49714FF3">
                  <w:pPr>
                    <w:rPr>
                      <w:rFonts w:ascii="Times New Roman" w:hAnsi="Times New Roman" w:cs="Times New Roman"/>
                      <w:szCs w:val="21"/>
                    </w:rPr>
                  </w:pPr>
                  <w:r>
                    <w:rPr>
                      <w:rFonts w:ascii="Times New Roman" w:hAnsi="Times New Roman" w:cs="Times New Roman"/>
                      <w:szCs w:val="21"/>
                    </w:rPr>
                    <w:t>2</w:t>
                  </w:r>
                </w:p>
              </w:tc>
              <w:tc>
                <w:tcPr>
                  <w:tcW w:w="5891" w:type="dxa"/>
                </w:tcPr>
                <w:p w14:paraId="1B150654">
                  <w:pPr>
                    <w:rPr>
                      <w:rFonts w:ascii="Times New Roman" w:hAnsi="Times New Roman" w:cs="Times New Roman"/>
                      <w:szCs w:val="21"/>
                    </w:rPr>
                  </w:pPr>
                  <w:r>
                    <w:rPr>
                      <w:rFonts w:ascii="Times New Roman" w:hAnsi="Times New Roman" w:cs="Times New Roman"/>
                      <w:szCs w:val="21"/>
                    </w:rPr>
                    <w:t>硫含量（mg/kg）</w:t>
                  </w:r>
                </w:p>
              </w:tc>
              <w:tc>
                <w:tcPr>
                  <w:tcW w:w="1868" w:type="dxa"/>
                </w:tcPr>
                <w:p w14:paraId="10A09152">
                  <w:pPr>
                    <w:rPr>
                      <w:rFonts w:ascii="Times New Roman" w:hAnsi="Times New Roman" w:cs="Times New Roman"/>
                      <w:szCs w:val="21"/>
                    </w:rPr>
                  </w:pPr>
                  <w:r>
                    <w:rPr>
                      <w:rFonts w:ascii="Times New Roman" w:hAnsi="Times New Roman" w:cs="Times New Roman"/>
                      <w:szCs w:val="21"/>
                    </w:rPr>
                    <w:t>不大于 10</w:t>
                  </w:r>
                </w:p>
              </w:tc>
            </w:tr>
            <w:tr w14:paraId="2BFB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71E31858">
                  <w:pPr>
                    <w:rPr>
                      <w:rFonts w:ascii="Times New Roman" w:hAnsi="Times New Roman" w:cs="Times New Roman"/>
                      <w:szCs w:val="21"/>
                    </w:rPr>
                  </w:pPr>
                  <w:r>
                    <w:rPr>
                      <w:rFonts w:ascii="Times New Roman" w:hAnsi="Times New Roman" w:cs="Times New Roman"/>
                      <w:szCs w:val="21"/>
                    </w:rPr>
                    <w:t>3</w:t>
                  </w:r>
                </w:p>
              </w:tc>
              <w:tc>
                <w:tcPr>
                  <w:tcW w:w="5891" w:type="dxa"/>
                </w:tcPr>
                <w:p w14:paraId="3029E82C">
                  <w:pPr>
                    <w:rPr>
                      <w:rFonts w:ascii="Times New Roman" w:hAnsi="Times New Roman" w:cs="Times New Roman"/>
                      <w:szCs w:val="21"/>
                    </w:rPr>
                  </w:pPr>
                  <w:r>
                    <w:rPr>
                      <w:rFonts w:ascii="Times New Roman" w:hAnsi="Times New Roman" w:cs="Times New Roman"/>
                      <w:szCs w:val="21"/>
                    </w:rPr>
                    <w:t>酸度 （以KOH计）/（mg/100mL）</w:t>
                  </w:r>
                </w:p>
              </w:tc>
              <w:tc>
                <w:tcPr>
                  <w:tcW w:w="1868" w:type="dxa"/>
                </w:tcPr>
                <w:p w14:paraId="52BCB1BB">
                  <w:pPr>
                    <w:rPr>
                      <w:rFonts w:ascii="Times New Roman" w:hAnsi="Times New Roman" w:cs="Times New Roman"/>
                      <w:szCs w:val="21"/>
                    </w:rPr>
                  </w:pPr>
                  <w:r>
                    <w:rPr>
                      <w:rFonts w:ascii="Times New Roman" w:hAnsi="Times New Roman" w:cs="Times New Roman"/>
                      <w:szCs w:val="21"/>
                    </w:rPr>
                    <w:t>不大于 7</w:t>
                  </w:r>
                </w:p>
              </w:tc>
            </w:tr>
            <w:tr w14:paraId="63D0B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5EEB8E59">
                  <w:pPr>
                    <w:rPr>
                      <w:rFonts w:ascii="Times New Roman" w:hAnsi="Times New Roman" w:cs="Times New Roman"/>
                      <w:szCs w:val="21"/>
                    </w:rPr>
                  </w:pPr>
                  <w:r>
                    <w:rPr>
                      <w:rFonts w:ascii="Times New Roman" w:hAnsi="Times New Roman" w:cs="Times New Roman"/>
                      <w:szCs w:val="21"/>
                    </w:rPr>
                    <w:t>4</w:t>
                  </w:r>
                </w:p>
              </w:tc>
              <w:tc>
                <w:tcPr>
                  <w:tcW w:w="5891" w:type="dxa"/>
                </w:tcPr>
                <w:p w14:paraId="0DC0DED3">
                  <w:pPr>
                    <w:rPr>
                      <w:rFonts w:ascii="Times New Roman" w:hAnsi="Times New Roman" w:cs="Times New Roman"/>
                      <w:szCs w:val="21"/>
                    </w:rPr>
                  </w:pPr>
                  <w:r>
                    <w:rPr>
                      <w:rFonts w:ascii="Times New Roman" w:hAnsi="Times New Roman" w:cs="Times New Roman"/>
                      <w:szCs w:val="21"/>
                    </w:rPr>
                    <w:t>10% 蒸余残炭（质量分数）/%</w:t>
                  </w:r>
                </w:p>
              </w:tc>
              <w:tc>
                <w:tcPr>
                  <w:tcW w:w="1868" w:type="dxa"/>
                </w:tcPr>
                <w:p w14:paraId="3B310D1C">
                  <w:pPr>
                    <w:rPr>
                      <w:rFonts w:ascii="Times New Roman" w:hAnsi="Times New Roman" w:cs="Times New Roman"/>
                      <w:szCs w:val="21"/>
                    </w:rPr>
                  </w:pPr>
                  <w:r>
                    <w:rPr>
                      <w:rFonts w:ascii="Times New Roman" w:hAnsi="Times New Roman" w:cs="Times New Roman"/>
                      <w:szCs w:val="21"/>
                    </w:rPr>
                    <w:t>不大于 0.3</w:t>
                  </w:r>
                </w:p>
              </w:tc>
            </w:tr>
            <w:tr w14:paraId="57311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591A8D2B">
                  <w:pPr>
                    <w:rPr>
                      <w:rFonts w:ascii="Times New Roman" w:hAnsi="Times New Roman" w:cs="Times New Roman"/>
                      <w:szCs w:val="21"/>
                    </w:rPr>
                  </w:pPr>
                  <w:r>
                    <w:rPr>
                      <w:rFonts w:ascii="Times New Roman" w:hAnsi="Times New Roman" w:cs="Times New Roman"/>
                      <w:szCs w:val="21"/>
                    </w:rPr>
                    <w:t>5</w:t>
                  </w:r>
                </w:p>
              </w:tc>
              <w:tc>
                <w:tcPr>
                  <w:tcW w:w="5891" w:type="dxa"/>
                </w:tcPr>
                <w:p w14:paraId="6AA69504">
                  <w:pPr>
                    <w:rPr>
                      <w:rFonts w:ascii="Times New Roman" w:hAnsi="Times New Roman" w:cs="Times New Roman"/>
                      <w:szCs w:val="21"/>
                    </w:rPr>
                  </w:pPr>
                  <w:r>
                    <w:rPr>
                      <w:rFonts w:ascii="Times New Roman" w:hAnsi="Times New Roman" w:cs="Times New Roman"/>
                      <w:szCs w:val="21"/>
                    </w:rPr>
                    <w:t>灰分（质量分数）/%</w:t>
                  </w:r>
                </w:p>
              </w:tc>
              <w:tc>
                <w:tcPr>
                  <w:tcW w:w="1868" w:type="dxa"/>
                </w:tcPr>
                <w:p w14:paraId="13AFB7F6">
                  <w:pPr>
                    <w:rPr>
                      <w:rFonts w:ascii="Times New Roman" w:hAnsi="Times New Roman" w:cs="Times New Roman"/>
                      <w:szCs w:val="21"/>
                    </w:rPr>
                  </w:pPr>
                  <w:r>
                    <w:rPr>
                      <w:rFonts w:ascii="Times New Roman" w:hAnsi="Times New Roman" w:cs="Times New Roman"/>
                      <w:szCs w:val="21"/>
                    </w:rPr>
                    <w:t>不大于 0.01</w:t>
                  </w:r>
                </w:p>
              </w:tc>
            </w:tr>
            <w:tr w14:paraId="7BED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110D3EB8">
                  <w:pPr>
                    <w:rPr>
                      <w:rFonts w:ascii="Times New Roman" w:hAnsi="Times New Roman" w:cs="Times New Roman"/>
                      <w:szCs w:val="21"/>
                    </w:rPr>
                  </w:pPr>
                  <w:r>
                    <w:rPr>
                      <w:rFonts w:ascii="Times New Roman" w:hAnsi="Times New Roman" w:cs="Times New Roman"/>
                      <w:szCs w:val="21"/>
                    </w:rPr>
                    <w:t>6</w:t>
                  </w:r>
                </w:p>
              </w:tc>
              <w:tc>
                <w:tcPr>
                  <w:tcW w:w="5891" w:type="dxa"/>
                </w:tcPr>
                <w:p w14:paraId="442BD995">
                  <w:pPr>
                    <w:rPr>
                      <w:rFonts w:ascii="Times New Roman" w:hAnsi="Times New Roman" w:cs="Times New Roman"/>
                      <w:szCs w:val="21"/>
                    </w:rPr>
                  </w:pPr>
                  <w:r>
                    <w:rPr>
                      <w:rFonts w:ascii="Times New Roman" w:hAnsi="Times New Roman" w:cs="Times New Roman"/>
                      <w:szCs w:val="21"/>
                    </w:rPr>
                    <w:t>铜片腐蚀（50℃，3h级）</w:t>
                  </w:r>
                </w:p>
              </w:tc>
              <w:tc>
                <w:tcPr>
                  <w:tcW w:w="1868" w:type="dxa"/>
                </w:tcPr>
                <w:p w14:paraId="61470092">
                  <w:pPr>
                    <w:rPr>
                      <w:rFonts w:ascii="Times New Roman" w:hAnsi="Times New Roman" w:cs="Times New Roman"/>
                      <w:szCs w:val="21"/>
                    </w:rPr>
                  </w:pPr>
                  <w:r>
                    <w:rPr>
                      <w:rFonts w:ascii="Times New Roman" w:hAnsi="Times New Roman" w:cs="Times New Roman"/>
                      <w:szCs w:val="21"/>
                    </w:rPr>
                    <w:t>不大于 1</w:t>
                  </w:r>
                </w:p>
              </w:tc>
            </w:tr>
            <w:tr w14:paraId="7055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6A01BD17">
                  <w:pPr>
                    <w:rPr>
                      <w:rFonts w:ascii="Times New Roman" w:hAnsi="Times New Roman" w:cs="Times New Roman"/>
                      <w:szCs w:val="21"/>
                    </w:rPr>
                  </w:pPr>
                  <w:r>
                    <w:rPr>
                      <w:rFonts w:ascii="Times New Roman" w:hAnsi="Times New Roman" w:cs="Times New Roman"/>
                      <w:szCs w:val="21"/>
                    </w:rPr>
                    <w:t>7</w:t>
                  </w:r>
                </w:p>
              </w:tc>
              <w:tc>
                <w:tcPr>
                  <w:tcW w:w="5891" w:type="dxa"/>
                </w:tcPr>
                <w:p w14:paraId="5FC00407">
                  <w:pPr>
                    <w:rPr>
                      <w:rFonts w:ascii="Times New Roman" w:hAnsi="Times New Roman" w:cs="Times New Roman"/>
                      <w:szCs w:val="21"/>
                    </w:rPr>
                  </w:pPr>
                  <w:r>
                    <w:rPr>
                      <w:rFonts w:ascii="Times New Roman" w:hAnsi="Times New Roman" w:cs="Times New Roman"/>
                      <w:szCs w:val="21"/>
                    </w:rPr>
                    <w:t>水含量（体积分数）/%</w:t>
                  </w:r>
                </w:p>
              </w:tc>
              <w:tc>
                <w:tcPr>
                  <w:tcW w:w="1868" w:type="dxa"/>
                </w:tcPr>
                <w:p w14:paraId="6467773A">
                  <w:pPr>
                    <w:rPr>
                      <w:rFonts w:ascii="Times New Roman" w:hAnsi="Times New Roman" w:cs="Times New Roman"/>
                      <w:szCs w:val="21"/>
                    </w:rPr>
                  </w:pPr>
                  <w:r>
                    <w:rPr>
                      <w:rFonts w:ascii="Times New Roman" w:hAnsi="Times New Roman" w:cs="Times New Roman"/>
                      <w:szCs w:val="21"/>
                    </w:rPr>
                    <w:t>不大于 痕迹</w:t>
                  </w:r>
                </w:p>
              </w:tc>
            </w:tr>
            <w:tr w14:paraId="2112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29B81DBA">
                  <w:pPr>
                    <w:rPr>
                      <w:rFonts w:ascii="Times New Roman" w:hAnsi="Times New Roman" w:cs="Times New Roman"/>
                      <w:szCs w:val="21"/>
                    </w:rPr>
                  </w:pPr>
                  <w:r>
                    <w:rPr>
                      <w:rFonts w:ascii="Times New Roman" w:hAnsi="Times New Roman" w:cs="Times New Roman"/>
                      <w:szCs w:val="21"/>
                    </w:rPr>
                    <w:t>8</w:t>
                  </w:r>
                </w:p>
              </w:tc>
              <w:tc>
                <w:tcPr>
                  <w:tcW w:w="5891" w:type="dxa"/>
                </w:tcPr>
                <w:p w14:paraId="17592DBB">
                  <w:pPr>
                    <w:rPr>
                      <w:rFonts w:ascii="Times New Roman" w:hAnsi="Times New Roman" w:cs="Times New Roman"/>
                      <w:szCs w:val="21"/>
                    </w:rPr>
                  </w:pPr>
                  <w:r>
                    <w:rPr>
                      <w:rFonts w:ascii="Times New Roman" w:hAnsi="Times New Roman" w:cs="Times New Roman"/>
                      <w:szCs w:val="21"/>
                    </w:rPr>
                    <w:t>润滑性</w:t>
                  </w:r>
                </w:p>
                <w:p w14:paraId="533C2B82">
                  <w:pPr>
                    <w:rPr>
                      <w:rFonts w:ascii="Times New Roman" w:hAnsi="Times New Roman" w:cs="Times New Roman"/>
                      <w:szCs w:val="21"/>
                    </w:rPr>
                  </w:pPr>
                  <w:r>
                    <w:rPr>
                      <w:rFonts w:ascii="Times New Roman" w:hAnsi="Times New Roman" w:cs="Times New Roman"/>
                      <w:szCs w:val="21"/>
                    </w:rPr>
                    <w:t>校正磨痕直径（60℃）/μm</w:t>
                  </w:r>
                </w:p>
              </w:tc>
              <w:tc>
                <w:tcPr>
                  <w:tcW w:w="1868" w:type="dxa"/>
                </w:tcPr>
                <w:p w14:paraId="0DB979C5">
                  <w:pPr>
                    <w:rPr>
                      <w:rFonts w:ascii="Times New Roman" w:hAnsi="Times New Roman" w:cs="Times New Roman"/>
                      <w:szCs w:val="21"/>
                    </w:rPr>
                  </w:pPr>
                </w:p>
                <w:p w14:paraId="465E0C7E">
                  <w:pPr>
                    <w:rPr>
                      <w:rFonts w:ascii="Times New Roman" w:hAnsi="Times New Roman" w:cs="Times New Roman"/>
                      <w:szCs w:val="21"/>
                    </w:rPr>
                  </w:pPr>
                  <w:r>
                    <w:rPr>
                      <w:rFonts w:ascii="Times New Roman" w:hAnsi="Times New Roman" w:cs="Times New Roman"/>
                      <w:szCs w:val="21"/>
                    </w:rPr>
                    <w:t>不大于 460</w:t>
                  </w:r>
                </w:p>
              </w:tc>
            </w:tr>
            <w:tr w14:paraId="685A9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4E239394">
                  <w:pPr>
                    <w:rPr>
                      <w:rFonts w:ascii="Times New Roman" w:hAnsi="Times New Roman" w:cs="Times New Roman"/>
                      <w:szCs w:val="21"/>
                    </w:rPr>
                  </w:pPr>
                  <w:r>
                    <w:rPr>
                      <w:rFonts w:ascii="Times New Roman" w:hAnsi="Times New Roman" w:cs="Times New Roman"/>
                      <w:szCs w:val="21"/>
                    </w:rPr>
                    <w:t>9</w:t>
                  </w:r>
                </w:p>
              </w:tc>
              <w:tc>
                <w:tcPr>
                  <w:tcW w:w="5891" w:type="dxa"/>
                </w:tcPr>
                <w:p w14:paraId="45E16A09">
                  <w:pPr>
                    <w:rPr>
                      <w:rFonts w:ascii="Times New Roman" w:hAnsi="Times New Roman" w:cs="Times New Roman"/>
                      <w:szCs w:val="21"/>
                    </w:rPr>
                  </w:pPr>
                  <w:r>
                    <w:rPr>
                      <w:rFonts w:ascii="Times New Roman" w:hAnsi="Times New Roman" w:cs="Times New Roman"/>
                      <w:szCs w:val="21"/>
                    </w:rPr>
                    <w:t>多环芳烃含量（质量分数）/%</w:t>
                  </w:r>
                </w:p>
              </w:tc>
              <w:tc>
                <w:tcPr>
                  <w:tcW w:w="1868" w:type="dxa"/>
                </w:tcPr>
                <w:p w14:paraId="73ADA9DE">
                  <w:pPr>
                    <w:rPr>
                      <w:rFonts w:ascii="Times New Roman" w:hAnsi="Times New Roman" w:cs="Times New Roman"/>
                      <w:szCs w:val="21"/>
                    </w:rPr>
                  </w:pPr>
                  <w:r>
                    <w:rPr>
                      <w:rFonts w:ascii="Times New Roman" w:hAnsi="Times New Roman" w:cs="Times New Roman"/>
                      <w:szCs w:val="21"/>
                    </w:rPr>
                    <w:t>不大于 7</w:t>
                  </w:r>
                </w:p>
              </w:tc>
            </w:tr>
            <w:tr w14:paraId="4F4FB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768F6041">
                  <w:pPr>
                    <w:rPr>
                      <w:rFonts w:ascii="Times New Roman" w:hAnsi="Times New Roman" w:cs="Times New Roman"/>
                      <w:szCs w:val="21"/>
                    </w:rPr>
                  </w:pPr>
                  <w:r>
                    <w:rPr>
                      <w:rFonts w:ascii="Times New Roman" w:hAnsi="Times New Roman" w:cs="Times New Roman"/>
                      <w:szCs w:val="21"/>
                    </w:rPr>
                    <w:t>10</w:t>
                  </w:r>
                </w:p>
              </w:tc>
              <w:tc>
                <w:tcPr>
                  <w:tcW w:w="5891" w:type="dxa"/>
                </w:tcPr>
                <w:p w14:paraId="756CA6BB">
                  <w:pPr>
                    <w:rPr>
                      <w:rFonts w:ascii="Times New Roman" w:hAnsi="Times New Roman" w:cs="Times New Roman"/>
                      <w:szCs w:val="21"/>
                    </w:rPr>
                  </w:pPr>
                  <w:r>
                    <w:rPr>
                      <w:rFonts w:ascii="Times New Roman" w:hAnsi="Times New Roman" w:cs="Times New Roman"/>
                      <w:szCs w:val="21"/>
                    </w:rPr>
                    <w:t>总污染物含量 /（mg/kg）</w:t>
                  </w:r>
                </w:p>
              </w:tc>
              <w:tc>
                <w:tcPr>
                  <w:tcW w:w="1868" w:type="dxa"/>
                </w:tcPr>
                <w:p w14:paraId="64453D5B">
                  <w:pPr>
                    <w:rPr>
                      <w:rFonts w:ascii="Times New Roman" w:hAnsi="Times New Roman" w:cs="Times New Roman"/>
                      <w:szCs w:val="21"/>
                    </w:rPr>
                  </w:pPr>
                  <w:r>
                    <w:rPr>
                      <w:rFonts w:ascii="Times New Roman" w:hAnsi="Times New Roman" w:cs="Times New Roman"/>
                      <w:szCs w:val="21"/>
                    </w:rPr>
                    <w:t>不大于 24</w:t>
                  </w:r>
                </w:p>
              </w:tc>
            </w:tr>
            <w:tr w14:paraId="3B4FF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40E39477">
                  <w:pPr>
                    <w:rPr>
                      <w:rFonts w:ascii="Times New Roman" w:hAnsi="Times New Roman" w:cs="Times New Roman"/>
                      <w:szCs w:val="21"/>
                    </w:rPr>
                  </w:pPr>
                  <w:r>
                    <w:rPr>
                      <w:rFonts w:ascii="Times New Roman" w:hAnsi="Times New Roman" w:cs="Times New Roman"/>
                      <w:szCs w:val="21"/>
                    </w:rPr>
                    <w:t>11</w:t>
                  </w:r>
                </w:p>
              </w:tc>
              <w:tc>
                <w:tcPr>
                  <w:tcW w:w="5891" w:type="dxa"/>
                </w:tcPr>
                <w:p w14:paraId="75C36488">
                  <w:pPr>
                    <w:rPr>
                      <w:rFonts w:ascii="Times New Roman" w:hAnsi="Times New Roman" w:cs="Times New Roman"/>
                      <w:szCs w:val="21"/>
                    </w:rPr>
                  </w:pPr>
                  <w:r>
                    <w:rPr>
                      <w:rFonts w:ascii="Times New Roman" w:hAnsi="Times New Roman" w:cs="Times New Roman"/>
                      <w:szCs w:val="21"/>
                    </w:rPr>
                    <w:t>运动黏度（20℃）/（mm²/s）</w:t>
                  </w:r>
                </w:p>
              </w:tc>
              <w:tc>
                <w:tcPr>
                  <w:tcW w:w="1868" w:type="dxa"/>
                </w:tcPr>
                <w:p w14:paraId="63F4A44C">
                  <w:pPr>
                    <w:rPr>
                      <w:rFonts w:ascii="Times New Roman" w:hAnsi="Times New Roman" w:cs="Times New Roman"/>
                      <w:szCs w:val="21"/>
                    </w:rPr>
                  </w:pPr>
                  <w:r>
                    <w:rPr>
                      <w:rFonts w:ascii="Times New Roman" w:hAnsi="Times New Roman" w:cs="Times New Roman"/>
                      <w:szCs w:val="21"/>
                    </w:rPr>
                    <w:t>3.0-8.0</w:t>
                  </w:r>
                </w:p>
              </w:tc>
            </w:tr>
            <w:tr w14:paraId="5408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04E5C39E">
                  <w:pPr>
                    <w:rPr>
                      <w:rFonts w:ascii="Times New Roman" w:hAnsi="Times New Roman" w:cs="Times New Roman"/>
                      <w:szCs w:val="21"/>
                    </w:rPr>
                  </w:pPr>
                  <w:r>
                    <w:rPr>
                      <w:rFonts w:ascii="Times New Roman" w:hAnsi="Times New Roman" w:cs="Times New Roman"/>
                      <w:szCs w:val="21"/>
                    </w:rPr>
                    <w:t>12</w:t>
                  </w:r>
                </w:p>
              </w:tc>
              <w:tc>
                <w:tcPr>
                  <w:tcW w:w="5891" w:type="dxa"/>
                </w:tcPr>
                <w:p w14:paraId="7D8E48CE">
                  <w:pPr>
                    <w:rPr>
                      <w:rFonts w:ascii="Times New Roman" w:hAnsi="Times New Roman" w:cs="Times New Roman"/>
                      <w:szCs w:val="21"/>
                    </w:rPr>
                  </w:pPr>
                  <w:r>
                    <w:rPr>
                      <w:rFonts w:ascii="Times New Roman" w:hAnsi="Times New Roman" w:cs="Times New Roman"/>
                      <w:szCs w:val="21"/>
                    </w:rPr>
                    <w:t>凝点 /℃</w:t>
                  </w:r>
                </w:p>
              </w:tc>
              <w:tc>
                <w:tcPr>
                  <w:tcW w:w="1868" w:type="dxa"/>
                </w:tcPr>
                <w:p w14:paraId="568C00D1">
                  <w:pPr>
                    <w:rPr>
                      <w:rFonts w:ascii="Times New Roman" w:hAnsi="Times New Roman" w:cs="Times New Roman"/>
                      <w:szCs w:val="21"/>
                    </w:rPr>
                  </w:pPr>
                  <w:r>
                    <w:rPr>
                      <w:rFonts w:ascii="Times New Roman" w:hAnsi="Times New Roman" w:cs="Times New Roman"/>
                      <w:szCs w:val="21"/>
                    </w:rPr>
                    <w:t>不高于 0</w:t>
                  </w:r>
                </w:p>
              </w:tc>
            </w:tr>
            <w:tr w14:paraId="2BCE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5C9A20CD">
                  <w:pPr>
                    <w:rPr>
                      <w:rFonts w:ascii="Times New Roman" w:hAnsi="Times New Roman" w:cs="Times New Roman"/>
                      <w:szCs w:val="21"/>
                    </w:rPr>
                  </w:pPr>
                  <w:r>
                    <w:rPr>
                      <w:rFonts w:ascii="Times New Roman" w:hAnsi="Times New Roman" w:cs="Times New Roman"/>
                      <w:szCs w:val="21"/>
                    </w:rPr>
                    <w:t>13</w:t>
                  </w:r>
                </w:p>
              </w:tc>
              <w:tc>
                <w:tcPr>
                  <w:tcW w:w="5891" w:type="dxa"/>
                </w:tcPr>
                <w:p w14:paraId="1FE92DF8">
                  <w:pPr>
                    <w:rPr>
                      <w:rFonts w:ascii="Times New Roman" w:hAnsi="Times New Roman" w:cs="Times New Roman"/>
                      <w:szCs w:val="21"/>
                    </w:rPr>
                  </w:pPr>
                  <w:r>
                    <w:rPr>
                      <w:rFonts w:ascii="Times New Roman" w:hAnsi="Times New Roman" w:cs="Times New Roman"/>
                      <w:szCs w:val="21"/>
                    </w:rPr>
                    <w:t>冷滤点 /℃</w:t>
                  </w:r>
                </w:p>
              </w:tc>
              <w:tc>
                <w:tcPr>
                  <w:tcW w:w="1868" w:type="dxa"/>
                </w:tcPr>
                <w:p w14:paraId="4F95403C">
                  <w:pPr>
                    <w:rPr>
                      <w:rFonts w:ascii="Times New Roman" w:hAnsi="Times New Roman" w:cs="Times New Roman"/>
                      <w:szCs w:val="21"/>
                    </w:rPr>
                  </w:pPr>
                  <w:r>
                    <w:rPr>
                      <w:rFonts w:ascii="Times New Roman" w:hAnsi="Times New Roman" w:cs="Times New Roman"/>
                      <w:szCs w:val="21"/>
                    </w:rPr>
                    <w:t>不高于 4</w:t>
                  </w:r>
                </w:p>
              </w:tc>
            </w:tr>
            <w:tr w14:paraId="43566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1DAF8B68">
                  <w:pPr>
                    <w:rPr>
                      <w:rFonts w:ascii="Times New Roman" w:hAnsi="Times New Roman" w:cs="Times New Roman"/>
                      <w:szCs w:val="21"/>
                    </w:rPr>
                  </w:pPr>
                  <w:r>
                    <w:rPr>
                      <w:rFonts w:ascii="Times New Roman" w:hAnsi="Times New Roman" w:cs="Times New Roman"/>
                      <w:szCs w:val="21"/>
                    </w:rPr>
                    <w:t>14</w:t>
                  </w:r>
                </w:p>
              </w:tc>
              <w:tc>
                <w:tcPr>
                  <w:tcW w:w="5891" w:type="dxa"/>
                </w:tcPr>
                <w:p w14:paraId="7283C69B">
                  <w:pPr>
                    <w:rPr>
                      <w:rFonts w:ascii="Times New Roman" w:hAnsi="Times New Roman" w:cs="Times New Roman"/>
                      <w:szCs w:val="21"/>
                    </w:rPr>
                  </w:pPr>
                  <w:r>
                    <w:rPr>
                      <w:rFonts w:ascii="Times New Roman" w:hAnsi="Times New Roman" w:cs="Times New Roman"/>
                      <w:szCs w:val="21"/>
                    </w:rPr>
                    <w:t>闪点（闭口）/℃</w:t>
                  </w:r>
                </w:p>
              </w:tc>
              <w:tc>
                <w:tcPr>
                  <w:tcW w:w="1868" w:type="dxa"/>
                </w:tcPr>
                <w:p w14:paraId="4467207E">
                  <w:pPr>
                    <w:rPr>
                      <w:rFonts w:ascii="Times New Roman" w:hAnsi="Times New Roman" w:cs="Times New Roman"/>
                      <w:szCs w:val="21"/>
                    </w:rPr>
                  </w:pPr>
                  <w:r>
                    <w:rPr>
                      <w:rFonts w:ascii="Times New Roman" w:hAnsi="Times New Roman" w:cs="Times New Roman"/>
                      <w:szCs w:val="21"/>
                    </w:rPr>
                    <w:t>不低于 60</w:t>
                  </w:r>
                </w:p>
              </w:tc>
            </w:tr>
            <w:tr w14:paraId="7BE8B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650AD06D">
                  <w:pPr>
                    <w:rPr>
                      <w:rFonts w:ascii="Times New Roman" w:hAnsi="Times New Roman" w:cs="Times New Roman"/>
                      <w:szCs w:val="21"/>
                    </w:rPr>
                  </w:pPr>
                  <w:r>
                    <w:rPr>
                      <w:rFonts w:ascii="Times New Roman" w:hAnsi="Times New Roman" w:cs="Times New Roman"/>
                      <w:szCs w:val="21"/>
                    </w:rPr>
                    <w:t>15</w:t>
                  </w:r>
                </w:p>
              </w:tc>
              <w:tc>
                <w:tcPr>
                  <w:tcW w:w="5891" w:type="dxa"/>
                </w:tcPr>
                <w:p w14:paraId="6AEAD876">
                  <w:pPr>
                    <w:rPr>
                      <w:rFonts w:ascii="Times New Roman" w:hAnsi="Times New Roman" w:cs="Times New Roman"/>
                      <w:szCs w:val="21"/>
                    </w:rPr>
                  </w:pPr>
                  <w:r>
                    <w:rPr>
                      <w:rFonts w:ascii="Times New Roman" w:hAnsi="Times New Roman" w:cs="Times New Roman"/>
                      <w:szCs w:val="21"/>
                    </w:rPr>
                    <w:t>十六烷值</w:t>
                  </w:r>
                </w:p>
              </w:tc>
              <w:tc>
                <w:tcPr>
                  <w:tcW w:w="1868" w:type="dxa"/>
                </w:tcPr>
                <w:p w14:paraId="4E7F122A">
                  <w:pPr>
                    <w:rPr>
                      <w:rFonts w:ascii="Times New Roman" w:hAnsi="Times New Roman" w:cs="Times New Roman"/>
                      <w:szCs w:val="21"/>
                    </w:rPr>
                  </w:pPr>
                  <w:r>
                    <w:rPr>
                      <w:rFonts w:ascii="Times New Roman" w:hAnsi="Times New Roman" w:cs="Times New Roman"/>
                      <w:szCs w:val="21"/>
                    </w:rPr>
                    <w:t>不小于 51</w:t>
                  </w:r>
                </w:p>
              </w:tc>
            </w:tr>
            <w:tr w14:paraId="7F1A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29331C83">
                  <w:pPr>
                    <w:rPr>
                      <w:rFonts w:ascii="Times New Roman" w:hAnsi="Times New Roman" w:cs="Times New Roman"/>
                      <w:szCs w:val="21"/>
                    </w:rPr>
                  </w:pPr>
                  <w:r>
                    <w:rPr>
                      <w:rFonts w:ascii="Times New Roman" w:hAnsi="Times New Roman" w:cs="Times New Roman"/>
                      <w:szCs w:val="21"/>
                    </w:rPr>
                    <w:t>16</w:t>
                  </w:r>
                </w:p>
              </w:tc>
              <w:tc>
                <w:tcPr>
                  <w:tcW w:w="5891" w:type="dxa"/>
                </w:tcPr>
                <w:p w14:paraId="28D9A688">
                  <w:pPr>
                    <w:rPr>
                      <w:rFonts w:ascii="Times New Roman" w:hAnsi="Times New Roman" w:cs="Times New Roman"/>
                      <w:szCs w:val="21"/>
                    </w:rPr>
                  </w:pPr>
                  <w:r>
                    <w:rPr>
                      <w:rFonts w:ascii="Times New Roman" w:hAnsi="Times New Roman" w:cs="Times New Roman"/>
                      <w:szCs w:val="21"/>
                    </w:rPr>
                    <w:t>十六烷指数</w:t>
                  </w:r>
                </w:p>
              </w:tc>
              <w:tc>
                <w:tcPr>
                  <w:tcW w:w="1868" w:type="dxa"/>
                </w:tcPr>
                <w:p w14:paraId="40D67A2F">
                  <w:pPr>
                    <w:rPr>
                      <w:rFonts w:ascii="Times New Roman" w:hAnsi="Times New Roman" w:cs="Times New Roman"/>
                      <w:szCs w:val="21"/>
                    </w:rPr>
                  </w:pPr>
                  <w:r>
                    <w:rPr>
                      <w:rFonts w:ascii="Times New Roman" w:hAnsi="Times New Roman" w:cs="Times New Roman"/>
                      <w:szCs w:val="21"/>
                    </w:rPr>
                    <w:t>不小于 46</w:t>
                  </w:r>
                </w:p>
              </w:tc>
            </w:tr>
            <w:tr w14:paraId="57FF8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2D51AE51">
                  <w:pPr>
                    <w:rPr>
                      <w:rFonts w:ascii="Times New Roman" w:hAnsi="Times New Roman" w:cs="Times New Roman"/>
                      <w:szCs w:val="21"/>
                    </w:rPr>
                  </w:pPr>
                  <w:r>
                    <w:rPr>
                      <w:rFonts w:ascii="Times New Roman" w:hAnsi="Times New Roman" w:cs="Times New Roman"/>
                      <w:szCs w:val="21"/>
                    </w:rPr>
                    <w:t>17</w:t>
                  </w:r>
                </w:p>
              </w:tc>
              <w:tc>
                <w:tcPr>
                  <w:tcW w:w="5891" w:type="dxa"/>
                </w:tcPr>
                <w:p w14:paraId="31992913">
                  <w:pPr>
                    <w:rPr>
                      <w:rFonts w:ascii="Times New Roman" w:hAnsi="Times New Roman" w:cs="Times New Roman"/>
                      <w:szCs w:val="21"/>
                    </w:rPr>
                  </w:pPr>
                  <w:r>
                    <w:rPr>
                      <w:rFonts w:ascii="Times New Roman" w:hAnsi="Times New Roman" w:cs="Times New Roman"/>
                      <w:szCs w:val="21"/>
                    </w:rPr>
                    <w:t>馏程：</w:t>
                  </w:r>
                </w:p>
                <w:p w14:paraId="5BC99AF6">
                  <w:pPr>
                    <w:rPr>
                      <w:rFonts w:ascii="Times New Roman" w:hAnsi="Times New Roman" w:cs="Times New Roman"/>
                      <w:szCs w:val="21"/>
                    </w:rPr>
                  </w:pPr>
                  <w:r>
                    <w:rPr>
                      <w:rFonts w:ascii="Times New Roman" w:hAnsi="Times New Roman" w:cs="Times New Roman"/>
                      <w:szCs w:val="21"/>
                    </w:rPr>
                    <w:t>50% 回收温度 /℃</w:t>
                  </w:r>
                </w:p>
                <w:p w14:paraId="604AC022">
                  <w:pPr>
                    <w:rPr>
                      <w:rFonts w:ascii="Times New Roman" w:hAnsi="Times New Roman" w:cs="Times New Roman"/>
                      <w:szCs w:val="21"/>
                    </w:rPr>
                  </w:pPr>
                  <w:r>
                    <w:rPr>
                      <w:rFonts w:ascii="Times New Roman" w:hAnsi="Times New Roman" w:cs="Times New Roman"/>
                      <w:szCs w:val="21"/>
                    </w:rPr>
                    <w:t>90% 回收温度 /℃</w:t>
                  </w:r>
                </w:p>
                <w:p w14:paraId="2EB9C05A">
                  <w:pPr>
                    <w:rPr>
                      <w:rFonts w:ascii="Times New Roman" w:hAnsi="Times New Roman" w:cs="Times New Roman"/>
                      <w:szCs w:val="21"/>
                    </w:rPr>
                  </w:pPr>
                  <w:r>
                    <w:rPr>
                      <w:rFonts w:ascii="Times New Roman" w:hAnsi="Times New Roman" w:cs="Times New Roman"/>
                      <w:szCs w:val="21"/>
                    </w:rPr>
                    <w:t>95% 回收温度 /℃</w:t>
                  </w:r>
                </w:p>
              </w:tc>
              <w:tc>
                <w:tcPr>
                  <w:tcW w:w="1868" w:type="dxa"/>
                </w:tcPr>
                <w:p w14:paraId="56922937">
                  <w:pPr>
                    <w:rPr>
                      <w:rFonts w:ascii="Times New Roman" w:hAnsi="Times New Roman" w:cs="Times New Roman"/>
                      <w:szCs w:val="21"/>
                    </w:rPr>
                  </w:pPr>
                </w:p>
                <w:p w14:paraId="27151B08">
                  <w:pPr>
                    <w:rPr>
                      <w:rFonts w:ascii="Times New Roman" w:hAnsi="Times New Roman" w:cs="Times New Roman"/>
                      <w:szCs w:val="21"/>
                    </w:rPr>
                  </w:pPr>
                  <w:r>
                    <w:rPr>
                      <w:rFonts w:ascii="Times New Roman" w:hAnsi="Times New Roman" w:cs="Times New Roman"/>
                      <w:szCs w:val="21"/>
                    </w:rPr>
                    <w:t>不高于 300</w:t>
                  </w:r>
                </w:p>
                <w:p w14:paraId="6FBACFAE">
                  <w:pPr>
                    <w:rPr>
                      <w:rFonts w:ascii="Times New Roman" w:hAnsi="Times New Roman" w:cs="Times New Roman"/>
                      <w:szCs w:val="21"/>
                    </w:rPr>
                  </w:pPr>
                  <w:r>
                    <w:rPr>
                      <w:rFonts w:ascii="Times New Roman" w:hAnsi="Times New Roman" w:cs="Times New Roman"/>
                      <w:szCs w:val="21"/>
                    </w:rPr>
                    <w:t>不高于 355</w:t>
                  </w:r>
                </w:p>
                <w:p w14:paraId="6CBE34E1">
                  <w:pPr>
                    <w:rPr>
                      <w:rFonts w:ascii="Times New Roman" w:hAnsi="Times New Roman" w:cs="Times New Roman"/>
                      <w:szCs w:val="21"/>
                    </w:rPr>
                  </w:pPr>
                  <w:r>
                    <w:rPr>
                      <w:rFonts w:ascii="Times New Roman" w:hAnsi="Times New Roman" w:cs="Times New Roman"/>
                      <w:szCs w:val="21"/>
                    </w:rPr>
                    <w:t>不高于 365</w:t>
                  </w:r>
                </w:p>
              </w:tc>
            </w:tr>
            <w:tr w14:paraId="67B8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7FF22DA1">
                  <w:pPr>
                    <w:rPr>
                      <w:rFonts w:ascii="Times New Roman" w:hAnsi="Times New Roman" w:cs="Times New Roman"/>
                      <w:szCs w:val="21"/>
                    </w:rPr>
                  </w:pPr>
                  <w:r>
                    <w:rPr>
                      <w:rFonts w:ascii="Times New Roman" w:hAnsi="Times New Roman" w:cs="Times New Roman"/>
                      <w:szCs w:val="21"/>
                    </w:rPr>
                    <w:t>18</w:t>
                  </w:r>
                </w:p>
              </w:tc>
              <w:tc>
                <w:tcPr>
                  <w:tcW w:w="5891" w:type="dxa"/>
                </w:tcPr>
                <w:p w14:paraId="08CD65FD">
                  <w:pPr>
                    <w:rPr>
                      <w:rFonts w:ascii="Times New Roman" w:hAnsi="Times New Roman" w:cs="Times New Roman"/>
                      <w:szCs w:val="21"/>
                    </w:rPr>
                  </w:pPr>
                  <w:r>
                    <w:rPr>
                      <w:rFonts w:ascii="Times New Roman" w:hAnsi="Times New Roman" w:cs="Times New Roman"/>
                      <w:szCs w:val="21"/>
                    </w:rPr>
                    <w:t>密度（20℃）/（kg/m³）</w:t>
                  </w:r>
                </w:p>
              </w:tc>
              <w:tc>
                <w:tcPr>
                  <w:tcW w:w="1868" w:type="dxa"/>
                </w:tcPr>
                <w:p w14:paraId="4ACE4EFC">
                  <w:pPr>
                    <w:rPr>
                      <w:rFonts w:ascii="Times New Roman" w:hAnsi="Times New Roman" w:cs="Times New Roman"/>
                      <w:szCs w:val="21"/>
                    </w:rPr>
                  </w:pPr>
                  <w:r>
                    <w:rPr>
                      <w:rFonts w:ascii="Times New Roman" w:hAnsi="Times New Roman" w:cs="Times New Roman"/>
                      <w:szCs w:val="21"/>
                    </w:rPr>
                    <w:t>850</w:t>
                  </w:r>
                </w:p>
              </w:tc>
            </w:tr>
            <w:tr w14:paraId="4D67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3EBF7EBB">
                  <w:pPr>
                    <w:rPr>
                      <w:rFonts w:ascii="Times New Roman" w:hAnsi="Times New Roman" w:cs="Times New Roman"/>
                      <w:szCs w:val="21"/>
                    </w:rPr>
                  </w:pPr>
                  <w:r>
                    <w:rPr>
                      <w:rFonts w:ascii="Times New Roman" w:hAnsi="Times New Roman" w:cs="Times New Roman"/>
                      <w:szCs w:val="21"/>
                    </w:rPr>
                    <w:t>19</w:t>
                  </w:r>
                </w:p>
              </w:tc>
              <w:tc>
                <w:tcPr>
                  <w:tcW w:w="5891" w:type="dxa"/>
                </w:tcPr>
                <w:p w14:paraId="536D9D28">
                  <w:pPr>
                    <w:rPr>
                      <w:rFonts w:ascii="Times New Roman" w:hAnsi="Times New Roman" w:cs="Times New Roman"/>
                      <w:szCs w:val="21"/>
                    </w:rPr>
                  </w:pPr>
                  <w:r>
                    <w:rPr>
                      <w:rFonts w:ascii="Times New Roman" w:hAnsi="Times New Roman" w:cs="Times New Roman"/>
                      <w:szCs w:val="21"/>
                    </w:rPr>
                    <w:t>脂肪酸甲酯（体积分数）/%</w:t>
                  </w:r>
                </w:p>
              </w:tc>
              <w:tc>
                <w:tcPr>
                  <w:tcW w:w="1868" w:type="dxa"/>
                </w:tcPr>
                <w:p w14:paraId="2F32DD7A">
                  <w:pPr>
                    <w:rPr>
                      <w:rFonts w:ascii="Times New Roman" w:hAnsi="Times New Roman" w:cs="Times New Roman"/>
                      <w:szCs w:val="21"/>
                    </w:rPr>
                  </w:pPr>
                  <w:r>
                    <w:rPr>
                      <w:rFonts w:ascii="Times New Roman" w:hAnsi="Times New Roman" w:cs="Times New Roman"/>
                      <w:szCs w:val="21"/>
                    </w:rPr>
                    <w:t>不大于 1.0</w:t>
                  </w:r>
                </w:p>
              </w:tc>
            </w:tr>
          </w:tbl>
          <w:p w14:paraId="1D9A3AA5">
            <w:pPr>
              <w:adjustRightInd w:val="0"/>
              <w:snapToGrid w:val="0"/>
              <w:spacing w:line="360" w:lineRule="auto"/>
              <w:ind w:firstLine="482" w:firstLineChars="200"/>
              <w:jc w:val="center"/>
              <w:rPr>
                <w:rFonts w:ascii="Times New Roman" w:hAnsi="Times New Roman" w:cs="Times New Roman"/>
                <w:b/>
                <w:color w:val="000000"/>
                <w:szCs w:val="18"/>
              </w:rPr>
            </w:pPr>
          </w:p>
          <w:p w14:paraId="0FBE2127">
            <w:pPr>
              <w:adjustRightInd w:val="0"/>
              <w:snapToGrid w:val="0"/>
              <w:ind w:firstLine="442" w:firstLineChars="200"/>
              <w:jc w:val="center"/>
              <w:rPr>
                <w:rFonts w:ascii="Times New Roman" w:hAnsi="Times New Roman" w:cs="Times New Roman"/>
                <w:b/>
                <w:color w:val="000000"/>
                <w:szCs w:val="18"/>
              </w:rPr>
            </w:pPr>
            <w:r>
              <w:rPr>
                <w:rFonts w:ascii="Times New Roman" w:hAnsi="Times New Roman" w:cs="Times New Roman"/>
                <w:b/>
                <w:spacing w:val="-10"/>
                <w:szCs w:val="21"/>
              </w:rPr>
              <w:t>表2-8  轻质燃料油性质</w:t>
            </w:r>
          </w:p>
          <w:tbl>
            <w:tblPr>
              <w:tblStyle w:val="16"/>
              <w:tblW w:w="5000" w:type="pct"/>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5399"/>
              <w:gridCol w:w="1726"/>
            </w:tblGrid>
            <w:tr w14:paraId="690C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0C0A8FEA">
                  <w:pPr>
                    <w:rPr>
                      <w:rFonts w:ascii="Times New Roman" w:hAnsi="Times New Roman" w:cs="Times New Roman"/>
                      <w:b/>
                      <w:bCs/>
                      <w:szCs w:val="21"/>
                    </w:rPr>
                  </w:pPr>
                  <w:r>
                    <w:rPr>
                      <w:rFonts w:ascii="Times New Roman" w:hAnsi="Times New Roman" w:cs="Times New Roman"/>
                      <w:b/>
                      <w:bCs/>
                      <w:szCs w:val="21"/>
                    </w:rPr>
                    <w:t>序号</w:t>
                  </w:r>
                </w:p>
              </w:tc>
              <w:tc>
                <w:tcPr>
                  <w:tcW w:w="5891" w:type="dxa"/>
                </w:tcPr>
                <w:p w14:paraId="0C3FC712">
                  <w:pPr>
                    <w:rPr>
                      <w:rFonts w:ascii="Times New Roman" w:hAnsi="Times New Roman" w:cs="Times New Roman"/>
                      <w:b/>
                      <w:bCs/>
                      <w:szCs w:val="21"/>
                    </w:rPr>
                  </w:pPr>
                  <w:r>
                    <w:rPr>
                      <w:rFonts w:ascii="Times New Roman" w:hAnsi="Times New Roman" w:cs="Times New Roman"/>
                      <w:b/>
                      <w:bCs/>
                      <w:szCs w:val="21"/>
                    </w:rPr>
                    <w:t>项目</w:t>
                  </w:r>
                </w:p>
              </w:tc>
              <w:tc>
                <w:tcPr>
                  <w:tcW w:w="1868" w:type="dxa"/>
                </w:tcPr>
                <w:p w14:paraId="05C4C6D3">
                  <w:pPr>
                    <w:rPr>
                      <w:rFonts w:ascii="Times New Roman" w:hAnsi="Times New Roman" w:cs="Times New Roman"/>
                      <w:b/>
                      <w:bCs/>
                      <w:szCs w:val="21"/>
                    </w:rPr>
                  </w:pPr>
                  <w:r>
                    <w:rPr>
                      <w:rFonts w:ascii="Times New Roman" w:hAnsi="Times New Roman" w:cs="Times New Roman"/>
                      <w:b/>
                      <w:bCs/>
                      <w:szCs w:val="21"/>
                    </w:rPr>
                    <w:t>质量指标</w:t>
                  </w:r>
                </w:p>
              </w:tc>
            </w:tr>
            <w:tr w14:paraId="4768D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13F9DB33">
                  <w:pPr>
                    <w:rPr>
                      <w:rFonts w:ascii="Times New Roman" w:hAnsi="Times New Roman" w:cs="Times New Roman"/>
                      <w:szCs w:val="21"/>
                    </w:rPr>
                  </w:pPr>
                  <w:r>
                    <w:rPr>
                      <w:rFonts w:ascii="Times New Roman" w:hAnsi="Times New Roman" w:cs="Times New Roman"/>
                      <w:szCs w:val="21"/>
                    </w:rPr>
                    <w:t>1</w:t>
                  </w:r>
                </w:p>
              </w:tc>
              <w:tc>
                <w:tcPr>
                  <w:tcW w:w="5891" w:type="dxa"/>
                </w:tcPr>
                <w:p w14:paraId="735AFBAE">
                  <w:pPr>
                    <w:rPr>
                      <w:rFonts w:ascii="Times New Roman" w:hAnsi="Times New Roman" w:cs="Times New Roman"/>
                      <w:szCs w:val="21"/>
                    </w:rPr>
                  </w:pPr>
                  <w:r>
                    <w:rPr>
                      <w:rFonts w:ascii="Times New Roman" w:hAnsi="Times New Roman" w:cs="Times New Roman"/>
                      <w:szCs w:val="21"/>
                    </w:rPr>
                    <w:t>氧化安定性（以总不溶物计）/（mg/100mL）</w:t>
                  </w:r>
                </w:p>
              </w:tc>
              <w:tc>
                <w:tcPr>
                  <w:tcW w:w="1868" w:type="dxa"/>
                </w:tcPr>
                <w:p w14:paraId="04763F58">
                  <w:pPr>
                    <w:rPr>
                      <w:rFonts w:ascii="Times New Roman" w:hAnsi="Times New Roman" w:cs="Times New Roman"/>
                      <w:szCs w:val="21"/>
                    </w:rPr>
                  </w:pPr>
                  <w:r>
                    <w:rPr>
                      <w:rFonts w:ascii="Times New Roman" w:hAnsi="Times New Roman" w:cs="Times New Roman"/>
                      <w:szCs w:val="21"/>
                    </w:rPr>
                    <w:t>不大于 2.5</w:t>
                  </w:r>
                </w:p>
              </w:tc>
            </w:tr>
            <w:tr w14:paraId="5A8A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1B8BBE54">
                  <w:pPr>
                    <w:rPr>
                      <w:rFonts w:ascii="Times New Roman" w:hAnsi="Times New Roman" w:cs="Times New Roman"/>
                      <w:szCs w:val="21"/>
                    </w:rPr>
                  </w:pPr>
                  <w:r>
                    <w:rPr>
                      <w:rFonts w:ascii="Times New Roman" w:hAnsi="Times New Roman" w:cs="Times New Roman"/>
                      <w:szCs w:val="21"/>
                    </w:rPr>
                    <w:t>2</w:t>
                  </w:r>
                </w:p>
              </w:tc>
              <w:tc>
                <w:tcPr>
                  <w:tcW w:w="5891" w:type="dxa"/>
                </w:tcPr>
                <w:p w14:paraId="5B115323">
                  <w:pPr>
                    <w:rPr>
                      <w:rFonts w:ascii="Times New Roman" w:hAnsi="Times New Roman" w:cs="Times New Roman"/>
                      <w:szCs w:val="21"/>
                    </w:rPr>
                  </w:pPr>
                  <w:r>
                    <w:rPr>
                      <w:rFonts w:ascii="Times New Roman" w:hAnsi="Times New Roman" w:cs="Times New Roman"/>
                      <w:szCs w:val="21"/>
                    </w:rPr>
                    <w:t>硫含量（mg/kg）</w:t>
                  </w:r>
                </w:p>
              </w:tc>
              <w:tc>
                <w:tcPr>
                  <w:tcW w:w="1868" w:type="dxa"/>
                </w:tcPr>
                <w:p w14:paraId="42AF4F84">
                  <w:pPr>
                    <w:rPr>
                      <w:rFonts w:ascii="Times New Roman" w:hAnsi="Times New Roman" w:cs="Times New Roman"/>
                      <w:szCs w:val="21"/>
                    </w:rPr>
                  </w:pPr>
                  <w:r>
                    <w:rPr>
                      <w:rFonts w:ascii="Times New Roman" w:hAnsi="Times New Roman" w:cs="Times New Roman"/>
                      <w:szCs w:val="21"/>
                    </w:rPr>
                    <w:t>不大于 10</w:t>
                  </w:r>
                </w:p>
              </w:tc>
            </w:tr>
            <w:tr w14:paraId="49DFB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04E16415">
                  <w:pPr>
                    <w:rPr>
                      <w:rFonts w:ascii="Times New Roman" w:hAnsi="Times New Roman" w:cs="Times New Roman"/>
                      <w:szCs w:val="21"/>
                    </w:rPr>
                  </w:pPr>
                  <w:r>
                    <w:rPr>
                      <w:rFonts w:ascii="Times New Roman" w:hAnsi="Times New Roman" w:cs="Times New Roman"/>
                      <w:szCs w:val="21"/>
                    </w:rPr>
                    <w:t>3</w:t>
                  </w:r>
                </w:p>
              </w:tc>
              <w:tc>
                <w:tcPr>
                  <w:tcW w:w="5891" w:type="dxa"/>
                </w:tcPr>
                <w:p w14:paraId="55C92490">
                  <w:pPr>
                    <w:rPr>
                      <w:rFonts w:ascii="Times New Roman" w:hAnsi="Times New Roman" w:cs="Times New Roman"/>
                      <w:szCs w:val="21"/>
                    </w:rPr>
                  </w:pPr>
                  <w:r>
                    <w:rPr>
                      <w:rFonts w:ascii="Times New Roman" w:hAnsi="Times New Roman" w:cs="Times New Roman"/>
                      <w:szCs w:val="21"/>
                    </w:rPr>
                    <w:t>酸度（以 KOH 计）/（mg/100mL）</w:t>
                  </w:r>
                </w:p>
              </w:tc>
              <w:tc>
                <w:tcPr>
                  <w:tcW w:w="1868" w:type="dxa"/>
                </w:tcPr>
                <w:p w14:paraId="208C853A">
                  <w:pPr>
                    <w:rPr>
                      <w:rFonts w:ascii="Times New Roman" w:hAnsi="Times New Roman" w:cs="Times New Roman"/>
                      <w:szCs w:val="21"/>
                    </w:rPr>
                  </w:pPr>
                  <w:r>
                    <w:rPr>
                      <w:rFonts w:ascii="Times New Roman" w:hAnsi="Times New Roman" w:cs="Times New Roman"/>
                      <w:szCs w:val="21"/>
                    </w:rPr>
                    <w:t>不大于 7</w:t>
                  </w:r>
                </w:p>
              </w:tc>
            </w:tr>
            <w:tr w14:paraId="24E7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279D7E04">
                  <w:pPr>
                    <w:rPr>
                      <w:rFonts w:ascii="Times New Roman" w:hAnsi="Times New Roman" w:cs="Times New Roman"/>
                      <w:szCs w:val="21"/>
                    </w:rPr>
                  </w:pPr>
                  <w:r>
                    <w:rPr>
                      <w:rFonts w:ascii="Times New Roman" w:hAnsi="Times New Roman" w:cs="Times New Roman"/>
                      <w:szCs w:val="21"/>
                    </w:rPr>
                    <w:t>4</w:t>
                  </w:r>
                </w:p>
              </w:tc>
              <w:tc>
                <w:tcPr>
                  <w:tcW w:w="5891" w:type="dxa"/>
                </w:tcPr>
                <w:p w14:paraId="5FF816AC">
                  <w:pPr>
                    <w:rPr>
                      <w:rFonts w:ascii="Times New Roman" w:hAnsi="Times New Roman" w:cs="Times New Roman"/>
                      <w:szCs w:val="21"/>
                    </w:rPr>
                  </w:pPr>
                  <w:r>
                    <w:rPr>
                      <w:rFonts w:ascii="Times New Roman" w:hAnsi="Times New Roman" w:cs="Times New Roman"/>
                      <w:szCs w:val="21"/>
                    </w:rPr>
                    <w:t>10% 蒸余残炭（质量分数）/%</w:t>
                  </w:r>
                </w:p>
              </w:tc>
              <w:tc>
                <w:tcPr>
                  <w:tcW w:w="1868" w:type="dxa"/>
                </w:tcPr>
                <w:p w14:paraId="4B8ABFAB">
                  <w:pPr>
                    <w:rPr>
                      <w:rFonts w:ascii="Times New Roman" w:hAnsi="Times New Roman" w:cs="Times New Roman"/>
                      <w:szCs w:val="21"/>
                    </w:rPr>
                  </w:pPr>
                  <w:r>
                    <w:rPr>
                      <w:rFonts w:ascii="Times New Roman" w:hAnsi="Times New Roman" w:cs="Times New Roman"/>
                      <w:szCs w:val="21"/>
                    </w:rPr>
                    <w:t>不大于 0.3</w:t>
                  </w:r>
                </w:p>
              </w:tc>
            </w:tr>
            <w:tr w14:paraId="2224A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6BE13462">
                  <w:pPr>
                    <w:rPr>
                      <w:rFonts w:ascii="Times New Roman" w:hAnsi="Times New Roman" w:cs="Times New Roman"/>
                      <w:szCs w:val="21"/>
                    </w:rPr>
                  </w:pPr>
                  <w:r>
                    <w:rPr>
                      <w:rFonts w:ascii="Times New Roman" w:hAnsi="Times New Roman" w:cs="Times New Roman"/>
                      <w:szCs w:val="21"/>
                    </w:rPr>
                    <w:t>5</w:t>
                  </w:r>
                </w:p>
              </w:tc>
              <w:tc>
                <w:tcPr>
                  <w:tcW w:w="5891" w:type="dxa"/>
                </w:tcPr>
                <w:p w14:paraId="39A39574">
                  <w:pPr>
                    <w:rPr>
                      <w:rFonts w:ascii="Times New Roman" w:hAnsi="Times New Roman" w:cs="Times New Roman"/>
                      <w:szCs w:val="21"/>
                    </w:rPr>
                  </w:pPr>
                  <w:r>
                    <w:rPr>
                      <w:rFonts w:ascii="Times New Roman" w:hAnsi="Times New Roman" w:cs="Times New Roman"/>
                      <w:szCs w:val="21"/>
                    </w:rPr>
                    <w:t>灰分（质量分数）/%</w:t>
                  </w:r>
                </w:p>
              </w:tc>
              <w:tc>
                <w:tcPr>
                  <w:tcW w:w="1868" w:type="dxa"/>
                </w:tcPr>
                <w:p w14:paraId="53A954BD">
                  <w:pPr>
                    <w:rPr>
                      <w:rFonts w:ascii="Times New Roman" w:hAnsi="Times New Roman" w:cs="Times New Roman"/>
                      <w:szCs w:val="21"/>
                    </w:rPr>
                  </w:pPr>
                  <w:r>
                    <w:rPr>
                      <w:rFonts w:ascii="Times New Roman" w:hAnsi="Times New Roman" w:cs="Times New Roman"/>
                      <w:szCs w:val="21"/>
                    </w:rPr>
                    <w:t>不大于 0.01</w:t>
                  </w:r>
                </w:p>
              </w:tc>
            </w:tr>
            <w:tr w14:paraId="031E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73775CF9">
                  <w:pPr>
                    <w:rPr>
                      <w:rFonts w:ascii="Times New Roman" w:hAnsi="Times New Roman" w:cs="Times New Roman"/>
                      <w:szCs w:val="21"/>
                    </w:rPr>
                  </w:pPr>
                  <w:r>
                    <w:rPr>
                      <w:rFonts w:ascii="Times New Roman" w:hAnsi="Times New Roman" w:cs="Times New Roman"/>
                      <w:szCs w:val="21"/>
                    </w:rPr>
                    <w:t>6</w:t>
                  </w:r>
                </w:p>
              </w:tc>
              <w:tc>
                <w:tcPr>
                  <w:tcW w:w="5891" w:type="dxa"/>
                </w:tcPr>
                <w:p w14:paraId="4536AE33">
                  <w:pPr>
                    <w:rPr>
                      <w:rFonts w:ascii="Times New Roman" w:hAnsi="Times New Roman" w:cs="Times New Roman"/>
                      <w:szCs w:val="21"/>
                    </w:rPr>
                  </w:pPr>
                  <w:r>
                    <w:rPr>
                      <w:rFonts w:ascii="Times New Roman" w:hAnsi="Times New Roman" w:cs="Times New Roman"/>
                      <w:szCs w:val="21"/>
                    </w:rPr>
                    <w:t>铜片腐蚀（50℃，3h 级）</w:t>
                  </w:r>
                </w:p>
              </w:tc>
              <w:tc>
                <w:tcPr>
                  <w:tcW w:w="1868" w:type="dxa"/>
                </w:tcPr>
                <w:p w14:paraId="5DC5AA2D">
                  <w:pPr>
                    <w:rPr>
                      <w:rFonts w:ascii="Times New Roman" w:hAnsi="Times New Roman" w:cs="Times New Roman"/>
                      <w:szCs w:val="21"/>
                    </w:rPr>
                  </w:pPr>
                  <w:r>
                    <w:rPr>
                      <w:rFonts w:ascii="Times New Roman" w:hAnsi="Times New Roman" w:cs="Times New Roman"/>
                      <w:szCs w:val="21"/>
                    </w:rPr>
                    <w:t>不大于 1</w:t>
                  </w:r>
                </w:p>
              </w:tc>
            </w:tr>
            <w:tr w14:paraId="60DB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3EF24F8C">
                  <w:pPr>
                    <w:rPr>
                      <w:rFonts w:ascii="Times New Roman" w:hAnsi="Times New Roman" w:cs="Times New Roman"/>
                      <w:szCs w:val="21"/>
                    </w:rPr>
                  </w:pPr>
                  <w:r>
                    <w:rPr>
                      <w:rFonts w:ascii="Times New Roman" w:hAnsi="Times New Roman" w:cs="Times New Roman"/>
                      <w:szCs w:val="21"/>
                    </w:rPr>
                    <w:t>7</w:t>
                  </w:r>
                </w:p>
              </w:tc>
              <w:tc>
                <w:tcPr>
                  <w:tcW w:w="5891" w:type="dxa"/>
                </w:tcPr>
                <w:p w14:paraId="70E295DC">
                  <w:pPr>
                    <w:rPr>
                      <w:rFonts w:ascii="Times New Roman" w:hAnsi="Times New Roman" w:cs="Times New Roman"/>
                      <w:szCs w:val="21"/>
                    </w:rPr>
                  </w:pPr>
                  <w:r>
                    <w:rPr>
                      <w:rFonts w:ascii="Times New Roman" w:hAnsi="Times New Roman" w:cs="Times New Roman"/>
                      <w:szCs w:val="21"/>
                    </w:rPr>
                    <w:t>水含量（体积分数）/%</w:t>
                  </w:r>
                </w:p>
              </w:tc>
              <w:tc>
                <w:tcPr>
                  <w:tcW w:w="1868" w:type="dxa"/>
                </w:tcPr>
                <w:p w14:paraId="3F9C0E43">
                  <w:pPr>
                    <w:rPr>
                      <w:rFonts w:ascii="Times New Roman" w:hAnsi="Times New Roman" w:cs="Times New Roman"/>
                      <w:szCs w:val="21"/>
                    </w:rPr>
                  </w:pPr>
                  <w:r>
                    <w:rPr>
                      <w:rFonts w:ascii="Times New Roman" w:hAnsi="Times New Roman" w:cs="Times New Roman"/>
                      <w:szCs w:val="21"/>
                    </w:rPr>
                    <w:t>不大于 痕迹</w:t>
                  </w:r>
                </w:p>
              </w:tc>
            </w:tr>
            <w:tr w14:paraId="0C6D9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6EF4AC97">
                  <w:pPr>
                    <w:rPr>
                      <w:rFonts w:ascii="Times New Roman" w:hAnsi="Times New Roman" w:cs="Times New Roman"/>
                      <w:szCs w:val="21"/>
                    </w:rPr>
                  </w:pPr>
                  <w:r>
                    <w:rPr>
                      <w:rFonts w:ascii="Times New Roman" w:hAnsi="Times New Roman" w:cs="Times New Roman"/>
                      <w:szCs w:val="21"/>
                    </w:rPr>
                    <w:t>8</w:t>
                  </w:r>
                </w:p>
              </w:tc>
              <w:tc>
                <w:tcPr>
                  <w:tcW w:w="5891" w:type="dxa"/>
                </w:tcPr>
                <w:p w14:paraId="3B8E1F9B">
                  <w:pPr>
                    <w:rPr>
                      <w:rFonts w:ascii="Times New Roman" w:hAnsi="Times New Roman" w:cs="Times New Roman"/>
                      <w:szCs w:val="21"/>
                    </w:rPr>
                  </w:pPr>
                  <w:r>
                    <w:rPr>
                      <w:rFonts w:ascii="Times New Roman" w:hAnsi="Times New Roman" w:cs="Times New Roman"/>
                      <w:szCs w:val="21"/>
                    </w:rPr>
                    <w:t>润滑性</w:t>
                  </w:r>
                </w:p>
                <w:p w14:paraId="565F55CC">
                  <w:pPr>
                    <w:rPr>
                      <w:rFonts w:ascii="Times New Roman" w:hAnsi="Times New Roman" w:cs="Times New Roman"/>
                      <w:szCs w:val="21"/>
                    </w:rPr>
                  </w:pPr>
                  <w:r>
                    <w:rPr>
                      <w:rFonts w:ascii="Times New Roman" w:hAnsi="Times New Roman" w:cs="Times New Roman"/>
                      <w:szCs w:val="21"/>
                    </w:rPr>
                    <w:t>校正磨痕直径（60℃）/μm</w:t>
                  </w:r>
                </w:p>
              </w:tc>
              <w:tc>
                <w:tcPr>
                  <w:tcW w:w="1868" w:type="dxa"/>
                </w:tcPr>
                <w:p w14:paraId="226B60CE">
                  <w:pPr>
                    <w:rPr>
                      <w:rFonts w:ascii="Times New Roman" w:hAnsi="Times New Roman" w:cs="Times New Roman"/>
                      <w:szCs w:val="21"/>
                    </w:rPr>
                  </w:pPr>
                  <w:r>
                    <w:rPr>
                      <w:rFonts w:ascii="Times New Roman" w:hAnsi="Times New Roman" w:cs="Times New Roman"/>
                      <w:szCs w:val="21"/>
                    </w:rPr>
                    <w:t>不大于 460</w:t>
                  </w:r>
                </w:p>
              </w:tc>
            </w:tr>
            <w:tr w14:paraId="7939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6313FBB1">
                  <w:pPr>
                    <w:rPr>
                      <w:rFonts w:ascii="Times New Roman" w:hAnsi="Times New Roman" w:cs="Times New Roman"/>
                      <w:szCs w:val="21"/>
                    </w:rPr>
                  </w:pPr>
                  <w:r>
                    <w:rPr>
                      <w:rFonts w:ascii="Times New Roman" w:hAnsi="Times New Roman" w:cs="Times New Roman"/>
                      <w:szCs w:val="21"/>
                    </w:rPr>
                    <w:t>9</w:t>
                  </w:r>
                </w:p>
              </w:tc>
              <w:tc>
                <w:tcPr>
                  <w:tcW w:w="5891" w:type="dxa"/>
                </w:tcPr>
                <w:p w14:paraId="10AB9A15">
                  <w:pPr>
                    <w:rPr>
                      <w:rFonts w:ascii="Times New Roman" w:hAnsi="Times New Roman" w:cs="Times New Roman"/>
                      <w:szCs w:val="21"/>
                    </w:rPr>
                  </w:pPr>
                  <w:r>
                    <w:rPr>
                      <w:rFonts w:ascii="Times New Roman" w:hAnsi="Times New Roman" w:cs="Times New Roman"/>
                      <w:szCs w:val="21"/>
                    </w:rPr>
                    <w:t>多环芳烃含量（质量分数）/%</w:t>
                  </w:r>
                </w:p>
              </w:tc>
              <w:tc>
                <w:tcPr>
                  <w:tcW w:w="1868" w:type="dxa"/>
                </w:tcPr>
                <w:p w14:paraId="2242D6DF">
                  <w:pPr>
                    <w:rPr>
                      <w:rFonts w:ascii="Times New Roman" w:hAnsi="Times New Roman" w:cs="Times New Roman"/>
                      <w:szCs w:val="21"/>
                    </w:rPr>
                  </w:pPr>
                  <w:r>
                    <w:rPr>
                      <w:rFonts w:ascii="Times New Roman" w:hAnsi="Times New Roman" w:cs="Times New Roman"/>
                      <w:szCs w:val="21"/>
                    </w:rPr>
                    <w:t>不大于 7</w:t>
                  </w:r>
                </w:p>
              </w:tc>
            </w:tr>
            <w:tr w14:paraId="4CF7A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3D8CE4E8">
                  <w:pPr>
                    <w:rPr>
                      <w:rFonts w:ascii="Times New Roman" w:hAnsi="Times New Roman" w:cs="Times New Roman"/>
                      <w:szCs w:val="21"/>
                    </w:rPr>
                  </w:pPr>
                  <w:r>
                    <w:rPr>
                      <w:rFonts w:ascii="Times New Roman" w:hAnsi="Times New Roman" w:cs="Times New Roman"/>
                      <w:szCs w:val="21"/>
                    </w:rPr>
                    <w:t>10</w:t>
                  </w:r>
                </w:p>
              </w:tc>
              <w:tc>
                <w:tcPr>
                  <w:tcW w:w="5891" w:type="dxa"/>
                </w:tcPr>
                <w:p w14:paraId="61367B1C">
                  <w:pPr>
                    <w:rPr>
                      <w:rFonts w:ascii="Times New Roman" w:hAnsi="Times New Roman" w:cs="Times New Roman"/>
                      <w:szCs w:val="21"/>
                    </w:rPr>
                  </w:pPr>
                  <w:r>
                    <w:rPr>
                      <w:rFonts w:ascii="Times New Roman" w:hAnsi="Times New Roman" w:cs="Times New Roman"/>
                      <w:szCs w:val="21"/>
                    </w:rPr>
                    <w:t>总污染物含量 /（mg/kg）</w:t>
                  </w:r>
                </w:p>
              </w:tc>
              <w:tc>
                <w:tcPr>
                  <w:tcW w:w="1868" w:type="dxa"/>
                </w:tcPr>
                <w:p w14:paraId="021DD16B">
                  <w:pPr>
                    <w:rPr>
                      <w:rFonts w:ascii="Times New Roman" w:hAnsi="Times New Roman" w:cs="Times New Roman"/>
                      <w:szCs w:val="21"/>
                    </w:rPr>
                  </w:pPr>
                  <w:r>
                    <w:rPr>
                      <w:rFonts w:ascii="Times New Roman" w:hAnsi="Times New Roman" w:cs="Times New Roman"/>
                      <w:szCs w:val="21"/>
                    </w:rPr>
                    <w:t>不大于 24</w:t>
                  </w:r>
                </w:p>
              </w:tc>
            </w:tr>
            <w:tr w14:paraId="55236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54B8468A">
                  <w:pPr>
                    <w:rPr>
                      <w:rFonts w:ascii="Times New Roman" w:hAnsi="Times New Roman" w:cs="Times New Roman"/>
                      <w:szCs w:val="21"/>
                    </w:rPr>
                  </w:pPr>
                  <w:r>
                    <w:rPr>
                      <w:rFonts w:ascii="Times New Roman" w:hAnsi="Times New Roman" w:cs="Times New Roman"/>
                      <w:szCs w:val="21"/>
                    </w:rPr>
                    <w:t>11</w:t>
                  </w:r>
                </w:p>
              </w:tc>
              <w:tc>
                <w:tcPr>
                  <w:tcW w:w="5891" w:type="dxa"/>
                </w:tcPr>
                <w:p w14:paraId="3C76FE4A">
                  <w:pPr>
                    <w:rPr>
                      <w:rFonts w:ascii="Times New Roman" w:hAnsi="Times New Roman" w:cs="Times New Roman"/>
                      <w:szCs w:val="21"/>
                    </w:rPr>
                  </w:pPr>
                  <w:r>
                    <w:rPr>
                      <w:rFonts w:ascii="Times New Roman" w:hAnsi="Times New Roman" w:cs="Times New Roman"/>
                      <w:szCs w:val="21"/>
                    </w:rPr>
                    <w:t>运动黏度（20℃）/（mm²/s）</w:t>
                  </w:r>
                </w:p>
              </w:tc>
              <w:tc>
                <w:tcPr>
                  <w:tcW w:w="1868" w:type="dxa"/>
                </w:tcPr>
                <w:p w14:paraId="3C0634C6">
                  <w:pPr>
                    <w:rPr>
                      <w:rFonts w:ascii="Times New Roman" w:hAnsi="Times New Roman" w:cs="Times New Roman"/>
                      <w:szCs w:val="21"/>
                    </w:rPr>
                  </w:pPr>
                  <w:r>
                    <w:rPr>
                      <w:rFonts w:ascii="Times New Roman" w:hAnsi="Times New Roman" w:cs="Times New Roman"/>
                      <w:szCs w:val="21"/>
                    </w:rPr>
                    <w:t>3.0-8.0</w:t>
                  </w:r>
                </w:p>
              </w:tc>
            </w:tr>
            <w:tr w14:paraId="4FA7A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4AFC57F8">
                  <w:pPr>
                    <w:rPr>
                      <w:rFonts w:ascii="Times New Roman" w:hAnsi="Times New Roman" w:cs="Times New Roman"/>
                      <w:szCs w:val="21"/>
                    </w:rPr>
                  </w:pPr>
                  <w:r>
                    <w:rPr>
                      <w:rFonts w:ascii="Times New Roman" w:hAnsi="Times New Roman" w:cs="Times New Roman"/>
                      <w:szCs w:val="21"/>
                    </w:rPr>
                    <w:t>12</w:t>
                  </w:r>
                </w:p>
              </w:tc>
              <w:tc>
                <w:tcPr>
                  <w:tcW w:w="5891" w:type="dxa"/>
                </w:tcPr>
                <w:p w14:paraId="4DC7AFF1">
                  <w:pPr>
                    <w:rPr>
                      <w:rFonts w:ascii="Times New Roman" w:hAnsi="Times New Roman" w:cs="Times New Roman"/>
                      <w:szCs w:val="21"/>
                    </w:rPr>
                  </w:pPr>
                  <w:r>
                    <w:rPr>
                      <w:rFonts w:ascii="Times New Roman" w:hAnsi="Times New Roman" w:cs="Times New Roman"/>
                      <w:szCs w:val="21"/>
                    </w:rPr>
                    <w:t>凝点 /℃</w:t>
                  </w:r>
                </w:p>
              </w:tc>
              <w:tc>
                <w:tcPr>
                  <w:tcW w:w="1868" w:type="dxa"/>
                </w:tcPr>
                <w:p w14:paraId="00B58B25">
                  <w:pPr>
                    <w:rPr>
                      <w:rFonts w:ascii="Times New Roman" w:hAnsi="Times New Roman" w:cs="Times New Roman"/>
                      <w:szCs w:val="21"/>
                    </w:rPr>
                  </w:pPr>
                  <w:r>
                    <w:rPr>
                      <w:rFonts w:ascii="Times New Roman" w:hAnsi="Times New Roman" w:cs="Times New Roman"/>
                      <w:szCs w:val="21"/>
                    </w:rPr>
                    <w:t>不高于 0</w:t>
                  </w:r>
                </w:p>
              </w:tc>
            </w:tr>
            <w:tr w14:paraId="071D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6EE62C4B">
                  <w:pPr>
                    <w:rPr>
                      <w:rFonts w:ascii="Times New Roman" w:hAnsi="Times New Roman" w:cs="Times New Roman"/>
                      <w:szCs w:val="21"/>
                    </w:rPr>
                  </w:pPr>
                  <w:r>
                    <w:rPr>
                      <w:rFonts w:ascii="Times New Roman" w:hAnsi="Times New Roman" w:cs="Times New Roman"/>
                      <w:szCs w:val="21"/>
                    </w:rPr>
                    <w:t>13</w:t>
                  </w:r>
                </w:p>
              </w:tc>
              <w:tc>
                <w:tcPr>
                  <w:tcW w:w="5891" w:type="dxa"/>
                </w:tcPr>
                <w:p w14:paraId="0F3E3D0C">
                  <w:pPr>
                    <w:rPr>
                      <w:rFonts w:ascii="Times New Roman" w:hAnsi="Times New Roman" w:cs="Times New Roman"/>
                      <w:szCs w:val="21"/>
                    </w:rPr>
                  </w:pPr>
                  <w:r>
                    <w:rPr>
                      <w:rFonts w:ascii="Times New Roman" w:hAnsi="Times New Roman" w:cs="Times New Roman"/>
                      <w:szCs w:val="21"/>
                    </w:rPr>
                    <w:t>冷滤点 /℃</w:t>
                  </w:r>
                </w:p>
              </w:tc>
              <w:tc>
                <w:tcPr>
                  <w:tcW w:w="1868" w:type="dxa"/>
                </w:tcPr>
                <w:p w14:paraId="61B8BC51">
                  <w:pPr>
                    <w:rPr>
                      <w:rFonts w:ascii="Times New Roman" w:hAnsi="Times New Roman" w:cs="Times New Roman"/>
                      <w:szCs w:val="21"/>
                    </w:rPr>
                  </w:pPr>
                  <w:r>
                    <w:rPr>
                      <w:rFonts w:ascii="Times New Roman" w:hAnsi="Times New Roman" w:cs="Times New Roman"/>
                      <w:szCs w:val="21"/>
                    </w:rPr>
                    <w:t>不高于 4</w:t>
                  </w:r>
                </w:p>
              </w:tc>
            </w:tr>
            <w:tr w14:paraId="109D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09A4A679">
                  <w:pPr>
                    <w:rPr>
                      <w:rFonts w:ascii="Times New Roman" w:hAnsi="Times New Roman" w:cs="Times New Roman"/>
                      <w:szCs w:val="21"/>
                    </w:rPr>
                  </w:pPr>
                  <w:r>
                    <w:rPr>
                      <w:rFonts w:ascii="Times New Roman" w:hAnsi="Times New Roman" w:cs="Times New Roman"/>
                      <w:szCs w:val="21"/>
                    </w:rPr>
                    <w:t>14</w:t>
                  </w:r>
                </w:p>
              </w:tc>
              <w:tc>
                <w:tcPr>
                  <w:tcW w:w="5891" w:type="dxa"/>
                </w:tcPr>
                <w:p w14:paraId="0C932C81">
                  <w:pPr>
                    <w:rPr>
                      <w:rFonts w:ascii="Times New Roman" w:hAnsi="Times New Roman" w:cs="Times New Roman"/>
                      <w:szCs w:val="21"/>
                    </w:rPr>
                  </w:pPr>
                  <w:r>
                    <w:rPr>
                      <w:rFonts w:ascii="Times New Roman" w:hAnsi="Times New Roman" w:cs="Times New Roman"/>
                      <w:szCs w:val="21"/>
                    </w:rPr>
                    <w:t>闪点（闭口）/℃</w:t>
                  </w:r>
                </w:p>
              </w:tc>
              <w:tc>
                <w:tcPr>
                  <w:tcW w:w="1868" w:type="dxa"/>
                </w:tcPr>
                <w:p w14:paraId="051EFB5A">
                  <w:pPr>
                    <w:rPr>
                      <w:rFonts w:ascii="Times New Roman" w:hAnsi="Times New Roman" w:cs="Times New Roman"/>
                      <w:szCs w:val="21"/>
                    </w:rPr>
                  </w:pPr>
                  <w:r>
                    <w:rPr>
                      <w:rFonts w:ascii="Times New Roman" w:hAnsi="Times New Roman" w:cs="Times New Roman"/>
                      <w:szCs w:val="21"/>
                    </w:rPr>
                    <w:t>不低于 60</w:t>
                  </w:r>
                </w:p>
              </w:tc>
            </w:tr>
            <w:tr w14:paraId="7C758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004A8D4F">
                  <w:pPr>
                    <w:rPr>
                      <w:rFonts w:ascii="Times New Roman" w:hAnsi="Times New Roman" w:cs="Times New Roman"/>
                      <w:szCs w:val="21"/>
                    </w:rPr>
                  </w:pPr>
                  <w:r>
                    <w:rPr>
                      <w:rFonts w:ascii="Times New Roman" w:hAnsi="Times New Roman" w:cs="Times New Roman"/>
                      <w:szCs w:val="21"/>
                    </w:rPr>
                    <w:t>15</w:t>
                  </w:r>
                </w:p>
              </w:tc>
              <w:tc>
                <w:tcPr>
                  <w:tcW w:w="5891" w:type="dxa"/>
                </w:tcPr>
                <w:p w14:paraId="471BB0F8">
                  <w:pPr>
                    <w:rPr>
                      <w:rFonts w:ascii="Times New Roman" w:hAnsi="Times New Roman" w:cs="Times New Roman"/>
                      <w:szCs w:val="21"/>
                    </w:rPr>
                  </w:pPr>
                  <w:r>
                    <w:rPr>
                      <w:rFonts w:ascii="Times New Roman" w:hAnsi="Times New Roman" w:cs="Times New Roman"/>
                      <w:szCs w:val="21"/>
                    </w:rPr>
                    <w:t>十六烷值</w:t>
                  </w:r>
                </w:p>
              </w:tc>
              <w:tc>
                <w:tcPr>
                  <w:tcW w:w="1868" w:type="dxa"/>
                </w:tcPr>
                <w:p w14:paraId="0C60E673">
                  <w:pPr>
                    <w:rPr>
                      <w:rFonts w:ascii="Times New Roman" w:hAnsi="Times New Roman" w:cs="Times New Roman"/>
                      <w:szCs w:val="21"/>
                    </w:rPr>
                  </w:pPr>
                  <w:r>
                    <w:rPr>
                      <w:rFonts w:ascii="Times New Roman" w:hAnsi="Times New Roman" w:cs="Times New Roman"/>
                      <w:szCs w:val="21"/>
                    </w:rPr>
                    <w:t>不小于 51</w:t>
                  </w:r>
                </w:p>
              </w:tc>
            </w:tr>
            <w:tr w14:paraId="00B43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4501F960">
                  <w:pPr>
                    <w:rPr>
                      <w:rFonts w:ascii="Times New Roman" w:hAnsi="Times New Roman" w:cs="Times New Roman"/>
                      <w:szCs w:val="21"/>
                    </w:rPr>
                  </w:pPr>
                  <w:r>
                    <w:rPr>
                      <w:rFonts w:ascii="Times New Roman" w:hAnsi="Times New Roman" w:cs="Times New Roman"/>
                      <w:szCs w:val="21"/>
                    </w:rPr>
                    <w:t>16</w:t>
                  </w:r>
                </w:p>
              </w:tc>
              <w:tc>
                <w:tcPr>
                  <w:tcW w:w="5891" w:type="dxa"/>
                </w:tcPr>
                <w:p w14:paraId="77C8BDD9">
                  <w:pPr>
                    <w:rPr>
                      <w:rFonts w:ascii="Times New Roman" w:hAnsi="Times New Roman" w:cs="Times New Roman"/>
                      <w:szCs w:val="21"/>
                    </w:rPr>
                  </w:pPr>
                  <w:r>
                    <w:rPr>
                      <w:rFonts w:ascii="Times New Roman" w:hAnsi="Times New Roman" w:cs="Times New Roman"/>
                      <w:szCs w:val="21"/>
                    </w:rPr>
                    <w:t>十六烷指数</w:t>
                  </w:r>
                </w:p>
              </w:tc>
              <w:tc>
                <w:tcPr>
                  <w:tcW w:w="1868" w:type="dxa"/>
                </w:tcPr>
                <w:p w14:paraId="6B283633">
                  <w:pPr>
                    <w:rPr>
                      <w:rFonts w:ascii="Times New Roman" w:hAnsi="Times New Roman" w:cs="Times New Roman"/>
                      <w:szCs w:val="21"/>
                    </w:rPr>
                  </w:pPr>
                  <w:r>
                    <w:rPr>
                      <w:rFonts w:ascii="Times New Roman" w:hAnsi="Times New Roman" w:cs="Times New Roman"/>
                      <w:szCs w:val="21"/>
                    </w:rPr>
                    <w:t>不小于 46</w:t>
                  </w:r>
                </w:p>
              </w:tc>
            </w:tr>
            <w:tr w14:paraId="018F7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1C0F6D1A">
                  <w:pPr>
                    <w:rPr>
                      <w:rFonts w:ascii="Times New Roman" w:hAnsi="Times New Roman" w:cs="Times New Roman"/>
                      <w:szCs w:val="21"/>
                    </w:rPr>
                  </w:pPr>
                  <w:r>
                    <w:rPr>
                      <w:rFonts w:ascii="Times New Roman" w:hAnsi="Times New Roman" w:cs="Times New Roman"/>
                      <w:szCs w:val="21"/>
                    </w:rPr>
                    <w:t>17</w:t>
                  </w:r>
                </w:p>
              </w:tc>
              <w:tc>
                <w:tcPr>
                  <w:tcW w:w="5891" w:type="dxa"/>
                </w:tcPr>
                <w:p w14:paraId="16D92FC1">
                  <w:pPr>
                    <w:rPr>
                      <w:rFonts w:ascii="Times New Roman" w:hAnsi="Times New Roman" w:cs="Times New Roman"/>
                      <w:szCs w:val="21"/>
                    </w:rPr>
                  </w:pPr>
                  <w:r>
                    <w:rPr>
                      <w:rFonts w:ascii="Times New Roman" w:hAnsi="Times New Roman" w:cs="Times New Roman"/>
                      <w:szCs w:val="21"/>
                    </w:rPr>
                    <w:t>馏程：</w:t>
                  </w:r>
                </w:p>
                <w:p w14:paraId="2509ABA9">
                  <w:pPr>
                    <w:rPr>
                      <w:rFonts w:ascii="Times New Roman" w:hAnsi="Times New Roman" w:cs="Times New Roman"/>
                      <w:szCs w:val="21"/>
                    </w:rPr>
                  </w:pPr>
                  <w:r>
                    <w:rPr>
                      <w:rFonts w:ascii="Times New Roman" w:hAnsi="Times New Roman" w:cs="Times New Roman"/>
                      <w:szCs w:val="21"/>
                    </w:rPr>
                    <w:t>50% 回收温度 /℃</w:t>
                  </w:r>
                </w:p>
                <w:p w14:paraId="7F0B387D">
                  <w:pPr>
                    <w:rPr>
                      <w:rFonts w:ascii="Times New Roman" w:hAnsi="Times New Roman" w:cs="Times New Roman"/>
                      <w:szCs w:val="21"/>
                    </w:rPr>
                  </w:pPr>
                  <w:r>
                    <w:rPr>
                      <w:rFonts w:ascii="Times New Roman" w:hAnsi="Times New Roman" w:cs="Times New Roman"/>
                      <w:szCs w:val="21"/>
                    </w:rPr>
                    <w:t>90% 回收温度 /℃</w:t>
                  </w:r>
                </w:p>
                <w:p w14:paraId="6C82FD8B">
                  <w:pPr>
                    <w:rPr>
                      <w:rFonts w:ascii="Times New Roman" w:hAnsi="Times New Roman" w:cs="Times New Roman"/>
                      <w:szCs w:val="21"/>
                    </w:rPr>
                  </w:pPr>
                  <w:r>
                    <w:rPr>
                      <w:rFonts w:ascii="Times New Roman" w:hAnsi="Times New Roman" w:cs="Times New Roman"/>
                      <w:szCs w:val="21"/>
                    </w:rPr>
                    <w:t>95% 回收温度 /℃</w:t>
                  </w:r>
                </w:p>
              </w:tc>
              <w:tc>
                <w:tcPr>
                  <w:tcW w:w="1868" w:type="dxa"/>
                </w:tcPr>
                <w:p w14:paraId="4B6EEC17">
                  <w:pPr>
                    <w:rPr>
                      <w:rFonts w:ascii="Times New Roman" w:hAnsi="Times New Roman" w:cs="Times New Roman"/>
                      <w:szCs w:val="21"/>
                    </w:rPr>
                  </w:pPr>
                </w:p>
                <w:p w14:paraId="7845B5E7">
                  <w:pPr>
                    <w:rPr>
                      <w:rFonts w:ascii="Times New Roman" w:hAnsi="Times New Roman" w:cs="Times New Roman"/>
                      <w:szCs w:val="21"/>
                    </w:rPr>
                  </w:pPr>
                  <w:r>
                    <w:rPr>
                      <w:rFonts w:ascii="Times New Roman" w:hAnsi="Times New Roman" w:cs="Times New Roman"/>
                      <w:szCs w:val="21"/>
                    </w:rPr>
                    <w:t>不高于 300</w:t>
                  </w:r>
                </w:p>
                <w:p w14:paraId="25605B3A">
                  <w:pPr>
                    <w:rPr>
                      <w:rFonts w:ascii="Times New Roman" w:hAnsi="Times New Roman" w:cs="Times New Roman"/>
                      <w:szCs w:val="21"/>
                    </w:rPr>
                  </w:pPr>
                  <w:r>
                    <w:rPr>
                      <w:rFonts w:ascii="Times New Roman" w:hAnsi="Times New Roman" w:cs="Times New Roman"/>
                      <w:szCs w:val="21"/>
                    </w:rPr>
                    <w:t>不高于 355</w:t>
                  </w:r>
                </w:p>
                <w:p w14:paraId="7C9880BB">
                  <w:pPr>
                    <w:rPr>
                      <w:rFonts w:ascii="Times New Roman" w:hAnsi="Times New Roman" w:cs="Times New Roman"/>
                      <w:szCs w:val="21"/>
                    </w:rPr>
                  </w:pPr>
                  <w:r>
                    <w:rPr>
                      <w:rFonts w:ascii="Times New Roman" w:hAnsi="Times New Roman" w:cs="Times New Roman"/>
                      <w:szCs w:val="21"/>
                    </w:rPr>
                    <w:t>不高于 365</w:t>
                  </w:r>
                </w:p>
              </w:tc>
            </w:tr>
            <w:tr w14:paraId="0F23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78B26EB3">
                  <w:pPr>
                    <w:rPr>
                      <w:rFonts w:ascii="Times New Roman" w:hAnsi="Times New Roman" w:cs="Times New Roman"/>
                      <w:szCs w:val="21"/>
                    </w:rPr>
                  </w:pPr>
                  <w:r>
                    <w:rPr>
                      <w:rFonts w:ascii="Times New Roman" w:hAnsi="Times New Roman" w:cs="Times New Roman"/>
                      <w:szCs w:val="21"/>
                    </w:rPr>
                    <w:t>18</w:t>
                  </w:r>
                </w:p>
              </w:tc>
              <w:tc>
                <w:tcPr>
                  <w:tcW w:w="5891" w:type="dxa"/>
                </w:tcPr>
                <w:p w14:paraId="704DC0C3">
                  <w:pPr>
                    <w:rPr>
                      <w:rFonts w:ascii="Times New Roman" w:hAnsi="Times New Roman" w:cs="Times New Roman"/>
                      <w:szCs w:val="21"/>
                    </w:rPr>
                  </w:pPr>
                  <w:r>
                    <w:rPr>
                      <w:rFonts w:ascii="Times New Roman" w:hAnsi="Times New Roman" w:cs="Times New Roman"/>
                      <w:szCs w:val="21"/>
                    </w:rPr>
                    <w:t>密度（20℃）/（kg/m³）</w:t>
                  </w:r>
                </w:p>
              </w:tc>
              <w:tc>
                <w:tcPr>
                  <w:tcW w:w="1868" w:type="dxa"/>
                </w:tcPr>
                <w:p w14:paraId="71E8E841">
                  <w:pPr>
                    <w:rPr>
                      <w:rFonts w:ascii="Times New Roman" w:hAnsi="Times New Roman" w:cs="Times New Roman"/>
                      <w:szCs w:val="21"/>
                    </w:rPr>
                  </w:pPr>
                  <w:r>
                    <w:rPr>
                      <w:rFonts w:ascii="Times New Roman" w:hAnsi="Times New Roman" w:cs="Times New Roman"/>
                      <w:szCs w:val="21"/>
                    </w:rPr>
                    <w:t>850</w:t>
                  </w:r>
                </w:p>
              </w:tc>
            </w:tr>
            <w:tr w14:paraId="29DB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14:paraId="4E386DF2">
                  <w:pPr>
                    <w:rPr>
                      <w:rFonts w:ascii="Times New Roman" w:hAnsi="Times New Roman" w:cs="Times New Roman"/>
                      <w:szCs w:val="21"/>
                    </w:rPr>
                  </w:pPr>
                  <w:r>
                    <w:rPr>
                      <w:rFonts w:ascii="Times New Roman" w:hAnsi="Times New Roman" w:cs="Times New Roman"/>
                      <w:szCs w:val="21"/>
                    </w:rPr>
                    <w:t>19</w:t>
                  </w:r>
                </w:p>
              </w:tc>
              <w:tc>
                <w:tcPr>
                  <w:tcW w:w="5891" w:type="dxa"/>
                </w:tcPr>
                <w:p w14:paraId="65DECD28">
                  <w:pPr>
                    <w:rPr>
                      <w:rFonts w:ascii="Times New Roman" w:hAnsi="Times New Roman" w:cs="Times New Roman"/>
                      <w:szCs w:val="21"/>
                    </w:rPr>
                  </w:pPr>
                  <w:r>
                    <w:rPr>
                      <w:rFonts w:ascii="Times New Roman" w:hAnsi="Times New Roman" w:cs="Times New Roman"/>
                      <w:szCs w:val="21"/>
                    </w:rPr>
                    <w:t>脂肪酸甲酯（体积分数）/%</w:t>
                  </w:r>
                </w:p>
              </w:tc>
              <w:tc>
                <w:tcPr>
                  <w:tcW w:w="1868" w:type="dxa"/>
                </w:tcPr>
                <w:p w14:paraId="2F71551E">
                  <w:pPr>
                    <w:rPr>
                      <w:rFonts w:ascii="Times New Roman" w:hAnsi="Times New Roman" w:cs="Times New Roman"/>
                      <w:szCs w:val="21"/>
                    </w:rPr>
                  </w:pPr>
                  <w:r>
                    <w:rPr>
                      <w:rFonts w:ascii="Times New Roman" w:hAnsi="Times New Roman" w:cs="Times New Roman"/>
                      <w:szCs w:val="21"/>
                    </w:rPr>
                    <w:t>不大于 40</w:t>
                  </w:r>
                </w:p>
              </w:tc>
            </w:tr>
          </w:tbl>
          <w:p w14:paraId="692E6220">
            <w:pPr>
              <w:adjustRightInd w:val="0"/>
              <w:snapToGrid w:val="0"/>
              <w:spacing w:line="360" w:lineRule="auto"/>
              <w:ind w:firstLine="482" w:firstLineChars="200"/>
              <w:jc w:val="center"/>
              <w:rPr>
                <w:rFonts w:ascii="Times New Roman" w:hAnsi="Times New Roman" w:cs="Times New Roman"/>
                <w:b/>
                <w:color w:val="000000"/>
                <w:szCs w:val="18"/>
              </w:rPr>
            </w:pPr>
          </w:p>
          <w:p w14:paraId="598241FF">
            <w:pPr>
              <w:adjustRightInd w:val="0"/>
              <w:snapToGrid w:val="0"/>
              <w:ind w:firstLine="442" w:firstLineChars="200"/>
              <w:jc w:val="center"/>
              <w:rPr>
                <w:rFonts w:ascii="Times New Roman" w:hAnsi="Times New Roman" w:cs="Times New Roman"/>
                <w:b/>
                <w:color w:val="000000"/>
                <w:szCs w:val="18"/>
              </w:rPr>
            </w:pPr>
            <w:r>
              <w:rPr>
                <w:rFonts w:ascii="Times New Roman" w:hAnsi="Times New Roman" w:cs="Times New Roman"/>
                <w:b/>
                <w:spacing w:val="-10"/>
                <w:szCs w:val="21"/>
              </w:rPr>
              <w:t>表2-9  异辛烷性质</w:t>
            </w:r>
          </w:p>
          <w:tbl>
            <w:tblPr>
              <w:tblStyle w:val="16"/>
              <w:tblW w:w="5000" w:type="pct"/>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5328"/>
              <w:gridCol w:w="1485"/>
            </w:tblGrid>
            <w:tr w14:paraId="646C9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6" w:type="dxa"/>
                </w:tcPr>
                <w:p w14:paraId="752AB497">
                  <w:pPr>
                    <w:rPr>
                      <w:rFonts w:ascii="Times New Roman" w:hAnsi="Times New Roman" w:cs="Times New Roman"/>
                      <w:b/>
                      <w:bCs/>
                      <w:szCs w:val="21"/>
                    </w:rPr>
                  </w:pPr>
                  <w:r>
                    <w:rPr>
                      <w:rFonts w:ascii="Times New Roman" w:hAnsi="Times New Roman" w:cs="Times New Roman"/>
                      <w:b/>
                      <w:bCs/>
                      <w:szCs w:val="21"/>
                    </w:rPr>
                    <w:t>序号</w:t>
                  </w:r>
                </w:p>
              </w:tc>
              <w:tc>
                <w:tcPr>
                  <w:tcW w:w="5814" w:type="dxa"/>
                </w:tcPr>
                <w:p w14:paraId="025F06B6">
                  <w:pPr>
                    <w:rPr>
                      <w:rFonts w:ascii="Times New Roman" w:hAnsi="Times New Roman" w:cs="Times New Roman"/>
                      <w:b/>
                      <w:bCs/>
                      <w:szCs w:val="21"/>
                    </w:rPr>
                  </w:pPr>
                  <w:r>
                    <w:rPr>
                      <w:rFonts w:ascii="Times New Roman" w:hAnsi="Times New Roman" w:cs="Times New Roman"/>
                      <w:b/>
                      <w:bCs/>
                      <w:szCs w:val="21"/>
                    </w:rPr>
                    <w:t>项目</w:t>
                  </w:r>
                </w:p>
              </w:tc>
              <w:tc>
                <w:tcPr>
                  <w:tcW w:w="1604" w:type="dxa"/>
                </w:tcPr>
                <w:p w14:paraId="12911F5B">
                  <w:pPr>
                    <w:rPr>
                      <w:rFonts w:ascii="Times New Roman" w:hAnsi="Times New Roman" w:cs="Times New Roman"/>
                      <w:b/>
                      <w:bCs/>
                      <w:szCs w:val="21"/>
                    </w:rPr>
                  </w:pPr>
                  <w:r>
                    <w:rPr>
                      <w:rFonts w:ascii="Times New Roman" w:hAnsi="Times New Roman" w:cs="Times New Roman"/>
                      <w:b/>
                      <w:bCs/>
                      <w:szCs w:val="21"/>
                    </w:rPr>
                    <w:t>数量</w:t>
                  </w:r>
                </w:p>
              </w:tc>
            </w:tr>
            <w:tr w14:paraId="00B4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6" w:type="dxa"/>
                </w:tcPr>
                <w:p w14:paraId="342E7240">
                  <w:pPr>
                    <w:rPr>
                      <w:rFonts w:ascii="Times New Roman" w:hAnsi="Times New Roman" w:cs="Times New Roman"/>
                      <w:szCs w:val="21"/>
                    </w:rPr>
                  </w:pPr>
                  <w:r>
                    <w:rPr>
                      <w:rFonts w:ascii="Times New Roman" w:hAnsi="Times New Roman" w:cs="Times New Roman"/>
                      <w:szCs w:val="21"/>
                    </w:rPr>
                    <w:t>1</w:t>
                  </w:r>
                </w:p>
              </w:tc>
              <w:tc>
                <w:tcPr>
                  <w:tcW w:w="5814" w:type="dxa"/>
                </w:tcPr>
                <w:p w14:paraId="74E1C38F">
                  <w:pPr>
                    <w:rPr>
                      <w:rFonts w:ascii="Times New Roman" w:hAnsi="Times New Roman" w:cs="Times New Roman"/>
                      <w:szCs w:val="21"/>
                    </w:rPr>
                  </w:pPr>
                  <w:r>
                    <w:rPr>
                      <w:rFonts w:ascii="Times New Roman" w:hAnsi="Times New Roman" w:cs="Times New Roman"/>
                      <w:szCs w:val="21"/>
                    </w:rPr>
                    <w:t>研究法辛烷值（RON）</w:t>
                  </w:r>
                </w:p>
              </w:tc>
              <w:tc>
                <w:tcPr>
                  <w:tcW w:w="1604" w:type="dxa"/>
                </w:tcPr>
                <w:p w14:paraId="14183BA3">
                  <w:pPr>
                    <w:rPr>
                      <w:rFonts w:ascii="Times New Roman" w:hAnsi="Times New Roman" w:cs="Times New Roman"/>
                      <w:szCs w:val="21"/>
                    </w:rPr>
                  </w:pPr>
                  <w:r>
                    <w:rPr>
                      <w:rFonts w:ascii="Times New Roman" w:hAnsi="Times New Roman" w:cs="Times New Roman"/>
                      <w:szCs w:val="21"/>
                    </w:rPr>
                    <w:t>96</w:t>
                  </w:r>
                </w:p>
              </w:tc>
            </w:tr>
            <w:tr w14:paraId="491C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6" w:type="dxa"/>
                </w:tcPr>
                <w:p w14:paraId="2E1B1B62">
                  <w:pPr>
                    <w:rPr>
                      <w:rFonts w:ascii="Times New Roman" w:hAnsi="Times New Roman" w:cs="Times New Roman"/>
                      <w:szCs w:val="21"/>
                    </w:rPr>
                  </w:pPr>
                  <w:r>
                    <w:rPr>
                      <w:rFonts w:ascii="Times New Roman" w:hAnsi="Times New Roman" w:cs="Times New Roman"/>
                      <w:szCs w:val="21"/>
                    </w:rPr>
                    <w:t>2</w:t>
                  </w:r>
                </w:p>
              </w:tc>
              <w:tc>
                <w:tcPr>
                  <w:tcW w:w="5814" w:type="dxa"/>
                </w:tcPr>
                <w:p w14:paraId="60F6439C">
                  <w:pPr>
                    <w:rPr>
                      <w:rFonts w:ascii="Times New Roman" w:hAnsi="Times New Roman" w:cs="Times New Roman"/>
                      <w:szCs w:val="21"/>
                    </w:rPr>
                  </w:pPr>
                  <w:r>
                    <w:rPr>
                      <w:rFonts w:ascii="Times New Roman" w:hAnsi="Times New Roman" w:cs="Times New Roman"/>
                      <w:szCs w:val="21"/>
                    </w:rPr>
                    <w:t>硫含量 /（mg/kg）</w:t>
                  </w:r>
                </w:p>
              </w:tc>
              <w:tc>
                <w:tcPr>
                  <w:tcW w:w="1604" w:type="dxa"/>
                </w:tcPr>
                <w:p w14:paraId="628CA82D">
                  <w:pPr>
                    <w:rPr>
                      <w:rFonts w:ascii="Times New Roman" w:hAnsi="Times New Roman" w:cs="Times New Roman"/>
                      <w:szCs w:val="21"/>
                    </w:rPr>
                  </w:pPr>
                  <w:r>
                    <w:rPr>
                      <w:rFonts w:ascii="Times New Roman" w:hAnsi="Times New Roman" w:cs="Times New Roman"/>
                      <w:szCs w:val="21"/>
                    </w:rPr>
                    <w:t>1</w:t>
                  </w:r>
                </w:p>
              </w:tc>
            </w:tr>
            <w:tr w14:paraId="07EA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6" w:type="dxa"/>
                </w:tcPr>
                <w:p w14:paraId="6B9033B8">
                  <w:pPr>
                    <w:rPr>
                      <w:rFonts w:ascii="Times New Roman" w:hAnsi="Times New Roman" w:cs="Times New Roman"/>
                      <w:szCs w:val="21"/>
                    </w:rPr>
                  </w:pPr>
                  <w:r>
                    <w:rPr>
                      <w:rFonts w:ascii="Times New Roman" w:hAnsi="Times New Roman" w:cs="Times New Roman"/>
                      <w:szCs w:val="21"/>
                    </w:rPr>
                    <w:t>3</w:t>
                  </w:r>
                </w:p>
              </w:tc>
              <w:tc>
                <w:tcPr>
                  <w:tcW w:w="5814" w:type="dxa"/>
                </w:tcPr>
                <w:p w14:paraId="161CFB8E">
                  <w:pPr>
                    <w:rPr>
                      <w:rFonts w:ascii="Times New Roman" w:hAnsi="Times New Roman" w:cs="Times New Roman"/>
                      <w:szCs w:val="21"/>
                    </w:rPr>
                  </w:pPr>
                  <w:r>
                    <w:rPr>
                      <w:rFonts w:ascii="Times New Roman" w:hAnsi="Times New Roman" w:cs="Times New Roman"/>
                      <w:szCs w:val="21"/>
                    </w:rPr>
                    <w:t>氯含量 /（mg/kg）</w:t>
                  </w:r>
                </w:p>
              </w:tc>
              <w:tc>
                <w:tcPr>
                  <w:tcW w:w="1604" w:type="dxa"/>
                </w:tcPr>
                <w:p w14:paraId="70EB24AA">
                  <w:pPr>
                    <w:rPr>
                      <w:rFonts w:ascii="Times New Roman" w:hAnsi="Times New Roman" w:cs="Times New Roman"/>
                      <w:szCs w:val="21"/>
                    </w:rPr>
                  </w:pPr>
                  <w:r>
                    <w:rPr>
                      <w:rFonts w:ascii="Times New Roman" w:hAnsi="Times New Roman" w:cs="Times New Roman"/>
                      <w:szCs w:val="21"/>
                    </w:rPr>
                    <w:t>0</w:t>
                  </w:r>
                </w:p>
              </w:tc>
            </w:tr>
            <w:tr w14:paraId="6AAB7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6" w:type="dxa"/>
                </w:tcPr>
                <w:p w14:paraId="4AA89B75">
                  <w:pPr>
                    <w:rPr>
                      <w:rFonts w:ascii="Times New Roman" w:hAnsi="Times New Roman" w:cs="Times New Roman"/>
                      <w:szCs w:val="21"/>
                    </w:rPr>
                  </w:pPr>
                  <w:r>
                    <w:rPr>
                      <w:rFonts w:ascii="Times New Roman" w:hAnsi="Times New Roman" w:cs="Times New Roman"/>
                      <w:szCs w:val="21"/>
                    </w:rPr>
                    <w:t>4</w:t>
                  </w:r>
                </w:p>
              </w:tc>
              <w:tc>
                <w:tcPr>
                  <w:tcW w:w="5814" w:type="dxa"/>
                </w:tcPr>
                <w:p w14:paraId="4160BF0E">
                  <w:pPr>
                    <w:rPr>
                      <w:rFonts w:ascii="Times New Roman" w:hAnsi="Times New Roman" w:cs="Times New Roman"/>
                      <w:szCs w:val="21"/>
                    </w:rPr>
                  </w:pPr>
                  <w:r>
                    <w:rPr>
                      <w:rFonts w:ascii="Times New Roman" w:hAnsi="Times New Roman" w:cs="Times New Roman"/>
                      <w:szCs w:val="21"/>
                    </w:rPr>
                    <w:t>密度 /（20℃）/（kg/m³）</w:t>
                  </w:r>
                </w:p>
              </w:tc>
              <w:tc>
                <w:tcPr>
                  <w:tcW w:w="1604" w:type="dxa"/>
                </w:tcPr>
                <w:p w14:paraId="378E56FA">
                  <w:pPr>
                    <w:rPr>
                      <w:rFonts w:ascii="Times New Roman" w:hAnsi="Times New Roman" w:cs="Times New Roman"/>
                      <w:szCs w:val="21"/>
                    </w:rPr>
                  </w:pPr>
                  <w:r>
                    <w:rPr>
                      <w:rFonts w:ascii="Times New Roman" w:hAnsi="Times New Roman" w:cs="Times New Roman"/>
                      <w:szCs w:val="21"/>
                    </w:rPr>
                    <w:t>690</w:t>
                  </w:r>
                </w:p>
              </w:tc>
            </w:tr>
            <w:tr w14:paraId="32A83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6" w:type="dxa"/>
                </w:tcPr>
                <w:p w14:paraId="4EB2C76D">
                  <w:pPr>
                    <w:rPr>
                      <w:rFonts w:ascii="Times New Roman" w:hAnsi="Times New Roman" w:cs="Times New Roman"/>
                      <w:szCs w:val="21"/>
                    </w:rPr>
                  </w:pPr>
                  <w:r>
                    <w:rPr>
                      <w:rFonts w:ascii="Times New Roman" w:hAnsi="Times New Roman" w:cs="Times New Roman"/>
                      <w:szCs w:val="21"/>
                    </w:rPr>
                    <w:t>5</w:t>
                  </w:r>
                </w:p>
              </w:tc>
              <w:tc>
                <w:tcPr>
                  <w:tcW w:w="5814" w:type="dxa"/>
                </w:tcPr>
                <w:p w14:paraId="3B997412">
                  <w:pPr>
                    <w:rPr>
                      <w:rFonts w:ascii="Times New Roman" w:hAnsi="Times New Roman" w:cs="Times New Roman"/>
                      <w:szCs w:val="21"/>
                    </w:rPr>
                  </w:pPr>
                  <w:r>
                    <w:rPr>
                      <w:rFonts w:ascii="Times New Roman" w:hAnsi="Times New Roman" w:cs="Times New Roman"/>
                      <w:szCs w:val="21"/>
                    </w:rPr>
                    <w:t>组分：</w:t>
                  </w:r>
                </w:p>
                <w:p w14:paraId="0906975B">
                  <w:pPr>
                    <w:rPr>
                      <w:rFonts w:ascii="Times New Roman" w:hAnsi="Times New Roman" w:cs="Times New Roman"/>
                      <w:szCs w:val="21"/>
                    </w:rPr>
                  </w:pPr>
                  <w:r>
                    <w:rPr>
                      <w:rFonts w:ascii="Times New Roman" w:hAnsi="Times New Roman" w:cs="Times New Roman"/>
                      <w:szCs w:val="21"/>
                    </w:rPr>
                    <w:t>2，2，4 - 三甲基戊烷（m/m）</w:t>
                  </w:r>
                </w:p>
                <w:p w14:paraId="5CE9361B">
                  <w:pPr>
                    <w:rPr>
                      <w:rFonts w:ascii="Times New Roman" w:hAnsi="Times New Roman" w:cs="Times New Roman"/>
                      <w:szCs w:val="21"/>
                    </w:rPr>
                  </w:pPr>
                  <w:r>
                    <w:rPr>
                      <w:rFonts w:ascii="Times New Roman" w:hAnsi="Times New Roman" w:cs="Times New Roman"/>
                      <w:szCs w:val="21"/>
                    </w:rPr>
                    <w:t>碳五（m/m）</w:t>
                  </w:r>
                </w:p>
                <w:p w14:paraId="79CD7E8D">
                  <w:pPr>
                    <w:rPr>
                      <w:rFonts w:ascii="Times New Roman" w:hAnsi="Times New Roman" w:cs="Times New Roman"/>
                      <w:szCs w:val="21"/>
                    </w:rPr>
                  </w:pPr>
                  <w:r>
                    <w:rPr>
                      <w:rFonts w:ascii="Times New Roman" w:hAnsi="Times New Roman" w:cs="Times New Roman"/>
                      <w:szCs w:val="21"/>
                    </w:rPr>
                    <w:t>碳四（m/m）</w:t>
                  </w:r>
                </w:p>
              </w:tc>
              <w:tc>
                <w:tcPr>
                  <w:tcW w:w="1604" w:type="dxa"/>
                </w:tcPr>
                <w:p w14:paraId="3D6F2636">
                  <w:pPr>
                    <w:rPr>
                      <w:rFonts w:ascii="Times New Roman" w:hAnsi="Times New Roman" w:cs="Times New Roman"/>
                      <w:szCs w:val="21"/>
                    </w:rPr>
                  </w:pPr>
                </w:p>
                <w:p w14:paraId="5B7CD1C5">
                  <w:pPr>
                    <w:rPr>
                      <w:rFonts w:ascii="Times New Roman" w:hAnsi="Times New Roman" w:cs="Times New Roman"/>
                      <w:szCs w:val="21"/>
                    </w:rPr>
                  </w:pPr>
                  <w:r>
                    <w:rPr>
                      <w:rFonts w:ascii="Times New Roman" w:hAnsi="Times New Roman" w:cs="Times New Roman"/>
                      <w:szCs w:val="21"/>
                    </w:rPr>
                    <w:t>93</w:t>
                  </w:r>
                </w:p>
                <w:p w14:paraId="5E8857CB">
                  <w:pPr>
                    <w:rPr>
                      <w:rFonts w:ascii="Times New Roman" w:hAnsi="Times New Roman" w:cs="Times New Roman"/>
                      <w:szCs w:val="21"/>
                    </w:rPr>
                  </w:pPr>
                  <w:r>
                    <w:rPr>
                      <w:rFonts w:ascii="Times New Roman" w:hAnsi="Times New Roman" w:cs="Times New Roman"/>
                      <w:szCs w:val="21"/>
                    </w:rPr>
                    <w:t>5</w:t>
                  </w:r>
                </w:p>
                <w:p w14:paraId="2F9CEFCC">
                  <w:pPr>
                    <w:rPr>
                      <w:rFonts w:ascii="Times New Roman" w:hAnsi="Times New Roman" w:cs="Times New Roman"/>
                      <w:szCs w:val="21"/>
                    </w:rPr>
                  </w:pPr>
                  <w:r>
                    <w:rPr>
                      <w:rFonts w:ascii="Times New Roman" w:hAnsi="Times New Roman" w:cs="Times New Roman"/>
                      <w:szCs w:val="21"/>
                    </w:rPr>
                    <w:t>2</w:t>
                  </w:r>
                </w:p>
              </w:tc>
            </w:tr>
            <w:tr w14:paraId="4B93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6" w:type="dxa"/>
                </w:tcPr>
                <w:p w14:paraId="798F9873">
                  <w:pPr>
                    <w:rPr>
                      <w:rFonts w:ascii="Times New Roman" w:hAnsi="Times New Roman" w:cs="Times New Roman"/>
                      <w:szCs w:val="21"/>
                    </w:rPr>
                  </w:pPr>
                  <w:r>
                    <w:rPr>
                      <w:rFonts w:ascii="Times New Roman" w:hAnsi="Times New Roman" w:cs="Times New Roman"/>
                      <w:szCs w:val="21"/>
                    </w:rPr>
                    <w:t>6</w:t>
                  </w:r>
                </w:p>
              </w:tc>
              <w:tc>
                <w:tcPr>
                  <w:tcW w:w="5814" w:type="dxa"/>
                </w:tcPr>
                <w:p w14:paraId="14D867B2">
                  <w:pPr>
                    <w:rPr>
                      <w:rFonts w:ascii="Times New Roman" w:hAnsi="Times New Roman" w:cs="Times New Roman"/>
                      <w:szCs w:val="21"/>
                    </w:rPr>
                  </w:pPr>
                  <w:r>
                    <w:rPr>
                      <w:rFonts w:ascii="Times New Roman" w:hAnsi="Times New Roman" w:cs="Times New Roman"/>
                      <w:szCs w:val="21"/>
                    </w:rPr>
                    <w:t>颜色</w:t>
                  </w:r>
                </w:p>
              </w:tc>
              <w:tc>
                <w:tcPr>
                  <w:tcW w:w="1604" w:type="dxa"/>
                </w:tcPr>
                <w:p w14:paraId="4D0ECB24">
                  <w:pPr>
                    <w:rPr>
                      <w:rFonts w:ascii="Times New Roman" w:hAnsi="Times New Roman" w:cs="Times New Roman"/>
                      <w:szCs w:val="21"/>
                    </w:rPr>
                  </w:pPr>
                  <w:r>
                    <w:rPr>
                      <w:rFonts w:ascii="Times New Roman" w:hAnsi="Times New Roman" w:cs="Times New Roman"/>
                      <w:szCs w:val="21"/>
                    </w:rPr>
                    <w:t>水白</w:t>
                  </w:r>
                </w:p>
              </w:tc>
            </w:tr>
            <w:tr w14:paraId="4CE76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6" w:type="dxa"/>
                </w:tcPr>
                <w:p w14:paraId="0647A025">
                  <w:pPr>
                    <w:rPr>
                      <w:rFonts w:ascii="Times New Roman" w:hAnsi="Times New Roman" w:cs="Times New Roman"/>
                      <w:szCs w:val="21"/>
                    </w:rPr>
                  </w:pPr>
                  <w:r>
                    <w:rPr>
                      <w:rFonts w:ascii="Times New Roman" w:hAnsi="Times New Roman" w:cs="Times New Roman"/>
                      <w:szCs w:val="21"/>
                    </w:rPr>
                    <w:t>7</w:t>
                  </w:r>
                </w:p>
              </w:tc>
              <w:tc>
                <w:tcPr>
                  <w:tcW w:w="5814" w:type="dxa"/>
                </w:tcPr>
                <w:p w14:paraId="04D7534F">
                  <w:pPr>
                    <w:rPr>
                      <w:rFonts w:ascii="Times New Roman" w:hAnsi="Times New Roman" w:cs="Times New Roman"/>
                      <w:szCs w:val="21"/>
                    </w:rPr>
                  </w:pPr>
                  <w:r>
                    <w:rPr>
                      <w:rFonts w:ascii="Times New Roman" w:hAnsi="Times New Roman" w:cs="Times New Roman"/>
                      <w:szCs w:val="21"/>
                    </w:rPr>
                    <w:t>馏程：</w:t>
                  </w:r>
                </w:p>
                <w:p w14:paraId="53A3A316">
                  <w:pPr>
                    <w:rPr>
                      <w:rFonts w:ascii="Times New Roman" w:hAnsi="Times New Roman" w:cs="Times New Roman"/>
                      <w:szCs w:val="21"/>
                    </w:rPr>
                  </w:pPr>
                  <w:r>
                    <w:rPr>
                      <w:rFonts w:ascii="Times New Roman" w:hAnsi="Times New Roman" w:cs="Times New Roman"/>
                      <w:szCs w:val="21"/>
                    </w:rPr>
                    <w:t>10% 蒸发温度 /℃</w:t>
                  </w:r>
                </w:p>
                <w:p w14:paraId="47B47555">
                  <w:pPr>
                    <w:rPr>
                      <w:rFonts w:ascii="Times New Roman" w:hAnsi="Times New Roman" w:cs="Times New Roman"/>
                      <w:szCs w:val="21"/>
                    </w:rPr>
                  </w:pPr>
                  <w:r>
                    <w:rPr>
                      <w:rFonts w:ascii="Times New Roman" w:hAnsi="Times New Roman" w:cs="Times New Roman"/>
                      <w:szCs w:val="21"/>
                    </w:rPr>
                    <w:t>50% 蒸发温度 /℃</w:t>
                  </w:r>
                </w:p>
                <w:p w14:paraId="71061EC2">
                  <w:pPr>
                    <w:rPr>
                      <w:rFonts w:ascii="Times New Roman" w:hAnsi="Times New Roman" w:cs="Times New Roman"/>
                      <w:szCs w:val="21"/>
                    </w:rPr>
                  </w:pPr>
                  <w:r>
                    <w:rPr>
                      <w:rFonts w:ascii="Times New Roman" w:hAnsi="Times New Roman" w:cs="Times New Roman"/>
                      <w:szCs w:val="21"/>
                    </w:rPr>
                    <w:t>90% 蒸发温度 /℃</w:t>
                  </w:r>
                </w:p>
                <w:p w14:paraId="12D6F35D">
                  <w:pPr>
                    <w:rPr>
                      <w:rFonts w:ascii="Times New Roman" w:hAnsi="Times New Roman" w:cs="Times New Roman"/>
                      <w:szCs w:val="21"/>
                    </w:rPr>
                  </w:pPr>
                  <w:r>
                    <w:rPr>
                      <w:rFonts w:ascii="Times New Roman" w:hAnsi="Times New Roman" w:cs="Times New Roman"/>
                      <w:szCs w:val="21"/>
                    </w:rPr>
                    <w:t>终馏点 /℃</w:t>
                  </w:r>
                </w:p>
              </w:tc>
              <w:tc>
                <w:tcPr>
                  <w:tcW w:w="1604" w:type="dxa"/>
                </w:tcPr>
                <w:p w14:paraId="30A23665">
                  <w:pPr>
                    <w:rPr>
                      <w:rFonts w:ascii="Times New Roman" w:hAnsi="Times New Roman" w:cs="Times New Roman"/>
                      <w:szCs w:val="21"/>
                    </w:rPr>
                  </w:pPr>
                </w:p>
                <w:p w14:paraId="5B42E610">
                  <w:pPr>
                    <w:rPr>
                      <w:rFonts w:ascii="Times New Roman" w:hAnsi="Times New Roman" w:cs="Times New Roman"/>
                      <w:szCs w:val="21"/>
                    </w:rPr>
                  </w:pPr>
                  <w:r>
                    <w:rPr>
                      <w:rFonts w:ascii="Times New Roman" w:hAnsi="Times New Roman" w:cs="Times New Roman"/>
                      <w:szCs w:val="21"/>
                    </w:rPr>
                    <w:t>75</w:t>
                  </w:r>
                </w:p>
                <w:p w14:paraId="3080E541">
                  <w:pPr>
                    <w:rPr>
                      <w:rFonts w:ascii="Times New Roman" w:hAnsi="Times New Roman" w:cs="Times New Roman"/>
                      <w:szCs w:val="21"/>
                    </w:rPr>
                  </w:pPr>
                  <w:r>
                    <w:rPr>
                      <w:rFonts w:ascii="Times New Roman" w:hAnsi="Times New Roman" w:cs="Times New Roman"/>
                      <w:szCs w:val="21"/>
                    </w:rPr>
                    <w:t>106</w:t>
                  </w:r>
                </w:p>
                <w:p w14:paraId="5BE7C89A">
                  <w:pPr>
                    <w:rPr>
                      <w:rFonts w:ascii="Times New Roman" w:hAnsi="Times New Roman" w:cs="Times New Roman"/>
                      <w:szCs w:val="21"/>
                    </w:rPr>
                  </w:pPr>
                  <w:r>
                    <w:rPr>
                      <w:rFonts w:ascii="Times New Roman" w:hAnsi="Times New Roman" w:cs="Times New Roman"/>
                      <w:szCs w:val="21"/>
                    </w:rPr>
                    <w:t>118</w:t>
                  </w:r>
                </w:p>
                <w:p w14:paraId="66079B8D">
                  <w:pPr>
                    <w:rPr>
                      <w:rFonts w:ascii="Times New Roman" w:hAnsi="Times New Roman" w:cs="Times New Roman"/>
                      <w:szCs w:val="21"/>
                    </w:rPr>
                  </w:pPr>
                  <w:r>
                    <w:rPr>
                      <w:rFonts w:ascii="Times New Roman" w:hAnsi="Times New Roman" w:cs="Times New Roman"/>
                      <w:szCs w:val="21"/>
                    </w:rPr>
                    <w:t>197</w:t>
                  </w:r>
                </w:p>
              </w:tc>
            </w:tr>
            <w:tr w14:paraId="02C1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6" w:type="dxa"/>
                </w:tcPr>
                <w:p w14:paraId="64836645">
                  <w:pPr>
                    <w:rPr>
                      <w:rFonts w:ascii="Times New Roman" w:hAnsi="Times New Roman" w:cs="Times New Roman"/>
                      <w:szCs w:val="21"/>
                    </w:rPr>
                  </w:pPr>
                  <w:r>
                    <w:rPr>
                      <w:rFonts w:ascii="Times New Roman" w:hAnsi="Times New Roman" w:cs="Times New Roman"/>
                      <w:szCs w:val="21"/>
                    </w:rPr>
                    <w:t>8</w:t>
                  </w:r>
                </w:p>
              </w:tc>
              <w:tc>
                <w:tcPr>
                  <w:tcW w:w="5814" w:type="dxa"/>
                </w:tcPr>
                <w:p w14:paraId="1FF75024">
                  <w:pPr>
                    <w:rPr>
                      <w:rFonts w:ascii="Times New Roman" w:hAnsi="Times New Roman" w:cs="Times New Roman"/>
                      <w:szCs w:val="21"/>
                    </w:rPr>
                  </w:pPr>
                  <w:r>
                    <w:rPr>
                      <w:rFonts w:ascii="Times New Roman" w:hAnsi="Times New Roman" w:cs="Times New Roman"/>
                      <w:szCs w:val="21"/>
                    </w:rPr>
                    <w:t>芳烃含量（体积分数）/%</w:t>
                  </w:r>
                </w:p>
              </w:tc>
              <w:tc>
                <w:tcPr>
                  <w:tcW w:w="1604" w:type="dxa"/>
                </w:tcPr>
                <w:p w14:paraId="6DCA3E35">
                  <w:pPr>
                    <w:rPr>
                      <w:rFonts w:ascii="Times New Roman" w:hAnsi="Times New Roman" w:cs="Times New Roman"/>
                      <w:szCs w:val="21"/>
                    </w:rPr>
                  </w:pPr>
                  <w:r>
                    <w:rPr>
                      <w:rFonts w:ascii="Times New Roman" w:hAnsi="Times New Roman" w:cs="Times New Roman"/>
                      <w:szCs w:val="21"/>
                    </w:rPr>
                    <w:t>0.0</w:t>
                  </w:r>
                </w:p>
              </w:tc>
            </w:tr>
            <w:tr w14:paraId="58001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6" w:type="dxa"/>
                </w:tcPr>
                <w:p w14:paraId="4EEEC4D8">
                  <w:pPr>
                    <w:rPr>
                      <w:rFonts w:ascii="Times New Roman" w:hAnsi="Times New Roman" w:cs="Times New Roman"/>
                      <w:szCs w:val="21"/>
                    </w:rPr>
                  </w:pPr>
                  <w:r>
                    <w:rPr>
                      <w:rFonts w:ascii="Times New Roman" w:hAnsi="Times New Roman" w:cs="Times New Roman"/>
                      <w:szCs w:val="21"/>
                    </w:rPr>
                    <w:t>9</w:t>
                  </w:r>
                </w:p>
              </w:tc>
              <w:tc>
                <w:tcPr>
                  <w:tcW w:w="5814" w:type="dxa"/>
                </w:tcPr>
                <w:p w14:paraId="390260D9">
                  <w:pPr>
                    <w:rPr>
                      <w:rFonts w:ascii="Times New Roman" w:hAnsi="Times New Roman" w:cs="Times New Roman"/>
                      <w:szCs w:val="21"/>
                    </w:rPr>
                  </w:pPr>
                  <w:r>
                    <w:rPr>
                      <w:rFonts w:ascii="Times New Roman" w:hAnsi="Times New Roman" w:cs="Times New Roman"/>
                      <w:szCs w:val="21"/>
                    </w:rPr>
                    <w:t>烯烃含量（体积分数）/%</w:t>
                  </w:r>
                </w:p>
              </w:tc>
              <w:tc>
                <w:tcPr>
                  <w:tcW w:w="1604" w:type="dxa"/>
                </w:tcPr>
                <w:p w14:paraId="2B4A2F2A">
                  <w:pPr>
                    <w:rPr>
                      <w:rFonts w:ascii="Times New Roman" w:hAnsi="Times New Roman" w:cs="Times New Roman"/>
                      <w:szCs w:val="21"/>
                    </w:rPr>
                  </w:pPr>
                  <w:r>
                    <w:rPr>
                      <w:rFonts w:ascii="Times New Roman" w:hAnsi="Times New Roman" w:cs="Times New Roman"/>
                      <w:szCs w:val="21"/>
                    </w:rPr>
                    <w:t>7</w:t>
                  </w:r>
                </w:p>
              </w:tc>
            </w:tr>
            <w:tr w14:paraId="31563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6" w:type="dxa"/>
                </w:tcPr>
                <w:p w14:paraId="16C91E8E">
                  <w:pPr>
                    <w:rPr>
                      <w:rFonts w:ascii="Times New Roman" w:hAnsi="Times New Roman" w:cs="Times New Roman"/>
                      <w:szCs w:val="21"/>
                    </w:rPr>
                  </w:pPr>
                  <w:r>
                    <w:rPr>
                      <w:rFonts w:ascii="Times New Roman" w:hAnsi="Times New Roman" w:cs="Times New Roman"/>
                      <w:szCs w:val="21"/>
                    </w:rPr>
                    <w:t>10</w:t>
                  </w:r>
                </w:p>
              </w:tc>
              <w:tc>
                <w:tcPr>
                  <w:tcW w:w="5814" w:type="dxa"/>
                </w:tcPr>
                <w:p w14:paraId="3CA5FAFD">
                  <w:pPr>
                    <w:rPr>
                      <w:rFonts w:ascii="Times New Roman" w:hAnsi="Times New Roman" w:cs="Times New Roman"/>
                      <w:szCs w:val="21"/>
                    </w:rPr>
                  </w:pPr>
                  <w:r>
                    <w:rPr>
                      <w:rFonts w:ascii="Times New Roman" w:hAnsi="Times New Roman" w:cs="Times New Roman"/>
                      <w:szCs w:val="21"/>
                    </w:rPr>
                    <w:t>硅含量 /（g/L）</w:t>
                  </w:r>
                </w:p>
              </w:tc>
              <w:tc>
                <w:tcPr>
                  <w:tcW w:w="1604" w:type="dxa"/>
                </w:tcPr>
                <w:p w14:paraId="469A87BD">
                  <w:pPr>
                    <w:rPr>
                      <w:rFonts w:ascii="Times New Roman" w:hAnsi="Times New Roman" w:cs="Times New Roman"/>
                      <w:szCs w:val="21"/>
                    </w:rPr>
                  </w:pPr>
                  <w:r>
                    <w:rPr>
                      <w:rFonts w:ascii="Times New Roman" w:hAnsi="Times New Roman" w:cs="Times New Roman"/>
                      <w:szCs w:val="21"/>
                    </w:rPr>
                    <w:t>未检出</w:t>
                  </w:r>
                </w:p>
              </w:tc>
            </w:tr>
            <w:tr w14:paraId="663E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6" w:type="dxa"/>
                </w:tcPr>
                <w:p w14:paraId="52938712">
                  <w:pPr>
                    <w:rPr>
                      <w:rFonts w:ascii="Times New Roman" w:hAnsi="Times New Roman" w:cs="Times New Roman"/>
                      <w:szCs w:val="21"/>
                    </w:rPr>
                  </w:pPr>
                  <w:r>
                    <w:rPr>
                      <w:rFonts w:ascii="Times New Roman" w:hAnsi="Times New Roman" w:cs="Times New Roman"/>
                      <w:szCs w:val="21"/>
                    </w:rPr>
                    <w:t>11</w:t>
                  </w:r>
                </w:p>
              </w:tc>
              <w:tc>
                <w:tcPr>
                  <w:tcW w:w="5814" w:type="dxa"/>
                </w:tcPr>
                <w:p w14:paraId="00B19270">
                  <w:pPr>
                    <w:rPr>
                      <w:rFonts w:ascii="Times New Roman" w:hAnsi="Times New Roman" w:cs="Times New Roman"/>
                      <w:szCs w:val="21"/>
                    </w:rPr>
                  </w:pPr>
                  <w:r>
                    <w:rPr>
                      <w:rFonts w:ascii="Times New Roman" w:hAnsi="Times New Roman" w:cs="Times New Roman"/>
                      <w:szCs w:val="21"/>
                    </w:rPr>
                    <w:t>胶质含量 /（mg/100mL）</w:t>
                  </w:r>
                </w:p>
              </w:tc>
              <w:tc>
                <w:tcPr>
                  <w:tcW w:w="1604" w:type="dxa"/>
                </w:tcPr>
                <w:p w14:paraId="374B7E72">
                  <w:pPr>
                    <w:rPr>
                      <w:rFonts w:ascii="Times New Roman" w:hAnsi="Times New Roman" w:cs="Times New Roman"/>
                      <w:szCs w:val="21"/>
                    </w:rPr>
                  </w:pPr>
                  <w:r>
                    <w:rPr>
                      <w:rFonts w:ascii="Times New Roman" w:hAnsi="Times New Roman" w:cs="Times New Roman"/>
                      <w:szCs w:val="21"/>
                    </w:rPr>
                    <w:t>0</w:t>
                  </w:r>
                </w:p>
              </w:tc>
            </w:tr>
          </w:tbl>
          <w:p w14:paraId="0F2F5694">
            <w:pPr>
              <w:adjustRightInd w:val="0"/>
              <w:snapToGrid w:val="0"/>
              <w:rPr>
                <w:rFonts w:ascii="Times New Roman" w:hAnsi="Times New Roman" w:cs="Times New Roman"/>
                <w:bCs/>
              </w:rPr>
            </w:pPr>
          </w:p>
          <w:p w14:paraId="261931C0">
            <w:pPr>
              <w:adjustRightInd w:val="0"/>
              <w:snapToGrid w:val="0"/>
              <w:ind w:firstLine="442" w:firstLineChars="200"/>
              <w:jc w:val="center"/>
              <w:rPr>
                <w:rFonts w:ascii="Times New Roman" w:hAnsi="Times New Roman" w:cs="Times New Roman"/>
                <w:b/>
                <w:color w:val="000000"/>
                <w:szCs w:val="18"/>
              </w:rPr>
            </w:pPr>
            <w:r>
              <w:rPr>
                <w:rFonts w:ascii="Times New Roman" w:hAnsi="Times New Roman" w:cs="Times New Roman"/>
                <w:b/>
                <w:spacing w:val="-10"/>
                <w:szCs w:val="21"/>
              </w:rPr>
              <w:t>表2-10  混合芳烃性质</w:t>
            </w:r>
          </w:p>
          <w:tbl>
            <w:tblPr>
              <w:tblStyle w:val="16"/>
              <w:tblW w:w="5000" w:type="pct"/>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5"/>
              <w:gridCol w:w="5136"/>
              <w:gridCol w:w="1594"/>
            </w:tblGrid>
            <w:tr w14:paraId="12588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Pr>
                <w:p w14:paraId="2F965F41">
                  <w:pPr>
                    <w:rPr>
                      <w:rFonts w:ascii="Times New Roman" w:hAnsi="Times New Roman" w:cs="Times New Roman"/>
                      <w:b/>
                      <w:bCs/>
                      <w:szCs w:val="21"/>
                    </w:rPr>
                  </w:pPr>
                  <w:r>
                    <w:rPr>
                      <w:rFonts w:ascii="Times New Roman" w:hAnsi="Times New Roman" w:cs="Times New Roman"/>
                      <w:b/>
                      <w:bCs/>
                      <w:szCs w:val="21"/>
                    </w:rPr>
                    <w:t>序号</w:t>
                  </w:r>
                </w:p>
              </w:tc>
              <w:tc>
                <w:tcPr>
                  <w:tcW w:w="5603" w:type="dxa"/>
                </w:tcPr>
                <w:p w14:paraId="36D1058C">
                  <w:pPr>
                    <w:rPr>
                      <w:rFonts w:ascii="Times New Roman" w:hAnsi="Times New Roman" w:cs="Times New Roman"/>
                      <w:b/>
                      <w:bCs/>
                      <w:szCs w:val="21"/>
                    </w:rPr>
                  </w:pPr>
                  <w:r>
                    <w:rPr>
                      <w:rFonts w:ascii="Times New Roman" w:hAnsi="Times New Roman" w:cs="Times New Roman"/>
                      <w:b/>
                      <w:bCs/>
                      <w:szCs w:val="21"/>
                    </w:rPr>
                    <w:t>项目</w:t>
                  </w:r>
                </w:p>
              </w:tc>
              <w:tc>
                <w:tcPr>
                  <w:tcW w:w="1724" w:type="dxa"/>
                </w:tcPr>
                <w:p w14:paraId="0BCEA9E6">
                  <w:pPr>
                    <w:rPr>
                      <w:rFonts w:ascii="Times New Roman" w:hAnsi="Times New Roman" w:cs="Times New Roman"/>
                      <w:b/>
                      <w:bCs/>
                      <w:szCs w:val="21"/>
                    </w:rPr>
                  </w:pPr>
                  <w:r>
                    <w:rPr>
                      <w:rFonts w:ascii="Times New Roman" w:hAnsi="Times New Roman" w:cs="Times New Roman"/>
                      <w:b/>
                      <w:bCs/>
                      <w:szCs w:val="21"/>
                    </w:rPr>
                    <w:t>数量</w:t>
                  </w:r>
                </w:p>
              </w:tc>
            </w:tr>
            <w:tr w14:paraId="76637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Pr>
                <w:p w14:paraId="6A5DF74B">
                  <w:pPr>
                    <w:rPr>
                      <w:rFonts w:ascii="Times New Roman" w:hAnsi="Times New Roman" w:cs="Times New Roman"/>
                      <w:szCs w:val="21"/>
                    </w:rPr>
                  </w:pPr>
                  <w:r>
                    <w:rPr>
                      <w:rFonts w:ascii="Times New Roman" w:hAnsi="Times New Roman" w:cs="Times New Roman"/>
                      <w:szCs w:val="21"/>
                    </w:rPr>
                    <w:t>1</w:t>
                  </w:r>
                </w:p>
              </w:tc>
              <w:tc>
                <w:tcPr>
                  <w:tcW w:w="5603" w:type="dxa"/>
                </w:tcPr>
                <w:p w14:paraId="31E4DB74">
                  <w:pPr>
                    <w:rPr>
                      <w:rFonts w:ascii="Times New Roman" w:hAnsi="Times New Roman" w:cs="Times New Roman"/>
                      <w:szCs w:val="21"/>
                    </w:rPr>
                  </w:pPr>
                  <w:r>
                    <w:rPr>
                      <w:rFonts w:ascii="Times New Roman" w:hAnsi="Times New Roman" w:cs="Times New Roman"/>
                      <w:szCs w:val="21"/>
                    </w:rPr>
                    <w:t>研究法辛烷值（RON）</w:t>
                  </w:r>
                </w:p>
              </w:tc>
              <w:tc>
                <w:tcPr>
                  <w:tcW w:w="1724" w:type="dxa"/>
                </w:tcPr>
                <w:p w14:paraId="33C3B780">
                  <w:pPr>
                    <w:rPr>
                      <w:rFonts w:ascii="Times New Roman" w:hAnsi="Times New Roman" w:cs="Times New Roman"/>
                      <w:szCs w:val="21"/>
                    </w:rPr>
                  </w:pPr>
                  <w:r>
                    <w:rPr>
                      <w:rFonts w:ascii="Times New Roman" w:hAnsi="Times New Roman" w:cs="Times New Roman"/>
                      <w:szCs w:val="21"/>
                    </w:rPr>
                    <w:t>103</w:t>
                  </w:r>
                </w:p>
              </w:tc>
            </w:tr>
            <w:tr w14:paraId="2AB3A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Pr>
                <w:p w14:paraId="602BAF60">
                  <w:pPr>
                    <w:rPr>
                      <w:rFonts w:ascii="Times New Roman" w:hAnsi="Times New Roman" w:cs="Times New Roman"/>
                      <w:szCs w:val="21"/>
                    </w:rPr>
                  </w:pPr>
                  <w:r>
                    <w:rPr>
                      <w:rFonts w:ascii="Times New Roman" w:hAnsi="Times New Roman" w:cs="Times New Roman"/>
                      <w:szCs w:val="21"/>
                    </w:rPr>
                    <w:t>2</w:t>
                  </w:r>
                </w:p>
              </w:tc>
              <w:tc>
                <w:tcPr>
                  <w:tcW w:w="5603" w:type="dxa"/>
                </w:tcPr>
                <w:p w14:paraId="06F3D5DD">
                  <w:pPr>
                    <w:rPr>
                      <w:rFonts w:ascii="Times New Roman" w:hAnsi="Times New Roman" w:cs="Times New Roman"/>
                      <w:szCs w:val="21"/>
                    </w:rPr>
                  </w:pPr>
                  <w:r>
                    <w:rPr>
                      <w:rFonts w:ascii="Times New Roman" w:hAnsi="Times New Roman" w:cs="Times New Roman"/>
                      <w:szCs w:val="21"/>
                    </w:rPr>
                    <w:t>硫含量 /（mg/kg）</w:t>
                  </w:r>
                </w:p>
              </w:tc>
              <w:tc>
                <w:tcPr>
                  <w:tcW w:w="1724" w:type="dxa"/>
                </w:tcPr>
                <w:p w14:paraId="5360268C">
                  <w:pPr>
                    <w:rPr>
                      <w:rFonts w:ascii="Times New Roman" w:hAnsi="Times New Roman" w:cs="Times New Roman"/>
                      <w:szCs w:val="21"/>
                    </w:rPr>
                  </w:pPr>
                  <w:r>
                    <w:rPr>
                      <w:rFonts w:ascii="Times New Roman" w:hAnsi="Times New Roman" w:cs="Times New Roman"/>
                      <w:szCs w:val="21"/>
                    </w:rPr>
                    <w:t>2</w:t>
                  </w:r>
                </w:p>
              </w:tc>
            </w:tr>
            <w:tr w14:paraId="1D1F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Pr>
                <w:p w14:paraId="497DF2CD">
                  <w:pPr>
                    <w:rPr>
                      <w:rFonts w:ascii="Times New Roman" w:hAnsi="Times New Roman" w:cs="Times New Roman"/>
                      <w:szCs w:val="21"/>
                    </w:rPr>
                  </w:pPr>
                  <w:r>
                    <w:rPr>
                      <w:rFonts w:ascii="Times New Roman" w:hAnsi="Times New Roman" w:cs="Times New Roman"/>
                      <w:szCs w:val="21"/>
                    </w:rPr>
                    <w:t>3</w:t>
                  </w:r>
                </w:p>
              </w:tc>
              <w:tc>
                <w:tcPr>
                  <w:tcW w:w="5603" w:type="dxa"/>
                </w:tcPr>
                <w:p w14:paraId="7FD8805B">
                  <w:pPr>
                    <w:rPr>
                      <w:rFonts w:ascii="Times New Roman" w:hAnsi="Times New Roman" w:cs="Times New Roman"/>
                      <w:szCs w:val="21"/>
                    </w:rPr>
                  </w:pPr>
                  <w:r>
                    <w:rPr>
                      <w:rFonts w:ascii="Times New Roman" w:hAnsi="Times New Roman" w:cs="Times New Roman"/>
                      <w:szCs w:val="21"/>
                    </w:rPr>
                    <w:t>氯含量 /（mg/kg）</w:t>
                  </w:r>
                </w:p>
              </w:tc>
              <w:tc>
                <w:tcPr>
                  <w:tcW w:w="1724" w:type="dxa"/>
                </w:tcPr>
                <w:p w14:paraId="2FC113C1">
                  <w:pPr>
                    <w:rPr>
                      <w:rFonts w:ascii="Times New Roman" w:hAnsi="Times New Roman" w:cs="Times New Roman"/>
                      <w:szCs w:val="21"/>
                    </w:rPr>
                  </w:pPr>
                  <w:r>
                    <w:rPr>
                      <w:rFonts w:ascii="Times New Roman" w:hAnsi="Times New Roman" w:cs="Times New Roman"/>
                      <w:szCs w:val="21"/>
                    </w:rPr>
                    <w:t>1</w:t>
                  </w:r>
                </w:p>
              </w:tc>
            </w:tr>
            <w:tr w14:paraId="58E8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Pr>
                <w:p w14:paraId="5E8F141C">
                  <w:pPr>
                    <w:rPr>
                      <w:rFonts w:ascii="Times New Roman" w:hAnsi="Times New Roman" w:cs="Times New Roman"/>
                      <w:szCs w:val="21"/>
                    </w:rPr>
                  </w:pPr>
                  <w:r>
                    <w:rPr>
                      <w:rFonts w:ascii="Times New Roman" w:hAnsi="Times New Roman" w:cs="Times New Roman"/>
                      <w:szCs w:val="21"/>
                    </w:rPr>
                    <w:t>4</w:t>
                  </w:r>
                </w:p>
              </w:tc>
              <w:tc>
                <w:tcPr>
                  <w:tcW w:w="5603" w:type="dxa"/>
                </w:tcPr>
                <w:p w14:paraId="320369F0">
                  <w:pPr>
                    <w:rPr>
                      <w:rFonts w:ascii="Times New Roman" w:hAnsi="Times New Roman" w:cs="Times New Roman"/>
                      <w:szCs w:val="21"/>
                    </w:rPr>
                  </w:pPr>
                  <w:r>
                    <w:rPr>
                      <w:rFonts w:ascii="Times New Roman" w:hAnsi="Times New Roman" w:cs="Times New Roman"/>
                      <w:szCs w:val="21"/>
                    </w:rPr>
                    <w:t>密度 /（20℃）/（kg/m³）</w:t>
                  </w:r>
                </w:p>
              </w:tc>
              <w:tc>
                <w:tcPr>
                  <w:tcW w:w="1724" w:type="dxa"/>
                </w:tcPr>
                <w:p w14:paraId="4803E804">
                  <w:pPr>
                    <w:rPr>
                      <w:rFonts w:ascii="Times New Roman" w:hAnsi="Times New Roman" w:cs="Times New Roman"/>
                      <w:szCs w:val="21"/>
                    </w:rPr>
                  </w:pPr>
                  <w:r>
                    <w:rPr>
                      <w:rFonts w:ascii="Times New Roman" w:hAnsi="Times New Roman" w:cs="Times New Roman"/>
                      <w:szCs w:val="21"/>
                    </w:rPr>
                    <w:t>880</w:t>
                  </w:r>
                </w:p>
              </w:tc>
            </w:tr>
            <w:tr w14:paraId="0F041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Pr>
                <w:p w14:paraId="725D89D0">
                  <w:pPr>
                    <w:rPr>
                      <w:rFonts w:ascii="Times New Roman" w:hAnsi="Times New Roman" w:cs="Times New Roman"/>
                      <w:szCs w:val="21"/>
                    </w:rPr>
                  </w:pPr>
                  <w:r>
                    <w:rPr>
                      <w:rFonts w:ascii="Times New Roman" w:hAnsi="Times New Roman" w:cs="Times New Roman"/>
                      <w:szCs w:val="21"/>
                    </w:rPr>
                    <w:t>5</w:t>
                  </w:r>
                </w:p>
              </w:tc>
              <w:tc>
                <w:tcPr>
                  <w:tcW w:w="5603" w:type="dxa"/>
                </w:tcPr>
                <w:p w14:paraId="097CEBD3">
                  <w:pPr>
                    <w:rPr>
                      <w:rFonts w:ascii="Times New Roman" w:hAnsi="Times New Roman" w:cs="Times New Roman"/>
                      <w:szCs w:val="21"/>
                    </w:rPr>
                  </w:pPr>
                  <w:r>
                    <w:rPr>
                      <w:rFonts w:ascii="Times New Roman" w:hAnsi="Times New Roman" w:cs="Times New Roman"/>
                      <w:szCs w:val="21"/>
                    </w:rPr>
                    <w:t>组分：</w:t>
                  </w:r>
                </w:p>
                <w:p w14:paraId="186FA97D">
                  <w:pPr>
                    <w:rPr>
                      <w:rFonts w:ascii="Times New Roman" w:hAnsi="Times New Roman" w:cs="Times New Roman"/>
                      <w:szCs w:val="21"/>
                    </w:rPr>
                  </w:pPr>
                  <w:r>
                    <w:rPr>
                      <w:rFonts w:ascii="Times New Roman" w:hAnsi="Times New Roman" w:cs="Times New Roman"/>
                      <w:szCs w:val="21"/>
                    </w:rPr>
                    <w:t>碳六（m/m）</w:t>
                  </w:r>
                </w:p>
                <w:p w14:paraId="0EC5DDDB">
                  <w:pPr>
                    <w:rPr>
                      <w:rFonts w:ascii="Times New Roman" w:hAnsi="Times New Roman" w:cs="Times New Roman"/>
                      <w:szCs w:val="21"/>
                    </w:rPr>
                  </w:pPr>
                  <w:r>
                    <w:rPr>
                      <w:rFonts w:ascii="Times New Roman" w:hAnsi="Times New Roman" w:cs="Times New Roman"/>
                      <w:szCs w:val="21"/>
                    </w:rPr>
                    <w:t>碳七（m/m）</w:t>
                  </w:r>
                </w:p>
                <w:p w14:paraId="57DCCBEF">
                  <w:pPr>
                    <w:rPr>
                      <w:rFonts w:ascii="Times New Roman" w:hAnsi="Times New Roman" w:cs="Times New Roman"/>
                      <w:szCs w:val="21"/>
                    </w:rPr>
                  </w:pPr>
                  <w:r>
                    <w:rPr>
                      <w:rFonts w:ascii="Times New Roman" w:hAnsi="Times New Roman" w:cs="Times New Roman"/>
                      <w:szCs w:val="21"/>
                    </w:rPr>
                    <w:t>碳八（m/m）</w:t>
                  </w:r>
                </w:p>
                <w:p w14:paraId="4C888490">
                  <w:pPr>
                    <w:rPr>
                      <w:rFonts w:ascii="Times New Roman" w:hAnsi="Times New Roman" w:cs="Times New Roman"/>
                      <w:szCs w:val="21"/>
                    </w:rPr>
                  </w:pPr>
                  <w:r>
                    <w:rPr>
                      <w:rFonts w:ascii="Times New Roman" w:hAnsi="Times New Roman" w:cs="Times New Roman"/>
                      <w:szCs w:val="21"/>
                    </w:rPr>
                    <w:t>碳九（m/m）</w:t>
                  </w:r>
                </w:p>
                <w:p w14:paraId="2C526201">
                  <w:pPr>
                    <w:rPr>
                      <w:rFonts w:ascii="Times New Roman" w:hAnsi="Times New Roman" w:cs="Times New Roman"/>
                      <w:szCs w:val="21"/>
                    </w:rPr>
                  </w:pPr>
                  <w:r>
                    <w:rPr>
                      <w:rFonts w:ascii="Times New Roman" w:hAnsi="Times New Roman" w:cs="Times New Roman"/>
                      <w:szCs w:val="21"/>
                    </w:rPr>
                    <w:t>碳十、碳十 +（m/m）</w:t>
                  </w:r>
                </w:p>
              </w:tc>
              <w:tc>
                <w:tcPr>
                  <w:tcW w:w="1724" w:type="dxa"/>
                </w:tcPr>
                <w:p w14:paraId="4224E30D">
                  <w:pPr>
                    <w:rPr>
                      <w:rFonts w:ascii="Times New Roman" w:hAnsi="Times New Roman" w:cs="Times New Roman"/>
                      <w:szCs w:val="21"/>
                    </w:rPr>
                  </w:pPr>
                </w:p>
                <w:p w14:paraId="6F868419">
                  <w:pPr>
                    <w:rPr>
                      <w:rFonts w:ascii="Times New Roman" w:hAnsi="Times New Roman" w:cs="Times New Roman"/>
                      <w:szCs w:val="21"/>
                    </w:rPr>
                  </w:pPr>
                  <w:r>
                    <w:rPr>
                      <w:rFonts w:ascii="Times New Roman" w:hAnsi="Times New Roman" w:cs="Times New Roman"/>
                      <w:szCs w:val="21"/>
                    </w:rPr>
                    <w:t>7</w:t>
                  </w:r>
                </w:p>
                <w:p w14:paraId="168694B7">
                  <w:pPr>
                    <w:rPr>
                      <w:rFonts w:ascii="Times New Roman" w:hAnsi="Times New Roman" w:cs="Times New Roman"/>
                      <w:szCs w:val="21"/>
                    </w:rPr>
                  </w:pPr>
                  <w:r>
                    <w:rPr>
                      <w:rFonts w:ascii="Times New Roman" w:hAnsi="Times New Roman" w:cs="Times New Roman"/>
                      <w:szCs w:val="21"/>
                    </w:rPr>
                    <w:t>19</w:t>
                  </w:r>
                </w:p>
                <w:p w14:paraId="4403FE08">
                  <w:pPr>
                    <w:rPr>
                      <w:rFonts w:ascii="Times New Roman" w:hAnsi="Times New Roman" w:cs="Times New Roman"/>
                      <w:szCs w:val="21"/>
                    </w:rPr>
                  </w:pPr>
                  <w:r>
                    <w:rPr>
                      <w:rFonts w:ascii="Times New Roman" w:hAnsi="Times New Roman" w:cs="Times New Roman"/>
                      <w:szCs w:val="21"/>
                    </w:rPr>
                    <w:t>27</w:t>
                  </w:r>
                </w:p>
                <w:p w14:paraId="683552AB">
                  <w:pPr>
                    <w:rPr>
                      <w:rFonts w:ascii="Times New Roman" w:hAnsi="Times New Roman" w:cs="Times New Roman"/>
                      <w:szCs w:val="21"/>
                    </w:rPr>
                  </w:pPr>
                  <w:r>
                    <w:rPr>
                      <w:rFonts w:ascii="Times New Roman" w:hAnsi="Times New Roman" w:cs="Times New Roman"/>
                      <w:szCs w:val="21"/>
                    </w:rPr>
                    <w:t>39</w:t>
                  </w:r>
                </w:p>
                <w:p w14:paraId="60B15B30">
                  <w:pPr>
                    <w:rPr>
                      <w:rFonts w:ascii="Times New Roman" w:hAnsi="Times New Roman" w:cs="Times New Roman"/>
                      <w:szCs w:val="21"/>
                    </w:rPr>
                  </w:pPr>
                  <w:r>
                    <w:rPr>
                      <w:rFonts w:ascii="Times New Roman" w:hAnsi="Times New Roman" w:cs="Times New Roman"/>
                      <w:szCs w:val="21"/>
                    </w:rPr>
                    <w:t>8</w:t>
                  </w:r>
                </w:p>
              </w:tc>
            </w:tr>
            <w:tr w14:paraId="62698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Pr>
                <w:p w14:paraId="2BFDC121">
                  <w:pPr>
                    <w:rPr>
                      <w:rFonts w:ascii="Times New Roman" w:hAnsi="Times New Roman" w:cs="Times New Roman"/>
                      <w:szCs w:val="21"/>
                    </w:rPr>
                  </w:pPr>
                  <w:r>
                    <w:rPr>
                      <w:rFonts w:ascii="Times New Roman" w:hAnsi="Times New Roman" w:cs="Times New Roman"/>
                      <w:szCs w:val="21"/>
                    </w:rPr>
                    <w:t>6</w:t>
                  </w:r>
                </w:p>
              </w:tc>
              <w:tc>
                <w:tcPr>
                  <w:tcW w:w="5603" w:type="dxa"/>
                </w:tcPr>
                <w:p w14:paraId="40E6DE43">
                  <w:pPr>
                    <w:rPr>
                      <w:rFonts w:ascii="Times New Roman" w:hAnsi="Times New Roman" w:cs="Times New Roman"/>
                      <w:szCs w:val="21"/>
                    </w:rPr>
                  </w:pPr>
                  <w:r>
                    <w:rPr>
                      <w:rFonts w:ascii="Times New Roman" w:hAnsi="Times New Roman" w:cs="Times New Roman"/>
                      <w:szCs w:val="21"/>
                    </w:rPr>
                    <w:t>颜色</w:t>
                  </w:r>
                </w:p>
              </w:tc>
              <w:tc>
                <w:tcPr>
                  <w:tcW w:w="1724" w:type="dxa"/>
                </w:tcPr>
                <w:p w14:paraId="73E990EB">
                  <w:pPr>
                    <w:rPr>
                      <w:rFonts w:ascii="Times New Roman" w:hAnsi="Times New Roman" w:cs="Times New Roman"/>
                      <w:szCs w:val="21"/>
                    </w:rPr>
                  </w:pPr>
                  <w:r>
                    <w:rPr>
                      <w:rFonts w:ascii="Times New Roman" w:hAnsi="Times New Roman" w:cs="Times New Roman"/>
                      <w:szCs w:val="21"/>
                    </w:rPr>
                    <w:t>水白</w:t>
                  </w:r>
                </w:p>
              </w:tc>
            </w:tr>
            <w:tr w14:paraId="6081F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Pr>
                <w:p w14:paraId="06493B28">
                  <w:pPr>
                    <w:rPr>
                      <w:rFonts w:ascii="Times New Roman" w:hAnsi="Times New Roman" w:cs="Times New Roman"/>
                      <w:szCs w:val="21"/>
                    </w:rPr>
                  </w:pPr>
                  <w:r>
                    <w:rPr>
                      <w:rFonts w:ascii="Times New Roman" w:hAnsi="Times New Roman" w:cs="Times New Roman"/>
                      <w:szCs w:val="21"/>
                    </w:rPr>
                    <w:t>7</w:t>
                  </w:r>
                </w:p>
              </w:tc>
              <w:tc>
                <w:tcPr>
                  <w:tcW w:w="5603" w:type="dxa"/>
                </w:tcPr>
                <w:p w14:paraId="426F10BF">
                  <w:pPr>
                    <w:rPr>
                      <w:rFonts w:ascii="Times New Roman" w:hAnsi="Times New Roman" w:cs="Times New Roman"/>
                      <w:szCs w:val="21"/>
                    </w:rPr>
                  </w:pPr>
                  <w:r>
                    <w:rPr>
                      <w:rFonts w:ascii="Times New Roman" w:hAnsi="Times New Roman" w:cs="Times New Roman"/>
                      <w:szCs w:val="21"/>
                    </w:rPr>
                    <w:t>馏程：</w:t>
                  </w:r>
                </w:p>
                <w:p w14:paraId="39E25776">
                  <w:pPr>
                    <w:rPr>
                      <w:rFonts w:ascii="Times New Roman" w:hAnsi="Times New Roman" w:cs="Times New Roman"/>
                      <w:szCs w:val="21"/>
                    </w:rPr>
                  </w:pPr>
                  <w:r>
                    <w:rPr>
                      <w:rFonts w:ascii="Times New Roman" w:hAnsi="Times New Roman" w:cs="Times New Roman"/>
                      <w:szCs w:val="21"/>
                    </w:rPr>
                    <w:t>10% 蒸发温度 /℃</w:t>
                  </w:r>
                </w:p>
                <w:p w14:paraId="3B422F2C">
                  <w:pPr>
                    <w:rPr>
                      <w:rFonts w:ascii="Times New Roman" w:hAnsi="Times New Roman" w:cs="Times New Roman"/>
                      <w:szCs w:val="21"/>
                    </w:rPr>
                  </w:pPr>
                  <w:r>
                    <w:rPr>
                      <w:rFonts w:ascii="Times New Roman" w:hAnsi="Times New Roman" w:cs="Times New Roman"/>
                      <w:szCs w:val="21"/>
                    </w:rPr>
                    <w:t>50% 蒸发温度 /℃</w:t>
                  </w:r>
                </w:p>
                <w:p w14:paraId="751874A3">
                  <w:pPr>
                    <w:rPr>
                      <w:rFonts w:ascii="Times New Roman" w:hAnsi="Times New Roman" w:cs="Times New Roman"/>
                      <w:szCs w:val="21"/>
                    </w:rPr>
                  </w:pPr>
                  <w:r>
                    <w:rPr>
                      <w:rFonts w:ascii="Times New Roman" w:hAnsi="Times New Roman" w:cs="Times New Roman"/>
                      <w:szCs w:val="21"/>
                    </w:rPr>
                    <w:t>90% 蒸发温度 /℃</w:t>
                  </w:r>
                </w:p>
                <w:p w14:paraId="463F8042">
                  <w:pPr>
                    <w:rPr>
                      <w:rFonts w:ascii="Times New Roman" w:hAnsi="Times New Roman" w:cs="Times New Roman"/>
                      <w:szCs w:val="21"/>
                    </w:rPr>
                  </w:pPr>
                  <w:r>
                    <w:rPr>
                      <w:rFonts w:ascii="Times New Roman" w:hAnsi="Times New Roman" w:cs="Times New Roman"/>
                      <w:szCs w:val="21"/>
                    </w:rPr>
                    <w:t>终馏点 /℃</w:t>
                  </w:r>
                </w:p>
              </w:tc>
              <w:tc>
                <w:tcPr>
                  <w:tcW w:w="1724" w:type="dxa"/>
                </w:tcPr>
                <w:p w14:paraId="2A54B19B">
                  <w:pPr>
                    <w:rPr>
                      <w:rFonts w:ascii="Times New Roman" w:hAnsi="Times New Roman" w:cs="Times New Roman"/>
                      <w:szCs w:val="21"/>
                    </w:rPr>
                  </w:pPr>
                </w:p>
                <w:p w14:paraId="0D284550">
                  <w:pPr>
                    <w:rPr>
                      <w:rFonts w:ascii="Times New Roman" w:hAnsi="Times New Roman" w:cs="Times New Roman"/>
                      <w:szCs w:val="21"/>
                    </w:rPr>
                  </w:pPr>
                  <w:r>
                    <w:rPr>
                      <w:rFonts w:ascii="Times New Roman" w:hAnsi="Times New Roman" w:cs="Times New Roman"/>
                      <w:szCs w:val="21"/>
                    </w:rPr>
                    <w:t>97</w:t>
                  </w:r>
                </w:p>
                <w:p w14:paraId="5CF7BFAA">
                  <w:pPr>
                    <w:rPr>
                      <w:rFonts w:ascii="Times New Roman" w:hAnsi="Times New Roman" w:cs="Times New Roman"/>
                      <w:szCs w:val="21"/>
                    </w:rPr>
                  </w:pPr>
                  <w:r>
                    <w:rPr>
                      <w:rFonts w:ascii="Times New Roman" w:hAnsi="Times New Roman" w:cs="Times New Roman"/>
                      <w:szCs w:val="21"/>
                    </w:rPr>
                    <w:t>167</w:t>
                  </w:r>
                </w:p>
                <w:p w14:paraId="2780C00A">
                  <w:pPr>
                    <w:rPr>
                      <w:rFonts w:ascii="Times New Roman" w:hAnsi="Times New Roman" w:cs="Times New Roman"/>
                      <w:szCs w:val="21"/>
                    </w:rPr>
                  </w:pPr>
                  <w:r>
                    <w:rPr>
                      <w:rFonts w:ascii="Times New Roman" w:hAnsi="Times New Roman" w:cs="Times New Roman"/>
                      <w:szCs w:val="21"/>
                    </w:rPr>
                    <w:t>192</w:t>
                  </w:r>
                </w:p>
                <w:p w14:paraId="11540CF6">
                  <w:pPr>
                    <w:rPr>
                      <w:rFonts w:ascii="Times New Roman" w:hAnsi="Times New Roman" w:cs="Times New Roman"/>
                      <w:szCs w:val="21"/>
                    </w:rPr>
                  </w:pPr>
                  <w:r>
                    <w:rPr>
                      <w:rFonts w:ascii="Times New Roman" w:hAnsi="Times New Roman" w:cs="Times New Roman"/>
                      <w:szCs w:val="21"/>
                    </w:rPr>
                    <w:t>200</w:t>
                  </w:r>
                </w:p>
              </w:tc>
            </w:tr>
            <w:tr w14:paraId="7977A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Pr>
                <w:p w14:paraId="7602CE22">
                  <w:pPr>
                    <w:rPr>
                      <w:rFonts w:ascii="Times New Roman" w:hAnsi="Times New Roman" w:cs="Times New Roman"/>
                      <w:szCs w:val="21"/>
                    </w:rPr>
                  </w:pPr>
                  <w:r>
                    <w:rPr>
                      <w:rFonts w:ascii="Times New Roman" w:hAnsi="Times New Roman" w:cs="Times New Roman"/>
                      <w:szCs w:val="21"/>
                    </w:rPr>
                    <w:t>8</w:t>
                  </w:r>
                </w:p>
              </w:tc>
              <w:tc>
                <w:tcPr>
                  <w:tcW w:w="5603" w:type="dxa"/>
                </w:tcPr>
                <w:p w14:paraId="64AAF119">
                  <w:pPr>
                    <w:rPr>
                      <w:rFonts w:ascii="Times New Roman" w:hAnsi="Times New Roman" w:cs="Times New Roman"/>
                      <w:szCs w:val="21"/>
                    </w:rPr>
                  </w:pPr>
                  <w:r>
                    <w:rPr>
                      <w:rFonts w:ascii="Times New Roman" w:hAnsi="Times New Roman" w:cs="Times New Roman"/>
                      <w:szCs w:val="21"/>
                    </w:rPr>
                    <w:t>芳烃含量（体积分数）/%</w:t>
                  </w:r>
                </w:p>
              </w:tc>
              <w:tc>
                <w:tcPr>
                  <w:tcW w:w="1724" w:type="dxa"/>
                </w:tcPr>
                <w:p w14:paraId="0CF04AF0">
                  <w:pPr>
                    <w:rPr>
                      <w:rFonts w:ascii="Times New Roman" w:hAnsi="Times New Roman" w:cs="Times New Roman"/>
                      <w:szCs w:val="21"/>
                    </w:rPr>
                  </w:pPr>
                  <w:r>
                    <w:rPr>
                      <w:rFonts w:ascii="Times New Roman" w:hAnsi="Times New Roman" w:cs="Times New Roman"/>
                      <w:szCs w:val="21"/>
                    </w:rPr>
                    <w:t>97</w:t>
                  </w:r>
                </w:p>
              </w:tc>
            </w:tr>
            <w:tr w14:paraId="098E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Pr>
                <w:p w14:paraId="7D55E528">
                  <w:pPr>
                    <w:rPr>
                      <w:rFonts w:ascii="Times New Roman" w:hAnsi="Times New Roman" w:cs="Times New Roman"/>
                      <w:szCs w:val="21"/>
                    </w:rPr>
                  </w:pPr>
                  <w:r>
                    <w:rPr>
                      <w:rFonts w:ascii="Times New Roman" w:hAnsi="Times New Roman" w:cs="Times New Roman"/>
                      <w:szCs w:val="21"/>
                    </w:rPr>
                    <w:t>9</w:t>
                  </w:r>
                </w:p>
              </w:tc>
              <w:tc>
                <w:tcPr>
                  <w:tcW w:w="5603" w:type="dxa"/>
                </w:tcPr>
                <w:p w14:paraId="63451D73">
                  <w:pPr>
                    <w:rPr>
                      <w:rFonts w:ascii="Times New Roman" w:hAnsi="Times New Roman" w:cs="Times New Roman"/>
                      <w:szCs w:val="21"/>
                    </w:rPr>
                  </w:pPr>
                  <w:r>
                    <w:rPr>
                      <w:rFonts w:ascii="Times New Roman" w:hAnsi="Times New Roman" w:cs="Times New Roman"/>
                      <w:szCs w:val="21"/>
                    </w:rPr>
                    <w:t>烯烃含量（体积分数）/%</w:t>
                  </w:r>
                </w:p>
              </w:tc>
              <w:tc>
                <w:tcPr>
                  <w:tcW w:w="1724" w:type="dxa"/>
                </w:tcPr>
                <w:p w14:paraId="6D87B099">
                  <w:pPr>
                    <w:rPr>
                      <w:rFonts w:ascii="Times New Roman" w:hAnsi="Times New Roman" w:cs="Times New Roman"/>
                      <w:szCs w:val="21"/>
                    </w:rPr>
                  </w:pPr>
                  <w:r>
                    <w:rPr>
                      <w:rFonts w:ascii="Times New Roman" w:hAnsi="Times New Roman" w:cs="Times New Roman"/>
                      <w:szCs w:val="21"/>
                    </w:rPr>
                    <w:t>3</w:t>
                  </w:r>
                </w:p>
              </w:tc>
            </w:tr>
            <w:tr w14:paraId="30412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Pr>
                <w:p w14:paraId="455002D6">
                  <w:pPr>
                    <w:rPr>
                      <w:rFonts w:ascii="Times New Roman" w:hAnsi="Times New Roman" w:cs="Times New Roman"/>
                      <w:szCs w:val="21"/>
                    </w:rPr>
                  </w:pPr>
                  <w:r>
                    <w:rPr>
                      <w:rFonts w:ascii="Times New Roman" w:hAnsi="Times New Roman" w:cs="Times New Roman"/>
                      <w:szCs w:val="21"/>
                    </w:rPr>
                    <w:t>10</w:t>
                  </w:r>
                </w:p>
              </w:tc>
              <w:tc>
                <w:tcPr>
                  <w:tcW w:w="5603" w:type="dxa"/>
                </w:tcPr>
                <w:p w14:paraId="2989B518">
                  <w:pPr>
                    <w:rPr>
                      <w:rFonts w:ascii="Times New Roman" w:hAnsi="Times New Roman" w:cs="Times New Roman"/>
                      <w:szCs w:val="21"/>
                    </w:rPr>
                  </w:pPr>
                  <w:r>
                    <w:rPr>
                      <w:rFonts w:ascii="Times New Roman" w:hAnsi="Times New Roman" w:cs="Times New Roman"/>
                      <w:szCs w:val="21"/>
                    </w:rPr>
                    <w:t>硅含量 /（g/L）</w:t>
                  </w:r>
                </w:p>
              </w:tc>
              <w:tc>
                <w:tcPr>
                  <w:tcW w:w="1724" w:type="dxa"/>
                </w:tcPr>
                <w:p w14:paraId="22F51C08">
                  <w:pPr>
                    <w:rPr>
                      <w:rFonts w:ascii="Times New Roman" w:hAnsi="Times New Roman" w:cs="Times New Roman"/>
                      <w:szCs w:val="21"/>
                    </w:rPr>
                  </w:pPr>
                  <w:r>
                    <w:rPr>
                      <w:rFonts w:ascii="Times New Roman" w:hAnsi="Times New Roman" w:cs="Times New Roman"/>
                      <w:szCs w:val="21"/>
                    </w:rPr>
                    <w:t>未检出</w:t>
                  </w:r>
                </w:p>
              </w:tc>
            </w:tr>
          </w:tbl>
          <w:p w14:paraId="7DDA4285">
            <w:pPr>
              <w:adjustRightInd w:val="0"/>
              <w:snapToGrid w:val="0"/>
              <w:ind w:firstLine="480" w:firstLineChars="200"/>
              <w:rPr>
                <w:rFonts w:ascii="Times New Roman" w:hAnsi="Times New Roman" w:cs="Times New Roman"/>
                <w:bCs/>
              </w:rPr>
            </w:pPr>
          </w:p>
          <w:p w14:paraId="63DB94BC">
            <w:pPr>
              <w:adjustRightInd w:val="0"/>
              <w:snapToGrid w:val="0"/>
              <w:ind w:firstLine="442" w:firstLineChars="200"/>
              <w:jc w:val="center"/>
              <w:rPr>
                <w:rFonts w:ascii="Times New Roman" w:hAnsi="Times New Roman" w:cs="Times New Roman"/>
                <w:b/>
              </w:rPr>
            </w:pPr>
            <w:r>
              <w:rPr>
                <w:rFonts w:ascii="Times New Roman" w:hAnsi="Times New Roman" w:cs="Times New Roman"/>
                <w:b/>
                <w:spacing w:val="-10"/>
                <w:szCs w:val="21"/>
              </w:rPr>
              <w:t>表2-11  十六烷值改进剂性质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4105"/>
              <w:gridCol w:w="2645"/>
            </w:tblGrid>
            <w:tr w14:paraId="36885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347D252F">
                  <w:pPr>
                    <w:adjustRightInd w:val="0"/>
                    <w:snapToGrid w:val="0"/>
                    <w:spacing w:line="360" w:lineRule="auto"/>
                    <w:rPr>
                      <w:rFonts w:ascii="Times New Roman" w:hAnsi="Times New Roman" w:cs="Times New Roman"/>
                      <w:b/>
                    </w:rPr>
                  </w:pPr>
                  <w:r>
                    <w:rPr>
                      <w:rFonts w:ascii="Times New Roman" w:hAnsi="Times New Roman" w:cs="Times New Roman"/>
                      <w:b/>
                      <w:bCs/>
                    </w:rPr>
                    <w:t>序号</w:t>
                  </w:r>
                </w:p>
              </w:tc>
              <w:tc>
                <w:tcPr>
                  <w:tcW w:w="4105" w:type="dxa"/>
                  <w:vAlign w:val="center"/>
                </w:tcPr>
                <w:p w14:paraId="40084BE0">
                  <w:pPr>
                    <w:adjustRightInd w:val="0"/>
                    <w:snapToGrid w:val="0"/>
                    <w:spacing w:line="360" w:lineRule="auto"/>
                    <w:rPr>
                      <w:rFonts w:ascii="Times New Roman" w:hAnsi="Times New Roman" w:cs="Times New Roman"/>
                      <w:b/>
                    </w:rPr>
                  </w:pPr>
                  <w:r>
                    <w:rPr>
                      <w:rFonts w:ascii="Times New Roman" w:hAnsi="Times New Roman" w:cs="Times New Roman"/>
                      <w:b/>
                      <w:bCs/>
                    </w:rPr>
                    <w:t>项  目</w:t>
                  </w:r>
                </w:p>
              </w:tc>
              <w:tc>
                <w:tcPr>
                  <w:tcW w:w="2645" w:type="dxa"/>
                  <w:vAlign w:val="center"/>
                </w:tcPr>
                <w:p w14:paraId="19539503">
                  <w:pPr>
                    <w:adjustRightInd w:val="0"/>
                    <w:snapToGrid w:val="0"/>
                    <w:spacing w:line="360" w:lineRule="auto"/>
                    <w:rPr>
                      <w:rFonts w:ascii="Times New Roman" w:hAnsi="Times New Roman" w:cs="Times New Roman"/>
                      <w:b/>
                    </w:rPr>
                  </w:pPr>
                  <w:r>
                    <w:rPr>
                      <w:rFonts w:ascii="Times New Roman" w:hAnsi="Times New Roman" w:cs="Times New Roman"/>
                      <w:b/>
                      <w:bCs/>
                    </w:rPr>
                    <w:t>指 标</w:t>
                  </w:r>
                </w:p>
              </w:tc>
            </w:tr>
            <w:tr w14:paraId="6026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2761BE00">
                  <w:pPr>
                    <w:adjustRightInd w:val="0"/>
                    <w:snapToGrid w:val="0"/>
                    <w:spacing w:line="360" w:lineRule="auto"/>
                    <w:rPr>
                      <w:rFonts w:ascii="Times New Roman" w:hAnsi="Times New Roman" w:cs="Times New Roman"/>
                      <w:b/>
                    </w:rPr>
                  </w:pPr>
                  <w:r>
                    <w:rPr>
                      <w:rFonts w:ascii="Times New Roman" w:hAnsi="Times New Roman" w:cs="Times New Roman"/>
                    </w:rPr>
                    <w:t>1</w:t>
                  </w:r>
                </w:p>
              </w:tc>
              <w:tc>
                <w:tcPr>
                  <w:tcW w:w="4105" w:type="dxa"/>
                  <w:vAlign w:val="center"/>
                </w:tcPr>
                <w:p w14:paraId="6BC2DD4A">
                  <w:pPr>
                    <w:adjustRightInd w:val="0"/>
                    <w:snapToGrid w:val="0"/>
                    <w:spacing w:line="360" w:lineRule="auto"/>
                    <w:rPr>
                      <w:rFonts w:ascii="Times New Roman" w:hAnsi="Times New Roman" w:cs="Times New Roman"/>
                      <w:b/>
                    </w:rPr>
                  </w:pPr>
                  <w:r>
                    <w:rPr>
                      <w:rFonts w:ascii="Times New Roman" w:hAnsi="Times New Roman" w:cs="Times New Roman"/>
                    </w:rPr>
                    <w:t>外观</w:t>
                  </w:r>
                </w:p>
              </w:tc>
              <w:tc>
                <w:tcPr>
                  <w:tcW w:w="2645" w:type="dxa"/>
                  <w:vAlign w:val="center"/>
                </w:tcPr>
                <w:p w14:paraId="2DB0512D">
                  <w:pPr>
                    <w:adjustRightInd w:val="0"/>
                    <w:snapToGrid w:val="0"/>
                    <w:spacing w:line="360" w:lineRule="auto"/>
                    <w:rPr>
                      <w:rFonts w:ascii="Times New Roman" w:hAnsi="Times New Roman" w:cs="Times New Roman"/>
                      <w:b/>
                    </w:rPr>
                  </w:pPr>
                  <w:r>
                    <w:rPr>
                      <w:rFonts w:ascii="Times New Roman" w:hAnsi="Times New Roman" w:cs="Times New Roman"/>
                    </w:rPr>
                    <w:t>无色至浅黄色透明液体</w:t>
                  </w:r>
                </w:p>
              </w:tc>
            </w:tr>
            <w:tr w14:paraId="4DAB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51EDEBE8">
                  <w:pPr>
                    <w:adjustRightInd w:val="0"/>
                    <w:snapToGrid w:val="0"/>
                    <w:spacing w:line="360" w:lineRule="auto"/>
                    <w:rPr>
                      <w:rFonts w:ascii="Times New Roman" w:hAnsi="Times New Roman" w:cs="Times New Roman"/>
                      <w:b/>
                    </w:rPr>
                  </w:pPr>
                  <w:r>
                    <w:rPr>
                      <w:rFonts w:ascii="Times New Roman" w:hAnsi="Times New Roman" w:cs="Times New Roman"/>
                    </w:rPr>
                    <w:t>2</w:t>
                  </w:r>
                </w:p>
              </w:tc>
              <w:tc>
                <w:tcPr>
                  <w:tcW w:w="4105" w:type="dxa"/>
                  <w:vAlign w:val="center"/>
                </w:tcPr>
                <w:p w14:paraId="2F7FF3AE">
                  <w:pPr>
                    <w:adjustRightInd w:val="0"/>
                    <w:snapToGrid w:val="0"/>
                    <w:spacing w:line="360" w:lineRule="auto"/>
                    <w:rPr>
                      <w:rFonts w:ascii="Times New Roman" w:hAnsi="Times New Roman" w:cs="Times New Roman"/>
                      <w:b/>
                    </w:rPr>
                  </w:pPr>
                  <w:r>
                    <w:rPr>
                      <w:rFonts w:ascii="Times New Roman" w:hAnsi="Times New Roman" w:cs="Times New Roman"/>
                    </w:rPr>
                    <w:t>密度（20℃），g/cm³</w:t>
                  </w:r>
                </w:p>
              </w:tc>
              <w:tc>
                <w:tcPr>
                  <w:tcW w:w="2645" w:type="dxa"/>
                  <w:vAlign w:val="center"/>
                </w:tcPr>
                <w:p w14:paraId="5AB4303A">
                  <w:pPr>
                    <w:adjustRightInd w:val="0"/>
                    <w:snapToGrid w:val="0"/>
                    <w:spacing w:line="360" w:lineRule="auto"/>
                    <w:rPr>
                      <w:rFonts w:ascii="Times New Roman" w:hAnsi="Times New Roman" w:cs="Times New Roman"/>
                      <w:b/>
                    </w:rPr>
                  </w:pPr>
                  <w:r>
                    <w:rPr>
                      <w:rFonts w:ascii="Times New Roman" w:hAnsi="Times New Roman" w:cs="Times New Roman"/>
                    </w:rPr>
                    <w:t>0.90～1.00</w:t>
                  </w:r>
                </w:p>
              </w:tc>
            </w:tr>
            <w:tr w14:paraId="6DE05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366AEBA8">
                  <w:pPr>
                    <w:adjustRightInd w:val="0"/>
                    <w:snapToGrid w:val="0"/>
                    <w:spacing w:line="360" w:lineRule="auto"/>
                    <w:rPr>
                      <w:rFonts w:ascii="Times New Roman" w:hAnsi="Times New Roman" w:cs="Times New Roman"/>
                      <w:b/>
                    </w:rPr>
                  </w:pPr>
                  <w:r>
                    <w:rPr>
                      <w:rFonts w:ascii="Times New Roman" w:hAnsi="Times New Roman" w:cs="Times New Roman"/>
                    </w:rPr>
                    <w:t>3</w:t>
                  </w:r>
                </w:p>
              </w:tc>
              <w:tc>
                <w:tcPr>
                  <w:tcW w:w="4105" w:type="dxa"/>
                  <w:vAlign w:val="center"/>
                </w:tcPr>
                <w:p w14:paraId="3EDF6D83">
                  <w:pPr>
                    <w:adjustRightInd w:val="0"/>
                    <w:snapToGrid w:val="0"/>
                    <w:spacing w:line="360" w:lineRule="auto"/>
                    <w:rPr>
                      <w:rFonts w:ascii="Times New Roman" w:hAnsi="Times New Roman" w:cs="Times New Roman"/>
                      <w:b/>
                    </w:rPr>
                  </w:pPr>
                  <w:r>
                    <w:rPr>
                      <w:rFonts w:ascii="Times New Roman" w:hAnsi="Times New Roman" w:cs="Times New Roman"/>
                    </w:rPr>
                    <w:t>闪点，℃</w:t>
                  </w:r>
                </w:p>
              </w:tc>
              <w:tc>
                <w:tcPr>
                  <w:tcW w:w="2645" w:type="dxa"/>
                  <w:vAlign w:val="center"/>
                </w:tcPr>
                <w:p w14:paraId="1C79207F">
                  <w:pPr>
                    <w:adjustRightInd w:val="0"/>
                    <w:snapToGrid w:val="0"/>
                    <w:spacing w:line="360" w:lineRule="auto"/>
                    <w:rPr>
                      <w:rFonts w:ascii="Times New Roman" w:hAnsi="Times New Roman" w:cs="Times New Roman"/>
                      <w:b/>
                    </w:rPr>
                  </w:pPr>
                  <w:r>
                    <w:rPr>
                      <w:rFonts w:ascii="Times New Roman" w:hAnsi="Times New Roman" w:cs="Times New Roman"/>
                    </w:rPr>
                    <w:t>≥70</w:t>
                  </w:r>
                </w:p>
              </w:tc>
            </w:tr>
            <w:tr w14:paraId="5A15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535565A3">
                  <w:pPr>
                    <w:adjustRightInd w:val="0"/>
                    <w:snapToGrid w:val="0"/>
                    <w:spacing w:line="360" w:lineRule="auto"/>
                    <w:rPr>
                      <w:rFonts w:ascii="Times New Roman" w:hAnsi="Times New Roman" w:cs="Times New Roman"/>
                      <w:b/>
                    </w:rPr>
                  </w:pPr>
                  <w:r>
                    <w:rPr>
                      <w:rFonts w:ascii="Times New Roman" w:hAnsi="Times New Roman" w:cs="Times New Roman"/>
                    </w:rPr>
                    <w:t>4</w:t>
                  </w:r>
                </w:p>
              </w:tc>
              <w:tc>
                <w:tcPr>
                  <w:tcW w:w="4105" w:type="dxa"/>
                  <w:vAlign w:val="center"/>
                </w:tcPr>
                <w:p w14:paraId="0E29028C">
                  <w:pPr>
                    <w:adjustRightInd w:val="0"/>
                    <w:snapToGrid w:val="0"/>
                    <w:spacing w:line="360" w:lineRule="auto"/>
                    <w:rPr>
                      <w:rFonts w:ascii="Times New Roman" w:hAnsi="Times New Roman" w:cs="Times New Roman"/>
                      <w:b/>
                    </w:rPr>
                  </w:pPr>
                  <w:r>
                    <w:rPr>
                      <w:rFonts w:ascii="Times New Roman" w:hAnsi="Times New Roman" w:cs="Times New Roman"/>
                    </w:rPr>
                    <w:t>粘度（20）m㎡/s</w:t>
                  </w:r>
                </w:p>
              </w:tc>
              <w:tc>
                <w:tcPr>
                  <w:tcW w:w="2645" w:type="dxa"/>
                  <w:vAlign w:val="center"/>
                </w:tcPr>
                <w:p w14:paraId="565370A7">
                  <w:pPr>
                    <w:adjustRightInd w:val="0"/>
                    <w:snapToGrid w:val="0"/>
                    <w:spacing w:line="360" w:lineRule="auto"/>
                    <w:rPr>
                      <w:rFonts w:ascii="Times New Roman" w:hAnsi="Times New Roman" w:cs="Times New Roman"/>
                      <w:b/>
                    </w:rPr>
                  </w:pPr>
                  <w:r>
                    <w:rPr>
                      <w:rFonts w:ascii="Times New Roman" w:hAnsi="Times New Roman" w:cs="Times New Roman"/>
                    </w:rPr>
                    <w:t>1.75</w:t>
                  </w:r>
                </w:p>
              </w:tc>
            </w:tr>
            <w:tr w14:paraId="2DFD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080AE044">
                  <w:pPr>
                    <w:adjustRightInd w:val="0"/>
                    <w:snapToGrid w:val="0"/>
                    <w:spacing w:line="360" w:lineRule="auto"/>
                    <w:rPr>
                      <w:rFonts w:ascii="Times New Roman" w:hAnsi="Times New Roman" w:cs="Times New Roman"/>
                      <w:b/>
                    </w:rPr>
                  </w:pPr>
                  <w:r>
                    <w:rPr>
                      <w:rFonts w:ascii="Times New Roman" w:hAnsi="Times New Roman" w:cs="Times New Roman"/>
                    </w:rPr>
                    <w:t>5</w:t>
                  </w:r>
                </w:p>
              </w:tc>
              <w:tc>
                <w:tcPr>
                  <w:tcW w:w="4105" w:type="dxa"/>
                  <w:vAlign w:val="center"/>
                </w:tcPr>
                <w:p w14:paraId="244A3BCA">
                  <w:pPr>
                    <w:adjustRightInd w:val="0"/>
                    <w:snapToGrid w:val="0"/>
                    <w:spacing w:line="360" w:lineRule="auto"/>
                    <w:rPr>
                      <w:rFonts w:ascii="Times New Roman" w:hAnsi="Times New Roman" w:cs="Times New Roman"/>
                      <w:b/>
                    </w:rPr>
                  </w:pPr>
                  <w:r>
                    <w:rPr>
                      <w:rFonts w:ascii="Times New Roman" w:hAnsi="Times New Roman" w:cs="Times New Roman"/>
                    </w:rPr>
                    <w:t>水分%（m/m）</w:t>
                  </w:r>
                </w:p>
              </w:tc>
              <w:tc>
                <w:tcPr>
                  <w:tcW w:w="2645" w:type="dxa"/>
                  <w:vAlign w:val="center"/>
                </w:tcPr>
                <w:p w14:paraId="4EE478DE">
                  <w:pPr>
                    <w:adjustRightInd w:val="0"/>
                    <w:snapToGrid w:val="0"/>
                    <w:spacing w:line="360" w:lineRule="auto"/>
                    <w:rPr>
                      <w:rFonts w:ascii="Times New Roman" w:hAnsi="Times New Roman" w:cs="Times New Roman"/>
                      <w:b/>
                    </w:rPr>
                  </w:pPr>
                  <w:r>
                    <w:rPr>
                      <w:rFonts w:ascii="Times New Roman" w:hAnsi="Times New Roman" w:cs="Times New Roman"/>
                    </w:rPr>
                    <w:t>0.05</w:t>
                  </w:r>
                </w:p>
              </w:tc>
            </w:tr>
          </w:tbl>
          <w:p w14:paraId="0066ABD2">
            <w:pPr>
              <w:adjustRightInd w:val="0"/>
              <w:snapToGrid w:val="0"/>
              <w:spacing w:line="360" w:lineRule="auto"/>
              <w:rPr>
                <w:rFonts w:ascii="Times New Roman" w:hAnsi="Times New Roman" w:cs="Times New Roman"/>
                <w:b/>
              </w:rPr>
            </w:pPr>
          </w:p>
          <w:p w14:paraId="394A8B4D">
            <w:pPr>
              <w:adjustRightInd w:val="0"/>
              <w:snapToGrid w:val="0"/>
              <w:ind w:firstLine="442" w:firstLineChars="200"/>
              <w:jc w:val="center"/>
              <w:rPr>
                <w:rFonts w:ascii="Times New Roman" w:hAnsi="Times New Roman" w:cs="Times New Roman"/>
                <w:b/>
                <w:spacing w:val="-10"/>
                <w:szCs w:val="21"/>
              </w:rPr>
            </w:pPr>
            <w:r>
              <w:rPr>
                <w:rFonts w:ascii="Times New Roman" w:hAnsi="Times New Roman" w:cs="Times New Roman"/>
                <w:b/>
                <w:spacing w:val="-10"/>
                <w:szCs w:val="21"/>
              </w:rPr>
              <w:t>表2-12  抗磨剂性质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4105"/>
              <w:gridCol w:w="2645"/>
            </w:tblGrid>
            <w:tr w14:paraId="47FA5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5D10AD1A">
                  <w:pPr>
                    <w:adjustRightInd w:val="0"/>
                    <w:snapToGrid w:val="0"/>
                    <w:jc w:val="center"/>
                    <w:rPr>
                      <w:rFonts w:ascii="Times New Roman" w:hAnsi="Times New Roman" w:cs="Times New Roman"/>
                      <w:b/>
                    </w:rPr>
                  </w:pPr>
                  <w:r>
                    <w:rPr>
                      <w:rFonts w:ascii="Times New Roman" w:hAnsi="Times New Roman" w:cs="Times New Roman"/>
                      <w:b/>
                      <w:bCs/>
                    </w:rPr>
                    <w:t>序号</w:t>
                  </w:r>
                </w:p>
              </w:tc>
              <w:tc>
                <w:tcPr>
                  <w:tcW w:w="4105" w:type="dxa"/>
                  <w:vAlign w:val="center"/>
                </w:tcPr>
                <w:p w14:paraId="63CD9E80">
                  <w:pPr>
                    <w:adjustRightInd w:val="0"/>
                    <w:snapToGrid w:val="0"/>
                    <w:jc w:val="center"/>
                    <w:rPr>
                      <w:rFonts w:ascii="Times New Roman" w:hAnsi="Times New Roman" w:cs="Times New Roman"/>
                      <w:b/>
                    </w:rPr>
                  </w:pPr>
                  <w:r>
                    <w:rPr>
                      <w:rFonts w:ascii="Times New Roman" w:hAnsi="Times New Roman" w:cs="Times New Roman"/>
                      <w:b/>
                      <w:bCs/>
                    </w:rPr>
                    <w:t>项 目</w:t>
                  </w:r>
                </w:p>
              </w:tc>
              <w:tc>
                <w:tcPr>
                  <w:tcW w:w="2645" w:type="dxa"/>
                  <w:vAlign w:val="center"/>
                </w:tcPr>
                <w:p w14:paraId="62468F75">
                  <w:pPr>
                    <w:adjustRightInd w:val="0"/>
                    <w:snapToGrid w:val="0"/>
                    <w:jc w:val="center"/>
                    <w:rPr>
                      <w:rFonts w:ascii="Times New Roman" w:hAnsi="Times New Roman" w:cs="Times New Roman"/>
                      <w:b/>
                    </w:rPr>
                  </w:pPr>
                  <w:r>
                    <w:rPr>
                      <w:rFonts w:ascii="Times New Roman" w:hAnsi="Times New Roman" w:cs="Times New Roman"/>
                      <w:b/>
                      <w:bCs/>
                    </w:rPr>
                    <w:t>质量指标</w:t>
                  </w:r>
                </w:p>
              </w:tc>
            </w:tr>
            <w:tr w14:paraId="28498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6A133DDA">
                  <w:pPr>
                    <w:adjustRightInd w:val="0"/>
                    <w:snapToGrid w:val="0"/>
                    <w:jc w:val="center"/>
                    <w:rPr>
                      <w:rFonts w:ascii="Times New Roman" w:hAnsi="Times New Roman" w:cs="Times New Roman"/>
                      <w:b/>
                    </w:rPr>
                  </w:pPr>
                  <w:r>
                    <w:rPr>
                      <w:rFonts w:ascii="Times New Roman" w:hAnsi="Times New Roman" w:cs="Times New Roman"/>
                    </w:rPr>
                    <w:t>1</w:t>
                  </w:r>
                </w:p>
              </w:tc>
              <w:tc>
                <w:tcPr>
                  <w:tcW w:w="4105" w:type="dxa"/>
                  <w:vAlign w:val="center"/>
                </w:tcPr>
                <w:p w14:paraId="7F38D4EB">
                  <w:pPr>
                    <w:adjustRightInd w:val="0"/>
                    <w:snapToGrid w:val="0"/>
                    <w:jc w:val="center"/>
                    <w:rPr>
                      <w:rFonts w:ascii="Times New Roman" w:hAnsi="Times New Roman" w:cs="Times New Roman"/>
                      <w:b/>
                    </w:rPr>
                  </w:pPr>
                  <w:r>
                    <w:rPr>
                      <w:rFonts w:ascii="Times New Roman" w:hAnsi="Times New Roman" w:cs="Times New Roman"/>
                    </w:rPr>
                    <w:t>酸值/（ngKOH/g）</w:t>
                  </w:r>
                </w:p>
              </w:tc>
              <w:tc>
                <w:tcPr>
                  <w:tcW w:w="2645" w:type="dxa"/>
                  <w:vAlign w:val="center"/>
                </w:tcPr>
                <w:p w14:paraId="424D3DD2">
                  <w:pPr>
                    <w:adjustRightInd w:val="0"/>
                    <w:snapToGrid w:val="0"/>
                    <w:jc w:val="center"/>
                    <w:rPr>
                      <w:rFonts w:ascii="Times New Roman" w:hAnsi="Times New Roman" w:cs="Times New Roman"/>
                      <w:b/>
                    </w:rPr>
                  </w:pPr>
                  <w:r>
                    <w:rPr>
                      <w:rFonts w:ascii="Times New Roman" w:hAnsi="Times New Roman" w:cs="Times New Roman"/>
                    </w:rPr>
                    <w:t>170~210</w:t>
                  </w:r>
                </w:p>
              </w:tc>
            </w:tr>
            <w:tr w14:paraId="4A22B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276422E2">
                  <w:pPr>
                    <w:adjustRightInd w:val="0"/>
                    <w:snapToGrid w:val="0"/>
                    <w:jc w:val="center"/>
                    <w:rPr>
                      <w:rFonts w:ascii="Times New Roman" w:hAnsi="Times New Roman" w:cs="Times New Roman"/>
                      <w:b/>
                    </w:rPr>
                  </w:pPr>
                  <w:r>
                    <w:rPr>
                      <w:rFonts w:ascii="Times New Roman" w:hAnsi="Times New Roman" w:cs="Times New Roman"/>
                    </w:rPr>
                    <w:t>2</w:t>
                  </w:r>
                </w:p>
              </w:tc>
              <w:tc>
                <w:tcPr>
                  <w:tcW w:w="4105" w:type="dxa"/>
                  <w:vAlign w:val="center"/>
                </w:tcPr>
                <w:p w14:paraId="479B0D72">
                  <w:pPr>
                    <w:adjustRightInd w:val="0"/>
                    <w:snapToGrid w:val="0"/>
                    <w:jc w:val="center"/>
                    <w:rPr>
                      <w:rFonts w:ascii="Times New Roman" w:hAnsi="Times New Roman" w:cs="Times New Roman"/>
                      <w:b/>
                    </w:rPr>
                  </w:pPr>
                  <w:r>
                    <w:rPr>
                      <w:rFonts w:ascii="Times New Roman" w:hAnsi="Times New Roman" w:cs="Times New Roman"/>
                    </w:rPr>
                    <w:t>凝点/℃                                                   不高于</w:t>
                  </w:r>
                </w:p>
              </w:tc>
              <w:tc>
                <w:tcPr>
                  <w:tcW w:w="2645" w:type="dxa"/>
                  <w:vAlign w:val="center"/>
                </w:tcPr>
                <w:p w14:paraId="225FA3FC">
                  <w:pPr>
                    <w:adjustRightInd w:val="0"/>
                    <w:snapToGrid w:val="0"/>
                    <w:jc w:val="center"/>
                    <w:rPr>
                      <w:rFonts w:ascii="Times New Roman" w:hAnsi="Times New Roman" w:cs="Times New Roman"/>
                      <w:b/>
                    </w:rPr>
                  </w:pPr>
                  <w:r>
                    <w:rPr>
                      <w:rFonts w:ascii="Times New Roman" w:hAnsi="Times New Roman" w:cs="Times New Roman"/>
                    </w:rPr>
                    <w:t>-12</w:t>
                  </w:r>
                </w:p>
              </w:tc>
            </w:tr>
            <w:tr w14:paraId="2DE3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31F91124">
                  <w:pPr>
                    <w:adjustRightInd w:val="0"/>
                    <w:snapToGrid w:val="0"/>
                    <w:jc w:val="center"/>
                    <w:rPr>
                      <w:rFonts w:ascii="Times New Roman" w:hAnsi="Times New Roman" w:cs="Times New Roman"/>
                      <w:b/>
                    </w:rPr>
                  </w:pPr>
                  <w:r>
                    <w:rPr>
                      <w:rFonts w:ascii="Times New Roman" w:hAnsi="Times New Roman" w:cs="Times New Roman"/>
                    </w:rPr>
                    <w:t>3</w:t>
                  </w:r>
                </w:p>
              </w:tc>
              <w:tc>
                <w:tcPr>
                  <w:tcW w:w="4105" w:type="dxa"/>
                  <w:vAlign w:val="center"/>
                </w:tcPr>
                <w:p w14:paraId="3B137150">
                  <w:pPr>
                    <w:adjustRightInd w:val="0"/>
                    <w:snapToGrid w:val="0"/>
                    <w:jc w:val="center"/>
                    <w:rPr>
                      <w:rFonts w:ascii="Times New Roman" w:hAnsi="Times New Roman" w:cs="Times New Roman"/>
                      <w:b/>
                    </w:rPr>
                  </w:pPr>
                  <w:r>
                    <w:rPr>
                      <w:rFonts w:ascii="Times New Roman" w:hAnsi="Times New Roman" w:cs="Times New Roman"/>
                    </w:rPr>
                    <w:t>浊点/℃                                                   不高于</w:t>
                  </w:r>
                </w:p>
              </w:tc>
              <w:tc>
                <w:tcPr>
                  <w:tcW w:w="2645" w:type="dxa"/>
                  <w:vAlign w:val="center"/>
                </w:tcPr>
                <w:p w14:paraId="73EEDEBB">
                  <w:pPr>
                    <w:adjustRightInd w:val="0"/>
                    <w:snapToGrid w:val="0"/>
                    <w:jc w:val="center"/>
                    <w:rPr>
                      <w:rFonts w:ascii="Times New Roman" w:hAnsi="Times New Roman" w:cs="Times New Roman"/>
                      <w:b/>
                    </w:rPr>
                  </w:pPr>
                  <w:r>
                    <w:rPr>
                      <w:rFonts w:ascii="Times New Roman" w:hAnsi="Times New Roman" w:cs="Times New Roman"/>
                    </w:rPr>
                    <w:t>-10</w:t>
                  </w:r>
                </w:p>
              </w:tc>
            </w:tr>
            <w:tr w14:paraId="2EA0D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0E057DDE">
                  <w:pPr>
                    <w:adjustRightInd w:val="0"/>
                    <w:snapToGrid w:val="0"/>
                    <w:jc w:val="center"/>
                    <w:rPr>
                      <w:rFonts w:ascii="Times New Roman" w:hAnsi="Times New Roman" w:cs="Times New Roman"/>
                      <w:b/>
                    </w:rPr>
                  </w:pPr>
                  <w:r>
                    <w:rPr>
                      <w:rFonts w:ascii="Times New Roman" w:hAnsi="Times New Roman" w:cs="Times New Roman"/>
                    </w:rPr>
                    <w:t>4</w:t>
                  </w:r>
                </w:p>
              </w:tc>
              <w:tc>
                <w:tcPr>
                  <w:tcW w:w="4105" w:type="dxa"/>
                  <w:vAlign w:val="center"/>
                </w:tcPr>
                <w:p w14:paraId="03BA68FF">
                  <w:pPr>
                    <w:adjustRightInd w:val="0"/>
                    <w:snapToGrid w:val="0"/>
                    <w:jc w:val="center"/>
                    <w:rPr>
                      <w:rFonts w:ascii="Times New Roman" w:hAnsi="Times New Roman" w:cs="Times New Roman"/>
                      <w:b/>
                    </w:rPr>
                  </w:pPr>
                  <w:r>
                    <w:rPr>
                      <w:rFonts w:ascii="Times New Roman" w:hAnsi="Times New Roman" w:cs="Times New Roman"/>
                    </w:rPr>
                    <w:t>闪点（闭口）/℃                                           不低于</w:t>
                  </w:r>
                </w:p>
              </w:tc>
              <w:tc>
                <w:tcPr>
                  <w:tcW w:w="2645" w:type="dxa"/>
                  <w:vAlign w:val="center"/>
                </w:tcPr>
                <w:p w14:paraId="215AACB8">
                  <w:pPr>
                    <w:adjustRightInd w:val="0"/>
                    <w:snapToGrid w:val="0"/>
                    <w:jc w:val="center"/>
                    <w:rPr>
                      <w:rFonts w:ascii="Times New Roman" w:hAnsi="Times New Roman" w:cs="Times New Roman"/>
                      <w:b/>
                    </w:rPr>
                  </w:pPr>
                  <w:r>
                    <w:rPr>
                      <w:rFonts w:ascii="Times New Roman" w:hAnsi="Times New Roman" w:cs="Times New Roman"/>
                    </w:rPr>
                    <w:t>160</w:t>
                  </w:r>
                </w:p>
              </w:tc>
            </w:tr>
            <w:tr w14:paraId="69135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6C5F0683">
                  <w:pPr>
                    <w:adjustRightInd w:val="0"/>
                    <w:snapToGrid w:val="0"/>
                    <w:jc w:val="center"/>
                    <w:rPr>
                      <w:rFonts w:ascii="Times New Roman" w:hAnsi="Times New Roman" w:cs="Times New Roman"/>
                      <w:b/>
                    </w:rPr>
                  </w:pPr>
                  <w:r>
                    <w:rPr>
                      <w:rFonts w:ascii="Times New Roman" w:hAnsi="Times New Roman" w:cs="Times New Roman"/>
                    </w:rPr>
                    <w:t>5</w:t>
                  </w:r>
                </w:p>
              </w:tc>
              <w:tc>
                <w:tcPr>
                  <w:tcW w:w="4105" w:type="dxa"/>
                  <w:vAlign w:val="center"/>
                </w:tcPr>
                <w:p w14:paraId="1489CF92">
                  <w:pPr>
                    <w:adjustRightInd w:val="0"/>
                    <w:snapToGrid w:val="0"/>
                    <w:jc w:val="center"/>
                    <w:rPr>
                      <w:rFonts w:ascii="Times New Roman" w:hAnsi="Times New Roman" w:cs="Times New Roman"/>
                      <w:b/>
                    </w:rPr>
                  </w:pPr>
                  <w:r>
                    <w:rPr>
                      <w:rFonts w:ascii="Times New Roman" w:hAnsi="Times New Roman" w:cs="Times New Roman"/>
                    </w:rPr>
                    <w:t>密度（20℃）/（kg/m³）</w:t>
                  </w:r>
                </w:p>
              </w:tc>
              <w:tc>
                <w:tcPr>
                  <w:tcW w:w="2645" w:type="dxa"/>
                  <w:vAlign w:val="center"/>
                </w:tcPr>
                <w:p w14:paraId="05ECD0CF">
                  <w:pPr>
                    <w:adjustRightInd w:val="0"/>
                    <w:snapToGrid w:val="0"/>
                    <w:jc w:val="center"/>
                    <w:rPr>
                      <w:rFonts w:ascii="Times New Roman" w:hAnsi="Times New Roman" w:cs="Times New Roman"/>
                      <w:b/>
                    </w:rPr>
                  </w:pPr>
                  <w:r>
                    <w:rPr>
                      <w:rFonts w:ascii="Times New Roman" w:hAnsi="Times New Roman" w:cs="Times New Roman"/>
                    </w:rPr>
                    <w:t>报告</w:t>
                  </w:r>
                </w:p>
              </w:tc>
            </w:tr>
            <w:tr w14:paraId="6D560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25A0F1F5">
                  <w:pPr>
                    <w:adjustRightInd w:val="0"/>
                    <w:snapToGrid w:val="0"/>
                    <w:jc w:val="center"/>
                    <w:rPr>
                      <w:rFonts w:ascii="Times New Roman" w:hAnsi="Times New Roman" w:cs="Times New Roman"/>
                      <w:b/>
                    </w:rPr>
                  </w:pPr>
                  <w:r>
                    <w:rPr>
                      <w:rFonts w:ascii="Times New Roman" w:hAnsi="Times New Roman" w:cs="Times New Roman"/>
                    </w:rPr>
                    <w:t>6</w:t>
                  </w:r>
                </w:p>
              </w:tc>
              <w:tc>
                <w:tcPr>
                  <w:tcW w:w="4105" w:type="dxa"/>
                  <w:vAlign w:val="center"/>
                </w:tcPr>
                <w:p w14:paraId="2A6F1A53">
                  <w:pPr>
                    <w:adjustRightInd w:val="0"/>
                    <w:snapToGrid w:val="0"/>
                    <w:jc w:val="center"/>
                    <w:rPr>
                      <w:rFonts w:ascii="Times New Roman" w:hAnsi="Times New Roman" w:cs="Times New Roman"/>
                      <w:b/>
                    </w:rPr>
                  </w:pPr>
                  <w:r>
                    <w:rPr>
                      <w:rFonts w:ascii="Times New Roman" w:hAnsi="Times New Roman" w:cs="Times New Roman"/>
                    </w:rPr>
                    <w:t>运动黏度（40℃）/（mm²/s）</w:t>
                  </w:r>
                </w:p>
              </w:tc>
              <w:tc>
                <w:tcPr>
                  <w:tcW w:w="2645" w:type="dxa"/>
                  <w:vAlign w:val="center"/>
                </w:tcPr>
                <w:p w14:paraId="03519F39">
                  <w:pPr>
                    <w:adjustRightInd w:val="0"/>
                    <w:snapToGrid w:val="0"/>
                    <w:jc w:val="center"/>
                    <w:rPr>
                      <w:rFonts w:ascii="Times New Roman" w:hAnsi="Times New Roman" w:cs="Times New Roman"/>
                      <w:b/>
                    </w:rPr>
                  </w:pPr>
                  <w:r>
                    <w:rPr>
                      <w:rFonts w:ascii="Times New Roman" w:hAnsi="Times New Roman" w:cs="Times New Roman"/>
                    </w:rPr>
                    <w:t>报告</w:t>
                  </w:r>
                </w:p>
              </w:tc>
            </w:tr>
            <w:tr w14:paraId="5FC62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17AED74B">
                  <w:pPr>
                    <w:adjustRightInd w:val="0"/>
                    <w:snapToGrid w:val="0"/>
                    <w:jc w:val="center"/>
                    <w:rPr>
                      <w:rFonts w:ascii="Times New Roman" w:hAnsi="Times New Roman" w:cs="Times New Roman"/>
                      <w:b/>
                    </w:rPr>
                  </w:pPr>
                  <w:r>
                    <w:rPr>
                      <w:rFonts w:ascii="Times New Roman" w:hAnsi="Times New Roman" w:cs="Times New Roman"/>
                    </w:rPr>
                    <w:t>7</w:t>
                  </w:r>
                </w:p>
              </w:tc>
              <w:tc>
                <w:tcPr>
                  <w:tcW w:w="4105" w:type="dxa"/>
                  <w:vAlign w:val="center"/>
                </w:tcPr>
                <w:p w14:paraId="298620B4">
                  <w:pPr>
                    <w:adjustRightInd w:val="0"/>
                    <w:snapToGrid w:val="0"/>
                    <w:jc w:val="center"/>
                    <w:rPr>
                      <w:rFonts w:ascii="Times New Roman" w:hAnsi="Times New Roman" w:cs="Times New Roman"/>
                      <w:b/>
                    </w:rPr>
                  </w:pPr>
                  <w:r>
                    <w:rPr>
                      <w:rFonts w:ascii="Times New Roman" w:hAnsi="Times New Roman" w:cs="Times New Roman"/>
                    </w:rPr>
                    <w:t>氮含量/（mg/kg）                                          不大于</w:t>
                  </w:r>
                </w:p>
              </w:tc>
              <w:tc>
                <w:tcPr>
                  <w:tcW w:w="2645" w:type="dxa"/>
                  <w:vAlign w:val="center"/>
                </w:tcPr>
                <w:p w14:paraId="19A165AC">
                  <w:pPr>
                    <w:adjustRightInd w:val="0"/>
                    <w:snapToGrid w:val="0"/>
                    <w:jc w:val="center"/>
                    <w:rPr>
                      <w:rFonts w:ascii="Times New Roman" w:hAnsi="Times New Roman" w:cs="Times New Roman"/>
                      <w:b/>
                    </w:rPr>
                  </w:pPr>
                  <w:r>
                    <w:rPr>
                      <w:rFonts w:ascii="Times New Roman" w:hAnsi="Times New Roman" w:cs="Times New Roman"/>
                    </w:rPr>
                    <w:t>500</w:t>
                  </w:r>
                </w:p>
              </w:tc>
            </w:tr>
            <w:tr w14:paraId="453FA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vAlign w:val="center"/>
                </w:tcPr>
                <w:p w14:paraId="4FE6B6FD">
                  <w:pPr>
                    <w:adjustRightInd w:val="0"/>
                    <w:snapToGrid w:val="0"/>
                    <w:jc w:val="center"/>
                    <w:rPr>
                      <w:rFonts w:ascii="Times New Roman" w:hAnsi="Times New Roman" w:cs="Times New Roman"/>
                      <w:b/>
                    </w:rPr>
                  </w:pPr>
                  <w:r>
                    <w:rPr>
                      <w:rFonts w:ascii="Times New Roman" w:hAnsi="Times New Roman" w:cs="Times New Roman"/>
                    </w:rPr>
                    <w:t>8</w:t>
                  </w:r>
                </w:p>
              </w:tc>
              <w:tc>
                <w:tcPr>
                  <w:tcW w:w="4105" w:type="dxa"/>
                  <w:vAlign w:val="center"/>
                </w:tcPr>
                <w:p w14:paraId="6106DF0D">
                  <w:pPr>
                    <w:adjustRightInd w:val="0"/>
                    <w:snapToGrid w:val="0"/>
                    <w:jc w:val="center"/>
                    <w:rPr>
                      <w:rFonts w:ascii="Times New Roman" w:hAnsi="Times New Roman" w:cs="Times New Roman"/>
                      <w:b/>
                    </w:rPr>
                  </w:pPr>
                  <w:r>
                    <w:rPr>
                      <w:rFonts w:ascii="Times New Roman" w:hAnsi="Times New Roman" w:cs="Times New Roman"/>
                    </w:rPr>
                    <w:t>硫含量/（ng/kg）                                           不大于</w:t>
                  </w:r>
                </w:p>
              </w:tc>
              <w:tc>
                <w:tcPr>
                  <w:tcW w:w="2645" w:type="dxa"/>
                  <w:vAlign w:val="center"/>
                </w:tcPr>
                <w:p w14:paraId="5FA7D913">
                  <w:pPr>
                    <w:adjustRightInd w:val="0"/>
                    <w:snapToGrid w:val="0"/>
                    <w:jc w:val="center"/>
                    <w:rPr>
                      <w:rFonts w:ascii="Times New Roman" w:hAnsi="Times New Roman" w:cs="Times New Roman"/>
                      <w:b/>
                    </w:rPr>
                  </w:pPr>
                  <w:r>
                    <w:rPr>
                      <w:rFonts w:ascii="Times New Roman" w:hAnsi="Times New Roman" w:cs="Times New Roman"/>
                    </w:rPr>
                    <w:t>500</w:t>
                  </w:r>
                </w:p>
              </w:tc>
            </w:tr>
          </w:tbl>
          <w:p w14:paraId="2A2A4D1B">
            <w:pPr>
              <w:adjustRightInd w:val="0"/>
              <w:snapToGrid w:val="0"/>
              <w:ind w:firstLine="482" w:firstLineChars="200"/>
              <w:jc w:val="center"/>
              <w:rPr>
                <w:rFonts w:ascii="Times New Roman" w:hAnsi="Times New Roman" w:cs="Times New Roman"/>
                <w:b/>
              </w:rPr>
            </w:pPr>
          </w:p>
          <w:p w14:paraId="4FBDB97B">
            <w:pPr>
              <w:adjustRightInd w:val="0"/>
              <w:snapToGrid w:val="0"/>
              <w:spacing w:line="360" w:lineRule="auto"/>
              <w:rPr>
                <w:rFonts w:ascii="Times New Roman" w:hAnsi="Times New Roman" w:cs="Times New Roman"/>
                <w:b/>
              </w:rPr>
            </w:pPr>
            <w:r>
              <w:rPr>
                <w:rFonts w:ascii="Times New Roman" w:hAnsi="Times New Roman" w:cs="Times New Roman"/>
                <w:b/>
              </w:rPr>
              <w:t>5、主要生产设备</w:t>
            </w:r>
          </w:p>
          <w:p w14:paraId="3C8195BA">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项目主要生产设备组成见表2-13。</w:t>
            </w:r>
          </w:p>
          <w:p w14:paraId="5259C594">
            <w:pPr>
              <w:adjustRightInd w:val="0"/>
              <w:snapToGrid w:val="0"/>
              <w:ind w:firstLine="442" w:firstLineChars="200"/>
              <w:jc w:val="center"/>
              <w:rPr>
                <w:rFonts w:ascii="Times New Roman" w:hAnsi="Times New Roman" w:cs="Times New Roman"/>
                <w:b/>
                <w:color w:val="000000"/>
                <w:szCs w:val="18"/>
              </w:rPr>
            </w:pPr>
            <w:r>
              <w:rPr>
                <w:rFonts w:ascii="Times New Roman" w:hAnsi="Times New Roman" w:cs="Times New Roman"/>
                <w:b/>
                <w:spacing w:val="-10"/>
                <w:szCs w:val="21"/>
              </w:rPr>
              <w:t>表2-13  主要设备一览表</w:t>
            </w:r>
          </w:p>
          <w:tbl>
            <w:tblPr>
              <w:tblStyle w:val="16"/>
              <w:tblW w:w="8517"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273"/>
              <w:gridCol w:w="1134"/>
              <w:gridCol w:w="1417"/>
              <w:gridCol w:w="992"/>
              <w:gridCol w:w="993"/>
              <w:gridCol w:w="850"/>
              <w:gridCol w:w="669"/>
              <w:gridCol w:w="709"/>
            </w:tblGrid>
            <w:tr w14:paraId="587B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58FDA3C5">
                  <w:pPr>
                    <w:adjustRightInd w:val="0"/>
                    <w:snapToGrid w:val="0"/>
                    <w:jc w:val="center"/>
                    <w:rPr>
                      <w:rFonts w:ascii="Times New Roman" w:hAnsi="Times New Roman" w:cs="Times New Roman"/>
                      <w:bCs/>
                      <w:szCs w:val="21"/>
                    </w:rPr>
                  </w:pPr>
                  <w:r>
                    <w:rPr>
                      <w:rFonts w:ascii="Times New Roman" w:hAnsi="Times New Roman" w:cs="Times New Roman"/>
                      <w:bCs/>
                      <w:szCs w:val="21"/>
                    </w:rPr>
                    <w:t>序号</w:t>
                  </w:r>
                </w:p>
              </w:tc>
              <w:tc>
                <w:tcPr>
                  <w:tcW w:w="1273" w:type="dxa"/>
                  <w:vAlign w:val="center"/>
                </w:tcPr>
                <w:p w14:paraId="158090B7">
                  <w:pPr>
                    <w:adjustRightInd w:val="0"/>
                    <w:snapToGrid w:val="0"/>
                    <w:jc w:val="center"/>
                    <w:rPr>
                      <w:rFonts w:ascii="Times New Roman" w:hAnsi="Times New Roman" w:cs="Times New Roman"/>
                      <w:bCs/>
                      <w:szCs w:val="21"/>
                    </w:rPr>
                  </w:pPr>
                  <w:r>
                    <w:rPr>
                      <w:rFonts w:ascii="Times New Roman" w:hAnsi="Times New Roman" w:cs="Times New Roman"/>
                      <w:bCs/>
                      <w:szCs w:val="21"/>
                    </w:rPr>
                    <w:t>设备名称</w:t>
                  </w:r>
                </w:p>
              </w:tc>
              <w:tc>
                <w:tcPr>
                  <w:tcW w:w="1134" w:type="dxa"/>
                  <w:vAlign w:val="center"/>
                </w:tcPr>
                <w:p w14:paraId="003C6F49">
                  <w:pPr>
                    <w:adjustRightInd w:val="0"/>
                    <w:snapToGrid w:val="0"/>
                    <w:jc w:val="center"/>
                    <w:rPr>
                      <w:rFonts w:ascii="Times New Roman" w:hAnsi="Times New Roman" w:cs="Times New Roman"/>
                      <w:bCs/>
                      <w:szCs w:val="21"/>
                    </w:rPr>
                  </w:pPr>
                  <w:r>
                    <w:rPr>
                      <w:rFonts w:ascii="Times New Roman" w:hAnsi="Times New Roman" w:cs="Times New Roman"/>
                      <w:bCs/>
                      <w:szCs w:val="21"/>
                    </w:rPr>
                    <w:t>设备位号</w:t>
                  </w:r>
                </w:p>
              </w:tc>
              <w:tc>
                <w:tcPr>
                  <w:tcW w:w="1417" w:type="dxa"/>
                  <w:vAlign w:val="center"/>
                </w:tcPr>
                <w:p w14:paraId="2985FCD7">
                  <w:pPr>
                    <w:adjustRightInd w:val="0"/>
                    <w:snapToGrid w:val="0"/>
                    <w:jc w:val="center"/>
                    <w:rPr>
                      <w:rFonts w:ascii="Times New Roman" w:hAnsi="Times New Roman" w:cs="Times New Roman"/>
                      <w:bCs/>
                      <w:szCs w:val="21"/>
                    </w:rPr>
                  </w:pPr>
                  <w:r>
                    <w:rPr>
                      <w:rFonts w:ascii="Times New Roman" w:hAnsi="Times New Roman" w:cs="Times New Roman"/>
                      <w:bCs/>
                      <w:szCs w:val="21"/>
                    </w:rPr>
                    <w:t>规格</w:t>
                  </w:r>
                </w:p>
                <w:p w14:paraId="14419C3A">
                  <w:pPr>
                    <w:adjustRightInd w:val="0"/>
                    <w:snapToGrid w:val="0"/>
                    <w:jc w:val="center"/>
                    <w:rPr>
                      <w:rFonts w:ascii="Times New Roman" w:hAnsi="Times New Roman" w:cs="Times New Roman"/>
                      <w:bCs/>
                      <w:szCs w:val="21"/>
                    </w:rPr>
                  </w:pPr>
                  <w:r>
                    <w:rPr>
                      <w:rFonts w:ascii="Times New Roman" w:hAnsi="Times New Roman" w:cs="Times New Roman"/>
                      <w:bCs/>
                      <w:szCs w:val="21"/>
                    </w:rPr>
                    <w:t>D×H（m×m）</w:t>
                  </w:r>
                </w:p>
              </w:tc>
              <w:tc>
                <w:tcPr>
                  <w:tcW w:w="992" w:type="dxa"/>
                  <w:vAlign w:val="center"/>
                </w:tcPr>
                <w:p w14:paraId="1F19CF90">
                  <w:pPr>
                    <w:adjustRightInd w:val="0"/>
                    <w:snapToGrid w:val="0"/>
                    <w:jc w:val="center"/>
                    <w:rPr>
                      <w:rFonts w:ascii="Times New Roman" w:hAnsi="Times New Roman" w:cs="Times New Roman"/>
                      <w:bCs/>
                      <w:szCs w:val="21"/>
                    </w:rPr>
                  </w:pPr>
                  <w:r>
                    <w:rPr>
                      <w:rFonts w:ascii="Times New Roman" w:hAnsi="Times New Roman" w:cs="Times New Roman"/>
                      <w:bCs/>
                      <w:szCs w:val="21"/>
                    </w:rPr>
                    <w:t>罐体材质</w:t>
                  </w:r>
                </w:p>
              </w:tc>
              <w:tc>
                <w:tcPr>
                  <w:tcW w:w="993" w:type="dxa"/>
                  <w:vAlign w:val="center"/>
                </w:tcPr>
                <w:p w14:paraId="34130FF3">
                  <w:pPr>
                    <w:adjustRightInd w:val="0"/>
                    <w:snapToGrid w:val="0"/>
                    <w:jc w:val="center"/>
                    <w:rPr>
                      <w:rFonts w:ascii="Times New Roman" w:hAnsi="Times New Roman" w:cs="Times New Roman"/>
                      <w:bCs/>
                      <w:szCs w:val="21"/>
                    </w:rPr>
                  </w:pPr>
                  <w:r>
                    <w:rPr>
                      <w:rFonts w:ascii="Times New Roman" w:hAnsi="Times New Roman" w:cs="Times New Roman"/>
                      <w:bCs/>
                      <w:szCs w:val="21"/>
                    </w:rPr>
                    <w:t>计算容积</w:t>
                  </w:r>
                </w:p>
              </w:tc>
              <w:tc>
                <w:tcPr>
                  <w:tcW w:w="850" w:type="dxa"/>
                  <w:vAlign w:val="center"/>
                </w:tcPr>
                <w:p w14:paraId="5A579D91">
                  <w:pPr>
                    <w:adjustRightInd w:val="0"/>
                    <w:snapToGrid w:val="0"/>
                    <w:jc w:val="center"/>
                    <w:rPr>
                      <w:rFonts w:ascii="Times New Roman" w:hAnsi="Times New Roman" w:cs="Times New Roman"/>
                      <w:bCs/>
                      <w:szCs w:val="21"/>
                    </w:rPr>
                  </w:pPr>
                  <w:r>
                    <w:rPr>
                      <w:rFonts w:ascii="Times New Roman" w:hAnsi="Times New Roman" w:cs="Times New Roman"/>
                      <w:bCs/>
                      <w:szCs w:val="21"/>
                    </w:rPr>
                    <w:t>介质密度</w:t>
                  </w:r>
                </w:p>
              </w:tc>
              <w:tc>
                <w:tcPr>
                  <w:tcW w:w="669" w:type="dxa"/>
                  <w:vAlign w:val="center"/>
                </w:tcPr>
                <w:p w14:paraId="6E4497AB">
                  <w:pPr>
                    <w:adjustRightInd w:val="0"/>
                    <w:snapToGrid w:val="0"/>
                    <w:jc w:val="center"/>
                    <w:rPr>
                      <w:rFonts w:ascii="Times New Roman" w:hAnsi="Times New Roman" w:cs="Times New Roman"/>
                      <w:bCs/>
                      <w:szCs w:val="21"/>
                    </w:rPr>
                  </w:pPr>
                  <w:r>
                    <w:rPr>
                      <w:rFonts w:ascii="Times New Roman" w:hAnsi="Times New Roman" w:cs="Times New Roman"/>
                      <w:bCs/>
                      <w:szCs w:val="21"/>
                    </w:rPr>
                    <w:t>数量</w:t>
                  </w:r>
                </w:p>
              </w:tc>
              <w:tc>
                <w:tcPr>
                  <w:tcW w:w="709" w:type="dxa"/>
                  <w:vAlign w:val="center"/>
                </w:tcPr>
                <w:p w14:paraId="4DBBEF85">
                  <w:pPr>
                    <w:adjustRightInd w:val="0"/>
                    <w:snapToGrid w:val="0"/>
                    <w:jc w:val="center"/>
                    <w:rPr>
                      <w:rFonts w:ascii="Times New Roman" w:hAnsi="Times New Roman" w:cs="Times New Roman"/>
                      <w:bCs/>
                      <w:szCs w:val="21"/>
                    </w:rPr>
                  </w:pPr>
                  <w:r>
                    <w:rPr>
                      <w:rFonts w:ascii="Times New Roman" w:hAnsi="Times New Roman" w:cs="Times New Roman"/>
                      <w:bCs/>
                      <w:szCs w:val="21"/>
                    </w:rPr>
                    <w:t>单位</w:t>
                  </w:r>
                </w:p>
              </w:tc>
            </w:tr>
            <w:tr w14:paraId="1B1EF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17" w:type="dxa"/>
                  <w:gridSpan w:val="9"/>
                  <w:vAlign w:val="center"/>
                </w:tcPr>
                <w:p w14:paraId="6F0E83C9">
                  <w:pPr>
                    <w:adjustRightInd w:val="0"/>
                    <w:snapToGrid w:val="0"/>
                    <w:jc w:val="center"/>
                    <w:rPr>
                      <w:rFonts w:ascii="Times New Roman" w:hAnsi="Times New Roman" w:cs="Times New Roman"/>
                      <w:bCs/>
                      <w:szCs w:val="21"/>
                    </w:rPr>
                  </w:pPr>
                  <w:r>
                    <w:rPr>
                      <w:rFonts w:ascii="Times New Roman" w:hAnsi="Times New Roman" w:cs="Times New Roman"/>
                      <w:bCs/>
                      <w:szCs w:val="21"/>
                    </w:rPr>
                    <w:t>罐类</w:t>
                  </w:r>
                </w:p>
              </w:tc>
            </w:tr>
            <w:tr w14:paraId="0F83D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0F3764AF">
                  <w:pPr>
                    <w:adjustRightInd w:val="0"/>
                    <w:snapToGrid w:val="0"/>
                    <w:jc w:val="center"/>
                    <w:rPr>
                      <w:rFonts w:ascii="Times New Roman" w:hAnsi="Times New Roman" w:cs="Times New Roman"/>
                      <w:bCs/>
                      <w:szCs w:val="21"/>
                    </w:rPr>
                  </w:pPr>
                  <w:r>
                    <w:rPr>
                      <w:rFonts w:ascii="Times New Roman" w:hAnsi="Times New Roman" w:cs="Times New Roman"/>
                      <w:bCs/>
                      <w:szCs w:val="21"/>
                    </w:rPr>
                    <w:t>1</w:t>
                  </w:r>
                </w:p>
              </w:tc>
              <w:tc>
                <w:tcPr>
                  <w:tcW w:w="1273" w:type="dxa"/>
                  <w:vAlign w:val="center"/>
                </w:tcPr>
                <w:p w14:paraId="5B1E5581">
                  <w:pPr>
                    <w:adjustRightInd w:val="0"/>
                    <w:snapToGrid w:val="0"/>
                    <w:jc w:val="center"/>
                    <w:rPr>
                      <w:rFonts w:ascii="Times New Roman" w:hAnsi="Times New Roman" w:cs="Times New Roman"/>
                      <w:bCs/>
                      <w:szCs w:val="21"/>
                    </w:rPr>
                  </w:pPr>
                  <w:r>
                    <w:rPr>
                      <w:rFonts w:ascii="Times New Roman" w:hAnsi="Times New Roman" w:cs="Times New Roman"/>
                      <w:szCs w:val="21"/>
                    </w:rPr>
                    <w:t>MTBE储罐</w:t>
                  </w:r>
                </w:p>
              </w:tc>
              <w:tc>
                <w:tcPr>
                  <w:tcW w:w="1134" w:type="dxa"/>
                  <w:vAlign w:val="center"/>
                </w:tcPr>
                <w:p w14:paraId="35C31E17">
                  <w:pPr>
                    <w:adjustRightInd w:val="0"/>
                    <w:snapToGrid w:val="0"/>
                    <w:jc w:val="center"/>
                    <w:rPr>
                      <w:rFonts w:ascii="Times New Roman" w:hAnsi="Times New Roman" w:cs="Times New Roman"/>
                      <w:bCs/>
                      <w:szCs w:val="21"/>
                    </w:rPr>
                  </w:pPr>
                  <w:r>
                    <w:rPr>
                      <w:rFonts w:ascii="Times New Roman" w:hAnsi="Times New Roman" w:cs="Times New Roman"/>
                      <w:szCs w:val="21"/>
                    </w:rPr>
                    <w:t>TK41002</w:t>
                  </w:r>
                </w:p>
              </w:tc>
              <w:tc>
                <w:tcPr>
                  <w:tcW w:w="1417" w:type="dxa"/>
                  <w:vAlign w:val="center"/>
                </w:tcPr>
                <w:p w14:paraId="1966253C">
                  <w:pPr>
                    <w:adjustRightInd w:val="0"/>
                    <w:snapToGrid w:val="0"/>
                    <w:jc w:val="center"/>
                    <w:rPr>
                      <w:rFonts w:ascii="Times New Roman" w:hAnsi="Times New Roman" w:cs="Times New Roman"/>
                      <w:bCs/>
                      <w:szCs w:val="21"/>
                    </w:rPr>
                  </w:pPr>
                  <w:r>
                    <w:rPr>
                      <w:rFonts w:ascii="Times New Roman" w:hAnsi="Times New Roman" w:cs="Times New Roman"/>
                      <w:szCs w:val="21"/>
                    </w:rPr>
                    <w:t>D14.50×H14.35</w:t>
                  </w:r>
                </w:p>
              </w:tc>
              <w:tc>
                <w:tcPr>
                  <w:tcW w:w="992" w:type="dxa"/>
                  <w:vAlign w:val="center"/>
                </w:tcPr>
                <w:p w14:paraId="44E75EE9">
                  <w:pPr>
                    <w:adjustRightInd w:val="0"/>
                    <w:snapToGrid w:val="0"/>
                    <w:jc w:val="center"/>
                    <w:rPr>
                      <w:rFonts w:ascii="Times New Roman" w:hAnsi="Times New Roman" w:cs="Times New Roman"/>
                      <w:szCs w:val="21"/>
                    </w:rPr>
                  </w:pPr>
                  <w:r>
                    <w:rPr>
                      <w:rFonts w:ascii="Times New Roman" w:hAnsi="Times New Roman" w:cs="Times New Roman"/>
                      <w:szCs w:val="21"/>
                    </w:rPr>
                    <w:t>Q235B</w:t>
                  </w:r>
                </w:p>
              </w:tc>
              <w:tc>
                <w:tcPr>
                  <w:tcW w:w="993" w:type="dxa"/>
                  <w:vAlign w:val="center"/>
                </w:tcPr>
                <w:p w14:paraId="7EAF3035">
                  <w:pPr>
                    <w:adjustRightInd w:val="0"/>
                    <w:snapToGrid w:val="0"/>
                    <w:jc w:val="center"/>
                    <w:rPr>
                      <w:rFonts w:ascii="Times New Roman" w:hAnsi="Times New Roman" w:cs="Times New Roman"/>
                      <w:bCs/>
                      <w:szCs w:val="21"/>
                    </w:rPr>
                  </w:pPr>
                  <w:r>
                    <w:rPr>
                      <w:rFonts w:ascii="Times New Roman" w:hAnsi="Times New Roman" w:cs="Times New Roman"/>
                      <w:bCs/>
                      <w:szCs w:val="21"/>
                    </w:rPr>
                    <w:t>811</w:t>
                  </w:r>
                </w:p>
              </w:tc>
              <w:tc>
                <w:tcPr>
                  <w:tcW w:w="850" w:type="dxa"/>
                  <w:vAlign w:val="center"/>
                </w:tcPr>
                <w:p w14:paraId="21D9510D">
                  <w:pPr>
                    <w:adjustRightInd w:val="0"/>
                    <w:snapToGrid w:val="0"/>
                    <w:jc w:val="center"/>
                    <w:rPr>
                      <w:rFonts w:ascii="Times New Roman" w:hAnsi="Times New Roman" w:cs="Times New Roman"/>
                      <w:bCs/>
                      <w:szCs w:val="21"/>
                    </w:rPr>
                  </w:pPr>
                  <w:r>
                    <w:rPr>
                      <w:rFonts w:ascii="Times New Roman" w:hAnsi="Times New Roman" w:cs="Times New Roman"/>
                      <w:szCs w:val="21"/>
                    </w:rPr>
                    <w:t>740</w:t>
                  </w:r>
                </w:p>
              </w:tc>
              <w:tc>
                <w:tcPr>
                  <w:tcW w:w="669" w:type="dxa"/>
                  <w:vAlign w:val="center"/>
                </w:tcPr>
                <w:p w14:paraId="29071380">
                  <w:pPr>
                    <w:adjustRightInd w:val="0"/>
                    <w:snapToGrid w:val="0"/>
                    <w:jc w:val="center"/>
                    <w:rPr>
                      <w:rFonts w:ascii="Times New Roman" w:hAnsi="Times New Roman" w:cs="Times New Roman"/>
                      <w:bCs/>
                      <w:szCs w:val="21"/>
                    </w:rPr>
                  </w:pPr>
                  <w:r>
                    <w:rPr>
                      <w:rFonts w:ascii="Times New Roman" w:hAnsi="Times New Roman" w:cs="Times New Roman"/>
                      <w:bCs/>
                      <w:szCs w:val="21"/>
                    </w:rPr>
                    <w:t>1</w:t>
                  </w:r>
                </w:p>
              </w:tc>
              <w:tc>
                <w:tcPr>
                  <w:tcW w:w="709" w:type="dxa"/>
                  <w:vAlign w:val="center"/>
                </w:tcPr>
                <w:p w14:paraId="01F1EE72">
                  <w:pPr>
                    <w:adjustRightInd w:val="0"/>
                    <w:snapToGrid w:val="0"/>
                    <w:jc w:val="center"/>
                    <w:rPr>
                      <w:rFonts w:ascii="Times New Roman" w:hAnsi="Times New Roman" w:cs="Times New Roman"/>
                      <w:bCs/>
                      <w:szCs w:val="21"/>
                    </w:rPr>
                  </w:pPr>
                  <w:r>
                    <w:rPr>
                      <w:rFonts w:ascii="Times New Roman" w:hAnsi="Times New Roman" w:cs="Times New Roman"/>
                      <w:bCs/>
                      <w:szCs w:val="21"/>
                    </w:rPr>
                    <w:t>座</w:t>
                  </w:r>
                </w:p>
              </w:tc>
            </w:tr>
            <w:tr w14:paraId="147CE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50B5EE7B">
                  <w:pPr>
                    <w:adjustRightInd w:val="0"/>
                    <w:snapToGrid w:val="0"/>
                    <w:jc w:val="center"/>
                    <w:rPr>
                      <w:rFonts w:ascii="Times New Roman" w:hAnsi="Times New Roman" w:cs="Times New Roman"/>
                      <w:bCs/>
                      <w:szCs w:val="21"/>
                    </w:rPr>
                  </w:pPr>
                  <w:r>
                    <w:rPr>
                      <w:rFonts w:ascii="Times New Roman" w:hAnsi="Times New Roman" w:cs="Times New Roman"/>
                      <w:bCs/>
                      <w:szCs w:val="21"/>
                    </w:rPr>
                    <w:t>2</w:t>
                  </w:r>
                </w:p>
              </w:tc>
              <w:tc>
                <w:tcPr>
                  <w:tcW w:w="1273" w:type="dxa"/>
                  <w:vAlign w:val="center"/>
                </w:tcPr>
                <w:p w14:paraId="6E8AB468">
                  <w:pPr>
                    <w:adjustRightInd w:val="0"/>
                    <w:snapToGrid w:val="0"/>
                    <w:jc w:val="center"/>
                    <w:rPr>
                      <w:rFonts w:ascii="Times New Roman" w:hAnsi="Times New Roman" w:cs="Times New Roman"/>
                      <w:bCs/>
                      <w:szCs w:val="21"/>
                    </w:rPr>
                  </w:pPr>
                  <w:r>
                    <w:rPr>
                      <w:rFonts w:ascii="Times New Roman" w:hAnsi="Times New Roman" w:cs="Times New Roman"/>
                      <w:szCs w:val="21"/>
                    </w:rPr>
                    <w:t>异辛烷储罐</w:t>
                  </w:r>
                </w:p>
              </w:tc>
              <w:tc>
                <w:tcPr>
                  <w:tcW w:w="1134" w:type="dxa"/>
                  <w:vAlign w:val="center"/>
                </w:tcPr>
                <w:p w14:paraId="5A37DDCF">
                  <w:pPr>
                    <w:adjustRightInd w:val="0"/>
                    <w:snapToGrid w:val="0"/>
                    <w:jc w:val="center"/>
                    <w:rPr>
                      <w:rFonts w:ascii="Times New Roman" w:hAnsi="Times New Roman" w:cs="Times New Roman"/>
                      <w:bCs/>
                      <w:szCs w:val="21"/>
                    </w:rPr>
                  </w:pPr>
                  <w:r>
                    <w:rPr>
                      <w:rFonts w:ascii="Times New Roman" w:hAnsi="Times New Roman" w:cs="Times New Roman"/>
                      <w:szCs w:val="21"/>
                    </w:rPr>
                    <w:t>TK41008</w:t>
                  </w:r>
                </w:p>
              </w:tc>
              <w:tc>
                <w:tcPr>
                  <w:tcW w:w="1417" w:type="dxa"/>
                  <w:vAlign w:val="center"/>
                </w:tcPr>
                <w:p w14:paraId="2C453AEC">
                  <w:pPr>
                    <w:adjustRightInd w:val="0"/>
                    <w:snapToGrid w:val="0"/>
                    <w:jc w:val="center"/>
                    <w:rPr>
                      <w:rFonts w:ascii="Times New Roman" w:hAnsi="Times New Roman" w:cs="Times New Roman"/>
                      <w:bCs/>
                      <w:szCs w:val="21"/>
                    </w:rPr>
                  </w:pPr>
                  <w:r>
                    <w:rPr>
                      <w:rFonts w:ascii="Times New Roman" w:hAnsi="Times New Roman" w:cs="Times New Roman"/>
                      <w:szCs w:val="21"/>
                    </w:rPr>
                    <w:t>D14.50×H14.35</w:t>
                  </w:r>
                </w:p>
              </w:tc>
              <w:tc>
                <w:tcPr>
                  <w:tcW w:w="992" w:type="dxa"/>
                  <w:vAlign w:val="center"/>
                </w:tcPr>
                <w:p w14:paraId="1DA0943B">
                  <w:pPr>
                    <w:adjustRightInd w:val="0"/>
                    <w:snapToGrid w:val="0"/>
                    <w:jc w:val="center"/>
                    <w:rPr>
                      <w:rFonts w:ascii="Times New Roman" w:hAnsi="Times New Roman" w:cs="Times New Roman"/>
                      <w:szCs w:val="21"/>
                    </w:rPr>
                  </w:pPr>
                  <w:r>
                    <w:rPr>
                      <w:rFonts w:ascii="Times New Roman" w:hAnsi="Times New Roman" w:cs="Times New Roman"/>
                      <w:szCs w:val="21"/>
                    </w:rPr>
                    <w:t>Q235B</w:t>
                  </w:r>
                </w:p>
              </w:tc>
              <w:tc>
                <w:tcPr>
                  <w:tcW w:w="993" w:type="dxa"/>
                  <w:vAlign w:val="center"/>
                </w:tcPr>
                <w:p w14:paraId="76F238B6">
                  <w:pPr>
                    <w:adjustRightInd w:val="0"/>
                    <w:snapToGrid w:val="0"/>
                    <w:jc w:val="center"/>
                    <w:rPr>
                      <w:rFonts w:ascii="Times New Roman" w:hAnsi="Times New Roman" w:cs="Times New Roman"/>
                      <w:bCs/>
                      <w:szCs w:val="21"/>
                    </w:rPr>
                  </w:pPr>
                  <w:r>
                    <w:rPr>
                      <w:rFonts w:ascii="Times New Roman" w:hAnsi="Times New Roman" w:cs="Times New Roman"/>
                      <w:bCs/>
                      <w:szCs w:val="21"/>
                    </w:rPr>
                    <w:t>2316</w:t>
                  </w:r>
                </w:p>
              </w:tc>
              <w:tc>
                <w:tcPr>
                  <w:tcW w:w="850" w:type="dxa"/>
                  <w:vAlign w:val="center"/>
                </w:tcPr>
                <w:p w14:paraId="45769B2C">
                  <w:pPr>
                    <w:adjustRightInd w:val="0"/>
                    <w:snapToGrid w:val="0"/>
                    <w:jc w:val="center"/>
                    <w:rPr>
                      <w:rFonts w:ascii="Times New Roman" w:hAnsi="Times New Roman" w:cs="Times New Roman"/>
                      <w:bCs/>
                      <w:szCs w:val="21"/>
                    </w:rPr>
                  </w:pPr>
                  <w:r>
                    <w:rPr>
                      <w:rFonts w:ascii="Times New Roman" w:hAnsi="Times New Roman" w:cs="Times New Roman"/>
                      <w:szCs w:val="21"/>
                    </w:rPr>
                    <w:t>690</w:t>
                  </w:r>
                </w:p>
              </w:tc>
              <w:tc>
                <w:tcPr>
                  <w:tcW w:w="669" w:type="dxa"/>
                  <w:vAlign w:val="center"/>
                </w:tcPr>
                <w:p w14:paraId="722BC6F7">
                  <w:pPr>
                    <w:adjustRightInd w:val="0"/>
                    <w:snapToGrid w:val="0"/>
                    <w:jc w:val="center"/>
                    <w:rPr>
                      <w:rFonts w:ascii="Times New Roman" w:hAnsi="Times New Roman" w:cs="Times New Roman"/>
                      <w:bCs/>
                      <w:szCs w:val="21"/>
                    </w:rPr>
                  </w:pPr>
                  <w:r>
                    <w:rPr>
                      <w:rFonts w:ascii="Times New Roman" w:hAnsi="Times New Roman" w:cs="Times New Roman"/>
                      <w:bCs/>
                      <w:szCs w:val="21"/>
                    </w:rPr>
                    <w:t>1</w:t>
                  </w:r>
                </w:p>
              </w:tc>
              <w:tc>
                <w:tcPr>
                  <w:tcW w:w="709" w:type="dxa"/>
                  <w:vAlign w:val="center"/>
                </w:tcPr>
                <w:p w14:paraId="1862CB19">
                  <w:pPr>
                    <w:adjustRightInd w:val="0"/>
                    <w:snapToGrid w:val="0"/>
                    <w:jc w:val="center"/>
                    <w:rPr>
                      <w:rFonts w:ascii="Times New Roman" w:hAnsi="Times New Roman" w:cs="Times New Roman"/>
                      <w:bCs/>
                      <w:szCs w:val="21"/>
                    </w:rPr>
                  </w:pPr>
                  <w:r>
                    <w:rPr>
                      <w:rFonts w:ascii="Times New Roman" w:hAnsi="Times New Roman" w:cs="Times New Roman"/>
                      <w:bCs/>
                      <w:szCs w:val="21"/>
                    </w:rPr>
                    <w:t>座</w:t>
                  </w:r>
                </w:p>
              </w:tc>
            </w:tr>
            <w:tr w14:paraId="46B14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1685A494">
                  <w:pPr>
                    <w:adjustRightInd w:val="0"/>
                    <w:snapToGrid w:val="0"/>
                    <w:jc w:val="center"/>
                    <w:rPr>
                      <w:rFonts w:ascii="Times New Roman" w:hAnsi="Times New Roman" w:cs="Times New Roman"/>
                      <w:bCs/>
                      <w:szCs w:val="21"/>
                    </w:rPr>
                  </w:pPr>
                  <w:r>
                    <w:rPr>
                      <w:rFonts w:ascii="Times New Roman" w:hAnsi="Times New Roman" w:cs="Times New Roman"/>
                      <w:bCs/>
                      <w:szCs w:val="21"/>
                    </w:rPr>
                    <w:t>3</w:t>
                  </w:r>
                </w:p>
              </w:tc>
              <w:tc>
                <w:tcPr>
                  <w:tcW w:w="1273" w:type="dxa"/>
                  <w:vAlign w:val="center"/>
                </w:tcPr>
                <w:p w14:paraId="2007885A">
                  <w:pPr>
                    <w:adjustRightInd w:val="0"/>
                    <w:snapToGrid w:val="0"/>
                    <w:jc w:val="center"/>
                    <w:rPr>
                      <w:rFonts w:ascii="Times New Roman" w:hAnsi="Times New Roman" w:cs="Times New Roman"/>
                      <w:bCs/>
                      <w:szCs w:val="21"/>
                    </w:rPr>
                  </w:pPr>
                  <w:r>
                    <w:rPr>
                      <w:rFonts w:ascii="Times New Roman" w:hAnsi="Times New Roman" w:cs="Times New Roman"/>
                      <w:szCs w:val="21"/>
                    </w:rPr>
                    <w:t>轻质石脑油储罐</w:t>
                  </w:r>
                </w:p>
              </w:tc>
              <w:tc>
                <w:tcPr>
                  <w:tcW w:w="1134" w:type="dxa"/>
                  <w:vAlign w:val="center"/>
                </w:tcPr>
                <w:p w14:paraId="5C069C37">
                  <w:pPr>
                    <w:adjustRightInd w:val="0"/>
                    <w:snapToGrid w:val="0"/>
                    <w:jc w:val="center"/>
                    <w:rPr>
                      <w:rFonts w:ascii="Times New Roman" w:hAnsi="Times New Roman" w:cs="Times New Roman"/>
                      <w:bCs/>
                      <w:szCs w:val="21"/>
                    </w:rPr>
                  </w:pPr>
                  <w:r>
                    <w:rPr>
                      <w:rFonts w:ascii="Times New Roman" w:hAnsi="Times New Roman" w:cs="Times New Roman"/>
                      <w:szCs w:val="21"/>
                    </w:rPr>
                    <w:t>TK41004</w:t>
                  </w:r>
                </w:p>
              </w:tc>
              <w:tc>
                <w:tcPr>
                  <w:tcW w:w="1417" w:type="dxa"/>
                  <w:vAlign w:val="center"/>
                </w:tcPr>
                <w:p w14:paraId="04A3DAAD">
                  <w:pPr>
                    <w:adjustRightInd w:val="0"/>
                    <w:snapToGrid w:val="0"/>
                    <w:jc w:val="center"/>
                    <w:rPr>
                      <w:rFonts w:ascii="Times New Roman" w:hAnsi="Times New Roman" w:cs="Times New Roman"/>
                      <w:bCs/>
                      <w:szCs w:val="21"/>
                    </w:rPr>
                  </w:pPr>
                  <w:r>
                    <w:rPr>
                      <w:rFonts w:ascii="Times New Roman" w:hAnsi="Times New Roman" w:cs="Times New Roman"/>
                      <w:szCs w:val="21"/>
                    </w:rPr>
                    <w:t>D14.50×H14.35</w:t>
                  </w:r>
                </w:p>
              </w:tc>
              <w:tc>
                <w:tcPr>
                  <w:tcW w:w="992" w:type="dxa"/>
                  <w:vAlign w:val="center"/>
                </w:tcPr>
                <w:p w14:paraId="6401ADD8">
                  <w:pPr>
                    <w:adjustRightInd w:val="0"/>
                    <w:snapToGrid w:val="0"/>
                    <w:jc w:val="center"/>
                    <w:rPr>
                      <w:rFonts w:ascii="Times New Roman" w:hAnsi="Times New Roman" w:cs="Times New Roman"/>
                      <w:szCs w:val="21"/>
                    </w:rPr>
                  </w:pPr>
                  <w:r>
                    <w:rPr>
                      <w:rFonts w:ascii="Times New Roman" w:hAnsi="Times New Roman" w:cs="Times New Roman"/>
                      <w:szCs w:val="21"/>
                    </w:rPr>
                    <w:t>Q235B</w:t>
                  </w:r>
                </w:p>
              </w:tc>
              <w:tc>
                <w:tcPr>
                  <w:tcW w:w="993" w:type="dxa"/>
                  <w:vAlign w:val="center"/>
                </w:tcPr>
                <w:p w14:paraId="1D08D985">
                  <w:pPr>
                    <w:adjustRightInd w:val="0"/>
                    <w:snapToGrid w:val="0"/>
                    <w:jc w:val="center"/>
                    <w:rPr>
                      <w:rFonts w:ascii="Times New Roman" w:hAnsi="Times New Roman" w:cs="Times New Roman"/>
                      <w:bCs/>
                      <w:szCs w:val="21"/>
                    </w:rPr>
                  </w:pPr>
                  <w:r>
                    <w:rPr>
                      <w:rFonts w:ascii="Times New Roman" w:hAnsi="Times New Roman" w:cs="Times New Roman"/>
                      <w:bCs/>
                      <w:szCs w:val="21"/>
                    </w:rPr>
                    <w:t>2065</w:t>
                  </w:r>
                </w:p>
              </w:tc>
              <w:tc>
                <w:tcPr>
                  <w:tcW w:w="850" w:type="dxa"/>
                  <w:vAlign w:val="center"/>
                </w:tcPr>
                <w:p w14:paraId="778D7F68">
                  <w:pPr>
                    <w:adjustRightInd w:val="0"/>
                    <w:snapToGrid w:val="0"/>
                    <w:jc w:val="center"/>
                    <w:rPr>
                      <w:rFonts w:ascii="Times New Roman" w:hAnsi="Times New Roman" w:cs="Times New Roman"/>
                      <w:bCs/>
                      <w:szCs w:val="21"/>
                    </w:rPr>
                  </w:pPr>
                  <w:r>
                    <w:rPr>
                      <w:rFonts w:ascii="Times New Roman" w:hAnsi="Times New Roman" w:cs="Times New Roman"/>
                      <w:szCs w:val="21"/>
                    </w:rPr>
                    <w:t>730</w:t>
                  </w:r>
                </w:p>
              </w:tc>
              <w:tc>
                <w:tcPr>
                  <w:tcW w:w="669" w:type="dxa"/>
                  <w:vAlign w:val="center"/>
                </w:tcPr>
                <w:p w14:paraId="0A5DAC8D">
                  <w:pPr>
                    <w:adjustRightInd w:val="0"/>
                    <w:snapToGrid w:val="0"/>
                    <w:jc w:val="center"/>
                    <w:rPr>
                      <w:rFonts w:ascii="Times New Roman" w:hAnsi="Times New Roman" w:cs="Times New Roman"/>
                      <w:bCs/>
                      <w:szCs w:val="21"/>
                    </w:rPr>
                  </w:pPr>
                  <w:r>
                    <w:rPr>
                      <w:rFonts w:ascii="Times New Roman" w:hAnsi="Times New Roman" w:cs="Times New Roman"/>
                      <w:bCs/>
                      <w:szCs w:val="21"/>
                    </w:rPr>
                    <w:t>1</w:t>
                  </w:r>
                </w:p>
              </w:tc>
              <w:tc>
                <w:tcPr>
                  <w:tcW w:w="709" w:type="dxa"/>
                  <w:vAlign w:val="center"/>
                </w:tcPr>
                <w:p w14:paraId="6C4CC30C">
                  <w:pPr>
                    <w:adjustRightInd w:val="0"/>
                    <w:snapToGrid w:val="0"/>
                    <w:jc w:val="center"/>
                    <w:rPr>
                      <w:rFonts w:ascii="Times New Roman" w:hAnsi="Times New Roman" w:cs="Times New Roman"/>
                      <w:bCs/>
                      <w:szCs w:val="21"/>
                    </w:rPr>
                  </w:pPr>
                  <w:r>
                    <w:rPr>
                      <w:rFonts w:ascii="Times New Roman" w:hAnsi="Times New Roman" w:cs="Times New Roman"/>
                      <w:bCs/>
                      <w:szCs w:val="21"/>
                    </w:rPr>
                    <w:t>座</w:t>
                  </w:r>
                </w:p>
              </w:tc>
            </w:tr>
            <w:tr w14:paraId="07619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195B0CC2">
                  <w:pPr>
                    <w:adjustRightInd w:val="0"/>
                    <w:snapToGrid w:val="0"/>
                    <w:jc w:val="center"/>
                    <w:rPr>
                      <w:rFonts w:ascii="Times New Roman" w:hAnsi="Times New Roman" w:cs="Times New Roman"/>
                      <w:bCs/>
                      <w:szCs w:val="21"/>
                    </w:rPr>
                  </w:pPr>
                  <w:r>
                    <w:rPr>
                      <w:rFonts w:ascii="Times New Roman" w:hAnsi="Times New Roman" w:cs="Times New Roman"/>
                      <w:bCs/>
                      <w:szCs w:val="21"/>
                    </w:rPr>
                    <w:t>4</w:t>
                  </w:r>
                </w:p>
              </w:tc>
              <w:tc>
                <w:tcPr>
                  <w:tcW w:w="1273" w:type="dxa"/>
                  <w:vAlign w:val="center"/>
                </w:tcPr>
                <w:p w14:paraId="550520C1">
                  <w:pPr>
                    <w:adjustRightInd w:val="0"/>
                    <w:snapToGrid w:val="0"/>
                    <w:jc w:val="center"/>
                    <w:rPr>
                      <w:rFonts w:ascii="Times New Roman" w:hAnsi="Times New Roman" w:cs="Times New Roman"/>
                      <w:bCs/>
                      <w:szCs w:val="21"/>
                    </w:rPr>
                  </w:pPr>
                  <w:r>
                    <w:rPr>
                      <w:rFonts w:ascii="Times New Roman" w:hAnsi="Times New Roman" w:cs="Times New Roman"/>
                      <w:szCs w:val="21"/>
                    </w:rPr>
                    <w:t>混合芳烃储罐</w:t>
                  </w:r>
                </w:p>
              </w:tc>
              <w:tc>
                <w:tcPr>
                  <w:tcW w:w="1134" w:type="dxa"/>
                  <w:vAlign w:val="center"/>
                </w:tcPr>
                <w:p w14:paraId="40C66162">
                  <w:pPr>
                    <w:adjustRightInd w:val="0"/>
                    <w:snapToGrid w:val="0"/>
                    <w:jc w:val="center"/>
                    <w:rPr>
                      <w:rFonts w:ascii="Times New Roman" w:hAnsi="Times New Roman" w:cs="Times New Roman"/>
                      <w:bCs/>
                      <w:szCs w:val="21"/>
                    </w:rPr>
                  </w:pPr>
                  <w:r>
                    <w:rPr>
                      <w:rFonts w:ascii="Times New Roman" w:hAnsi="Times New Roman" w:cs="Times New Roman"/>
                      <w:szCs w:val="21"/>
                    </w:rPr>
                    <w:t>TK41012</w:t>
                  </w:r>
                </w:p>
              </w:tc>
              <w:tc>
                <w:tcPr>
                  <w:tcW w:w="1417" w:type="dxa"/>
                  <w:vAlign w:val="center"/>
                </w:tcPr>
                <w:p w14:paraId="1592BB34">
                  <w:pPr>
                    <w:adjustRightInd w:val="0"/>
                    <w:snapToGrid w:val="0"/>
                    <w:jc w:val="center"/>
                    <w:rPr>
                      <w:rFonts w:ascii="Times New Roman" w:hAnsi="Times New Roman" w:cs="Times New Roman"/>
                      <w:bCs/>
                      <w:szCs w:val="21"/>
                    </w:rPr>
                  </w:pPr>
                  <w:r>
                    <w:rPr>
                      <w:rFonts w:ascii="Times New Roman" w:hAnsi="Times New Roman" w:cs="Times New Roman"/>
                      <w:szCs w:val="21"/>
                    </w:rPr>
                    <w:t>D14.50×H14.35</w:t>
                  </w:r>
                </w:p>
              </w:tc>
              <w:tc>
                <w:tcPr>
                  <w:tcW w:w="992" w:type="dxa"/>
                  <w:vAlign w:val="center"/>
                </w:tcPr>
                <w:p w14:paraId="09DF2756">
                  <w:pPr>
                    <w:adjustRightInd w:val="0"/>
                    <w:snapToGrid w:val="0"/>
                    <w:jc w:val="center"/>
                    <w:rPr>
                      <w:rFonts w:ascii="Times New Roman" w:hAnsi="Times New Roman" w:cs="Times New Roman"/>
                      <w:szCs w:val="21"/>
                    </w:rPr>
                  </w:pPr>
                  <w:r>
                    <w:rPr>
                      <w:rFonts w:ascii="Times New Roman" w:hAnsi="Times New Roman" w:cs="Times New Roman"/>
                      <w:szCs w:val="21"/>
                    </w:rPr>
                    <w:t>Q235B</w:t>
                  </w:r>
                </w:p>
              </w:tc>
              <w:tc>
                <w:tcPr>
                  <w:tcW w:w="993" w:type="dxa"/>
                  <w:vAlign w:val="center"/>
                </w:tcPr>
                <w:p w14:paraId="3924821F">
                  <w:pPr>
                    <w:adjustRightInd w:val="0"/>
                    <w:snapToGrid w:val="0"/>
                    <w:jc w:val="center"/>
                    <w:rPr>
                      <w:rFonts w:ascii="Times New Roman" w:hAnsi="Times New Roman" w:cs="Times New Roman"/>
                      <w:bCs/>
                      <w:szCs w:val="21"/>
                    </w:rPr>
                  </w:pPr>
                  <w:r>
                    <w:rPr>
                      <w:rFonts w:ascii="Times New Roman" w:hAnsi="Times New Roman" w:cs="Times New Roman"/>
                      <w:bCs/>
                      <w:szCs w:val="21"/>
                    </w:rPr>
                    <w:t>1023</w:t>
                  </w:r>
                </w:p>
              </w:tc>
              <w:tc>
                <w:tcPr>
                  <w:tcW w:w="850" w:type="dxa"/>
                  <w:vAlign w:val="center"/>
                </w:tcPr>
                <w:p w14:paraId="48A0BCFF">
                  <w:pPr>
                    <w:adjustRightInd w:val="0"/>
                    <w:snapToGrid w:val="0"/>
                    <w:jc w:val="center"/>
                    <w:rPr>
                      <w:rFonts w:ascii="Times New Roman" w:hAnsi="Times New Roman" w:cs="Times New Roman"/>
                      <w:bCs/>
                      <w:szCs w:val="21"/>
                    </w:rPr>
                  </w:pPr>
                  <w:r>
                    <w:rPr>
                      <w:rFonts w:ascii="Times New Roman" w:hAnsi="Times New Roman" w:cs="Times New Roman"/>
                      <w:szCs w:val="21"/>
                    </w:rPr>
                    <w:t>880</w:t>
                  </w:r>
                </w:p>
              </w:tc>
              <w:tc>
                <w:tcPr>
                  <w:tcW w:w="669" w:type="dxa"/>
                  <w:vAlign w:val="center"/>
                </w:tcPr>
                <w:p w14:paraId="597F6564">
                  <w:pPr>
                    <w:adjustRightInd w:val="0"/>
                    <w:snapToGrid w:val="0"/>
                    <w:jc w:val="center"/>
                    <w:rPr>
                      <w:rFonts w:ascii="Times New Roman" w:hAnsi="Times New Roman" w:cs="Times New Roman"/>
                      <w:bCs/>
                      <w:szCs w:val="21"/>
                    </w:rPr>
                  </w:pPr>
                  <w:r>
                    <w:rPr>
                      <w:rFonts w:ascii="Times New Roman" w:hAnsi="Times New Roman" w:cs="Times New Roman"/>
                      <w:bCs/>
                      <w:szCs w:val="21"/>
                    </w:rPr>
                    <w:t>1</w:t>
                  </w:r>
                </w:p>
              </w:tc>
              <w:tc>
                <w:tcPr>
                  <w:tcW w:w="709" w:type="dxa"/>
                  <w:vAlign w:val="center"/>
                </w:tcPr>
                <w:p w14:paraId="53401A79">
                  <w:pPr>
                    <w:adjustRightInd w:val="0"/>
                    <w:snapToGrid w:val="0"/>
                    <w:jc w:val="center"/>
                    <w:rPr>
                      <w:rFonts w:ascii="Times New Roman" w:hAnsi="Times New Roman" w:cs="Times New Roman"/>
                      <w:bCs/>
                      <w:szCs w:val="21"/>
                    </w:rPr>
                  </w:pPr>
                  <w:r>
                    <w:rPr>
                      <w:rFonts w:ascii="Times New Roman" w:hAnsi="Times New Roman" w:cs="Times New Roman"/>
                      <w:bCs/>
                      <w:szCs w:val="21"/>
                    </w:rPr>
                    <w:t>座</w:t>
                  </w:r>
                </w:p>
              </w:tc>
            </w:tr>
            <w:tr w14:paraId="2A20F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45DB73A7">
                  <w:pPr>
                    <w:adjustRightInd w:val="0"/>
                    <w:snapToGrid w:val="0"/>
                    <w:jc w:val="center"/>
                    <w:rPr>
                      <w:rFonts w:ascii="Times New Roman" w:hAnsi="Times New Roman" w:cs="Times New Roman"/>
                      <w:bCs/>
                      <w:szCs w:val="21"/>
                    </w:rPr>
                  </w:pPr>
                  <w:r>
                    <w:rPr>
                      <w:rFonts w:ascii="Times New Roman" w:hAnsi="Times New Roman" w:cs="Times New Roman"/>
                      <w:bCs/>
                      <w:szCs w:val="21"/>
                    </w:rPr>
                    <w:t>5</w:t>
                  </w:r>
                </w:p>
              </w:tc>
              <w:tc>
                <w:tcPr>
                  <w:tcW w:w="1273" w:type="dxa"/>
                  <w:vAlign w:val="center"/>
                </w:tcPr>
                <w:p w14:paraId="0EF0A21E">
                  <w:pPr>
                    <w:adjustRightInd w:val="0"/>
                    <w:snapToGrid w:val="0"/>
                    <w:jc w:val="center"/>
                    <w:rPr>
                      <w:rFonts w:ascii="Times New Roman" w:hAnsi="Times New Roman" w:cs="Times New Roman"/>
                      <w:bCs/>
                      <w:szCs w:val="21"/>
                    </w:rPr>
                  </w:pPr>
                  <w:r>
                    <w:rPr>
                      <w:rFonts w:ascii="Times New Roman" w:hAnsi="Times New Roman" w:cs="Times New Roman"/>
                      <w:szCs w:val="21"/>
                    </w:rPr>
                    <w:t>92号车用汽油调和储罐</w:t>
                  </w:r>
                </w:p>
              </w:tc>
              <w:tc>
                <w:tcPr>
                  <w:tcW w:w="1134" w:type="dxa"/>
                  <w:vAlign w:val="center"/>
                </w:tcPr>
                <w:p w14:paraId="40880136">
                  <w:pPr>
                    <w:adjustRightInd w:val="0"/>
                    <w:snapToGrid w:val="0"/>
                    <w:jc w:val="center"/>
                    <w:rPr>
                      <w:rFonts w:ascii="Times New Roman" w:hAnsi="Times New Roman" w:cs="Times New Roman"/>
                      <w:bCs/>
                      <w:szCs w:val="21"/>
                    </w:rPr>
                  </w:pPr>
                  <w:r>
                    <w:rPr>
                      <w:rFonts w:ascii="Times New Roman" w:hAnsi="Times New Roman" w:cs="Times New Roman"/>
                      <w:szCs w:val="21"/>
                    </w:rPr>
                    <w:t>TK41006</w:t>
                  </w:r>
                </w:p>
              </w:tc>
              <w:tc>
                <w:tcPr>
                  <w:tcW w:w="1417" w:type="dxa"/>
                  <w:vAlign w:val="center"/>
                </w:tcPr>
                <w:p w14:paraId="3CA343D1">
                  <w:pPr>
                    <w:adjustRightInd w:val="0"/>
                    <w:snapToGrid w:val="0"/>
                    <w:jc w:val="center"/>
                    <w:rPr>
                      <w:rFonts w:ascii="Times New Roman" w:hAnsi="Times New Roman" w:cs="Times New Roman"/>
                      <w:bCs/>
                      <w:szCs w:val="21"/>
                    </w:rPr>
                  </w:pPr>
                  <w:r>
                    <w:rPr>
                      <w:rFonts w:ascii="Times New Roman" w:hAnsi="Times New Roman" w:cs="Times New Roman"/>
                      <w:szCs w:val="21"/>
                    </w:rPr>
                    <w:t>D14.50×H14.35</w:t>
                  </w:r>
                </w:p>
              </w:tc>
              <w:tc>
                <w:tcPr>
                  <w:tcW w:w="992" w:type="dxa"/>
                  <w:vAlign w:val="center"/>
                </w:tcPr>
                <w:p w14:paraId="5742D254">
                  <w:pPr>
                    <w:adjustRightInd w:val="0"/>
                    <w:snapToGrid w:val="0"/>
                    <w:jc w:val="center"/>
                    <w:rPr>
                      <w:rFonts w:ascii="Times New Roman" w:hAnsi="Times New Roman" w:cs="Times New Roman"/>
                      <w:szCs w:val="21"/>
                    </w:rPr>
                  </w:pPr>
                  <w:r>
                    <w:rPr>
                      <w:rFonts w:ascii="Times New Roman" w:hAnsi="Times New Roman" w:cs="Times New Roman"/>
                      <w:szCs w:val="21"/>
                    </w:rPr>
                    <w:t>Q235B</w:t>
                  </w:r>
                </w:p>
              </w:tc>
              <w:tc>
                <w:tcPr>
                  <w:tcW w:w="993" w:type="dxa"/>
                  <w:vAlign w:val="center"/>
                </w:tcPr>
                <w:p w14:paraId="5E6D828A">
                  <w:pPr>
                    <w:adjustRightInd w:val="0"/>
                    <w:snapToGrid w:val="0"/>
                    <w:jc w:val="center"/>
                    <w:rPr>
                      <w:rFonts w:ascii="Times New Roman" w:hAnsi="Times New Roman" w:cs="Times New Roman"/>
                      <w:bCs/>
                      <w:szCs w:val="21"/>
                    </w:rPr>
                  </w:pPr>
                  <w:r>
                    <w:rPr>
                      <w:rFonts w:ascii="Times New Roman" w:hAnsi="Times New Roman" w:cs="Times New Roman"/>
                      <w:bCs/>
                      <w:szCs w:val="21"/>
                    </w:rPr>
                    <w:t>4459</w:t>
                  </w:r>
                </w:p>
              </w:tc>
              <w:tc>
                <w:tcPr>
                  <w:tcW w:w="850" w:type="dxa"/>
                  <w:vAlign w:val="center"/>
                </w:tcPr>
                <w:p w14:paraId="2A35CB44">
                  <w:pPr>
                    <w:adjustRightInd w:val="0"/>
                    <w:snapToGrid w:val="0"/>
                    <w:jc w:val="center"/>
                    <w:rPr>
                      <w:rFonts w:ascii="Times New Roman" w:hAnsi="Times New Roman" w:cs="Times New Roman"/>
                      <w:bCs/>
                      <w:szCs w:val="21"/>
                    </w:rPr>
                  </w:pPr>
                  <w:r>
                    <w:rPr>
                      <w:rFonts w:ascii="Times New Roman" w:hAnsi="Times New Roman" w:cs="Times New Roman"/>
                      <w:szCs w:val="21"/>
                    </w:rPr>
                    <w:t>750</w:t>
                  </w:r>
                </w:p>
              </w:tc>
              <w:tc>
                <w:tcPr>
                  <w:tcW w:w="669" w:type="dxa"/>
                  <w:vAlign w:val="center"/>
                </w:tcPr>
                <w:p w14:paraId="6CC3AF17">
                  <w:pPr>
                    <w:adjustRightInd w:val="0"/>
                    <w:snapToGrid w:val="0"/>
                    <w:jc w:val="center"/>
                    <w:rPr>
                      <w:rFonts w:ascii="Times New Roman" w:hAnsi="Times New Roman" w:cs="Times New Roman"/>
                      <w:bCs/>
                      <w:szCs w:val="21"/>
                    </w:rPr>
                  </w:pPr>
                  <w:r>
                    <w:rPr>
                      <w:rFonts w:ascii="Times New Roman" w:hAnsi="Times New Roman" w:cs="Times New Roman"/>
                      <w:bCs/>
                      <w:szCs w:val="21"/>
                    </w:rPr>
                    <w:t>1</w:t>
                  </w:r>
                </w:p>
              </w:tc>
              <w:tc>
                <w:tcPr>
                  <w:tcW w:w="709" w:type="dxa"/>
                  <w:vAlign w:val="center"/>
                </w:tcPr>
                <w:p w14:paraId="25549B5C">
                  <w:pPr>
                    <w:adjustRightInd w:val="0"/>
                    <w:snapToGrid w:val="0"/>
                    <w:jc w:val="center"/>
                    <w:rPr>
                      <w:rFonts w:ascii="Times New Roman" w:hAnsi="Times New Roman" w:cs="Times New Roman"/>
                      <w:bCs/>
                      <w:szCs w:val="21"/>
                    </w:rPr>
                  </w:pPr>
                  <w:r>
                    <w:rPr>
                      <w:rFonts w:ascii="Times New Roman" w:hAnsi="Times New Roman" w:cs="Times New Roman"/>
                      <w:bCs/>
                      <w:szCs w:val="21"/>
                    </w:rPr>
                    <w:t>座</w:t>
                  </w:r>
                </w:p>
              </w:tc>
            </w:tr>
            <w:tr w14:paraId="227E3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4DF666AE">
                  <w:pPr>
                    <w:adjustRightInd w:val="0"/>
                    <w:snapToGrid w:val="0"/>
                    <w:jc w:val="center"/>
                    <w:rPr>
                      <w:rFonts w:ascii="Times New Roman" w:hAnsi="Times New Roman" w:cs="Times New Roman"/>
                      <w:bCs/>
                      <w:szCs w:val="21"/>
                    </w:rPr>
                  </w:pPr>
                  <w:r>
                    <w:rPr>
                      <w:rFonts w:ascii="Times New Roman" w:hAnsi="Times New Roman" w:cs="Times New Roman"/>
                      <w:bCs/>
                      <w:szCs w:val="21"/>
                    </w:rPr>
                    <w:t>6</w:t>
                  </w:r>
                </w:p>
              </w:tc>
              <w:tc>
                <w:tcPr>
                  <w:tcW w:w="1273" w:type="dxa"/>
                  <w:vAlign w:val="center"/>
                </w:tcPr>
                <w:p w14:paraId="00CE0B9D">
                  <w:pPr>
                    <w:adjustRightInd w:val="0"/>
                    <w:snapToGrid w:val="0"/>
                    <w:jc w:val="center"/>
                    <w:rPr>
                      <w:rFonts w:ascii="Times New Roman" w:hAnsi="Times New Roman" w:cs="Times New Roman"/>
                      <w:bCs/>
                      <w:szCs w:val="21"/>
                    </w:rPr>
                  </w:pPr>
                  <w:r>
                    <w:rPr>
                      <w:rFonts w:ascii="Times New Roman" w:hAnsi="Times New Roman" w:cs="Times New Roman"/>
                      <w:szCs w:val="21"/>
                    </w:rPr>
                    <w:t>95号车用汽油储罐</w:t>
                  </w:r>
                </w:p>
              </w:tc>
              <w:tc>
                <w:tcPr>
                  <w:tcW w:w="1134" w:type="dxa"/>
                  <w:vAlign w:val="center"/>
                </w:tcPr>
                <w:p w14:paraId="7BA036CF">
                  <w:pPr>
                    <w:adjustRightInd w:val="0"/>
                    <w:snapToGrid w:val="0"/>
                    <w:jc w:val="center"/>
                    <w:rPr>
                      <w:rFonts w:ascii="Times New Roman" w:hAnsi="Times New Roman" w:cs="Times New Roman"/>
                      <w:bCs/>
                      <w:szCs w:val="21"/>
                    </w:rPr>
                  </w:pPr>
                  <w:r>
                    <w:rPr>
                      <w:rFonts w:ascii="Times New Roman" w:hAnsi="Times New Roman" w:cs="Times New Roman"/>
                      <w:szCs w:val="21"/>
                    </w:rPr>
                    <w:t>TK41010</w:t>
                  </w:r>
                </w:p>
              </w:tc>
              <w:tc>
                <w:tcPr>
                  <w:tcW w:w="1417" w:type="dxa"/>
                  <w:vAlign w:val="center"/>
                </w:tcPr>
                <w:p w14:paraId="4C63ACEB">
                  <w:pPr>
                    <w:adjustRightInd w:val="0"/>
                    <w:snapToGrid w:val="0"/>
                    <w:jc w:val="center"/>
                    <w:rPr>
                      <w:rFonts w:ascii="Times New Roman" w:hAnsi="Times New Roman" w:cs="Times New Roman"/>
                      <w:bCs/>
                      <w:szCs w:val="21"/>
                    </w:rPr>
                  </w:pPr>
                  <w:r>
                    <w:rPr>
                      <w:rFonts w:ascii="Times New Roman" w:hAnsi="Times New Roman" w:cs="Times New Roman"/>
                      <w:szCs w:val="21"/>
                    </w:rPr>
                    <w:t>D14.50×H14.35</w:t>
                  </w:r>
                </w:p>
              </w:tc>
              <w:tc>
                <w:tcPr>
                  <w:tcW w:w="992" w:type="dxa"/>
                  <w:vAlign w:val="center"/>
                </w:tcPr>
                <w:p w14:paraId="403409D6">
                  <w:pPr>
                    <w:adjustRightInd w:val="0"/>
                    <w:snapToGrid w:val="0"/>
                    <w:jc w:val="center"/>
                    <w:rPr>
                      <w:rFonts w:ascii="Times New Roman" w:hAnsi="Times New Roman" w:cs="Times New Roman"/>
                      <w:szCs w:val="21"/>
                    </w:rPr>
                  </w:pPr>
                  <w:r>
                    <w:rPr>
                      <w:rFonts w:ascii="Times New Roman" w:hAnsi="Times New Roman" w:cs="Times New Roman"/>
                      <w:szCs w:val="21"/>
                    </w:rPr>
                    <w:t>Q235B</w:t>
                  </w:r>
                </w:p>
              </w:tc>
              <w:tc>
                <w:tcPr>
                  <w:tcW w:w="993" w:type="dxa"/>
                  <w:vAlign w:val="center"/>
                </w:tcPr>
                <w:p w14:paraId="26ED9335">
                  <w:pPr>
                    <w:adjustRightInd w:val="0"/>
                    <w:snapToGrid w:val="0"/>
                    <w:jc w:val="center"/>
                    <w:rPr>
                      <w:rFonts w:ascii="Times New Roman" w:hAnsi="Times New Roman" w:cs="Times New Roman"/>
                      <w:bCs/>
                      <w:szCs w:val="21"/>
                    </w:rPr>
                  </w:pPr>
                  <w:r>
                    <w:rPr>
                      <w:rFonts w:ascii="Times New Roman" w:hAnsi="Times New Roman" w:cs="Times New Roman"/>
                      <w:bCs/>
                      <w:szCs w:val="21"/>
                    </w:rPr>
                    <w:t>2230</w:t>
                  </w:r>
                </w:p>
              </w:tc>
              <w:tc>
                <w:tcPr>
                  <w:tcW w:w="850" w:type="dxa"/>
                  <w:vAlign w:val="center"/>
                </w:tcPr>
                <w:p w14:paraId="033517F2">
                  <w:pPr>
                    <w:adjustRightInd w:val="0"/>
                    <w:snapToGrid w:val="0"/>
                    <w:jc w:val="center"/>
                    <w:rPr>
                      <w:rFonts w:ascii="Times New Roman" w:hAnsi="Times New Roman" w:cs="Times New Roman"/>
                      <w:bCs/>
                      <w:szCs w:val="21"/>
                    </w:rPr>
                  </w:pPr>
                  <w:r>
                    <w:rPr>
                      <w:rFonts w:ascii="Times New Roman" w:hAnsi="Times New Roman" w:cs="Times New Roman"/>
                      <w:szCs w:val="21"/>
                    </w:rPr>
                    <w:t>750</w:t>
                  </w:r>
                </w:p>
              </w:tc>
              <w:tc>
                <w:tcPr>
                  <w:tcW w:w="669" w:type="dxa"/>
                  <w:vAlign w:val="center"/>
                </w:tcPr>
                <w:p w14:paraId="26E46187">
                  <w:pPr>
                    <w:adjustRightInd w:val="0"/>
                    <w:snapToGrid w:val="0"/>
                    <w:jc w:val="center"/>
                    <w:rPr>
                      <w:rFonts w:ascii="Times New Roman" w:hAnsi="Times New Roman" w:cs="Times New Roman"/>
                      <w:bCs/>
                      <w:szCs w:val="21"/>
                    </w:rPr>
                  </w:pPr>
                  <w:r>
                    <w:rPr>
                      <w:rFonts w:ascii="Times New Roman" w:hAnsi="Times New Roman" w:cs="Times New Roman"/>
                      <w:bCs/>
                      <w:szCs w:val="21"/>
                    </w:rPr>
                    <w:t>1</w:t>
                  </w:r>
                </w:p>
              </w:tc>
              <w:tc>
                <w:tcPr>
                  <w:tcW w:w="709" w:type="dxa"/>
                  <w:vAlign w:val="center"/>
                </w:tcPr>
                <w:p w14:paraId="51B632D0">
                  <w:pPr>
                    <w:adjustRightInd w:val="0"/>
                    <w:snapToGrid w:val="0"/>
                    <w:jc w:val="center"/>
                    <w:rPr>
                      <w:rFonts w:ascii="Times New Roman" w:hAnsi="Times New Roman" w:cs="Times New Roman"/>
                      <w:bCs/>
                      <w:szCs w:val="21"/>
                    </w:rPr>
                  </w:pPr>
                  <w:r>
                    <w:rPr>
                      <w:rFonts w:ascii="Times New Roman" w:hAnsi="Times New Roman" w:cs="Times New Roman"/>
                      <w:bCs/>
                      <w:szCs w:val="21"/>
                    </w:rPr>
                    <w:t>座</w:t>
                  </w:r>
                </w:p>
              </w:tc>
            </w:tr>
            <w:tr w14:paraId="250D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6018B64E">
                  <w:pPr>
                    <w:adjustRightInd w:val="0"/>
                    <w:snapToGrid w:val="0"/>
                    <w:jc w:val="center"/>
                    <w:rPr>
                      <w:rFonts w:ascii="Times New Roman" w:hAnsi="Times New Roman" w:cs="Times New Roman"/>
                      <w:bCs/>
                      <w:szCs w:val="21"/>
                    </w:rPr>
                  </w:pPr>
                  <w:r>
                    <w:rPr>
                      <w:rFonts w:ascii="Times New Roman" w:hAnsi="Times New Roman" w:cs="Times New Roman"/>
                      <w:bCs/>
                      <w:szCs w:val="21"/>
                    </w:rPr>
                    <w:t>7</w:t>
                  </w:r>
                </w:p>
              </w:tc>
              <w:tc>
                <w:tcPr>
                  <w:tcW w:w="1273" w:type="dxa"/>
                  <w:vAlign w:val="center"/>
                </w:tcPr>
                <w:p w14:paraId="2F16B8CF">
                  <w:pPr>
                    <w:adjustRightInd w:val="0"/>
                    <w:snapToGrid w:val="0"/>
                    <w:jc w:val="center"/>
                    <w:rPr>
                      <w:rFonts w:ascii="Times New Roman" w:hAnsi="Times New Roman" w:cs="Times New Roman"/>
                      <w:bCs/>
                      <w:szCs w:val="21"/>
                    </w:rPr>
                  </w:pPr>
                  <w:r>
                    <w:rPr>
                      <w:rFonts w:ascii="Times New Roman" w:hAnsi="Times New Roman" w:cs="Times New Roman"/>
                      <w:szCs w:val="21"/>
                    </w:rPr>
                    <w:t>轻质燃料油储罐</w:t>
                  </w:r>
                </w:p>
              </w:tc>
              <w:tc>
                <w:tcPr>
                  <w:tcW w:w="1134" w:type="dxa"/>
                  <w:vAlign w:val="center"/>
                </w:tcPr>
                <w:p w14:paraId="15BCBB50">
                  <w:pPr>
                    <w:adjustRightInd w:val="0"/>
                    <w:snapToGrid w:val="0"/>
                    <w:jc w:val="center"/>
                    <w:rPr>
                      <w:rFonts w:ascii="Times New Roman" w:hAnsi="Times New Roman" w:cs="Times New Roman"/>
                      <w:bCs/>
                      <w:szCs w:val="21"/>
                    </w:rPr>
                  </w:pPr>
                  <w:r>
                    <w:rPr>
                      <w:rFonts w:ascii="Times New Roman" w:hAnsi="Times New Roman" w:cs="Times New Roman"/>
                      <w:szCs w:val="21"/>
                    </w:rPr>
                    <w:t>TK42006</w:t>
                  </w:r>
                </w:p>
              </w:tc>
              <w:tc>
                <w:tcPr>
                  <w:tcW w:w="1417" w:type="dxa"/>
                  <w:vAlign w:val="center"/>
                </w:tcPr>
                <w:p w14:paraId="046AA4F0">
                  <w:pPr>
                    <w:adjustRightInd w:val="0"/>
                    <w:snapToGrid w:val="0"/>
                    <w:jc w:val="center"/>
                    <w:rPr>
                      <w:rFonts w:ascii="Times New Roman" w:hAnsi="Times New Roman" w:cs="Times New Roman"/>
                      <w:bCs/>
                      <w:szCs w:val="21"/>
                    </w:rPr>
                  </w:pPr>
                  <w:r>
                    <w:rPr>
                      <w:rFonts w:ascii="Times New Roman" w:hAnsi="Times New Roman" w:cs="Times New Roman"/>
                      <w:szCs w:val="21"/>
                    </w:rPr>
                    <w:t>D14.50×H14.35</w:t>
                  </w:r>
                </w:p>
              </w:tc>
              <w:tc>
                <w:tcPr>
                  <w:tcW w:w="992" w:type="dxa"/>
                  <w:vAlign w:val="center"/>
                </w:tcPr>
                <w:p w14:paraId="2D587283">
                  <w:pPr>
                    <w:adjustRightInd w:val="0"/>
                    <w:snapToGrid w:val="0"/>
                    <w:jc w:val="center"/>
                    <w:rPr>
                      <w:rFonts w:ascii="Times New Roman" w:hAnsi="Times New Roman" w:cs="Times New Roman"/>
                      <w:szCs w:val="21"/>
                    </w:rPr>
                  </w:pPr>
                  <w:r>
                    <w:rPr>
                      <w:rFonts w:ascii="Times New Roman" w:hAnsi="Times New Roman" w:cs="Times New Roman"/>
                      <w:szCs w:val="21"/>
                    </w:rPr>
                    <w:t>Q235B</w:t>
                  </w:r>
                </w:p>
              </w:tc>
              <w:tc>
                <w:tcPr>
                  <w:tcW w:w="993" w:type="dxa"/>
                  <w:vAlign w:val="center"/>
                </w:tcPr>
                <w:p w14:paraId="0A46397F">
                  <w:pPr>
                    <w:adjustRightInd w:val="0"/>
                    <w:snapToGrid w:val="0"/>
                    <w:jc w:val="center"/>
                    <w:rPr>
                      <w:rFonts w:ascii="Times New Roman" w:hAnsi="Times New Roman" w:cs="Times New Roman"/>
                      <w:bCs/>
                      <w:szCs w:val="21"/>
                    </w:rPr>
                  </w:pPr>
                  <w:r>
                    <w:rPr>
                      <w:rFonts w:ascii="Times New Roman" w:hAnsi="Times New Roman" w:cs="Times New Roman"/>
                      <w:bCs/>
                      <w:szCs w:val="21"/>
                    </w:rPr>
                    <w:t>2659</w:t>
                  </w:r>
                </w:p>
              </w:tc>
              <w:tc>
                <w:tcPr>
                  <w:tcW w:w="850" w:type="dxa"/>
                  <w:vAlign w:val="center"/>
                </w:tcPr>
                <w:p w14:paraId="43187A5A">
                  <w:pPr>
                    <w:adjustRightInd w:val="0"/>
                    <w:snapToGrid w:val="0"/>
                    <w:jc w:val="center"/>
                    <w:rPr>
                      <w:rFonts w:ascii="Times New Roman" w:hAnsi="Times New Roman" w:cs="Times New Roman"/>
                      <w:bCs/>
                      <w:szCs w:val="21"/>
                    </w:rPr>
                  </w:pPr>
                  <w:r>
                    <w:rPr>
                      <w:rFonts w:ascii="Times New Roman" w:hAnsi="Times New Roman" w:cs="Times New Roman"/>
                      <w:szCs w:val="21"/>
                    </w:rPr>
                    <w:t>850</w:t>
                  </w:r>
                </w:p>
              </w:tc>
              <w:tc>
                <w:tcPr>
                  <w:tcW w:w="669" w:type="dxa"/>
                  <w:vAlign w:val="center"/>
                </w:tcPr>
                <w:p w14:paraId="1D1AB7E6">
                  <w:pPr>
                    <w:adjustRightInd w:val="0"/>
                    <w:snapToGrid w:val="0"/>
                    <w:jc w:val="center"/>
                    <w:rPr>
                      <w:rFonts w:ascii="Times New Roman" w:hAnsi="Times New Roman" w:cs="Times New Roman"/>
                      <w:bCs/>
                      <w:szCs w:val="21"/>
                    </w:rPr>
                  </w:pPr>
                  <w:r>
                    <w:rPr>
                      <w:rFonts w:ascii="Times New Roman" w:hAnsi="Times New Roman" w:cs="Times New Roman"/>
                      <w:bCs/>
                      <w:szCs w:val="21"/>
                    </w:rPr>
                    <w:t>1</w:t>
                  </w:r>
                </w:p>
              </w:tc>
              <w:tc>
                <w:tcPr>
                  <w:tcW w:w="709" w:type="dxa"/>
                  <w:vAlign w:val="center"/>
                </w:tcPr>
                <w:p w14:paraId="7F644AD5">
                  <w:pPr>
                    <w:adjustRightInd w:val="0"/>
                    <w:snapToGrid w:val="0"/>
                    <w:jc w:val="center"/>
                    <w:rPr>
                      <w:rFonts w:ascii="Times New Roman" w:hAnsi="Times New Roman" w:cs="Times New Roman"/>
                      <w:bCs/>
                      <w:szCs w:val="21"/>
                    </w:rPr>
                  </w:pPr>
                  <w:r>
                    <w:rPr>
                      <w:rFonts w:ascii="Times New Roman" w:hAnsi="Times New Roman" w:cs="Times New Roman"/>
                      <w:bCs/>
                      <w:szCs w:val="21"/>
                    </w:rPr>
                    <w:t>座</w:t>
                  </w:r>
                </w:p>
              </w:tc>
            </w:tr>
            <w:tr w14:paraId="14DC9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17C9D107">
                  <w:pPr>
                    <w:adjustRightInd w:val="0"/>
                    <w:snapToGrid w:val="0"/>
                    <w:jc w:val="center"/>
                    <w:rPr>
                      <w:rFonts w:ascii="Times New Roman" w:hAnsi="Times New Roman" w:cs="Times New Roman"/>
                      <w:bCs/>
                      <w:szCs w:val="21"/>
                    </w:rPr>
                  </w:pPr>
                  <w:r>
                    <w:rPr>
                      <w:rFonts w:ascii="Times New Roman" w:hAnsi="Times New Roman" w:cs="Times New Roman"/>
                      <w:bCs/>
                      <w:szCs w:val="21"/>
                    </w:rPr>
                    <w:t>8</w:t>
                  </w:r>
                </w:p>
              </w:tc>
              <w:tc>
                <w:tcPr>
                  <w:tcW w:w="1273" w:type="dxa"/>
                  <w:vAlign w:val="center"/>
                </w:tcPr>
                <w:p w14:paraId="3464C7D8">
                  <w:pPr>
                    <w:adjustRightInd w:val="0"/>
                    <w:snapToGrid w:val="0"/>
                    <w:jc w:val="center"/>
                    <w:rPr>
                      <w:rFonts w:ascii="Times New Roman" w:hAnsi="Times New Roman" w:cs="Times New Roman"/>
                      <w:bCs/>
                      <w:szCs w:val="21"/>
                    </w:rPr>
                  </w:pPr>
                  <w:r>
                    <w:rPr>
                      <w:rFonts w:ascii="Times New Roman" w:hAnsi="Times New Roman" w:cs="Times New Roman"/>
                      <w:szCs w:val="21"/>
                    </w:rPr>
                    <w:t>煤基柴油储罐</w:t>
                  </w:r>
                </w:p>
              </w:tc>
              <w:tc>
                <w:tcPr>
                  <w:tcW w:w="1134" w:type="dxa"/>
                  <w:vAlign w:val="center"/>
                </w:tcPr>
                <w:p w14:paraId="19537C31">
                  <w:pPr>
                    <w:adjustRightInd w:val="0"/>
                    <w:snapToGrid w:val="0"/>
                    <w:jc w:val="center"/>
                    <w:rPr>
                      <w:rFonts w:ascii="Times New Roman" w:hAnsi="Times New Roman" w:cs="Times New Roman"/>
                      <w:bCs/>
                      <w:szCs w:val="21"/>
                    </w:rPr>
                  </w:pPr>
                  <w:r>
                    <w:rPr>
                      <w:rFonts w:ascii="Times New Roman" w:hAnsi="Times New Roman" w:cs="Times New Roman"/>
                      <w:szCs w:val="21"/>
                    </w:rPr>
                    <w:t>TK42008</w:t>
                  </w:r>
                </w:p>
              </w:tc>
              <w:tc>
                <w:tcPr>
                  <w:tcW w:w="1417" w:type="dxa"/>
                  <w:vAlign w:val="center"/>
                </w:tcPr>
                <w:p w14:paraId="32D02BA8">
                  <w:pPr>
                    <w:adjustRightInd w:val="0"/>
                    <w:snapToGrid w:val="0"/>
                    <w:jc w:val="center"/>
                    <w:rPr>
                      <w:rFonts w:ascii="Times New Roman" w:hAnsi="Times New Roman" w:cs="Times New Roman"/>
                      <w:bCs/>
                      <w:szCs w:val="21"/>
                    </w:rPr>
                  </w:pPr>
                  <w:r>
                    <w:rPr>
                      <w:rFonts w:ascii="Times New Roman" w:hAnsi="Times New Roman" w:cs="Times New Roman"/>
                      <w:szCs w:val="21"/>
                    </w:rPr>
                    <w:t>D14.50×H14.35</w:t>
                  </w:r>
                </w:p>
              </w:tc>
              <w:tc>
                <w:tcPr>
                  <w:tcW w:w="992" w:type="dxa"/>
                  <w:vAlign w:val="center"/>
                </w:tcPr>
                <w:p w14:paraId="3BD6097F">
                  <w:pPr>
                    <w:adjustRightInd w:val="0"/>
                    <w:snapToGrid w:val="0"/>
                    <w:jc w:val="center"/>
                    <w:rPr>
                      <w:rFonts w:ascii="Times New Roman" w:hAnsi="Times New Roman" w:cs="Times New Roman"/>
                      <w:szCs w:val="21"/>
                    </w:rPr>
                  </w:pPr>
                  <w:r>
                    <w:rPr>
                      <w:rFonts w:ascii="Times New Roman" w:hAnsi="Times New Roman" w:cs="Times New Roman"/>
                      <w:szCs w:val="21"/>
                    </w:rPr>
                    <w:t>Q235B</w:t>
                  </w:r>
                </w:p>
              </w:tc>
              <w:tc>
                <w:tcPr>
                  <w:tcW w:w="993" w:type="dxa"/>
                  <w:vAlign w:val="center"/>
                </w:tcPr>
                <w:p w14:paraId="7727AD49">
                  <w:pPr>
                    <w:adjustRightInd w:val="0"/>
                    <w:snapToGrid w:val="0"/>
                    <w:jc w:val="center"/>
                    <w:rPr>
                      <w:rFonts w:ascii="Times New Roman" w:hAnsi="Times New Roman" w:cs="Times New Roman"/>
                      <w:bCs/>
                      <w:szCs w:val="21"/>
                    </w:rPr>
                  </w:pPr>
                  <w:r>
                    <w:rPr>
                      <w:rFonts w:ascii="Times New Roman" w:hAnsi="Times New Roman" w:cs="Times New Roman"/>
                      <w:bCs/>
                      <w:szCs w:val="21"/>
                    </w:rPr>
                    <w:t>3220</w:t>
                  </w:r>
                </w:p>
              </w:tc>
              <w:tc>
                <w:tcPr>
                  <w:tcW w:w="850" w:type="dxa"/>
                  <w:vAlign w:val="center"/>
                </w:tcPr>
                <w:p w14:paraId="482FC0E1">
                  <w:pPr>
                    <w:adjustRightInd w:val="0"/>
                    <w:snapToGrid w:val="0"/>
                    <w:jc w:val="center"/>
                    <w:rPr>
                      <w:rFonts w:ascii="Times New Roman" w:hAnsi="Times New Roman" w:cs="Times New Roman"/>
                      <w:bCs/>
                      <w:szCs w:val="21"/>
                    </w:rPr>
                  </w:pPr>
                  <w:r>
                    <w:rPr>
                      <w:rFonts w:ascii="Times New Roman" w:hAnsi="Times New Roman" w:cs="Times New Roman"/>
                      <w:szCs w:val="21"/>
                    </w:rPr>
                    <w:t>850</w:t>
                  </w:r>
                </w:p>
              </w:tc>
              <w:tc>
                <w:tcPr>
                  <w:tcW w:w="669" w:type="dxa"/>
                  <w:vAlign w:val="center"/>
                </w:tcPr>
                <w:p w14:paraId="6B075F36">
                  <w:pPr>
                    <w:adjustRightInd w:val="0"/>
                    <w:snapToGrid w:val="0"/>
                    <w:jc w:val="center"/>
                    <w:rPr>
                      <w:rFonts w:ascii="Times New Roman" w:hAnsi="Times New Roman" w:cs="Times New Roman"/>
                      <w:bCs/>
                      <w:szCs w:val="21"/>
                    </w:rPr>
                  </w:pPr>
                  <w:r>
                    <w:rPr>
                      <w:rFonts w:ascii="Times New Roman" w:hAnsi="Times New Roman" w:cs="Times New Roman"/>
                      <w:bCs/>
                      <w:szCs w:val="21"/>
                    </w:rPr>
                    <w:t>1</w:t>
                  </w:r>
                </w:p>
              </w:tc>
              <w:tc>
                <w:tcPr>
                  <w:tcW w:w="709" w:type="dxa"/>
                  <w:vAlign w:val="center"/>
                </w:tcPr>
                <w:p w14:paraId="6A1B914B">
                  <w:pPr>
                    <w:adjustRightInd w:val="0"/>
                    <w:snapToGrid w:val="0"/>
                    <w:jc w:val="center"/>
                    <w:rPr>
                      <w:rFonts w:ascii="Times New Roman" w:hAnsi="Times New Roman" w:cs="Times New Roman"/>
                      <w:bCs/>
                      <w:szCs w:val="21"/>
                    </w:rPr>
                  </w:pPr>
                  <w:r>
                    <w:rPr>
                      <w:rFonts w:ascii="Times New Roman" w:hAnsi="Times New Roman" w:cs="Times New Roman"/>
                      <w:bCs/>
                      <w:szCs w:val="21"/>
                    </w:rPr>
                    <w:t>座</w:t>
                  </w:r>
                </w:p>
              </w:tc>
            </w:tr>
            <w:tr w14:paraId="7C8CE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6D49262D">
                  <w:pPr>
                    <w:adjustRightInd w:val="0"/>
                    <w:snapToGrid w:val="0"/>
                    <w:jc w:val="center"/>
                    <w:rPr>
                      <w:rFonts w:ascii="Times New Roman" w:hAnsi="Times New Roman" w:cs="Times New Roman"/>
                      <w:bCs/>
                      <w:szCs w:val="21"/>
                    </w:rPr>
                  </w:pPr>
                  <w:r>
                    <w:rPr>
                      <w:rFonts w:ascii="Times New Roman" w:hAnsi="Times New Roman" w:cs="Times New Roman"/>
                      <w:bCs/>
                      <w:szCs w:val="21"/>
                    </w:rPr>
                    <w:t>9</w:t>
                  </w:r>
                </w:p>
              </w:tc>
              <w:tc>
                <w:tcPr>
                  <w:tcW w:w="1273" w:type="dxa"/>
                  <w:vAlign w:val="center"/>
                </w:tcPr>
                <w:p w14:paraId="2A4A7865">
                  <w:pPr>
                    <w:adjustRightInd w:val="0"/>
                    <w:snapToGrid w:val="0"/>
                    <w:jc w:val="center"/>
                    <w:rPr>
                      <w:rFonts w:ascii="Times New Roman" w:hAnsi="Times New Roman" w:cs="Times New Roman"/>
                      <w:bCs/>
                      <w:szCs w:val="21"/>
                    </w:rPr>
                  </w:pPr>
                  <w:r>
                    <w:rPr>
                      <w:rFonts w:ascii="Times New Roman" w:hAnsi="Times New Roman" w:cs="Times New Roman"/>
                      <w:szCs w:val="21"/>
                    </w:rPr>
                    <w:t>车用柴油调和储罐</w:t>
                  </w:r>
                </w:p>
              </w:tc>
              <w:tc>
                <w:tcPr>
                  <w:tcW w:w="1134" w:type="dxa"/>
                  <w:vAlign w:val="center"/>
                </w:tcPr>
                <w:p w14:paraId="05F991D6">
                  <w:pPr>
                    <w:adjustRightInd w:val="0"/>
                    <w:snapToGrid w:val="0"/>
                    <w:jc w:val="center"/>
                    <w:rPr>
                      <w:rFonts w:ascii="Times New Roman" w:hAnsi="Times New Roman" w:cs="Times New Roman"/>
                      <w:bCs/>
                      <w:szCs w:val="21"/>
                    </w:rPr>
                  </w:pPr>
                  <w:r>
                    <w:rPr>
                      <w:rFonts w:ascii="Times New Roman" w:hAnsi="Times New Roman" w:cs="Times New Roman"/>
                      <w:szCs w:val="21"/>
                    </w:rPr>
                    <w:t>TK42002、04</w:t>
                  </w:r>
                </w:p>
              </w:tc>
              <w:tc>
                <w:tcPr>
                  <w:tcW w:w="1417" w:type="dxa"/>
                  <w:vAlign w:val="center"/>
                </w:tcPr>
                <w:p w14:paraId="525C7BBC">
                  <w:pPr>
                    <w:adjustRightInd w:val="0"/>
                    <w:snapToGrid w:val="0"/>
                    <w:jc w:val="center"/>
                    <w:rPr>
                      <w:rFonts w:ascii="Times New Roman" w:hAnsi="Times New Roman" w:cs="Times New Roman"/>
                      <w:bCs/>
                      <w:szCs w:val="21"/>
                    </w:rPr>
                  </w:pPr>
                  <w:r>
                    <w:rPr>
                      <w:rFonts w:ascii="Times New Roman" w:hAnsi="Times New Roman" w:cs="Times New Roman"/>
                      <w:szCs w:val="21"/>
                    </w:rPr>
                    <w:t>D14.50×H14.35</w:t>
                  </w:r>
                </w:p>
              </w:tc>
              <w:tc>
                <w:tcPr>
                  <w:tcW w:w="992" w:type="dxa"/>
                  <w:vAlign w:val="center"/>
                </w:tcPr>
                <w:p w14:paraId="67F055B7">
                  <w:pPr>
                    <w:adjustRightInd w:val="0"/>
                    <w:snapToGrid w:val="0"/>
                    <w:jc w:val="center"/>
                    <w:rPr>
                      <w:rFonts w:ascii="Times New Roman" w:hAnsi="Times New Roman" w:cs="Times New Roman"/>
                      <w:szCs w:val="21"/>
                    </w:rPr>
                  </w:pPr>
                  <w:r>
                    <w:rPr>
                      <w:rFonts w:ascii="Times New Roman" w:hAnsi="Times New Roman" w:cs="Times New Roman"/>
                      <w:szCs w:val="21"/>
                    </w:rPr>
                    <w:t>Q235B</w:t>
                  </w:r>
                </w:p>
              </w:tc>
              <w:tc>
                <w:tcPr>
                  <w:tcW w:w="993" w:type="dxa"/>
                  <w:vAlign w:val="center"/>
                </w:tcPr>
                <w:p w14:paraId="4103AF97">
                  <w:pPr>
                    <w:adjustRightInd w:val="0"/>
                    <w:snapToGrid w:val="0"/>
                    <w:jc w:val="center"/>
                    <w:rPr>
                      <w:rFonts w:ascii="Times New Roman" w:hAnsi="Times New Roman" w:cs="Times New Roman"/>
                      <w:bCs/>
                      <w:szCs w:val="21"/>
                    </w:rPr>
                  </w:pPr>
                  <w:r>
                    <w:rPr>
                      <w:rFonts w:ascii="Times New Roman" w:hAnsi="Times New Roman" w:cs="Times New Roman"/>
                      <w:bCs/>
                      <w:szCs w:val="21"/>
                    </w:rPr>
                    <w:t>6088</w:t>
                  </w:r>
                </w:p>
              </w:tc>
              <w:tc>
                <w:tcPr>
                  <w:tcW w:w="850" w:type="dxa"/>
                  <w:vAlign w:val="center"/>
                </w:tcPr>
                <w:p w14:paraId="45741AF5">
                  <w:pPr>
                    <w:adjustRightInd w:val="0"/>
                    <w:snapToGrid w:val="0"/>
                    <w:jc w:val="center"/>
                    <w:rPr>
                      <w:rFonts w:ascii="Times New Roman" w:hAnsi="Times New Roman" w:cs="Times New Roman"/>
                      <w:bCs/>
                      <w:szCs w:val="21"/>
                    </w:rPr>
                  </w:pPr>
                  <w:r>
                    <w:rPr>
                      <w:rFonts w:ascii="Times New Roman" w:hAnsi="Times New Roman" w:cs="Times New Roman"/>
                      <w:szCs w:val="21"/>
                    </w:rPr>
                    <w:t>820</w:t>
                  </w:r>
                </w:p>
              </w:tc>
              <w:tc>
                <w:tcPr>
                  <w:tcW w:w="669" w:type="dxa"/>
                  <w:vAlign w:val="center"/>
                </w:tcPr>
                <w:p w14:paraId="123B0073">
                  <w:pPr>
                    <w:adjustRightInd w:val="0"/>
                    <w:snapToGrid w:val="0"/>
                    <w:jc w:val="center"/>
                    <w:rPr>
                      <w:rFonts w:ascii="Times New Roman" w:hAnsi="Times New Roman" w:cs="Times New Roman"/>
                      <w:bCs/>
                      <w:szCs w:val="21"/>
                    </w:rPr>
                  </w:pPr>
                  <w:r>
                    <w:rPr>
                      <w:rFonts w:ascii="Times New Roman" w:hAnsi="Times New Roman" w:cs="Times New Roman"/>
                      <w:bCs/>
                      <w:szCs w:val="21"/>
                    </w:rPr>
                    <w:t>2</w:t>
                  </w:r>
                </w:p>
              </w:tc>
              <w:tc>
                <w:tcPr>
                  <w:tcW w:w="709" w:type="dxa"/>
                  <w:vAlign w:val="center"/>
                </w:tcPr>
                <w:p w14:paraId="60EEDA83">
                  <w:pPr>
                    <w:adjustRightInd w:val="0"/>
                    <w:snapToGrid w:val="0"/>
                    <w:jc w:val="center"/>
                    <w:rPr>
                      <w:rFonts w:ascii="Times New Roman" w:hAnsi="Times New Roman" w:cs="Times New Roman"/>
                      <w:bCs/>
                      <w:szCs w:val="21"/>
                    </w:rPr>
                  </w:pPr>
                  <w:r>
                    <w:rPr>
                      <w:rFonts w:ascii="Times New Roman" w:hAnsi="Times New Roman" w:cs="Times New Roman"/>
                      <w:bCs/>
                      <w:szCs w:val="21"/>
                    </w:rPr>
                    <w:t>座</w:t>
                  </w:r>
                </w:p>
              </w:tc>
            </w:tr>
            <w:tr w14:paraId="7ACE7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459E03F7">
                  <w:pPr>
                    <w:adjustRightInd w:val="0"/>
                    <w:snapToGrid w:val="0"/>
                    <w:jc w:val="center"/>
                    <w:rPr>
                      <w:rFonts w:ascii="Times New Roman" w:hAnsi="Times New Roman" w:cs="Times New Roman"/>
                      <w:bCs/>
                      <w:szCs w:val="21"/>
                    </w:rPr>
                  </w:pPr>
                  <w:r>
                    <w:rPr>
                      <w:rFonts w:ascii="Times New Roman" w:hAnsi="Times New Roman" w:cs="Times New Roman"/>
                      <w:bCs/>
                      <w:szCs w:val="21"/>
                    </w:rPr>
                    <w:t>10</w:t>
                  </w:r>
                </w:p>
              </w:tc>
              <w:tc>
                <w:tcPr>
                  <w:tcW w:w="1273" w:type="dxa"/>
                  <w:vAlign w:val="center"/>
                </w:tcPr>
                <w:p w14:paraId="5A0B0367">
                  <w:pPr>
                    <w:adjustRightInd w:val="0"/>
                    <w:snapToGrid w:val="0"/>
                    <w:jc w:val="center"/>
                    <w:rPr>
                      <w:rFonts w:ascii="Times New Roman" w:hAnsi="Times New Roman" w:cs="Times New Roman"/>
                      <w:bCs/>
                      <w:szCs w:val="21"/>
                    </w:rPr>
                  </w:pPr>
                  <w:r>
                    <w:rPr>
                      <w:rFonts w:ascii="Times New Roman" w:hAnsi="Times New Roman" w:cs="Times New Roman"/>
                      <w:szCs w:val="21"/>
                    </w:rPr>
                    <w:t>不合格柴油储罐</w:t>
                  </w:r>
                </w:p>
              </w:tc>
              <w:tc>
                <w:tcPr>
                  <w:tcW w:w="1134" w:type="dxa"/>
                  <w:vAlign w:val="center"/>
                </w:tcPr>
                <w:p w14:paraId="738E7D1A">
                  <w:pPr>
                    <w:adjustRightInd w:val="0"/>
                    <w:snapToGrid w:val="0"/>
                    <w:jc w:val="center"/>
                    <w:rPr>
                      <w:rFonts w:ascii="Times New Roman" w:hAnsi="Times New Roman" w:cs="Times New Roman"/>
                      <w:bCs/>
                      <w:szCs w:val="21"/>
                    </w:rPr>
                  </w:pPr>
                  <w:r>
                    <w:rPr>
                      <w:rFonts w:ascii="Times New Roman" w:hAnsi="Times New Roman" w:cs="Times New Roman"/>
                      <w:szCs w:val="21"/>
                    </w:rPr>
                    <w:t>TK42010</w:t>
                  </w:r>
                </w:p>
              </w:tc>
              <w:tc>
                <w:tcPr>
                  <w:tcW w:w="1417" w:type="dxa"/>
                  <w:vAlign w:val="center"/>
                </w:tcPr>
                <w:p w14:paraId="3C6243DC">
                  <w:pPr>
                    <w:adjustRightInd w:val="0"/>
                    <w:snapToGrid w:val="0"/>
                    <w:jc w:val="center"/>
                    <w:rPr>
                      <w:rFonts w:ascii="Times New Roman" w:hAnsi="Times New Roman" w:cs="Times New Roman"/>
                      <w:bCs/>
                      <w:szCs w:val="21"/>
                    </w:rPr>
                  </w:pPr>
                  <w:r>
                    <w:rPr>
                      <w:rFonts w:ascii="Times New Roman" w:hAnsi="Times New Roman" w:cs="Times New Roman"/>
                      <w:szCs w:val="21"/>
                    </w:rPr>
                    <w:t>D14.50×H14.35</w:t>
                  </w:r>
                </w:p>
              </w:tc>
              <w:tc>
                <w:tcPr>
                  <w:tcW w:w="992" w:type="dxa"/>
                  <w:vAlign w:val="center"/>
                </w:tcPr>
                <w:p w14:paraId="6A8C2FB3">
                  <w:pPr>
                    <w:adjustRightInd w:val="0"/>
                    <w:snapToGrid w:val="0"/>
                    <w:jc w:val="center"/>
                    <w:rPr>
                      <w:rFonts w:ascii="Times New Roman" w:hAnsi="Times New Roman" w:cs="Times New Roman"/>
                      <w:szCs w:val="21"/>
                    </w:rPr>
                  </w:pPr>
                  <w:r>
                    <w:rPr>
                      <w:rFonts w:ascii="Times New Roman" w:hAnsi="Times New Roman" w:cs="Times New Roman"/>
                      <w:szCs w:val="21"/>
                    </w:rPr>
                    <w:t>Q235B</w:t>
                  </w:r>
                </w:p>
              </w:tc>
              <w:tc>
                <w:tcPr>
                  <w:tcW w:w="993" w:type="dxa"/>
                  <w:vAlign w:val="center"/>
                </w:tcPr>
                <w:p w14:paraId="20D21AAD">
                  <w:pPr>
                    <w:adjustRightInd w:val="0"/>
                    <w:snapToGrid w:val="0"/>
                    <w:jc w:val="center"/>
                    <w:rPr>
                      <w:rFonts w:ascii="Times New Roman" w:hAnsi="Times New Roman" w:cs="Times New Roman"/>
                      <w:bCs/>
                      <w:szCs w:val="21"/>
                    </w:rPr>
                  </w:pPr>
                </w:p>
              </w:tc>
              <w:tc>
                <w:tcPr>
                  <w:tcW w:w="850" w:type="dxa"/>
                  <w:vAlign w:val="center"/>
                </w:tcPr>
                <w:p w14:paraId="37562AD3">
                  <w:pPr>
                    <w:adjustRightInd w:val="0"/>
                    <w:snapToGrid w:val="0"/>
                    <w:jc w:val="center"/>
                    <w:rPr>
                      <w:rFonts w:ascii="Times New Roman" w:hAnsi="Times New Roman" w:cs="Times New Roman"/>
                      <w:bCs/>
                      <w:szCs w:val="21"/>
                    </w:rPr>
                  </w:pPr>
                  <w:r>
                    <w:rPr>
                      <w:rFonts w:ascii="Times New Roman" w:hAnsi="Times New Roman" w:cs="Times New Roman"/>
                      <w:szCs w:val="21"/>
                    </w:rPr>
                    <w:t>820</w:t>
                  </w:r>
                </w:p>
              </w:tc>
              <w:tc>
                <w:tcPr>
                  <w:tcW w:w="669" w:type="dxa"/>
                  <w:vAlign w:val="center"/>
                </w:tcPr>
                <w:p w14:paraId="7FB5C188">
                  <w:pPr>
                    <w:adjustRightInd w:val="0"/>
                    <w:snapToGrid w:val="0"/>
                    <w:jc w:val="center"/>
                    <w:rPr>
                      <w:rFonts w:ascii="Times New Roman" w:hAnsi="Times New Roman" w:cs="Times New Roman"/>
                      <w:bCs/>
                      <w:szCs w:val="21"/>
                    </w:rPr>
                  </w:pPr>
                  <w:r>
                    <w:rPr>
                      <w:rFonts w:ascii="Times New Roman" w:hAnsi="Times New Roman" w:cs="Times New Roman"/>
                      <w:bCs/>
                      <w:szCs w:val="21"/>
                    </w:rPr>
                    <w:t>1</w:t>
                  </w:r>
                </w:p>
              </w:tc>
              <w:tc>
                <w:tcPr>
                  <w:tcW w:w="709" w:type="dxa"/>
                  <w:vAlign w:val="center"/>
                </w:tcPr>
                <w:p w14:paraId="65055453">
                  <w:pPr>
                    <w:adjustRightInd w:val="0"/>
                    <w:snapToGrid w:val="0"/>
                    <w:jc w:val="center"/>
                    <w:rPr>
                      <w:rFonts w:ascii="Times New Roman" w:hAnsi="Times New Roman" w:cs="Times New Roman"/>
                      <w:bCs/>
                      <w:szCs w:val="21"/>
                    </w:rPr>
                  </w:pPr>
                  <w:r>
                    <w:rPr>
                      <w:rFonts w:ascii="Times New Roman" w:hAnsi="Times New Roman" w:cs="Times New Roman"/>
                      <w:bCs/>
                      <w:szCs w:val="21"/>
                    </w:rPr>
                    <w:t>座</w:t>
                  </w:r>
                </w:p>
              </w:tc>
            </w:tr>
            <w:tr w14:paraId="49E33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0A87A0B4">
                  <w:pPr>
                    <w:adjustRightInd w:val="0"/>
                    <w:snapToGrid w:val="0"/>
                    <w:jc w:val="center"/>
                    <w:rPr>
                      <w:rFonts w:ascii="Times New Roman" w:hAnsi="Times New Roman" w:cs="Times New Roman"/>
                      <w:bCs/>
                      <w:szCs w:val="21"/>
                    </w:rPr>
                  </w:pPr>
                </w:p>
              </w:tc>
              <w:tc>
                <w:tcPr>
                  <w:tcW w:w="3824" w:type="dxa"/>
                  <w:gridSpan w:val="3"/>
                  <w:vAlign w:val="center"/>
                </w:tcPr>
                <w:p w14:paraId="78F80AD2">
                  <w:pPr>
                    <w:adjustRightInd w:val="0"/>
                    <w:snapToGrid w:val="0"/>
                    <w:jc w:val="center"/>
                    <w:rPr>
                      <w:rFonts w:ascii="Times New Roman" w:hAnsi="Times New Roman" w:cs="Times New Roman"/>
                      <w:szCs w:val="21"/>
                    </w:rPr>
                  </w:pPr>
                  <w:r>
                    <w:rPr>
                      <w:rFonts w:hint="eastAsia" w:ascii="Times New Roman" w:hAnsi="Times New Roman" w:cs="Times New Roman"/>
                      <w:szCs w:val="21"/>
                    </w:rPr>
                    <w:t>合计</w:t>
                  </w:r>
                </w:p>
              </w:tc>
              <w:tc>
                <w:tcPr>
                  <w:tcW w:w="4213" w:type="dxa"/>
                  <w:gridSpan w:val="5"/>
                  <w:vAlign w:val="center"/>
                </w:tcPr>
                <w:p w14:paraId="230D2222">
                  <w:pPr>
                    <w:adjustRightInd w:val="0"/>
                    <w:snapToGrid w:val="0"/>
                    <w:jc w:val="center"/>
                    <w:rPr>
                      <w:rFonts w:ascii="Times New Roman" w:hAnsi="Times New Roman" w:cs="Times New Roman"/>
                      <w:bCs/>
                      <w:szCs w:val="21"/>
                    </w:rPr>
                  </w:pPr>
                  <w:r>
                    <w:rPr>
                      <w:rFonts w:hint="eastAsia" w:ascii="Times New Roman" w:hAnsi="Times New Roman" w:cs="Times New Roman"/>
                      <w:bCs/>
                      <w:szCs w:val="21"/>
                    </w:rPr>
                    <w:t>11</w:t>
                  </w:r>
                </w:p>
              </w:tc>
            </w:tr>
            <w:tr w14:paraId="224B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17" w:type="dxa"/>
                  <w:gridSpan w:val="9"/>
                  <w:vAlign w:val="center"/>
                </w:tcPr>
                <w:p w14:paraId="21936DA0">
                  <w:pPr>
                    <w:adjustRightInd w:val="0"/>
                    <w:snapToGrid w:val="0"/>
                    <w:jc w:val="center"/>
                    <w:rPr>
                      <w:rFonts w:ascii="Times New Roman" w:hAnsi="Times New Roman" w:cs="Times New Roman"/>
                      <w:bCs/>
                      <w:szCs w:val="21"/>
                    </w:rPr>
                  </w:pPr>
                  <w:r>
                    <w:rPr>
                      <w:rFonts w:ascii="Times New Roman" w:hAnsi="Times New Roman" w:cs="Times New Roman"/>
                      <w:bCs/>
                      <w:szCs w:val="21"/>
                    </w:rPr>
                    <w:t>泵类</w:t>
                  </w:r>
                </w:p>
              </w:tc>
            </w:tr>
            <w:tr w14:paraId="3AF27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right"/>
              </w:trPr>
              <w:tc>
                <w:tcPr>
                  <w:tcW w:w="480" w:type="dxa"/>
                  <w:vMerge w:val="restart"/>
                  <w:vAlign w:val="center"/>
                </w:tcPr>
                <w:p w14:paraId="4F8C361F">
                  <w:pPr>
                    <w:adjustRightInd w:val="0"/>
                    <w:snapToGrid w:val="0"/>
                    <w:jc w:val="center"/>
                    <w:rPr>
                      <w:rFonts w:ascii="Times New Roman" w:hAnsi="Times New Roman" w:cs="Times New Roman"/>
                      <w:bCs/>
                      <w:szCs w:val="21"/>
                    </w:rPr>
                  </w:pPr>
                  <w:r>
                    <w:rPr>
                      <w:rFonts w:ascii="Times New Roman" w:hAnsi="Times New Roman" w:cs="Times New Roman"/>
                      <w:bCs/>
                      <w:szCs w:val="21"/>
                    </w:rPr>
                    <w:t>序号</w:t>
                  </w:r>
                </w:p>
              </w:tc>
              <w:tc>
                <w:tcPr>
                  <w:tcW w:w="1273" w:type="dxa"/>
                  <w:vMerge w:val="restart"/>
                  <w:vAlign w:val="center"/>
                </w:tcPr>
                <w:p w14:paraId="51051EC0">
                  <w:pPr>
                    <w:adjustRightInd w:val="0"/>
                    <w:snapToGrid w:val="0"/>
                    <w:jc w:val="center"/>
                    <w:rPr>
                      <w:rFonts w:ascii="Times New Roman" w:hAnsi="Times New Roman" w:cs="Times New Roman"/>
                      <w:szCs w:val="21"/>
                    </w:rPr>
                  </w:pPr>
                  <w:r>
                    <w:rPr>
                      <w:rFonts w:ascii="Times New Roman" w:hAnsi="Times New Roman" w:cs="Times New Roman"/>
                      <w:szCs w:val="21"/>
                    </w:rPr>
                    <w:t>设备名称</w:t>
                  </w:r>
                </w:p>
              </w:tc>
              <w:tc>
                <w:tcPr>
                  <w:tcW w:w="1134" w:type="dxa"/>
                  <w:vMerge w:val="restart"/>
                  <w:vAlign w:val="center"/>
                </w:tcPr>
                <w:p w14:paraId="4C797D46">
                  <w:pPr>
                    <w:adjustRightInd w:val="0"/>
                    <w:snapToGrid w:val="0"/>
                    <w:jc w:val="center"/>
                    <w:rPr>
                      <w:rFonts w:ascii="Times New Roman" w:hAnsi="Times New Roman" w:cs="Times New Roman"/>
                      <w:szCs w:val="21"/>
                    </w:rPr>
                  </w:pPr>
                  <w:r>
                    <w:rPr>
                      <w:rFonts w:ascii="Times New Roman" w:hAnsi="Times New Roman" w:cs="Times New Roman"/>
                      <w:szCs w:val="21"/>
                    </w:rPr>
                    <w:t>设备位号</w:t>
                  </w:r>
                </w:p>
              </w:tc>
              <w:tc>
                <w:tcPr>
                  <w:tcW w:w="1417" w:type="dxa"/>
                  <w:vMerge w:val="restart"/>
                  <w:vAlign w:val="center"/>
                </w:tcPr>
                <w:p w14:paraId="6BC7B1E1">
                  <w:pPr>
                    <w:adjustRightInd w:val="0"/>
                    <w:snapToGrid w:val="0"/>
                    <w:jc w:val="center"/>
                    <w:rPr>
                      <w:rFonts w:ascii="Times New Roman" w:hAnsi="Times New Roman" w:cs="Times New Roman"/>
                      <w:szCs w:val="21"/>
                    </w:rPr>
                  </w:pPr>
                  <w:r>
                    <w:rPr>
                      <w:rFonts w:ascii="Times New Roman" w:hAnsi="Times New Roman" w:cs="Times New Roman"/>
                      <w:szCs w:val="21"/>
                    </w:rPr>
                    <w:t>介质名称</w:t>
                  </w:r>
                </w:p>
              </w:tc>
              <w:tc>
                <w:tcPr>
                  <w:tcW w:w="992" w:type="dxa"/>
                  <w:vMerge w:val="restart"/>
                  <w:vAlign w:val="center"/>
                </w:tcPr>
                <w:p w14:paraId="0DDB9375">
                  <w:pPr>
                    <w:adjustRightInd w:val="0"/>
                    <w:snapToGrid w:val="0"/>
                    <w:jc w:val="center"/>
                    <w:rPr>
                      <w:rFonts w:ascii="Times New Roman" w:hAnsi="Times New Roman" w:cs="Times New Roman"/>
                      <w:szCs w:val="21"/>
                    </w:rPr>
                  </w:pPr>
                  <w:r>
                    <w:rPr>
                      <w:rFonts w:ascii="Times New Roman" w:hAnsi="Times New Roman" w:cs="Times New Roman"/>
                      <w:szCs w:val="21"/>
                    </w:rPr>
                    <w:t>流量m</w:t>
                  </w:r>
                  <w:r>
                    <w:rPr>
                      <w:rFonts w:ascii="Times New Roman" w:hAnsi="Times New Roman" w:cs="Times New Roman"/>
                      <w:szCs w:val="21"/>
                      <w:vertAlign w:val="superscript"/>
                    </w:rPr>
                    <w:t>3</w:t>
                  </w:r>
                  <w:r>
                    <w:rPr>
                      <w:rFonts w:ascii="Times New Roman" w:hAnsi="Times New Roman" w:cs="Times New Roman"/>
                      <w:szCs w:val="21"/>
                    </w:rPr>
                    <w:t>/h</w:t>
                  </w:r>
                </w:p>
              </w:tc>
              <w:tc>
                <w:tcPr>
                  <w:tcW w:w="993" w:type="dxa"/>
                  <w:vMerge w:val="restart"/>
                  <w:vAlign w:val="center"/>
                </w:tcPr>
                <w:p w14:paraId="67000191">
                  <w:pPr>
                    <w:adjustRightInd w:val="0"/>
                    <w:snapToGrid w:val="0"/>
                    <w:jc w:val="center"/>
                    <w:rPr>
                      <w:rFonts w:ascii="Times New Roman" w:hAnsi="Times New Roman" w:cs="Times New Roman"/>
                      <w:szCs w:val="21"/>
                    </w:rPr>
                  </w:pPr>
                  <w:r>
                    <w:rPr>
                      <w:rFonts w:ascii="Times New Roman" w:hAnsi="Times New Roman" w:cs="Times New Roman"/>
                      <w:szCs w:val="21"/>
                    </w:rPr>
                    <w:t>介质密度</w:t>
                  </w:r>
                </w:p>
              </w:tc>
              <w:tc>
                <w:tcPr>
                  <w:tcW w:w="1519" w:type="dxa"/>
                  <w:gridSpan w:val="2"/>
                  <w:vAlign w:val="center"/>
                </w:tcPr>
                <w:p w14:paraId="06490932">
                  <w:pPr>
                    <w:adjustRightInd w:val="0"/>
                    <w:snapToGrid w:val="0"/>
                    <w:jc w:val="center"/>
                    <w:rPr>
                      <w:rFonts w:ascii="Times New Roman" w:hAnsi="Times New Roman" w:cs="Times New Roman"/>
                      <w:bCs/>
                      <w:szCs w:val="21"/>
                    </w:rPr>
                  </w:pPr>
                  <w:r>
                    <w:rPr>
                      <w:rFonts w:ascii="Times New Roman" w:hAnsi="Times New Roman" w:cs="Times New Roman"/>
                      <w:bCs/>
                      <w:szCs w:val="21"/>
                    </w:rPr>
                    <w:t>数量</w:t>
                  </w:r>
                  <w:r>
                    <w:rPr>
                      <w:rFonts w:hint="eastAsia" w:ascii="Times New Roman" w:hAnsi="Times New Roman" w:cs="Times New Roman"/>
                      <w:bCs/>
                      <w:szCs w:val="21"/>
                    </w:rPr>
                    <w:t>（个）</w:t>
                  </w:r>
                </w:p>
              </w:tc>
              <w:tc>
                <w:tcPr>
                  <w:tcW w:w="709" w:type="dxa"/>
                  <w:vMerge w:val="restart"/>
                  <w:vAlign w:val="center"/>
                </w:tcPr>
                <w:p w14:paraId="75ADF671">
                  <w:pPr>
                    <w:adjustRightInd w:val="0"/>
                    <w:snapToGrid w:val="0"/>
                    <w:jc w:val="center"/>
                    <w:rPr>
                      <w:rFonts w:ascii="Times New Roman" w:hAnsi="Times New Roman" w:cs="Times New Roman"/>
                      <w:bCs/>
                      <w:szCs w:val="21"/>
                    </w:rPr>
                  </w:pPr>
                  <w:r>
                    <w:rPr>
                      <w:rFonts w:hint="eastAsia" w:ascii="Times New Roman" w:hAnsi="Times New Roman" w:cs="Times New Roman"/>
                      <w:bCs/>
                      <w:szCs w:val="21"/>
                    </w:rPr>
                    <w:t>合计</w:t>
                  </w:r>
                </w:p>
              </w:tc>
            </w:tr>
            <w:tr w14:paraId="3A1F0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right"/>
              </w:trPr>
              <w:tc>
                <w:tcPr>
                  <w:tcW w:w="480" w:type="dxa"/>
                  <w:vMerge w:val="continue"/>
                  <w:vAlign w:val="center"/>
                </w:tcPr>
                <w:p w14:paraId="03CF56F8">
                  <w:pPr>
                    <w:adjustRightInd w:val="0"/>
                    <w:snapToGrid w:val="0"/>
                    <w:jc w:val="center"/>
                    <w:rPr>
                      <w:rFonts w:ascii="Times New Roman" w:hAnsi="Times New Roman" w:cs="Times New Roman"/>
                      <w:bCs/>
                      <w:szCs w:val="21"/>
                    </w:rPr>
                  </w:pPr>
                </w:p>
              </w:tc>
              <w:tc>
                <w:tcPr>
                  <w:tcW w:w="1273" w:type="dxa"/>
                  <w:vMerge w:val="continue"/>
                  <w:vAlign w:val="center"/>
                </w:tcPr>
                <w:p w14:paraId="44481341">
                  <w:pPr>
                    <w:adjustRightInd w:val="0"/>
                    <w:snapToGrid w:val="0"/>
                    <w:jc w:val="center"/>
                    <w:rPr>
                      <w:rFonts w:ascii="Times New Roman" w:hAnsi="Times New Roman" w:cs="Times New Roman"/>
                      <w:szCs w:val="21"/>
                    </w:rPr>
                  </w:pPr>
                </w:p>
              </w:tc>
              <w:tc>
                <w:tcPr>
                  <w:tcW w:w="1134" w:type="dxa"/>
                  <w:vMerge w:val="continue"/>
                  <w:vAlign w:val="center"/>
                </w:tcPr>
                <w:p w14:paraId="1C177012">
                  <w:pPr>
                    <w:adjustRightInd w:val="0"/>
                    <w:snapToGrid w:val="0"/>
                    <w:jc w:val="center"/>
                    <w:rPr>
                      <w:rFonts w:ascii="Times New Roman" w:hAnsi="Times New Roman" w:cs="Times New Roman"/>
                      <w:szCs w:val="21"/>
                    </w:rPr>
                  </w:pPr>
                </w:p>
              </w:tc>
              <w:tc>
                <w:tcPr>
                  <w:tcW w:w="1417" w:type="dxa"/>
                  <w:vMerge w:val="continue"/>
                  <w:vAlign w:val="center"/>
                </w:tcPr>
                <w:p w14:paraId="4A3312A5">
                  <w:pPr>
                    <w:adjustRightInd w:val="0"/>
                    <w:snapToGrid w:val="0"/>
                    <w:jc w:val="center"/>
                    <w:rPr>
                      <w:rFonts w:ascii="Times New Roman" w:hAnsi="Times New Roman" w:cs="Times New Roman"/>
                      <w:szCs w:val="21"/>
                    </w:rPr>
                  </w:pPr>
                </w:p>
              </w:tc>
              <w:tc>
                <w:tcPr>
                  <w:tcW w:w="992" w:type="dxa"/>
                  <w:vMerge w:val="continue"/>
                  <w:vAlign w:val="center"/>
                </w:tcPr>
                <w:p w14:paraId="1A95979A">
                  <w:pPr>
                    <w:adjustRightInd w:val="0"/>
                    <w:snapToGrid w:val="0"/>
                    <w:jc w:val="center"/>
                    <w:rPr>
                      <w:rFonts w:ascii="Times New Roman" w:hAnsi="Times New Roman" w:cs="Times New Roman"/>
                      <w:szCs w:val="21"/>
                    </w:rPr>
                  </w:pPr>
                </w:p>
              </w:tc>
              <w:tc>
                <w:tcPr>
                  <w:tcW w:w="993" w:type="dxa"/>
                  <w:vMerge w:val="continue"/>
                  <w:vAlign w:val="center"/>
                </w:tcPr>
                <w:p w14:paraId="245F0EF2">
                  <w:pPr>
                    <w:adjustRightInd w:val="0"/>
                    <w:snapToGrid w:val="0"/>
                    <w:jc w:val="center"/>
                    <w:rPr>
                      <w:rFonts w:ascii="Times New Roman" w:hAnsi="Times New Roman" w:cs="Times New Roman"/>
                      <w:szCs w:val="21"/>
                    </w:rPr>
                  </w:pPr>
                </w:p>
              </w:tc>
              <w:tc>
                <w:tcPr>
                  <w:tcW w:w="850" w:type="dxa"/>
                  <w:vAlign w:val="center"/>
                </w:tcPr>
                <w:p w14:paraId="6DCD2CEF">
                  <w:pPr>
                    <w:adjustRightInd w:val="0"/>
                    <w:snapToGrid w:val="0"/>
                    <w:jc w:val="center"/>
                    <w:rPr>
                      <w:rFonts w:ascii="Times New Roman" w:hAnsi="Times New Roman" w:cs="Times New Roman"/>
                      <w:bCs/>
                      <w:szCs w:val="21"/>
                    </w:rPr>
                  </w:pPr>
                  <w:r>
                    <w:rPr>
                      <w:rFonts w:ascii="Times New Roman" w:hAnsi="Times New Roman" w:cs="Times New Roman"/>
                      <w:bCs/>
                      <w:szCs w:val="21"/>
                    </w:rPr>
                    <w:t>操作</w:t>
                  </w:r>
                </w:p>
              </w:tc>
              <w:tc>
                <w:tcPr>
                  <w:tcW w:w="669" w:type="dxa"/>
                  <w:vAlign w:val="center"/>
                </w:tcPr>
                <w:p w14:paraId="7341B08D">
                  <w:pPr>
                    <w:adjustRightInd w:val="0"/>
                    <w:snapToGrid w:val="0"/>
                    <w:jc w:val="center"/>
                    <w:rPr>
                      <w:rFonts w:ascii="Times New Roman" w:hAnsi="Times New Roman" w:cs="Times New Roman"/>
                      <w:bCs/>
                      <w:szCs w:val="21"/>
                    </w:rPr>
                  </w:pPr>
                  <w:r>
                    <w:rPr>
                      <w:rFonts w:ascii="Times New Roman" w:hAnsi="Times New Roman" w:cs="Times New Roman"/>
                      <w:bCs/>
                      <w:szCs w:val="21"/>
                    </w:rPr>
                    <w:t>备用</w:t>
                  </w:r>
                </w:p>
              </w:tc>
              <w:tc>
                <w:tcPr>
                  <w:tcW w:w="709" w:type="dxa"/>
                  <w:vMerge w:val="continue"/>
                  <w:vAlign w:val="center"/>
                </w:tcPr>
                <w:p w14:paraId="45AA1CAB">
                  <w:pPr>
                    <w:adjustRightInd w:val="0"/>
                    <w:snapToGrid w:val="0"/>
                    <w:jc w:val="center"/>
                    <w:rPr>
                      <w:rFonts w:ascii="Times New Roman" w:hAnsi="Times New Roman" w:cs="Times New Roman"/>
                      <w:bCs/>
                      <w:szCs w:val="21"/>
                    </w:rPr>
                  </w:pPr>
                </w:p>
              </w:tc>
            </w:tr>
            <w:tr w14:paraId="53B1A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539363DD">
                  <w:pPr>
                    <w:adjustRightInd w:val="0"/>
                    <w:snapToGrid w:val="0"/>
                    <w:jc w:val="center"/>
                    <w:rPr>
                      <w:rFonts w:ascii="Times New Roman" w:hAnsi="Times New Roman" w:cs="Times New Roman"/>
                      <w:bCs/>
                      <w:szCs w:val="21"/>
                    </w:rPr>
                  </w:pPr>
                  <w:r>
                    <w:rPr>
                      <w:rFonts w:ascii="Times New Roman" w:hAnsi="Times New Roman" w:cs="Times New Roman"/>
                      <w:bCs/>
                      <w:szCs w:val="21"/>
                    </w:rPr>
                    <w:t>1</w:t>
                  </w:r>
                </w:p>
              </w:tc>
              <w:tc>
                <w:tcPr>
                  <w:tcW w:w="1273" w:type="dxa"/>
                  <w:vAlign w:val="center"/>
                </w:tcPr>
                <w:p w14:paraId="586AF172">
                  <w:pPr>
                    <w:adjustRightInd w:val="0"/>
                    <w:snapToGrid w:val="0"/>
                    <w:jc w:val="center"/>
                    <w:rPr>
                      <w:rFonts w:ascii="Times New Roman" w:hAnsi="Times New Roman" w:cs="Times New Roman"/>
                      <w:szCs w:val="21"/>
                    </w:rPr>
                  </w:pPr>
                  <w:r>
                    <w:rPr>
                      <w:rFonts w:ascii="Times New Roman" w:hAnsi="Times New Roman" w:cs="Times New Roman"/>
                      <w:szCs w:val="21"/>
                    </w:rPr>
                    <w:t>MTBE泵</w:t>
                  </w:r>
                </w:p>
              </w:tc>
              <w:tc>
                <w:tcPr>
                  <w:tcW w:w="1134" w:type="dxa"/>
                  <w:vAlign w:val="center"/>
                </w:tcPr>
                <w:p w14:paraId="19BD8C4A">
                  <w:pPr>
                    <w:adjustRightInd w:val="0"/>
                    <w:snapToGrid w:val="0"/>
                    <w:jc w:val="center"/>
                    <w:rPr>
                      <w:rFonts w:ascii="Times New Roman" w:hAnsi="Times New Roman" w:cs="Times New Roman"/>
                      <w:szCs w:val="21"/>
                    </w:rPr>
                  </w:pPr>
                  <w:r>
                    <w:rPr>
                      <w:rFonts w:ascii="Times New Roman" w:hAnsi="Times New Roman" w:cs="Times New Roman"/>
                      <w:szCs w:val="21"/>
                    </w:rPr>
                    <w:t>P41005A/B</w:t>
                  </w:r>
                </w:p>
              </w:tc>
              <w:tc>
                <w:tcPr>
                  <w:tcW w:w="1417" w:type="dxa"/>
                  <w:vAlign w:val="center"/>
                </w:tcPr>
                <w:p w14:paraId="17BBBF9D">
                  <w:pPr>
                    <w:adjustRightInd w:val="0"/>
                    <w:snapToGrid w:val="0"/>
                    <w:jc w:val="center"/>
                    <w:rPr>
                      <w:rFonts w:ascii="Times New Roman" w:hAnsi="Times New Roman" w:cs="Times New Roman"/>
                      <w:szCs w:val="21"/>
                    </w:rPr>
                  </w:pPr>
                  <w:r>
                    <w:rPr>
                      <w:rFonts w:ascii="Times New Roman" w:hAnsi="Times New Roman" w:cs="Times New Roman"/>
                      <w:szCs w:val="21"/>
                    </w:rPr>
                    <w:t>MTBE</w:t>
                  </w:r>
                </w:p>
              </w:tc>
              <w:tc>
                <w:tcPr>
                  <w:tcW w:w="992" w:type="dxa"/>
                  <w:vAlign w:val="center"/>
                </w:tcPr>
                <w:p w14:paraId="40EDCB63">
                  <w:pPr>
                    <w:adjustRightInd w:val="0"/>
                    <w:snapToGrid w:val="0"/>
                    <w:jc w:val="center"/>
                    <w:rPr>
                      <w:rFonts w:ascii="Times New Roman" w:hAnsi="Times New Roman" w:cs="Times New Roman"/>
                      <w:szCs w:val="21"/>
                    </w:rPr>
                  </w:pPr>
                  <w:r>
                    <w:rPr>
                      <w:rFonts w:ascii="Times New Roman" w:hAnsi="Times New Roman" w:cs="Times New Roman"/>
                    </w:rPr>
                    <w:t>7.3</w:t>
                  </w:r>
                </w:p>
              </w:tc>
              <w:tc>
                <w:tcPr>
                  <w:tcW w:w="993" w:type="dxa"/>
                  <w:vAlign w:val="center"/>
                </w:tcPr>
                <w:p w14:paraId="18B29D83">
                  <w:pPr>
                    <w:adjustRightInd w:val="0"/>
                    <w:snapToGrid w:val="0"/>
                    <w:jc w:val="center"/>
                    <w:rPr>
                      <w:rFonts w:ascii="Times New Roman" w:hAnsi="Times New Roman" w:cs="Times New Roman"/>
                      <w:szCs w:val="21"/>
                    </w:rPr>
                  </w:pPr>
                  <w:r>
                    <w:rPr>
                      <w:rFonts w:ascii="Times New Roman" w:hAnsi="Times New Roman" w:cs="Times New Roman"/>
                      <w:szCs w:val="21"/>
                    </w:rPr>
                    <w:t>740</w:t>
                  </w:r>
                </w:p>
              </w:tc>
              <w:tc>
                <w:tcPr>
                  <w:tcW w:w="850" w:type="dxa"/>
                  <w:vAlign w:val="center"/>
                </w:tcPr>
                <w:p w14:paraId="17517C44">
                  <w:pPr>
                    <w:adjustRightInd w:val="0"/>
                    <w:snapToGrid w:val="0"/>
                    <w:jc w:val="center"/>
                    <w:rPr>
                      <w:rFonts w:ascii="Times New Roman" w:hAnsi="Times New Roman" w:cs="Times New Roman"/>
                      <w:szCs w:val="21"/>
                    </w:rPr>
                  </w:pPr>
                  <w:r>
                    <w:rPr>
                      <w:rFonts w:ascii="Times New Roman" w:hAnsi="Times New Roman" w:cs="Times New Roman"/>
                      <w:szCs w:val="21"/>
                    </w:rPr>
                    <w:t>1</w:t>
                  </w:r>
                </w:p>
              </w:tc>
              <w:tc>
                <w:tcPr>
                  <w:tcW w:w="669" w:type="dxa"/>
                  <w:vAlign w:val="center"/>
                </w:tcPr>
                <w:p w14:paraId="2C18EFBB">
                  <w:pPr>
                    <w:adjustRightInd w:val="0"/>
                    <w:snapToGrid w:val="0"/>
                    <w:jc w:val="center"/>
                    <w:rPr>
                      <w:rFonts w:ascii="Times New Roman" w:hAnsi="Times New Roman" w:cs="Times New Roman"/>
                      <w:bCs/>
                      <w:szCs w:val="21"/>
                    </w:rPr>
                  </w:pPr>
                  <w:r>
                    <w:rPr>
                      <w:rFonts w:ascii="Times New Roman" w:hAnsi="Times New Roman" w:cs="Times New Roman"/>
                      <w:szCs w:val="21"/>
                    </w:rPr>
                    <w:t>0</w:t>
                  </w:r>
                </w:p>
              </w:tc>
              <w:tc>
                <w:tcPr>
                  <w:tcW w:w="709" w:type="dxa"/>
                  <w:vAlign w:val="center"/>
                </w:tcPr>
                <w:p w14:paraId="58EDDC1A">
                  <w:pPr>
                    <w:adjustRightInd w:val="0"/>
                    <w:snapToGrid w:val="0"/>
                    <w:jc w:val="center"/>
                    <w:rPr>
                      <w:rFonts w:ascii="Times New Roman" w:hAnsi="Times New Roman" w:cs="Times New Roman"/>
                      <w:szCs w:val="21"/>
                    </w:rPr>
                  </w:pPr>
                  <w:r>
                    <w:rPr>
                      <w:rFonts w:hint="eastAsia" w:ascii="Times New Roman" w:hAnsi="Times New Roman" w:cs="Times New Roman"/>
                      <w:szCs w:val="21"/>
                    </w:rPr>
                    <w:t>1</w:t>
                  </w:r>
                </w:p>
              </w:tc>
            </w:tr>
            <w:tr w14:paraId="603A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61669BA5">
                  <w:pPr>
                    <w:adjustRightInd w:val="0"/>
                    <w:snapToGrid w:val="0"/>
                    <w:jc w:val="center"/>
                    <w:rPr>
                      <w:rFonts w:ascii="Times New Roman" w:hAnsi="Times New Roman" w:cs="Times New Roman"/>
                      <w:bCs/>
                      <w:szCs w:val="21"/>
                    </w:rPr>
                  </w:pPr>
                  <w:r>
                    <w:rPr>
                      <w:rFonts w:ascii="Times New Roman" w:hAnsi="Times New Roman" w:cs="Times New Roman"/>
                      <w:bCs/>
                      <w:szCs w:val="21"/>
                    </w:rPr>
                    <w:t>2</w:t>
                  </w:r>
                </w:p>
              </w:tc>
              <w:tc>
                <w:tcPr>
                  <w:tcW w:w="1273" w:type="dxa"/>
                  <w:vAlign w:val="center"/>
                </w:tcPr>
                <w:p w14:paraId="386DFB48">
                  <w:pPr>
                    <w:adjustRightInd w:val="0"/>
                    <w:snapToGrid w:val="0"/>
                    <w:jc w:val="center"/>
                    <w:rPr>
                      <w:rFonts w:ascii="Times New Roman" w:hAnsi="Times New Roman" w:cs="Times New Roman"/>
                      <w:szCs w:val="21"/>
                    </w:rPr>
                  </w:pPr>
                  <w:r>
                    <w:rPr>
                      <w:rFonts w:ascii="Times New Roman" w:hAnsi="Times New Roman" w:cs="Times New Roman"/>
                      <w:szCs w:val="21"/>
                    </w:rPr>
                    <w:t>异辛烷泵</w:t>
                  </w:r>
                </w:p>
              </w:tc>
              <w:tc>
                <w:tcPr>
                  <w:tcW w:w="1134" w:type="dxa"/>
                  <w:vAlign w:val="center"/>
                </w:tcPr>
                <w:p w14:paraId="6E4DDA09">
                  <w:pPr>
                    <w:adjustRightInd w:val="0"/>
                    <w:snapToGrid w:val="0"/>
                    <w:jc w:val="center"/>
                    <w:rPr>
                      <w:rFonts w:ascii="Times New Roman" w:hAnsi="Times New Roman" w:cs="Times New Roman"/>
                      <w:szCs w:val="21"/>
                    </w:rPr>
                  </w:pPr>
                  <w:r>
                    <w:rPr>
                      <w:rFonts w:ascii="Times New Roman" w:hAnsi="Times New Roman" w:cs="Times New Roman"/>
                      <w:szCs w:val="21"/>
                    </w:rPr>
                    <w:t>P41006A/B</w:t>
                  </w:r>
                </w:p>
              </w:tc>
              <w:tc>
                <w:tcPr>
                  <w:tcW w:w="1417" w:type="dxa"/>
                  <w:vAlign w:val="center"/>
                </w:tcPr>
                <w:p w14:paraId="3BB28627">
                  <w:pPr>
                    <w:adjustRightInd w:val="0"/>
                    <w:snapToGrid w:val="0"/>
                    <w:jc w:val="center"/>
                    <w:rPr>
                      <w:rFonts w:ascii="Times New Roman" w:hAnsi="Times New Roman" w:cs="Times New Roman"/>
                      <w:szCs w:val="21"/>
                    </w:rPr>
                  </w:pPr>
                  <w:r>
                    <w:rPr>
                      <w:rFonts w:ascii="Times New Roman" w:hAnsi="Times New Roman" w:cs="Times New Roman"/>
                      <w:szCs w:val="21"/>
                    </w:rPr>
                    <w:t>异辛烷</w:t>
                  </w:r>
                </w:p>
              </w:tc>
              <w:tc>
                <w:tcPr>
                  <w:tcW w:w="992" w:type="dxa"/>
                  <w:vAlign w:val="center"/>
                </w:tcPr>
                <w:p w14:paraId="0F5D1FC9">
                  <w:pPr>
                    <w:adjustRightInd w:val="0"/>
                    <w:snapToGrid w:val="0"/>
                    <w:jc w:val="center"/>
                    <w:rPr>
                      <w:rFonts w:ascii="Times New Roman" w:hAnsi="Times New Roman" w:cs="Times New Roman"/>
                      <w:szCs w:val="21"/>
                    </w:rPr>
                  </w:pPr>
                  <w:r>
                    <w:rPr>
                      <w:rFonts w:ascii="Times New Roman" w:hAnsi="Times New Roman" w:cs="Times New Roman"/>
                    </w:rPr>
                    <w:t>21</w:t>
                  </w:r>
                </w:p>
              </w:tc>
              <w:tc>
                <w:tcPr>
                  <w:tcW w:w="993" w:type="dxa"/>
                  <w:vAlign w:val="center"/>
                </w:tcPr>
                <w:p w14:paraId="4AD15BD0">
                  <w:pPr>
                    <w:adjustRightInd w:val="0"/>
                    <w:snapToGrid w:val="0"/>
                    <w:jc w:val="center"/>
                    <w:rPr>
                      <w:rFonts w:ascii="Times New Roman" w:hAnsi="Times New Roman" w:cs="Times New Roman"/>
                      <w:szCs w:val="21"/>
                    </w:rPr>
                  </w:pPr>
                  <w:r>
                    <w:rPr>
                      <w:rFonts w:ascii="Times New Roman" w:hAnsi="Times New Roman" w:cs="Times New Roman"/>
                      <w:szCs w:val="21"/>
                    </w:rPr>
                    <w:t>690</w:t>
                  </w:r>
                </w:p>
              </w:tc>
              <w:tc>
                <w:tcPr>
                  <w:tcW w:w="850" w:type="dxa"/>
                  <w:vAlign w:val="center"/>
                </w:tcPr>
                <w:p w14:paraId="5CBC05A4">
                  <w:pPr>
                    <w:adjustRightInd w:val="0"/>
                    <w:snapToGrid w:val="0"/>
                    <w:jc w:val="center"/>
                    <w:rPr>
                      <w:rFonts w:ascii="Times New Roman" w:hAnsi="Times New Roman" w:cs="Times New Roman"/>
                      <w:szCs w:val="21"/>
                    </w:rPr>
                  </w:pPr>
                  <w:r>
                    <w:rPr>
                      <w:rFonts w:ascii="Times New Roman" w:hAnsi="Times New Roman" w:cs="Times New Roman"/>
                      <w:szCs w:val="21"/>
                    </w:rPr>
                    <w:t>1</w:t>
                  </w:r>
                </w:p>
              </w:tc>
              <w:tc>
                <w:tcPr>
                  <w:tcW w:w="669" w:type="dxa"/>
                  <w:vAlign w:val="center"/>
                </w:tcPr>
                <w:p w14:paraId="34313E91">
                  <w:pPr>
                    <w:adjustRightInd w:val="0"/>
                    <w:snapToGrid w:val="0"/>
                    <w:jc w:val="center"/>
                    <w:rPr>
                      <w:rFonts w:ascii="Times New Roman" w:hAnsi="Times New Roman" w:cs="Times New Roman"/>
                      <w:bCs/>
                      <w:szCs w:val="21"/>
                    </w:rPr>
                  </w:pPr>
                  <w:r>
                    <w:rPr>
                      <w:rFonts w:ascii="Times New Roman" w:hAnsi="Times New Roman" w:cs="Times New Roman"/>
                      <w:szCs w:val="21"/>
                    </w:rPr>
                    <w:t>0</w:t>
                  </w:r>
                </w:p>
              </w:tc>
              <w:tc>
                <w:tcPr>
                  <w:tcW w:w="709" w:type="dxa"/>
                  <w:vAlign w:val="center"/>
                </w:tcPr>
                <w:p w14:paraId="006CAD69">
                  <w:pPr>
                    <w:adjustRightInd w:val="0"/>
                    <w:snapToGrid w:val="0"/>
                    <w:jc w:val="center"/>
                    <w:rPr>
                      <w:rFonts w:ascii="Times New Roman" w:hAnsi="Times New Roman" w:cs="Times New Roman"/>
                      <w:szCs w:val="21"/>
                    </w:rPr>
                  </w:pPr>
                  <w:r>
                    <w:rPr>
                      <w:rFonts w:hint="eastAsia" w:ascii="Times New Roman" w:hAnsi="Times New Roman" w:cs="Times New Roman"/>
                      <w:szCs w:val="21"/>
                    </w:rPr>
                    <w:t>1</w:t>
                  </w:r>
                </w:p>
              </w:tc>
            </w:tr>
            <w:tr w14:paraId="0284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30F561AB">
                  <w:pPr>
                    <w:adjustRightInd w:val="0"/>
                    <w:snapToGrid w:val="0"/>
                    <w:jc w:val="center"/>
                    <w:rPr>
                      <w:rFonts w:ascii="Times New Roman" w:hAnsi="Times New Roman" w:cs="Times New Roman"/>
                      <w:bCs/>
                      <w:szCs w:val="21"/>
                    </w:rPr>
                  </w:pPr>
                  <w:r>
                    <w:rPr>
                      <w:rFonts w:ascii="Times New Roman" w:hAnsi="Times New Roman" w:cs="Times New Roman"/>
                      <w:bCs/>
                      <w:szCs w:val="21"/>
                    </w:rPr>
                    <w:t>3</w:t>
                  </w:r>
                </w:p>
              </w:tc>
              <w:tc>
                <w:tcPr>
                  <w:tcW w:w="1273" w:type="dxa"/>
                  <w:vAlign w:val="center"/>
                </w:tcPr>
                <w:p w14:paraId="50B0AC18">
                  <w:pPr>
                    <w:adjustRightInd w:val="0"/>
                    <w:snapToGrid w:val="0"/>
                    <w:jc w:val="center"/>
                    <w:rPr>
                      <w:rFonts w:ascii="Times New Roman" w:hAnsi="Times New Roman" w:cs="Times New Roman"/>
                      <w:szCs w:val="21"/>
                    </w:rPr>
                  </w:pPr>
                  <w:r>
                    <w:rPr>
                      <w:rFonts w:ascii="Times New Roman" w:hAnsi="Times New Roman" w:cs="Times New Roman"/>
                      <w:szCs w:val="21"/>
                    </w:rPr>
                    <w:t>轻质石脑油泵</w:t>
                  </w:r>
                </w:p>
              </w:tc>
              <w:tc>
                <w:tcPr>
                  <w:tcW w:w="1134" w:type="dxa"/>
                  <w:vAlign w:val="center"/>
                </w:tcPr>
                <w:p w14:paraId="24C6FFCB">
                  <w:pPr>
                    <w:adjustRightInd w:val="0"/>
                    <w:snapToGrid w:val="0"/>
                    <w:jc w:val="center"/>
                    <w:rPr>
                      <w:rFonts w:ascii="Times New Roman" w:hAnsi="Times New Roman" w:cs="Times New Roman"/>
                      <w:szCs w:val="21"/>
                    </w:rPr>
                  </w:pPr>
                  <w:r>
                    <w:rPr>
                      <w:rFonts w:ascii="Times New Roman" w:hAnsi="Times New Roman" w:cs="Times New Roman"/>
                      <w:szCs w:val="21"/>
                    </w:rPr>
                    <w:t>P41007A/B</w:t>
                  </w:r>
                </w:p>
              </w:tc>
              <w:tc>
                <w:tcPr>
                  <w:tcW w:w="1417" w:type="dxa"/>
                  <w:vAlign w:val="center"/>
                </w:tcPr>
                <w:p w14:paraId="014FD7E1">
                  <w:pPr>
                    <w:adjustRightInd w:val="0"/>
                    <w:snapToGrid w:val="0"/>
                    <w:jc w:val="center"/>
                    <w:rPr>
                      <w:rFonts w:ascii="Times New Roman" w:hAnsi="Times New Roman" w:cs="Times New Roman"/>
                      <w:szCs w:val="21"/>
                    </w:rPr>
                  </w:pPr>
                  <w:r>
                    <w:rPr>
                      <w:rFonts w:ascii="Times New Roman" w:hAnsi="Times New Roman" w:cs="Times New Roman"/>
                      <w:szCs w:val="21"/>
                    </w:rPr>
                    <w:t>轻质石脑油</w:t>
                  </w:r>
                </w:p>
              </w:tc>
              <w:tc>
                <w:tcPr>
                  <w:tcW w:w="992" w:type="dxa"/>
                  <w:vAlign w:val="center"/>
                </w:tcPr>
                <w:p w14:paraId="48305FE9">
                  <w:pPr>
                    <w:adjustRightInd w:val="0"/>
                    <w:snapToGrid w:val="0"/>
                    <w:jc w:val="center"/>
                    <w:rPr>
                      <w:rFonts w:ascii="Times New Roman" w:hAnsi="Times New Roman" w:cs="Times New Roman"/>
                      <w:szCs w:val="21"/>
                    </w:rPr>
                  </w:pPr>
                  <w:r>
                    <w:rPr>
                      <w:rFonts w:ascii="Times New Roman" w:hAnsi="Times New Roman" w:cs="Times New Roman"/>
                    </w:rPr>
                    <w:t>24</w:t>
                  </w:r>
                </w:p>
              </w:tc>
              <w:tc>
                <w:tcPr>
                  <w:tcW w:w="993" w:type="dxa"/>
                  <w:vAlign w:val="center"/>
                </w:tcPr>
                <w:p w14:paraId="6F199100">
                  <w:pPr>
                    <w:adjustRightInd w:val="0"/>
                    <w:snapToGrid w:val="0"/>
                    <w:jc w:val="center"/>
                    <w:rPr>
                      <w:rFonts w:ascii="Times New Roman" w:hAnsi="Times New Roman" w:cs="Times New Roman"/>
                      <w:szCs w:val="21"/>
                    </w:rPr>
                  </w:pPr>
                  <w:r>
                    <w:rPr>
                      <w:rFonts w:ascii="Times New Roman" w:hAnsi="Times New Roman" w:cs="Times New Roman"/>
                      <w:szCs w:val="21"/>
                    </w:rPr>
                    <w:t>730</w:t>
                  </w:r>
                </w:p>
              </w:tc>
              <w:tc>
                <w:tcPr>
                  <w:tcW w:w="850" w:type="dxa"/>
                  <w:vAlign w:val="center"/>
                </w:tcPr>
                <w:p w14:paraId="42DCAB08">
                  <w:pPr>
                    <w:adjustRightInd w:val="0"/>
                    <w:snapToGrid w:val="0"/>
                    <w:jc w:val="center"/>
                    <w:rPr>
                      <w:rFonts w:ascii="Times New Roman" w:hAnsi="Times New Roman" w:cs="Times New Roman"/>
                      <w:szCs w:val="21"/>
                    </w:rPr>
                  </w:pPr>
                  <w:r>
                    <w:rPr>
                      <w:rFonts w:ascii="Times New Roman" w:hAnsi="Times New Roman" w:cs="Times New Roman"/>
                      <w:szCs w:val="21"/>
                    </w:rPr>
                    <w:t>1</w:t>
                  </w:r>
                </w:p>
              </w:tc>
              <w:tc>
                <w:tcPr>
                  <w:tcW w:w="669" w:type="dxa"/>
                  <w:vAlign w:val="center"/>
                </w:tcPr>
                <w:p w14:paraId="269A24DB">
                  <w:pPr>
                    <w:adjustRightInd w:val="0"/>
                    <w:snapToGrid w:val="0"/>
                    <w:jc w:val="center"/>
                    <w:rPr>
                      <w:rFonts w:ascii="Times New Roman" w:hAnsi="Times New Roman" w:cs="Times New Roman"/>
                      <w:bCs/>
                      <w:szCs w:val="21"/>
                    </w:rPr>
                  </w:pPr>
                  <w:r>
                    <w:rPr>
                      <w:rFonts w:ascii="Times New Roman" w:hAnsi="Times New Roman" w:cs="Times New Roman"/>
                      <w:szCs w:val="21"/>
                    </w:rPr>
                    <w:t>0</w:t>
                  </w:r>
                </w:p>
              </w:tc>
              <w:tc>
                <w:tcPr>
                  <w:tcW w:w="709" w:type="dxa"/>
                  <w:vAlign w:val="center"/>
                </w:tcPr>
                <w:p w14:paraId="4E6D8B0D">
                  <w:pPr>
                    <w:adjustRightInd w:val="0"/>
                    <w:snapToGrid w:val="0"/>
                    <w:jc w:val="center"/>
                    <w:rPr>
                      <w:rFonts w:ascii="Times New Roman" w:hAnsi="Times New Roman" w:cs="Times New Roman"/>
                      <w:szCs w:val="21"/>
                    </w:rPr>
                  </w:pPr>
                  <w:r>
                    <w:rPr>
                      <w:rFonts w:hint="eastAsia" w:ascii="Times New Roman" w:hAnsi="Times New Roman" w:cs="Times New Roman"/>
                      <w:szCs w:val="21"/>
                    </w:rPr>
                    <w:t>1</w:t>
                  </w:r>
                </w:p>
              </w:tc>
            </w:tr>
            <w:tr w14:paraId="3878D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345FDAE6">
                  <w:pPr>
                    <w:adjustRightInd w:val="0"/>
                    <w:snapToGrid w:val="0"/>
                    <w:jc w:val="center"/>
                    <w:rPr>
                      <w:rFonts w:ascii="Times New Roman" w:hAnsi="Times New Roman" w:cs="Times New Roman"/>
                      <w:bCs/>
                      <w:szCs w:val="21"/>
                    </w:rPr>
                  </w:pPr>
                  <w:r>
                    <w:rPr>
                      <w:rFonts w:ascii="Times New Roman" w:hAnsi="Times New Roman" w:cs="Times New Roman"/>
                      <w:bCs/>
                      <w:szCs w:val="21"/>
                    </w:rPr>
                    <w:t>4</w:t>
                  </w:r>
                </w:p>
              </w:tc>
              <w:tc>
                <w:tcPr>
                  <w:tcW w:w="1273" w:type="dxa"/>
                  <w:vAlign w:val="center"/>
                </w:tcPr>
                <w:p w14:paraId="5C5D7BAD">
                  <w:pPr>
                    <w:adjustRightInd w:val="0"/>
                    <w:snapToGrid w:val="0"/>
                    <w:jc w:val="center"/>
                    <w:rPr>
                      <w:rFonts w:ascii="Times New Roman" w:hAnsi="Times New Roman" w:cs="Times New Roman"/>
                      <w:szCs w:val="21"/>
                    </w:rPr>
                  </w:pPr>
                  <w:r>
                    <w:rPr>
                      <w:rFonts w:ascii="Times New Roman" w:hAnsi="Times New Roman" w:cs="Times New Roman"/>
                      <w:szCs w:val="21"/>
                    </w:rPr>
                    <w:t>混合芳烃泵</w:t>
                  </w:r>
                </w:p>
              </w:tc>
              <w:tc>
                <w:tcPr>
                  <w:tcW w:w="1134" w:type="dxa"/>
                  <w:vAlign w:val="center"/>
                </w:tcPr>
                <w:p w14:paraId="095E8FB1">
                  <w:pPr>
                    <w:adjustRightInd w:val="0"/>
                    <w:snapToGrid w:val="0"/>
                    <w:jc w:val="center"/>
                    <w:rPr>
                      <w:rFonts w:ascii="Times New Roman" w:hAnsi="Times New Roman" w:cs="Times New Roman"/>
                      <w:szCs w:val="21"/>
                    </w:rPr>
                  </w:pPr>
                  <w:r>
                    <w:rPr>
                      <w:rFonts w:ascii="Times New Roman" w:hAnsi="Times New Roman" w:cs="Times New Roman"/>
                      <w:szCs w:val="21"/>
                    </w:rPr>
                    <w:t>P41008A/B</w:t>
                  </w:r>
                </w:p>
              </w:tc>
              <w:tc>
                <w:tcPr>
                  <w:tcW w:w="1417" w:type="dxa"/>
                  <w:vAlign w:val="center"/>
                </w:tcPr>
                <w:p w14:paraId="0BBB25BD">
                  <w:pPr>
                    <w:adjustRightInd w:val="0"/>
                    <w:snapToGrid w:val="0"/>
                    <w:jc w:val="center"/>
                    <w:rPr>
                      <w:rFonts w:ascii="Times New Roman" w:hAnsi="Times New Roman" w:cs="Times New Roman"/>
                      <w:szCs w:val="21"/>
                    </w:rPr>
                  </w:pPr>
                  <w:r>
                    <w:rPr>
                      <w:rFonts w:ascii="Times New Roman" w:hAnsi="Times New Roman" w:cs="Times New Roman"/>
                      <w:szCs w:val="21"/>
                    </w:rPr>
                    <w:t>混合芳烃</w:t>
                  </w:r>
                </w:p>
              </w:tc>
              <w:tc>
                <w:tcPr>
                  <w:tcW w:w="992" w:type="dxa"/>
                  <w:vAlign w:val="center"/>
                </w:tcPr>
                <w:p w14:paraId="55A42042">
                  <w:pPr>
                    <w:adjustRightInd w:val="0"/>
                    <w:snapToGrid w:val="0"/>
                    <w:jc w:val="center"/>
                    <w:rPr>
                      <w:rFonts w:ascii="Times New Roman" w:hAnsi="Times New Roman" w:cs="Times New Roman"/>
                      <w:szCs w:val="21"/>
                    </w:rPr>
                  </w:pPr>
                  <w:r>
                    <w:rPr>
                      <w:rFonts w:ascii="Times New Roman" w:hAnsi="Times New Roman" w:cs="Times New Roman"/>
                    </w:rPr>
                    <w:t>2.5</w:t>
                  </w:r>
                </w:p>
              </w:tc>
              <w:tc>
                <w:tcPr>
                  <w:tcW w:w="993" w:type="dxa"/>
                  <w:vAlign w:val="center"/>
                </w:tcPr>
                <w:p w14:paraId="25A36C20">
                  <w:pPr>
                    <w:adjustRightInd w:val="0"/>
                    <w:snapToGrid w:val="0"/>
                    <w:jc w:val="center"/>
                    <w:rPr>
                      <w:rFonts w:ascii="Times New Roman" w:hAnsi="Times New Roman" w:cs="Times New Roman"/>
                      <w:szCs w:val="21"/>
                    </w:rPr>
                  </w:pPr>
                  <w:r>
                    <w:rPr>
                      <w:rFonts w:ascii="Times New Roman" w:hAnsi="Times New Roman" w:cs="Times New Roman"/>
                      <w:szCs w:val="21"/>
                    </w:rPr>
                    <w:t>880</w:t>
                  </w:r>
                </w:p>
              </w:tc>
              <w:tc>
                <w:tcPr>
                  <w:tcW w:w="850" w:type="dxa"/>
                  <w:vAlign w:val="center"/>
                </w:tcPr>
                <w:p w14:paraId="0977BE67">
                  <w:pPr>
                    <w:adjustRightInd w:val="0"/>
                    <w:snapToGrid w:val="0"/>
                    <w:jc w:val="center"/>
                    <w:rPr>
                      <w:rFonts w:ascii="Times New Roman" w:hAnsi="Times New Roman" w:cs="Times New Roman"/>
                      <w:szCs w:val="21"/>
                    </w:rPr>
                  </w:pPr>
                  <w:r>
                    <w:rPr>
                      <w:rFonts w:ascii="Times New Roman" w:hAnsi="Times New Roman" w:cs="Times New Roman"/>
                      <w:szCs w:val="21"/>
                    </w:rPr>
                    <w:t>1</w:t>
                  </w:r>
                </w:p>
              </w:tc>
              <w:tc>
                <w:tcPr>
                  <w:tcW w:w="669" w:type="dxa"/>
                  <w:vAlign w:val="center"/>
                </w:tcPr>
                <w:p w14:paraId="51D0206D">
                  <w:pPr>
                    <w:adjustRightInd w:val="0"/>
                    <w:snapToGrid w:val="0"/>
                    <w:jc w:val="center"/>
                    <w:rPr>
                      <w:rFonts w:ascii="Times New Roman" w:hAnsi="Times New Roman" w:cs="Times New Roman"/>
                      <w:bCs/>
                      <w:szCs w:val="21"/>
                    </w:rPr>
                  </w:pPr>
                  <w:r>
                    <w:rPr>
                      <w:rFonts w:ascii="Times New Roman" w:hAnsi="Times New Roman" w:cs="Times New Roman"/>
                      <w:szCs w:val="21"/>
                    </w:rPr>
                    <w:t>0</w:t>
                  </w:r>
                </w:p>
              </w:tc>
              <w:tc>
                <w:tcPr>
                  <w:tcW w:w="709" w:type="dxa"/>
                  <w:vAlign w:val="center"/>
                </w:tcPr>
                <w:p w14:paraId="49C4EC7C">
                  <w:pPr>
                    <w:adjustRightInd w:val="0"/>
                    <w:snapToGrid w:val="0"/>
                    <w:jc w:val="center"/>
                    <w:rPr>
                      <w:rFonts w:ascii="Times New Roman" w:hAnsi="Times New Roman" w:cs="Times New Roman"/>
                      <w:szCs w:val="21"/>
                    </w:rPr>
                  </w:pPr>
                  <w:r>
                    <w:rPr>
                      <w:rFonts w:hint="eastAsia" w:ascii="Times New Roman" w:hAnsi="Times New Roman" w:cs="Times New Roman"/>
                      <w:szCs w:val="21"/>
                    </w:rPr>
                    <w:t>1</w:t>
                  </w:r>
                </w:p>
              </w:tc>
            </w:tr>
            <w:tr w14:paraId="4F9C0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0F3BFC08">
                  <w:pPr>
                    <w:adjustRightInd w:val="0"/>
                    <w:snapToGrid w:val="0"/>
                    <w:jc w:val="center"/>
                    <w:rPr>
                      <w:rFonts w:ascii="Times New Roman" w:hAnsi="Times New Roman" w:cs="Times New Roman"/>
                      <w:bCs/>
                      <w:szCs w:val="21"/>
                    </w:rPr>
                  </w:pPr>
                  <w:r>
                    <w:rPr>
                      <w:rFonts w:ascii="Times New Roman" w:hAnsi="Times New Roman" w:cs="Times New Roman"/>
                      <w:bCs/>
                      <w:szCs w:val="21"/>
                    </w:rPr>
                    <w:t>5</w:t>
                  </w:r>
                </w:p>
              </w:tc>
              <w:tc>
                <w:tcPr>
                  <w:tcW w:w="1273" w:type="dxa"/>
                  <w:vAlign w:val="center"/>
                </w:tcPr>
                <w:p w14:paraId="0B40892A">
                  <w:pPr>
                    <w:adjustRightInd w:val="0"/>
                    <w:snapToGrid w:val="0"/>
                    <w:jc w:val="center"/>
                    <w:rPr>
                      <w:rFonts w:ascii="Times New Roman" w:hAnsi="Times New Roman" w:cs="Times New Roman"/>
                      <w:szCs w:val="21"/>
                    </w:rPr>
                  </w:pPr>
                  <w:r>
                    <w:rPr>
                      <w:rFonts w:ascii="Times New Roman" w:hAnsi="Times New Roman" w:cs="Times New Roman"/>
                      <w:szCs w:val="21"/>
                    </w:rPr>
                    <w:t>92号汽油装车泵</w:t>
                  </w:r>
                </w:p>
              </w:tc>
              <w:tc>
                <w:tcPr>
                  <w:tcW w:w="1134" w:type="dxa"/>
                  <w:vAlign w:val="center"/>
                </w:tcPr>
                <w:p w14:paraId="45DAC3F5">
                  <w:pPr>
                    <w:adjustRightInd w:val="0"/>
                    <w:snapToGrid w:val="0"/>
                    <w:jc w:val="center"/>
                    <w:rPr>
                      <w:rFonts w:ascii="Times New Roman" w:hAnsi="Times New Roman" w:cs="Times New Roman"/>
                      <w:szCs w:val="21"/>
                    </w:rPr>
                  </w:pPr>
                  <w:r>
                    <w:rPr>
                      <w:rFonts w:ascii="Times New Roman" w:hAnsi="Times New Roman" w:cs="Times New Roman"/>
                      <w:szCs w:val="21"/>
                    </w:rPr>
                    <w:t>P41009A/B</w:t>
                  </w:r>
                </w:p>
              </w:tc>
              <w:tc>
                <w:tcPr>
                  <w:tcW w:w="1417" w:type="dxa"/>
                  <w:vAlign w:val="center"/>
                </w:tcPr>
                <w:p w14:paraId="749C7494">
                  <w:pPr>
                    <w:adjustRightInd w:val="0"/>
                    <w:snapToGrid w:val="0"/>
                    <w:jc w:val="center"/>
                    <w:rPr>
                      <w:rFonts w:ascii="Times New Roman" w:hAnsi="Times New Roman" w:cs="Times New Roman"/>
                      <w:szCs w:val="21"/>
                    </w:rPr>
                  </w:pPr>
                  <w:r>
                    <w:rPr>
                      <w:rFonts w:ascii="Times New Roman" w:hAnsi="Times New Roman" w:cs="Times New Roman"/>
                      <w:szCs w:val="21"/>
                    </w:rPr>
                    <w:t>92号汽油</w:t>
                  </w:r>
                </w:p>
              </w:tc>
              <w:tc>
                <w:tcPr>
                  <w:tcW w:w="992" w:type="dxa"/>
                  <w:vAlign w:val="center"/>
                </w:tcPr>
                <w:p w14:paraId="1DB78F8F">
                  <w:pPr>
                    <w:adjustRightInd w:val="0"/>
                    <w:snapToGrid w:val="0"/>
                    <w:jc w:val="center"/>
                    <w:rPr>
                      <w:rFonts w:ascii="Times New Roman" w:hAnsi="Times New Roman" w:cs="Times New Roman"/>
                      <w:szCs w:val="21"/>
                    </w:rPr>
                  </w:pPr>
                  <w:r>
                    <w:rPr>
                      <w:rFonts w:ascii="Times New Roman" w:hAnsi="Times New Roman" w:cs="Times New Roman"/>
                    </w:rPr>
                    <w:t>100</w:t>
                  </w:r>
                </w:p>
              </w:tc>
              <w:tc>
                <w:tcPr>
                  <w:tcW w:w="993" w:type="dxa"/>
                  <w:vAlign w:val="center"/>
                </w:tcPr>
                <w:p w14:paraId="31314528">
                  <w:pPr>
                    <w:adjustRightInd w:val="0"/>
                    <w:snapToGrid w:val="0"/>
                    <w:jc w:val="center"/>
                    <w:rPr>
                      <w:rFonts w:ascii="Times New Roman" w:hAnsi="Times New Roman" w:cs="Times New Roman"/>
                      <w:szCs w:val="21"/>
                    </w:rPr>
                  </w:pPr>
                  <w:r>
                    <w:rPr>
                      <w:rFonts w:ascii="Times New Roman" w:hAnsi="Times New Roman" w:cs="Times New Roman"/>
                      <w:szCs w:val="21"/>
                    </w:rPr>
                    <w:t>750</w:t>
                  </w:r>
                </w:p>
              </w:tc>
              <w:tc>
                <w:tcPr>
                  <w:tcW w:w="850" w:type="dxa"/>
                  <w:vAlign w:val="center"/>
                </w:tcPr>
                <w:p w14:paraId="4A36DEE1">
                  <w:pPr>
                    <w:adjustRightInd w:val="0"/>
                    <w:snapToGrid w:val="0"/>
                    <w:jc w:val="center"/>
                    <w:rPr>
                      <w:rFonts w:ascii="Times New Roman" w:hAnsi="Times New Roman" w:cs="Times New Roman"/>
                      <w:szCs w:val="21"/>
                    </w:rPr>
                  </w:pPr>
                  <w:r>
                    <w:rPr>
                      <w:rFonts w:ascii="Times New Roman" w:hAnsi="Times New Roman" w:cs="Times New Roman"/>
                      <w:szCs w:val="21"/>
                    </w:rPr>
                    <w:t>1</w:t>
                  </w:r>
                </w:p>
              </w:tc>
              <w:tc>
                <w:tcPr>
                  <w:tcW w:w="669" w:type="dxa"/>
                  <w:vAlign w:val="center"/>
                </w:tcPr>
                <w:p w14:paraId="3611454A">
                  <w:pPr>
                    <w:adjustRightInd w:val="0"/>
                    <w:snapToGrid w:val="0"/>
                    <w:jc w:val="center"/>
                    <w:rPr>
                      <w:rFonts w:ascii="Times New Roman" w:hAnsi="Times New Roman" w:cs="Times New Roman"/>
                      <w:bCs/>
                      <w:szCs w:val="21"/>
                    </w:rPr>
                  </w:pPr>
                  <w:r>
                    <w:rPr>
                      <w:rFonts w:ascii="Times New Roman" w:hAnsi="Times New Roman" w:cs="Times New Roman"/>
                      <w:szCs w:val="21"/>
                    </w:rPr>
                    <w:t>1</w:t>
                  </w:r>
                </w:p>
              </w:tc>
              <w:tc>
                <w:tcPr>
                  <w:tcW w:w="709" w:type="dxa"/>
                  <w:vAlign w:val="center"/>
                </w:tcPr>
                <w:p w14:paraId="030909A8">
                  <w:pPr>
                    <w:adjustRightInd w:val="0"/>
                    <w:snapToGrid w:val="0"/>
                    <w:jc w:val="center"/>
                    <w:rPr>
                      <w:rFonts w:ascii="Times New Roman" w:hAnsi="Times New Roman" w:cs="Times New Roman"/>
                      <w:szCs w:val="21"/>
                    </w:rPr>
                  </w:pPr>
                  <w:r>
                    <w:rPr>
                      <w:rFonts w:hint="eastAsia" w:ascii="Times New Roman" w:hAnsi="Times New Roman" w:cs="Times New Roman"/>
                      <w:szCs w:val="21"/>
                    </w:rPr>
                    <w:t>2</w:t>
                  </w:r>
                </w:p>
              </w:tc>
            </w:tr>
            <w:tr w14:paraId="03433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2F232612">
                  <w:pPr>
                    <w:adjustRightInd w:val="0"/>
                    <w:snapToGrid w:val="0"/>
                    <w:jc w:val="center"/>
                    <w:rPr>
                      <w:rFonts w:ascii="Times New Roman" w:hAnsi="Times New Roman" w:cs="Times New Roman"/>
                      <w:bCs/>
                      <w:szCs w:val="21"/>
                    </w:rPr>
                  </w:pPr>
                  <w:r>
                    <w:rPr>
                      <w:rFonts w:ascii="Times New Roman" w:hAnsi="Times New Roman" w:cs="Times New Roman"/>
                      <w:bCs/>
                      <w:szCs w:val="21"/>
                    </w:rPr>
                    <w:t>6</w:t>
                  </w:r>
                </w:p>
              </w:tc>
              <w:tc>
                <w:tcPr>
                  <w:tcW w:w="1273" w:type="dxa"/>
                  <w:vAlign w:val="center"/>
                </w:tcPr>
                <w:p w14:paraId="72784698">
                  <w:pPr>
                    <w:adjustRightInd w:val="0"/>
                    <w:snapToGrid w:val="0"/>
                    <w:jc w:val="center"/>
                    <w:rPr>
                      <w:rFonts w:ascii="Times New Roman" w:hAnsi="Times New Roman" w:cs="Times New Roman"/>
                      <w:szCs w:val="21"/>
                    </w:rPr>
                  </w:pPr>
                  <w:r>
                    <w:rPr>
                      <w:rFonts w:ascii="Times New Roman" w:hAnsi="Times New Roman" w:cs="Times New Roman"/>
                      <w:szCs w:val="21"/>
                    </w:rPr>
                    <w:t>95号汽油装车泵</w:t>
                  </w:r>
                </w:p>
              </w:tc>
              <w:tc>
                <w:tcPr>
                  <w:tcW w:w="1134" w:type="dxa"/>
                  <w:vAlign w:val="center"/>
                </w:tcPr>
                <w:p w14:paraId="0B392F0E">
                  <w:pPr>
                    <w:adjustRightInd w:val="0"/>
                    <w:snapToGrid w:val="0"/>
                    <w:jc w:val="center"/>
                    <w:rPr>
                      <w:rFonts w:ascii="Times New Roman" w:hAnsi="Times New Roman" w:cs="Times New Roman"/>
                      <w:szCs w:val="21"/>
                    </w:rPr>
                  </w:pPr>
                  <w:r>
                    <w:rPr>
                      <w:rFonts w:ascii="Times New Roman" w:hAnsi="Times New Roman" w:cs="Times New Roman"/>
                      <w:szCs w:val="21"/>
                    </w:rPr>
                    <w:t>P41010A/B</w:t>
                  </w:r>
                </w:p>
              </w:tc>
              <w:tc>
                <w:tcPr>
                  <w:tcW w:w="1417" w:type="dxa"/>
                  <w:vAlign w:val="center"/>
                </w:tcPr>
                <w:p w14:paraId="2BCEED0D">
                  <w:pPr>
                    <w:adjustRightInd w:val="0"/>
                    <w:snapToGrid w:val="0"/>
                    <w:jc w:val="center"/>
                    <w:rPr>
                      <w:rFonts w:ascii="Times New Roman" w:hAnsi="Times New Roman" w:cs="Times New Roman"/>
                      <w:szCs w:val="21"/>
                    </w:rPr>
                  </w:pPr>
                  <w:r>
                    <w:rPr>
                      <w:rFonts w:ascii="Times New Roman" w:hAnsi="Times New Roman" w:cs="Times New Roman"/>
                      <w:szCs w:val="21"/>
                    </w:rPr>
                    <w:t>95号汽油</w:t>
                  </w:r>
                </w:p>
              </w:tc>
              <w:tc>
                <w:tcPr>
                  <w:tcW w:w="992" w:type="dxa"/>
                  <w:vAlign w:val="center"/>
                </w:tcPr>
                <w:p w14:paraId="12B0E48C">
                  <w:pPr>
                    <w:adjustRightInd w:val="0"/>
                    <w:snapToGrid w:val="0"/>
                    <w:jc w:val="center"/>
                    <w:rPr>
                      <w:rFonts w:ascii="Times New Roman" w:hAnsi="Times New Roman" w:cs="Times New Roman"/>
                      <w:szCs w:val="21"/>
                    </w:rPr>
                  </w:pPr>
                  <w:r>
                    <w:rPr>
                      <w:rFonts w:ascii="Times New Roman" w:hAnsi="Times New Roman" w:cs="Times New Roman"/>
                    </w:rPr>
                    <w:t>100</w:t>
                  </w:r>
                </w:p>
              </w:tc>
              <w:tc>
                <w:tcPr>
                  <w:tcW w:w="993" w:type="dxa"/>
                  <w:vAlign w:val="center"/>
                </w:tcPr>
                <w:p w14:paraId="3C68D1B5">
                  <w:pPr>
                    <w:adjustRightInd w:val="0"/>
                    <w:snapToGrid w:val="0"/>
                    <w:jc w:val="center"/>
                    <w:rPr>
                      <w:rFonts w:ascii="Times New Roman" w:hAnsi="Times New Roman" w:cs="Times New Roman"/>
                      <w:szCs w:val="21"/>
                    </w:rPr>
                  </w:pPr>
                  <w:r>
                    <w:rPr>
                      <w:rFonts w:ascii="Times New Roman" w:hAnsi="Times New Roman" w:cs="Times New Roman"/>
                      <w:szCs w:val="21"/>
                    </w:rPr>
                    <w:t>750</w:t>
                  </w:r>
                </w:p>
              </w:tc>
              <w:tc>
                <w:tcPr>
                  <w:tcW w:w="850" w:type="dxa"/>
                  <w:vAlign w:val="center"/>
                </w:tcPr>
                <w:p w14:paraId="1C41D942">
                  <w:pPr>
                    <w:adjustRightInd w:val="0"/>
                    <w:snapToGrid w:val="0"/>
                    <w:jc w:val="center"/>
                    <w:rPr>
                      <w:rFonts w:ascii="Times New Roman" w:hAnsi="Times New Roman" w:cs="Times New Roman"/>
                      <w:szCs w:val="21"/>
                    </w:rPr>
                  </w:pPr>
                  <w:r>
                    <w:rPr>
                      <w:rFonts w:ascii="Times New Roman" w:hAnsi="Times New Roman" w:cs="Times New Roman"/>
                      <w:szCs w:val="21"/>
                    </w:rPr>
                    <w:t>1</w:t>
                  </w:r>
                </w:p>
              </w:tc>
              <w:tc>
                <w:tcPr>
                  <w:tcW w:w="669" w:type="dxa"/>
                  <w:vAlign w:val="center"/>
                </w:tcPr>
                <w:p w14:paraId="25387DEA">
                  <w:pPr>
                    <w:adjustRightInd w:val="0"/>
                    <w:snapToGrid w:val="0"/>
                    <w:jc w:val="center"/>
                    <w:rPr>
                      <w:rFonts w:ascii="Times New Roman" w:hAnsi="Times New Roman" w:cs="Times New Roman"/>
                      <w:bCs/>
                      <w:szCs w:val="21"/>
                    </w:rPr>
                  </w:pPr>
                  <w:r>
                    <w:rPr>
                      <w:rFonts w:ascii="Times New Roman" w:hAnsi="Times New Roman" w:cs="Times New Roman"/>
                      <w:szCs w:val="21"/>
                    </w:rPr>
                    <w:t>1</w:t>
                  </w:r>
                </w:p>
              </w:tc>
              <w:tc>
                <w:tcPr>
                  <w:tcW w:w="709" w:type="dxa"/>
                  <w:vAlign w:val="center"/>
                </w:tcPr>
                <w:p w14:paraId="5BA080BF">
                  <w:pPr>
                    <w:adjustRightInd w:val="0"/>
                    <w:snapToGrid w:val="0"/>
                    <w:jc w:val="center"/>
                    <w:rPr>
                      <w:rFonts w:ascii="Times New Roman" w:hAnsi="Times New Roman" w:cs="Times New Roman"/>
                      <w:szCs w:val="21"/>
                    </w:rPr>
                  </w:pPr>
                  <w:r>
                    <w:rPr>
                      <w:rFonts w:hint="eastAsia" w:ascii="Times New Roman" w:hAnsi="Times New Roman" w:cs="Times New Roman"/>
                      <w:szCs w:val="21"/>
                    </w:rPr>
                    <w:t>2</w:t>
                  </w:r>
                </w:p>
              </w:tc>
            </w:tr>
            <w:tr w14:paraId="2B5C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43D5B87A">
                  <w:pPr>
                    <w:adjustRightInd w:val="0"/>
                    <w:snapToGrid w:val="0"/>
                    <w:jc w:val="center"/>
                    <w:rPr>
                      <w:rFonts w:ascii="Times New Roman" w:hAnsi="Times New Roman" w:cs="Times New Roman"/>
                      <w:bCs/>
                      <w:szCs w:val="21"/>
                    </w:rPr>
                  </w:pPr>
                  <w:r>
                    <w:rPr>
                      <w:rFonts w:ascii="Times New Roman" w:hAnsi="Times New Roman" w:cs="Times New Roman"/>
                      <w:bCs/>
                      <w:szCs w:val="21"/>
                    </w:rPr>
                    <w:t>7</w:t>
                  </w:r>
                </w:p>
              </w:tc>
              <w:tc>
                <w:tcPr>
                  <w:tcW w:w="1273" w:type="dxa"/>
                  <w:vAlign w:val="center"/>
                </w:tcPr>
                <w:p w14:paraId="7912F91C">
                  <w:pPr>
                    <w:adjustRightInd w:val="0"/>
                    <w:snapToGrid w:val="0"/>
                    <w:jc w:val="center"/>
                    <w:rPr>
                      <w:rFonts w:ascii="Times New Roman" w:hAnsi="Times New Roman" w:cs="Times New Roman"/>
                      <w:szCs w:val="21"/>
                    </w:rPr>
                  </w:pPr>
                  <w:r>
                    <w:rPr>
                      <w:rFonts w:ascii="Times New Roman" w:hAnsi="Times New Roman" w:cs="Times New Roman"/>
                      <w:szCs w:val="21"/>
                    </w:rPr>
                    <w:t>轻质燃料油泵</w:t>
                  </w:r>
                </w:p>
              </w:tc>
              <w:tc>
                <w:tcPr>
                  <w:tcW w:w="1134" w:type="dxa"/>
                  <w:vAlign w:val="center"/>
                </w:tcPr>
                <w:p w14:paraId="67EBA161">
                  <w:pPr>
                    <w:adjustRightInd w:val="0"/>
                    <w:snapToGrid w:val="0"/>
                    <w:jc w:val="center"/>
                    <w:rPr>
                      <w:rFonts w:ascii="Times New Roman" w:hAnsi="Times New Roman" w:cs="Times New Roman"/>
                      <w:szCs w:val="21"/>
                    </w:rPr>
                  </w:pPr>
                  <w:r>
                    <w:rPr>
                      <w:rFonts w:ascii="Times New Roman" w:hAnsi="Times New Roman" w:cs="Times New Roman"/>
                      <w:szCs w:val="21"/>
                    </w:rPr>
                    <w:t>P42004A/B</w:t>
                  </w:r>
                </w:p>
              </w:tc>
              <w:tc>
                <w:tcPr>
                  <w:tcW w:w="1417" w:type="dxa"/>
                  <w:vAlign w:val="center"/>
                </w:tcPr>
                <w:p w14:paraId="559AE9F8">
                  <w:pPr>
                    <w:adjustRightInd w:val="0"/>
                    <w:snapToGrid w:val="0"/>
                    <w:jc w:val="center"/>
                    <w:rPr>
                      <w:rFonts w:ascii="Times New Roman" w:hAnsi="Times New Roman" w:cs="Times New Roman"/>
                      <w:szCs w:val="21"/>
                    </w:rPr>
                  </w:pPr>
                  <w:r>
                    <w:rPr>
                      <w:rFonts w:ascii="Times New Roman" w:hAnsi="Times New Roman" w:cs="Times New Roman"/>
                      <w:szCs w:val="21"/>
                    </w:rPr>
                    <w:t>轻质燃料油</w:t>
                  </w:r>
                </w:p>
              </w:tc>
              <w:tc>
                <w:tcPr>
                  <w:tcW w:w="992" w:type="dxa"/>
                  <w:vAlign w:val="center"/>
                </w:tcPr>
                <w:p w14:paraId="59B11446">
                  <w:pPr>
                    <w:adjustRightInd w:val="0"/>
                    <w:snapToGrid w:val="0"/>
                    <w:jc w:val="center"/>
                    <w:rPr>
                      <w:rFonts w:ascii="Times New Roman" w:hAnsi="Times New Roman" w:cs="Times New Roman"/>
                      <w:szCs w:val="21"/>
                    </w:rPr>
                  </w:pPr>
                  <w:r>
                    <w:rPr>
                      <w:rFonts w:ascii="Times New Roman" w:hAnsi="Times New Roman" w:cs="Times New Roman"/>
                    </w:rPr>
                    <w:t>24</w:t>
                  </w:r>
                </w:p>
              </w:tc>
              <w:tc>
                <w:tcPr>
                  <w:tcW w:w="993" w:type="dxa"/>
                  <w:vAlign w:val="center"/>
                </w:tcPr>
                <w:p w14:paraId="330E9FDE">
                  <w:pPr>
                    <w:adjustRightInd w:val="0"/>
                    <w:snapToGrid w:val="0"/>
                    <w:jc w:val="center"/>
                    <w:rPr>
                      <w:rFonts w:ascii="Times New Roman" w:hAnsi="Times New Roman" w:cs="Times New Roman"/>
                      <w:szCs w:val="21"/>
                    </w:rPr>
                  </w:pPr>
                  <w:r>
                    <w:rPr>
                      <w:rFonts w:ascii="Times New Roman" w:hAnsi="Times New Roman" w:cs="Times New Roman"/>
                      <w:szCs w:val="21"/>
                    </w:rPr>
                    <w:t>850</w:t>
                  </w:r>
                </w:p>
              </w:tc>
              <w:tc>
                <w:tcPr>
                  <w:tcW w:w="850" w:type="dxa"/>
                  <w:vAlign w:val="center"/>
                </w:tcPr>
                <w:p w14:paraId="5317DA25">
                  <w:pPr>
                    <w:adjustRightInd w:val="0"/>
                    <w:snapToGrid w:val="0"/>
                    <w:jc w:val="center"/>
                    <w:rPr>
                      <w:rFonts w:ascii="Times New Roman" w:hAnsi="Times New Roman" w:cs="Times New Roman"/>
                      <w:szCs w:val="21"/>
                    </w:rPr>
                  </w:pPr>
                  <w:r>
                    <w:rPr>
                      <w:rFonts w:ascii="Times New Roman" w:hAnsi="Times New Roman" w:cs="Times New Roman"/>
                      <w:szCs w:val="21"/>
                    </w:rPr>
                    <w:t>1</w:t>
                  </w:r>
                </w:p>
              </w:tc>
              <w:tc>
                <w:tcPr>
                  <w:tcW w:w="669" w:type="dxa"/>
                  <w:vAlign w:val="center"/>
                </w:tcPr>
                <w:p w14:paraId="551896C1">
                  <w:pPr>
                    <w:adjustRightInd w:val="0"/>
                    <w:snapToGrid w:val="0"/>
                    <w:jc w:val="center"/>
                    <w:rPr>
                      <w:rFonts w:ascii="Times New Roman" w:hAnsi="Times New Roman" w:cs="Times New Roman"/>
                      <w:bCs/>
                      <w:szCs w:val="21"/>
                    </w:rPr>
                  </w:pPr>
                  <w:r>
                    <w:rPr>
                      <w:rFonts w:ascii="Times New Roman" w:hAnsi="Times New Roman" w:cs="Times New Roman"/>
                      <w:szCs w:val="21"/>
                    </w:rPr>
                    <w:t>1</w:t>
                  </w:r>
                </w:p>
              </w:tc>
              <w:tc>
                <w:tcPr>
                  <w:tcW w:w="709" w:type="dxa"/>
                  <w:vAlign w:val="center"/>
                </w:tcPr>
                <w:p w14:paraId="1058BEF7">
                  <w:pPr>
                    <w:adjustRightInd w:val="0"/>
                    <w:snapToGrid w:val="0"/>
                    <w:jc w:val="center"/>
                    <w:rPr>
                      <w:rFonts w:ascii="Times New Roman" w:hAnsi="Times New Roman" w:cs="Times New Roman"/>
                      <w:szCs w:val="21"/>
                    </w:rPr>
                  </w:pPr>
                  <w:r>
                    <w:rPr>
                      <w:rFonts w:hint="eastAsia" w:ascii="Times New Roman" w:hAnsi="Times New Roman" w:cs="Times New Roman"/>
                      <w:szCs w:val="21"/>
                    </w:rPr>
                    <w:t>2</w:t>
                  </w:r>
                </w:p>
              </w:tc>
            </w:tr>
            <w:tr w14:paraId="58085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109E972C">
                  <w:pPr>
                    <w:adjustRightInd w:val="0"/>
                    <w:snapToGrid w:val="0"/>
                    <w:jc w:val="center"/>
                    <w:rPr>
                      <w:rFonts w:ascii="Times New Roman" w:hAnsi="Times New Roman" w:cs="Times New Roman"/>
                      <w:bCs/>
                      <w:szCs w:val="21"/>
                    </w:rPr>
                  </w:pPr>
                  <w:r>
                    <w:rPr>
                      <w:rFonts w:ascii="Times New Roman" w:hAnsi="Times New Roman" w:cs="Times New Roman"/>
                      <w:bCs/>
                      <w:szCs w:val="21"/>
                    </w:rPr>
                    <w:t>8</w:t>
                  </w:r>
                </w:p>
              </w:tc>
              <w:tc>
                <w:tcPr>
                  <w:tcW w:w="1273" w:type="dxa"/>
                  <w:vAlign w:val="center"/>
                </w:tcPr>
                <w:p w14:paraId="2F1A3E97">
                  <w:pPr>
                    <w:adjustRightInd w:val="0"/>
                    <w:snapToGrid w:val="0"/>
                    <w:jc w:val="center"/>
                    <w:rPr>
                      <w:rFonts w:ascii="Times New Roman" w:hAnsi="Times New Roman" w:cs="Times New Roman"/>
                      <w:szCs w:val="21"/>
                    </w:rPr>
                  </w:pPr>
                  <w:r>
                    <w:rPr>
                      <w:rFonts w:ascii="Times New Roman" w:hAnsi="Times New Roman" w:cs="Times New Roman"/>
                      <w:szCs w:val="21"/>
                    </w:rPr>
                    <w:t>煤基柴油泵</w:t>
                  </w:r>
                </w:p>
              </w:tc>
              <w:tc>
                <w:tcPr>
                  <w:tcW w:w="1134" w:type="dxa"/>
                  <w:vAlign w:val="center"/>
                </w:tcPr>
                <w:p w14:paraId="1CDFE4E6">
                  <w:pPr>
                    <w:adjustRightInd w:val="0"/>
                    <w:snapToGrid w:val="0"/>
                    <w:jc w:val="center"/>
                    <w:rPr>
                      <w:rFonts w:ascii="Times New Roman" w:hAnsi="Times New Roman" w:cs="Times New Roman"/>
                      <w:szCs w:val="21"/>
                    </w:rPr>
                  </w:pPr>
                  <w:r>
                    <w:rPr>
                      <w:rFonts w:ascii="Times New Roman" w:hAnsi="Times New Roman" w:cs="Times New Roman"/>
                      <w:szCs w:val="21"/>
                    </w:rPr>
                    <w:t>P42005A/B</w:t>
                  </w:r>
                </w:p>
              </w:tc>
              <w:tc>
                <w:tcPr>
                  <w:tcW w:w="1417" w:type="dxa"/>
                  <w:vAlign w:val="center"/>
                </w:tcPr>
                <w:p w14:paraId="545D0E51">
                  <w:pPr>
                    <w:adjustRightInd w:val="0"/>
                    <w:snapToGrid w:val="0"/>
                    <w:jc w:val="center"/>
                    <w:rPr>
                      <w:rFonts w:ascii="Times New Roman" w:hAnsi="Times New Roman" w:cs="Times New Roman"/>
                      <w:szCs w:val="21"/>
                    </w:rPr>
                  </w:pPr>
                  <w:r>
                    <w:rPr>
                      <w:rFonts w:ascii="Times New Roman" w:hAnsi="Times New Roman" w:cs="Times New Roman"/>
                      <w:szCs w:val="21"/>
                    </w:rPr>
                    <w:t>煤基柴油</w:t>
                  </w:r>
                </w:p>
              </w:tc>
              <w:tc>
                <w:tcPr>
                  <w:tcW w:w="992" w:type="dxa"/>
                  <w:vAlign w:val="center"/>
                </w:tcPr>
                <w:p w14:paraId="7C79810C">
                  <w:pPr>
                    <w:adjustRightInd w:val="0"/>
                    <w:snapToGrid w:val="0"/>
                    <w:jc w:val="center"/>
                    <w:rPr>
                      <w:rFonts w:ascii="Times New Roman" w:hAnsi="Times New Roman" w:cs="Times New Roman"/>
                      <w:szCs w:val="21"/>
                    </w:rPr>
                  </w:pPr>
                  <w:r>
                    <w:rPr>
                      <w:rFonts w:ascii="Times New Roman" w:hAnsi="Times New Roman" w:cs="Times New Roman"/>
                    </w:rPr>
                    <w:t>30</w:t>
                  </w:r>
                </w:p>
              </w:tc>
              <w:tc>
                <w:tcPr>
                  <w:tcW w:w="993" w:type="dxa"/>
                  <w:vAlign w:val="center"/>
                </w:tcPr>
                <w:p w14:paraId="10FB0D33">
                  <w:pPr>
                    <w:adjustRightInd w:val="0"/>
                    <w:snapToGrid w:val="0"/>
                    <w:jc w:val="center"/>
                    <w:rPr>
                      <w:rFonts w:ascii="Times New Roman" w:hAnsi="Times New Roman" w:cs="Times New Roman"/>
                      <w:szCs w:val="21"/>
                    </w:rPr>
                  </w:pPr>
                  <w:r>
                    <w:rPr>
                      <w:rFonts w:ascii="Times New Roman" w:hAnsi="Times New Roman" w:cs="Times New Roman"/>
                      <w:szCs w:val="21"/>
                    </w:rPr>
                    <w:t>850</w:t>
                  </w:r>
                </w:p>
              </w:tc>
              <w:tc>
                <w:tcPr>
                  <w:tcW w:w="850" w:type="dxa"/>
                  <w:vAlign w:val="center"/>
                </w:tcPr>
                <w:p w14:paraId="0A3613DB">
                  <w:pPr>
                    <w:adjustRightInd w:val="0"/>
                    <w:snapToGrid w:val="0"/>
                    <w:jc w:val="center"/>
                    <w:rPr>
                      <w:rFonts w:ascii="Times New Roman" w:hAnsi="Times New Roman" w:cs="Times New Roman"/>
                      <w:szCs w:val="21"/>
                    </w:rPr>
                  </w:pPr>
                  <w:r>
                    <w:rPr>
                      <w:rFonts w:ascii="Times New Roman" w:hAnsi="Times New Roman" w:cs="Times New Roman"/>
                      <w:szCs w:val="21"/>
                    </w:rPr>
                    <w:t>1</w:t>
                  </w:r>
                </w:p>
              </w:tc>
              <w:tc>
                <w:tcPr>
                  <w:tcW w:w="669" w:type="dxa"/>
                  <w:vAlign w:val="center"/>
                </w:tcPr>
                <w:p w14:paraId="57A4601F">
                  <w:pPr>
                    <w:adjustRightInd w:val="0"/>
                    <w:snapToGrid w:val="0"/>
                    <w:jc w:val="center"/>
                    <w:rPr>
                      <w:rFonts w:ascii="Times New Roman" w:hAnsi="Times New Roman" w:cs="Times New Roman"/>
                      <w:bCs/>
                      <w:szCs w:val="21"/>
                    </w:rPr>
                  </w:pPr>
                  <w:r>
                    <w:rPr>
                      <w:rFonts w:ascii="Times New Roman" w:hAnsi="Times New Roman" w:cs="Times New Roman"/>
                      <w:szCs w:val="21"/>
                    </w:rPr>
                    <w:t>1</w:t>
                  </w:r>
                </w:p>
              </w:tc>
              <w:tc>
                <w:tcPr>
                  <w:tcW w:w="709" w:type="dxa"/>
                  <w:vAlign w:val="center"/>
                </w:tcPr>
                <w:p w14:paraId="7CD0A2ED">
                  <w:pPr>
                    <w:adjustRightInd w:val="0"/>
                    <w:snapToGrid w:val="0"/>
                    <w:jc w:val="center"/>
                    <w:rPr>
                      <w:rFonts w:ascii="Times New Roman" w:hAnsi="Times New Roman" w:cs="Times New Roman"/>
                      <w:szCs w:val="21"/>
                    </w:rPr>
                  </w:pPr>
                  <w:r>
                    <w:rPr>
                      <w:rFonts w:hint="eastAsia" w:ascii="Times New Roman" w:hAnsi="Times New Roman" w:cs="Times New Roman"/>
                      <w:szCs w:val="21"/>
                    </w:rPr>
                    <w:t>2</w:t>
                  </w:r>
                </w:p>
              </w:tc>
            </w:tr>
            <w:tr w14:paraId="5CB8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53AB4053">
                  <w:pPr>
                    <w:adjustRightInd w:val="0"/>
                    <w:snapToGrid w:val="0"/>
                    <w:jc w:val="center"/>
                    <w:rPr>
                      <w:rFonts w:ascii="Times New Roman" w:hAnsi="Times New Roman" w:cs="Times New Roman"/>
                      <w:bCs/>
                      <w:szCs w:val="21"/>
                    </w:rPr>
                  </w:pPr>
                  <w:r>
                    <w:rPr>
                      <w:rFonts w:ascii="Times New Roman" w:hAnsi="Times New Roman" w:cs="Times New Roman"/>
                      <w:bCs/>
                      <w:szCs w:val="21"/>
                    </w:rPr>
                    <w:t>9</w:t>
                  </w:r>
                </w:p>
              </w:tc>
              <w:tc>
                <w:tcPr>
                  <w:tcW w:w="1273" w:type="dxa"/>
                  <w:vAlign w:val="center"/>
                </w:tcPr>
                <w:p w14:paraId="6BCF8F89">
                  <w:pPr>
                    <w:adjustRightInd w:val="0"/>
                    <w:snapToGrid w:val="0"/>
                    <w:jc w:val="center"/>
                    <w:rPr>
                      <w:rFonts w:ascii="Times New Roman" w:hAnsi="Times New Roman" w:cs="Times New Roman"/>
                      <w:szCs w:val="21"/>
                    </w:rPr>
                  </w:pPr>
                  <w:r>
                    <w:rPr>
                      <w:rFonts w:ascii="Times New Roman" w:hAnsi="Times New Roman" w:cs="Times New Roman"/>
                      <w:szCs w:val="21"/>
                    </w:rPr>
                    <w:t>车用柴油装车泵</w:t>
                  </w:r>
                </w:p>
              </w:tc>
              <w:tc>
                <w:tcPr>
                  <w:tcW w:w="1134" w:type="dxa"/>
                  <w:vAlign w:val="center"/>
                </w:tcPr>
                <w:p w14:paraId="14C25D61">
                  <w:pPr>
                    <w:adjustRightInd w:val="0"/>
                    <w:snapToGrid w:val="0"/>
                    <w:jc w:val="center"/>
                    <w:rPr>
                      <w:rFonts w:ascii="Times New Roman" w:hAnsi="Times New Roman" w:cs="Times New Roman"/>
                      <w:szCs w:val="21"/>
                    </w:rPr>
                  </w:pPr>
                  <w:r>
                    <w:rPr>
                      <w:rFonts w:ascii="Times New Roman" w:hAnsi="Times New Roman" w:cs="Times New Roman"/>
                      <w:szCs w:val="21"/>
                    </w:rPr>
                    <w:t>P42006A/B</w:t>
                  </w:r>
                </w:p>
              </w:tc>
              <w:tc>
                <w:tcPr>
                  <w:tcW w:w="1417" w:type="dxa"/>
                  <w:vAlign w:val="center"/>
                </w:tcPr>
                <w:p w14:paraId="7F850736">
                  <w:pPr>
                    <w:adjustRightInd w:val="0"/>
                    <w:snapToGrid w:val="0"/>
                    <w:jc w:val="center"/>
                    <w:rPr>
                      <w:rFonts w:ascii="Times New Roman" w:hAnsi="Times New Roman" w:cs="Times New Roman"/>
                      <w:szCs w:val="21"/>
                    </w:rPr>
                  </w:pPr>
                  <w:r>
                    <w:rPr>
                      <w:rFonts w:ascii="Times New Roman" w:hAnsi="Times New Roman" w:cs="Times New Roman"/>
                      <w:szCs w:val="21"/>
                    </w:rPr>
                    <w:t>车用柴油</w:t>
                  </w:r>
                </w:p>
              </w:tc>
              <w:tc>
                <w:tcPr>
                  <w:tcW w:w="992" w:type="dxa"/>
                  <w:vAlign w:val="center"/>
                </w:tcPr>
                <w:p w14:paraId="4EDB5D2A">
                  <w:pPr>
                    <w:adjustRightInd w:val="0"/>
                    <w:snapToGrid w:val="0"/>
                    <w:jc w:val="center"/>
                    <w:rPr>
                      <w:rFonts w:ascii="Times New Roman" w:hAnsi="Times New Roman" w:cs="Times New Roman"/>
                      <w:szCs w:val="21"/>
                    </w:rPr>
                  </w:pPr>
                  <w:r>
                    <w:rPr>
                      <w:rFonts w:ascii="Times New Roman" w:hAnsi="Times New Roman" w:cs="Times New Roman"/>
                    </w:rPr>
                    <w:t>100</w:t>
                  </w:r>
                </w:p>
              </w:tc>
              <w:tc>
                <w:tcPr>
                  <w:tcW w:w="993" w:type="dxa"/>
                  <w:vAlign w:val="center"/>
                </w:tcPr>
                <w:p w14:paraId="2D728C91">
                  <w:pPr>
                    <w:adjustRightInd w:val="0"/>
                    <w:snapToGrid w:val="0"/>
                    <w:jc w:val="center"/>
                    <w:rPr>
                      <w:rFonts w:ascii="Times New Roman" w:hAnsi="Times New Roman" w:cs="Times New Roman"/>
                      <w:szCs w:val="21"/>
                    </w:rPr>
                  </w:pPr>
                  <w:r>
                    <w:rPr>
                      <w:rFonts w:ascii="Times New Roman" w:hAnsi="Times New Roman" w:cs="Times New Roman"/>
                      <w:szCs w:val="21"/>
                    </w:rPr>
                    <w:t>820</w:t>
                  </w:r>
                </w:p>
              </w:tc>
              <w:tc>
                <w:tcPr>
                  <w:tcW w:w="850" w:type="dxa"/>
                  <w:vAlign w:val="center"/>
                </w:tcPr>
                <w:p w14:paraId="1E876A86">
                  <w:pPr>
                    <w:adjustRightInd w:val="0"/>
                    <w:snapToGrid w:val="0"/>
                    <w:jc w:val="center"/>
                    <w:rPr>
                      <w:rFonts w:ascii="Times New Roman" w:hAnsi="Times New Roman" w:cs="Times New Roman"/>
                      <w:szCs w:val="21"/>
                    </w:rPr>
                  </w:pPr>
                  <w:r>
                    <w:rPr>
                      <w:rFonts w:ascii="Times New Roman" w:hAnsi="Times New Roman" w:cs="Times New Roman"/>
                      <w:szCs w:val="21"/>
                    </w:rPr>
                    <w:t>2</w:t>
                  </w:r>
                </w:p>
              </w:tc>
              <w:tc>
                <w:tcPr>
                  <w:tcW w:w="669" w:type="dxa"/>
                  <w:vAlign w:val="center"/>
                </w:tcPr>
                <w:p w14:paraId="4C0E53F8">
                  <w:pPr>
                    <w:adjustRightInd w:val="0"/>
                    <w:snapToGrid w:val="0"/>
                    <w:jc w:val="center"/>
                    <w:rPr>
                      <w:rFonts w:ascii="Times New Roman" w:hAnsi="Times New Roman" w:cs="Times New Roman"/>
                      <w:bCs/>
                      <w:szCs w:val="21"/>
                    </w:rPr>
                  </w:pPr>
                  <w:r>
                    <w:rPr>
                      <w:rFonts w:ascii="Times New Roman" w:hAnsi="Times New Roman" w:cs="Times New Roman"/>
                      <w:szCs w:val="21"/>
                    </w:rPr>
                    <w:t>0</w:t>
                  </w:r>
                </w:p>
              </w:tc>
              <w:tc>
                <w:tcPr>
                  <w:tcW w:w="709" w:type="dxa"/>
                  <w:vAlign w:val="center"/>
                </w:tcPr>
                <w:p w14:paraId="145AA611">
                  <w:pPr>
                    <w:adjustRightInd w:val="0"/>
                    <w:snapToGrid w:val="0"/>
                    <w:jc w:val="center"/>
                    <w:rPr>
                      <w:rFonts w:ascii="Times New Roman" w:hAnsi="Times New Roman" w:cs="Times New Roman"/>
                      <w:szCs w:val="21"/>
                    </w:rPr>
                  </w:pPr>
                  <w:r>
                    <w:rPr>
                      <w:rFonts w:hint="eastAsia" w:ascii="Times New Roman" w:hAnsi="Times New Roman" w:cs="Times New Roman"/>
                      <w:szCs w:val="21"/>
                    </w:rPr>
                    <w:t>2</w:t>
                  </w:r>
                </w:p>
              </w:tc>
            </w:tr>
            <w:tr w14:paraId="4EB46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0" w:type="dxa"/>
                  <w:vAlign w:val="center"/>
                </w:tcPr>
                <w:p w14:paraId="22D7F257">
                  <w:pPr>
                    <w:adjustRightInd w:val="0"/>
                    <w:snapToGrid w:val="0"/>
                    <w:jc w:val="center"/>
                    <w:rPr>
                      <w:rFonts w:ascii="Times New Roman" w:hAnsi="Times New Roman" w:cs="Times New Roman"/>
                      <w:bCs/>
                      <w:szCs w:val="21"/>
                    </w:rPr>
                  </w:pPr>
                </w:p>
              </w:tc>
              <w:tc>
                <w:tcPr>
                  <w:tcW w:w="3824" w:type="dxa"/>
                  <w:gridSpan w:val="3"/>
                  <w:vAlign w:val="center"/>
                </w:tcPr>
                <w:p w14:paraId="6BE7A850">
                  <w:pPr>
                    <w:adjustRightInd w:val="0"/>
                    <w:snapToGrid w:val="0"/>
                    <w:jc w:val="center"/>
                    <w:rPr>
                      <w:rFonts w:ascii="Times New Roman" w:hAnsi="Times New Roman" w:cs="Times New Roman"/>
                      <w:szCs w:val="21"/>
                    </w:rPr>
                  </w:pPr>
                  <w:r>
                    <w:rPr>
                      <w:rFonts w:hint="eastAsia" w:ascii="Times New Roman" w:hAnsi="Times New Roman" w:cs="Times New Roman"/>
                      <w:szCs w:val="21"/>
                    </w:rPr>
                    <w:t>合计</w:t>
                  </w:r>
                </w:p>
              </w:tc>
              <w:tc>
                <w:tcPr>
                  <w:tcW w:w="4213" w:type="dxa"/>
                  <w:gridSpan w:val="5"/>
                  <w:vAlign w:val="center"/>
                </w:tcPr>
                <w:p w14:paraId="791FA972">
                  <w:pPr>
                    <w:adjustRightInd w:val="0"/>
                    <w:snapToGrid w:val="0"/>
                    <w:jc w:val="center"/>
                    <w:rPr>
                      <w:rFonts w:ascii="Times New Roman" w:hAnsi="Times New Roman" w:cs="Times New Roman"/>
                      <w:szCs w:val="21"/>
                    </w:rPr>
                  </w:pPr>
                  <w:r>
                    <w:rPr>
                      <w:rFonts w:hint="eastAsia" w:ascii="Times New Roman" w:hAnsi="Times New Roman" w:cs="Times New Roman"/>
                      <w:szCs w:val="21"/>
                    </w:rPr>
                    <w:t>14</w:t>
                  </w:r>
                </w:p>
              </w:tc>
            </w:tr>
          </w:tbl>
          <w:p w14:paraId="5864D3F4">
            <w:pPr>
              <w:adjustRightInd w:val="0"/>
              <w:snapToGrid w:val="0"/>
              <w:ind w:firstLine="482" w:firstLineChars="200"/>
              <w:rPr>
                <w:rFonts w:ascii="Times New Roman" w:hAnsi="Times New Roman" w:cs="Times New Roman"/>
                <w:b/>
              </w:rPr>
            </w:pPr>
          </w:p>
          <w:p w14:paraId="1AE1E069">
            <w:pPr>
              <w:adjustRightInd w:val="0"/>
              <w:snapToGrid w:val="0"/>
              <w:ind w:firstLine="480" w:firstLineChars="200"/>
              <w:rPr>
                <w:rFonts w:ascii="Times New Roman" w:hAnsi="Times New Roman" w:cs="Times New Roman"/>
                <w:bCs/>
              </w:rPr>
            </w:pPr>
          </w:p>
          <w:p w14:paraId="2B68F8F2">
            <w:pPr>
              <w:adjustRightInd w:val="0"/>
              <w:snapToGrid w:val="0"/>
              <w:spacing w:line="360" w:lineRule="auto"/>
              <w:rPr>
                <w:rFonts w:ascii="Times New Roman" w:hAnsi="Times New Roman" w:cs="Times New Roman"/>
                <w:bCs/>
              </w:rPr>
            </w:pPr>
            <w:r>
              <w:rPr>
                <w:rFonts w:ascii="Times New Roman" w:hAnsi="Times New Roman" w:cs="Times New Roman"/>
                <w:b/>
              </w:rPr>
              <w:t>6、劳动定员和工作制度</w:t>
            </w:r>
          </w:p>
          <w:p w14:paraId="752326B1">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总定员：总定员164人，二期工程不新增劳动定员，储罐巡检、调和操作、装车管控等配套工作依托一期现有2名工作人员兼顾完成；</w:t>
            </w:r>
          </w:p>
          <w:p w14:paraId="609038C7">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年操作时间：8000小时；</w:t>
            </w:r>
          </w:p>
          <w:p w14:paraId="17DF1A77">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装置操作弹性：60%~110%。</w:t>
            </w:r>
          </w:p>
          <w:p w14:paraId="6506F77B">
            <w:pPr>
              <w:adjustRightInd w:val="0"/>
              <w:snapToGrid w:val="0"/>
              <w:spacing w:line="360" w:lineRule="auto"/>
              <w:rPr>
                <w:rFonts w:ascii="Times New Roman" w:hAnsi="Times New Roman" w:cs="Times New Roman"/>
                <w:bCs/>
              </w:rPr>
            </w:pPr>
            <w:r>
              <w:rPr>
                <w:rFonts w:ascii="Times New Roman" w:hAnsi="Times New Roman" w:cs="Times New Roman"/>
                <w:b/>
              </w:rPr>
              <w:t>7、公用工程</w:t>
            </w:r>
          </w:p>
          <w:p w14:paraId="575128FC">
            <w:pPr>
              <w:adjustRightInd w:val="0"/>
              <w:snapToGrid w:val="0"/>
              <w:spacing w:line="360" w:lineRule="auto"/>
              <w:rPr>
                <w:rFonts w:ascii="Times New Roman" w:hAnsi="Times New Roman" w:cs="Times New Roman"/>
                <w:b/>
              </w:rPr>
            </w:pPr>
            <w:r>
              <w:rPr>
                <w:rFonts w:ascii="Times New Roman" w:hAnsi="Times New Roman" w:cs="Times New Roman"/>
                <w:b/>
              </w:rPr>
              <w:t>7.1给排水</w:t>
            </w:r>
          </w:p>
          <w:p w14:paraId="5F9E3CB0">
            <w:pPr>
              <w:adjustRightInd w:val="0"/>
              <w:snapToGrid w:val="0"/>
              <w:spacing w:line="360" w:lineRule="auto"/>
              <w:rPr>
                <w:rFonts w:ascii="Times New Roman" w:hAnsi="Times New Roman" w:cs="Times New Roman"/>
                <w:bCs/>
              </w:rPr>
            </w:pPr>
            <w:r>
              <w:rPr>
                <w:rFonts w:ascii="Times New Roman" w:hAnsi="Times New Roman" w:cs="Times New Roman"/>
                <w:b/>
              </w:rPr>
              <w:t>7.1.1给水</w:t>
            </w:r>
          </w:p>
          <w:p w14:paraId="48829266">
            <w:pPr>
              <w:adjustRightInd w:val="0"/>
              <w:snapToGrid w:val="0"/>
              <w:spacing w:line="360" w:lineRule="auto"/>
              <w:ind w:firstLine="480" w:firstLineChars="2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项目水源来自园区供水管网，供水水源稳定充足，直接接入便可实现自来水供给，可以满足本项目用水需求。根据建设方提供数据可知，本项目主要用水环节包括装置地面及开停车设备冲洗用水、清罐用水等。</w:t>
            </w:r>
          </w:p>
          <w:p w14:paraId="010D398F">
            <w:pPr>
              <w:adjustRightInd w:val="0"/>
              <w:snapToGrid w:val="0"/>
              <w:spacing w:line="360" w:lineRule="auto"/>
              <w:ind w:firstLine="480" w:firstLineChars="200"/>
              <w:rPr>
                <w:rFonts w:ascii="Times New Roman" w:hAnsi="Times New Roman" w:cs="Times New Roman"/>
                <w:bCs/>
              </w:rPr>
            </w:pPr>
            <w:r>
              <w:rPr>
                <w:rFonts w:ascii="Cambria Math" w:hAnsi="Cambria Math" w:cs="Cambria Math"/>
                <w:bCs/>
              </w:rPr>
              <w:t>①</w:t>
            </w:r>
            <w:r>
              <w:rPr>
                <w:rFonts w:ascii="Times New Roman" w:hAnsi="Times New Roman" w:cs="Times New Roman"/>
                <w:bCs/>
              </w:rPr>
              <w:t>装置地面及开停车设备冲洗用水</w:t>
            </w:r>
          </w:p>
          <w:p w14:paraId="012D2BE4">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根据设计单位提供数据装置地面冲洗水及开停车设备冲洗水用水量为5.0m</w:t>
            </w:r>
            <w:r>
              <w:rPr>
                <w:rFonts w:ascii="Times New Roman" w:hAnsi="Times New Roman" w:cs="Times New Roman"/>
                <w:bCs/>
                <w:vertAlign w:val="superscript"/>
              </w:rPr>
              <w:t>3</w:t>
            </w:r>
            <w:r>
              <w:rPr>
                <w:rFonts w:ascii="Times New Roman" w:hAnsi="Times New Roman" w:cs="Times New Roman"/>
                <w:bCs/>
              </w:rPr>
              <w:t>/次，用于设备冲洗和地面冲刷，全年考虑一月一次，总用水量约60m</w:t>
            </w:r>
            <w:r>
              <w:rPr>
                <w:rFonts w:ascii="Times New Roman" w:hAnsi="Times New Roman" w:cs="Times New Roman"/>
                <w:bCs/>
                <w:vertAlign w:val="superscript"/>
              </w:rPr>
              <w:t>3</w:t>
            </w:r>
            <w:r>
              <w:rPr>
                <w:rFonts w:ascii="Times New Roman" w:hAnsi="Times New Roman" w:cs="Times New Roman"/>
                <w:bCs/>
              </w:rPr>
              <w:t>/a。</w:t>
            </w:r>
          </w:p>
          <w:p w14:paraId="0143DF61">
            <w:pPr>
              <w:adjustRightInd w:val="0"/>
              <w:snapToGrid w:val="0"/>
              <w:spacing w:line="360" w:lineRule="auto"/>
              <w:ind w:firstLine="480" w:firstLineChars="200"/>
              <w:rPr>
                <w:rFonts w:ascii="Times New Roman" w:hAnsi="Times New Roman" w:cs="Times New Roman"/>
                <w:bCs/>
              </w:rPr>
            </w:pPr>
            <w:r>
              <w:rPr>
                <w:rFonts w:ascii="Cambria Math" w:hAnsi="Cambria Math" w:cs="Cambria Math"/>
                <w:bCs/>
              </w:rPr>
              <w:t>②</w:t>
            </w:r>
            <w:r>
              <w:rPr>
                <w:rFonts w:ascii="Times New Roman" w:hAnsi="Times New Roman" w:cs="Times New Roman"/>
                <w:bCs/>
              </w:rPr>
              <w:t>清罐用水</w:t>
            </w:r>
          </w:p>
          <w:p w14:paraId="58DC7BEC">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本项目共设置11座2000m³油品储罐，采用COW密闭自动机械洗罐工艺，储罐依次错峰清洗、不同时集中清罐，清洗周期为5年1次。类比《烟台港西港区原油码头二期及配套罐区、管线工程环境影响报告书》同类储罐COW清洗用水核算，本项目单次全部储罐清洗耗水约132m</w:t>
            </w:r>
            <w:r>
              <w:rPr>
                <w:rFonts w:ascii="Times New Roman" w:hAnsi="Times New Roman" w:cs="Times New Roman"/>
                <w:bCs/>
                <w:vertAlign w:val="superscript"/>
              </w:rPr>
              <w:t>3</w:t>
            </w:r>
            <w:r>
              <w:rPr>
                <w:rFonts w:ascii="Times New Roman" w:hAnsi="Times New Roman" w:cs="Times New Roman"/>
                <w:bCs/>
              </w:rPr>
              <w:t>，年均清罐耗水量约为26.4m</w:t>
            </w:r>
            <w:r>
              <w:rPr>
                <w:rFonts w:ascii="Times New Roman" w:hAnsi="Times New Roman" w:cs="Times New Roman"/>
                <w:bCs/>
                <w:vertAlign w:val="superscript"/>
              </w:rPr>
              <w:t>3</w:t>
            </w:r>
            <w:r>
              <w:rPr>
                <w:rFonts w:ascii="Times New Roman" w:hAnsi="Times New Roman" w:cs="Times New Roman"/>
                <w:bCs/>
              </w:rPr>
              <w:t>/a。</w:t>
            </w:r>
          </w:p>
          <w:p w14:paraId="21B94272">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本项目不新增劳动定员，不新增生活用水。</w:t>
            </w:r>
          </w:p>
          <w:p w14:paraId="37C7BD98">
            <w:pPr>
              <w:adjustRightInd w:val="0"/>
              <w:snapToGrid w:val="0"/>
              <w:spacing w:line="360" w:lineRule="auto"/>
              <w:rPr>
                <w:rFonts w:ascii="Times New Roman" w:hAnsi="Times New Roman" w:cs="Times New Roman"/>
                <w:b/>
              </w:rPr>
            </w:pPr>
            <w:r>
              <w:rPr>
                <w:rFonts w:ascii="Times New Roman" w:hAnsi="Times New Roman" w:cs="Times New Roman"/>
                <w:b/>
              </w:rPr>
              <w:t>7.1.</w:t>
            </w:r>
            <w:r>
              <w:rPr>
                <w:rFonts w:hint="eastAsia" w:ascii="Times New Roman" w:hAnsi="Times New Roman" w:cs="Times New Roman"/>
                <w:b/>
              </w:rPr>
              <w:t>2</w:t>
            </w:r>
            <w:r>
              <w:rPr>
                <w:rFonts w:ascii="Times New Roman" w:hAnsi="Times New Roman" w:cs="Times New Roman"/>
                <w:b/>
              </w:rPr>
              <w:t>排水</w:t>
            </w:r>
          </w:p>
          <w:p w14:paraId="7A6F60F8">
            <w:pPr>
              <w:adjustRightInd w:val="0"/>
              <w:snapToGrid w:val="0"/>
              <w:spacing w:line="360" w:lineRule="auto"/>
              <w:rPr>
                <w:rFonts w:hint="eastAsia" w:ascii="Times New Roman" w:hAnsi="Times New Roman" w:cs="Times New Roman"/>
                <w:bCs/>
              </w:rPr>
            </w:pPr>
            <w:r>
              <w:rPr>
                <w:rFonts w:hint="eastAsia" w:ascii="Times New Roman" w:hAnsi="Times New Roman" w:cs="Times New Roman"/>
                <w:bCs/>
              </w:rPr>
              <w:t>7.1.2.1项目废水产生情况</w:t>
            </w:r>
          </w:p>
          <w:p w14:paraId="0ED0995C">
            <w:pPr>
              <w:adjustRightInd w:val="0"/>
              <w:snapToGrid w:val="0"/>
              <w:spacing w:line="360" w:lineRule="auto"/>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bCs/>
              </w:rPr>
              <w:t>本项目废水主要包括冲洗废水和清罐废水，产生后均排放至厂内污水处理站。</w:t>
            </w:r>
          </w:p>
          <w:p w14:paraId="3D6513F3">
            <w:pPr>
              <w:adjustRightInd w:val="0"/>
              <w:snapToGrid w:val="0"/>
              <w:spacing w:line="360" w:lineRule="auto"/>
              <w:ind w:firstLine="480" w:firstLineChars="200"/>
              <w:rPr>
                <w:rFonts w:ascii="Times New Roman" w:hAnsi="Times New Roman" w:cs="Times New Roman"/>
                <w:bCs/>
              </w:rPr>
            </w:pPr>
            <w:r>
              <w:rPr>
                <w:rFonts w:ascii="Cambria Math" w:hAnsi="Cambria Math" w:cs="Cambria Math"/>
                <w:bCs/>
              </w:rPr>
              <w:t>①</w:t>
            </w:r>
            <w:r>
              <w:rPr>
                <w:rFonts w:ascii="Times New Roman" w:hAnsi="Times New Roman" w:cs="Times New Roman"/>
                <w:bCs/>
              </w:rPr>
              <w:t>冲洗废水</w:t>
            </w:r>
          </w:p>
          <w:p w14:paraId="180BB306">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装置的地面冲洗水以及装置的开停车冲洗设备等产生的污水按用水量的80%计，则排水量约54m</w:t>
            </w:r>
            <w:r>
              <w:rPr>
                <w:rFonts w:ascii="Times New Roman" w:hAnsi="Times New Roman" w:cs="Times New Roman"/>
                <w:bCs/>
                <w:vertAlign w:val="superscript"/>
              </w:rPr>
              <w:t>3</w:t>
            </w:r>
            <w:r>
              <w:rPr>
                <w:rFonts w:ascii="Times New Roman" w:hAnsi="Times New Roman" w:cs="Times New Roman"/>
                <w:bCs/>
              </w:rPr>
              <w:t>/a。</w:t>
            </w:r>
          </w:p>
          <w:p w14:paraId="64245C9C">
            <w:pPr>
              <w:adjustRightInd w:val="0"/>
              <w:snapToGrid w:val="0"/>
              <w:spacing w:line="360" w:lineRule="auto"/>
              <w:ind w:firstLine="480" w:firstLineChars="200"/>
              <w:rPr>
                <w:rFonts w:ascii="Times New Roman" w:hAnsi="Times New Roman" w:cs="Times New Roman"/>
                <w:bCs/>
              </w:rPr>
            </w:pPr>
            <w:r>
              <w:rPr>
                <w:rFonts w:ascii="Cambria Math" w:hAnsi="Cambria Math" w:cs="Cambria Math"/>
                <w:bCs/>
              </w:rPr>
              <w:t>②</w:t>
            </w:r>
            <w:r>
              <w:rPr>
                <w:rFonts w:ascii="Times New Roman" w:hAnsi="Times New Roman" w:cs="Times New Roman"/>
                <w:bCs/>
              </w:rPr>
              <w:t>清罐废水</w:t>
            </w:r>
          </w:p>
          <w:p w14:paraId="4107B9D4">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储罐清洗就是除去堆积在储罐中的淤渣，一般每5年清洗一次，清洗采用COW技术，单罐清洗，不同时清罐，类比《烟台港西港区原油码头二期及配套罐区、管线工程环境影响报告书》，本项目单次全部储罐清洗产生清洗废水118.8 m</w:t>
            </w:r>
            <w:r>
              <w:rPr>
                <w:rFonts w:ascii="Times New Roman" w:hAnsi="Times New Roman" w:cs="Times New Roman"/>
                <w:bCs/>
                <w:vertAlign w:val="superscript"/>
              </w:rPr>
              <w:t>3</w:t>
            </w:r>
            <w:r>
              <w:rPr>
                <w:rFonts w:ascii="Times New Roman" w:hAnsi="Times New Roman" w:cs="Times New Roman"/>
                <w:bCs/>
              </w:rPr>
              <w:t>，年均清罐废水产生量23.76 m</w:t>
            </w:r>
            <w:r>
              <w:rPr>
                <w:rFonts w:ascii="Times New Roman" w:hAnsi="Times New Roman" w:cs="Times New Roman"/>
                <w:bCs/>
                <w:vertAlign w:val="superscript"/>
              </w:rPr>
              <w:t>3</w:t>
            </w:r>
            <w:r>
              <w:rPr>
                <w:rFonts w:ascii="Times New Roman" w:hAnsi="Times New Roman" w:cs="Times New Roman"/>
                <w:bCs/>
              </w:rPr>
              <w:t>/a。</w:t>
            </w:r>
          </w:p>
          <w:p w14:paraId="0306CBE8">
            <w:pPr>
              <w:adjustRightInd w:val="0"/>
              <w:snapToGrid w:val="0"/>
              <w:spacing w:line="360" w:lineRule="auto"/>
              <w:rPr>
                <w:rFonts w:ascii="Times New Roman" w:hAnsi="Times New Roman" w:cs="Times New Roman"/>
                <w:bCs/>
              </w:rPr>
            </w:pPr>
            <w:r>
              <w:rPr>
                <w:rFonts w:hint="eastAsia" w:ascii="Times New Roman" w:hAnsi="Times New Roman" w:cs="Times New Roman"/>
                <w:bCs/>
              </w:rPr>
              <w:t>7.1.2.2废水处理依托可行性分析</w:t>
            </w:r>
          </w:p>
          <w:p w14:paraId="6BBF400E">
            <w:pPr>
              <w:adjustRightInd w:val="0"/>
              <w:snapToGrid w:val="0"/>
              <w:spacing w:line="360" w:lineRule="auto"/>
              <w:ind w:firstLine="480" w:firstLineChars="200"/>
              <w:rPr>
                <w:rFonts w:hint="eastAsia" w:ascii="Times New Roman" w:hAnsi="Times New Roman" w:cs="Times New Roman"/>
                <w:bCs/>
              </w:rPr>
            </w:pPr>
            <w:r>
              <w:rPr>
                <w:rFonts w:hint="eastAsia" w:ascii="Times New Roman" w:hAnsi="Times New Roman" w:cs="Times New Roman"/>
                <w:bCs/>
              </w:rPr>
              <w:t>本项目产生的冲洗废水和清罐废水均为含油废水，</w:t>
            </w:r>
            <w:r>
              <w:rPr>
                <w:rFonts w:ascii="Times New Roman" w:hAnsi="Times New Roman" w:cs="Times New Roman"/>
                <w:bCs/>
              </w:rPr>
              <w:t>厂内污水处理站</w:t>
            </w:r>
            <w:r>
              <w:rPr>
                <w:rFonts w:ascii="Times New Roman" w:hAnsi="Times New Roman" w:cs="Times New Roman"/>
                <w:color w:val="000000" w:themeColor="text1"/>
                <w14:textFill>
                  <w14:solidFill>
                    <w14:schemeClr w14:val="tx1"/>
                  </w14:solidFill>
                </w14:textFill>
              </w:rPr>
              <w:t>处理规模为25m</w:t>
            </w:r>
            <w:r>
              <w:rPr>
                <w:rFonts w:ascii="Times New Roman" w:hAnsi="Times New Roman" w:cs="Times New Roman"/>
                <w:color w:val="000000" w:themeColor="text1"/>
                <w:vertAlign w:val="superscript"/>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h，含油污水预处理工艺为“隔油+两级气浮”，一期日常排水量22.68m³/h；二期年均新增废水合计77.76m³，折算小时增量仅0.00972m³/h，叠加后全厂连续排水量约22.69m³/h，未超出设施设计负荷；清罐废水为5年一次间歇排水，可通过调节池缓冲错峰进水，废水依托厂区污水处理站可行。本项目原料为MTBE、异辛烷、轻质石脑油、混合芳烃、轻质燃料油、煤基柴油，均为外购的合格成品油调和组分，执行相应国家标准中的水分及机械杂质控制指标，采用密闭罐车运输、内浮顶罐+氮封储存；本项目为纯物理调和工艺，生产过程不投加工艺水、不涉及水洗或碱洗工序。原料本身不携带游离水，本项目不产生“原料带入的含油废水”，无连续排放的含油工艺废水。</w:t>
            </w:r>
          </w:p>
          <w:p w14:paraId="01CE5302">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本项目水平衡见图2-1，全厂水平衡见附图3。</w:t>
            </w:r>
          </w:p>
          <w:p w14:paraId="38D2E8D2">
            <w:pPr>
              <w:adjustRightInd w:val="0"/>
              <w:snapToGrid w:val="0"/>
              <w:spacing w:line="360" w:lineRule="auto"/>
              <w:ind w:firstLine="480" w:firstLineChars="200"/>
              <w:rPr>
                <w:rFonts w:ascii="Times New Roman" w:hAnsi="Times New Roman" w:cs="Times New Roman"/>
                <w:bCs/>
              </w:rPr>
            </w:pPr>
          </w:p>
          <w:p w14:paraId="51A8841B">
            <w:pPr>
              <w:keepNext/>
              <w:keepLines/>
              <w:autoSpaceDE w:val="0"/>
              <w:autoSpaceDN w:val="0"/>
              <w:spacing w:line="360" w:lineRule="auto"/>
              <w:jc w:val="center"/>
              <w:rPr>
                <w:rFonts w:ascii="Times New Roman" w:hAnsi="Times New Roman" w:cs="Times New Roman"/>
                <w:bCs/>
              </w:rPr>
            </w:pPr>
            <w:r>
              <w:rPr>
                <w:rFonts w:ascii="Times New Roman" w:hAnsi="Times New Roman" w:cs="Times New Roman"/>
                <w:b/>
                <w:szCs w:val="21"/>
              </w:rPr>
              <w:t>图2.1  本项目水平衡图</w:t>
            </w:r>
          </w:p>
          <w:p w14:paraId="1BF2D22F">
            <w:pPr>
              <w:adjustRightInd w:val="0"/>
              <w:snapToGrid w:val="0"/>
              <w:spacing w:line="360" w:lineRule="auto"/>
              <w:rPr>
                <w:rFonts w:ascii="Times New Roman" w:hAnsi="Times New Roman" w:cs="Times New Roman"/>
                <w:b/>
              </w:rPr>
            </w:pPr>
            <w:r>
              <w:rPr>
                <w:rFonts w:ascii="Times New Roman" w:hAnsi="Times New Roman" w:cs="Times New Roman"/>
                <w:b/>
              </w:rPr>
              <w:t>7.2供电</w:t>
            </w:r>
          </w:p>
          <w:p w14:paraId="3C457FAE">
            <w:pPr>
              <w:adjustRightInd w:val="0"/>
              <w:snapToGrid w:val="0"/>
              <w:spacing w:line="360" w:lineRule="auto"/>
              <w:rPr>
                <w:rFonts w:hint="eastAsia" w:ascii="Times New Roman" w:hAnsi="Times New Roman" w:cs="Times New Roman"/>
                <w:bCs/>
              </w:rPr>
            </w:pPr>
            <w:r>
              <w:rPr>
                <w:rFonts w:hint="eastAsia" w:ascii="Times New Roman" w:hAnsi="Times New Roman" w:cs="Times New Roman"/>
                <w:bCs/>
              </w:rPr>
              <w:t>7.2.1项目</w:t>
            </w:r>
            <w:r>
              <w:rPr>
                <w:rFonts w:ascii="Times New Roman" w:hAnsi="Times New Roman" w:cs="Times New Roman"/>
                <w:bCs/>
              </w:rPr>
              <w:t>用电情况</w:t>
            </w:r>
          </w:p>
          <w:p w14:paraId="667C13D5">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bCs/>
              </w:rPr>
              <w:t>本</w:t>
            </w:r>
            <w:r>
              <w:rPr>
                <w:rFonts w:hint="eastAsia" w:ascii="Times New Roman" w:hAnsi="Times New Roman" w:cs="Times New Roman"/>
                <w:bCs/>
              </w:rPr>
              <w:t>项目</w:t>
            </w:r>
            <w:r>
              <w:rPr>
                <w:rFonts w:ascii="Times New Roman" w:hAnsi="Times New Roman" w:cs="Times New Roman"/>
                <w:bCs/>
              </w:rPr>
              <w:t>为汽油、柴油调和项目，工艺生产设备自动化程度高，用电负荷以机泵、照明及消防用电为主，用电负荷平稳、整体耗电量较小。全厂电负荷明细见表2</w:t>
            </w:r>
            <w:r>
              <w:rPr>
                <w:rFonts w:ascii="Times New Roman" w:hAnsi="Times New Roman" w:cs="Times New Roman"/>
                <w:bCs/>
              </w:rPr>
              <w:noBreakHyphen/>
            </w:r>
            <w:r>
              <w:rPr>
                <w:rFonts w:ascii="Times New Roman" w:hAnsi="Times New Roman" w:cs="Times New Roman"/>
                <w:bCs/>
              </w:rPr>
              <w:t>14，</w:t>
            </w:r>
            <w:r>
              <w:rPr>
                <w:rFonts w:hint="eastAsia" w:ascii="Times New Roman" w:hAnsi="Times New Roman" w:cs="Times New Roman"/>
                <w:bCs/>
              </w:rPr>
              <w:t>全厂</w:t>
            </w:r>
            <w:r>
              <w:rPr>
                <w:rFonts w:ascii="Times New Roman" w:hAnsi="Times New Roman" w:cs="Times New Roman"/>
                <w:bCs/>
              </w:rPr>
              <w:t>年总耗电量</w:t>
            </w:r>
            <w:r>
              <w:rPr>
                <w:rFonts w:ascii="Times New Roman" w:hAnsi="Times New Roman" w:cs="Times New Roman"/>
              </w:rPr>
              <w:t>4573.59×10⁴kW·h，</w:t>
            </w:r>
            <w:r>
              <w:rPr>
                <w:rFonts w:hint="eastAsia" w:ascii="Times New Roman" w:hAnsi="Times New Roman" w:cs="Times New Roman"/>
              </w:rPr>
              <w:t>其中本项目</w:t>
            </w:r>
            <w:r>
              <w:rPr>
                <w:rFonts w:ascii="Times New Roman" w:hAnsi="Times New Roman" w:cs="Times New Roman"/>
                <w:bCs/>
              </w:rPr>
              <w:t>耗电量</w:t>
            </w:r>
            <w:r>
              <w:rPr>
                <w:rFonts w:hint="eastAsia" w:ascii="Times New Roman" w:hAnsi="Times New Roman" w:cs="Times New Roman"/>
              </w:rPr>
              <w:t>65.80</w:t>
            </w:r>
            <w:r>
              <w:rPr>
                <w:rFonts w:ascii="Times New Roman" w:hAnsi="Times New Roman" w:cs="Times New Roman"/>
              </w:rPr>
              <w:t>×10⁴kW·h</w:t>
            </w:r>
            <w:r>
              <w:rPr>
                <w:rFonts w:hint="eastAsia" w:ascii="Times New Roman" w:hAnsi="Times New Roman" w:cs="Times New Roman"/>
              </w:rPr>
              <w:t>。</w:t>
            </w:r>
          </w:p>
          <w:p w14:paraId="2F29FBB2">
            <w:pPr>
              <w:adjustRightInd w:val="0"/>
              <w:snapToGrid w:val="0"/>
              <w:spacing w:line="360" w:lineRule="auto"/>
              <w:rPr>
                <w:rFonts w:hint="eastAsia" w:ascii="Times New Roman" w:hAnsi="Times New Roman" w:cs="Times New Roman"/>
                <w:bCs/>
              </w:rPr>
            </w:pPr>
            <w:r>
              <w:rPr>
                <w:rFonts w:hint="eastAsia" w:ascii="Times New Roman" w:hAnsi="Times New Roman" w:cs="Times New Roman"/>
              </w:rPr>
              <w:t>7.2.2</w:t>
            </w:r>
            <w:r>
              <w:rPr>
                <w:rFonts w:ascii="Times New Roman" w:hAnsi="Times New Roman" w:cs="Times New Roman"/>
              </w:rPr>
              <w:t>供电依托可行性分析</w:t>
            </w:r>
          </w:p>
          <w:p w14:paraId="6994D4AE">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本项目供电依托一期工程。一期项目已统筹规划建设厂区总配电房、厂区供电线路及应急供电设施，整体供电容量按照一、二期项目远期总生产负荷统一设计预留。一期预留供电余量可完全满足二期生产、办公及环保设施用电需求，供电电压、供电可靠性、供电负荷均匹配二期生产要求，无需二期新增供电主体设施，依托一期供电系统可行。</w:t>
            </w:r>
          </w:p>
          <w:p w14:paraId="7FE8D4A0">
            <w:pPr>
              <w:keepNext/>
              <w:keepLines/>
              <w:autoSpaceDE w:val="0"/>
              <w:autoSpaceDN w:val="0"/>
              <w:spacing w:line="360" w:lineRule="auto"/>
              <w:jc w:val="center"/>
              <w:rPr>
                <w:rFonts w:ascii="Times New Roman" w:hAnsi="Times New Roman" w:cs="Times New Roman"/>
                <w:b/>
                <w:szCs w:val="21"/>
              </w:rPr>
            </w:pPr>
            <w:r>
              <w:rPr>
                <w:rFonts w:ascii="Times New Roman" w:hAnsi="Times New Roman" w:cs="Times New Roman"/>
                <w:b/>
                <w:szCs w:val="21"/>
              </w:rPr>
              <w:t>表2-14  全厂用电负荷明细表</w:t>
            </w:r>
          </w:p>
          <w:tbl>
            <w:tblPr>
              <w:tblStyle w:val="16"/>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060"/>
              <w:gridCol w:w="4221"/>
              <w:gridCol w:w="2299"/>
            </w:tblGrid>
            <w:tr w14:paraId="2CEAB6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tblHeader/>
                <w:jc w:val="center"/>
              </w:trPr>
              <w:tc>
                <w:tcPr>
                  <w:tcW w:w="1060" w:type="dxa"/>
                  <w:tcBorders>
                    <w:tl2br w:val="nil"/>
                    <w:tr2bl w:val="nil"/>
                  </w:tcBorders>
                  <w:vAlign w:val="center"/>
                </w:tcPr>
                <w:p w14:paraId="223207C5">
                  <w:pPr>
                    <w:pStyle w:val="81"/>
                    <w:keepNext/>
                    <w:keepLines/>
                    <w:jc w:val="center"/>
                    <w:rPr>
                      <w:rFonts w:ascii="Times New Roman" w:hAnsi="Times New Roman" w:eastAsia="宋体" w:cs="Times New Roman"/>
                      <w:b/>
                      <w:bCs/>
                      <w:sz w:val="21"/>
                      <w:szCs w:val="21"/>
                      <w:lang w:eastAsia="zh-CN"/>
                    </w:rPr>
                  </w:pPr>
                  <w:r>
                    <w:rPr>
                      <w:rFonts w:ascii="Times New Roman" w:hAnsi="Times New Roman" w:eastAsia="宋体" w:cs="Times New Roman"/>
                      <w:b/>
                      <w:bCs/>
                      <w:spacing w:val="-9"/>
                      <w:sz w:val="21"/>
                      <w:szCs w:val="21"/>
                      <w:lang w:eastAsia="zh-CN"/>
                    </w:rPr>
                    <w:t>序号</w:t>
                  </w:r>
                </w:p>
              </w:tc>
              <w:tc>
                <w:tcPr>
                  <w:tcW w:w="4221" w:type="dxa"/>
                  <w:tcBorders>
                    <w:tl2br w:val="nil"/>
                    <w:tr2bl w:val="nil"/>
                  </w:tcBorders>
                  <w:vAlign w:val="center"/>
                </w:tcPr>
                <w:p w14:paraId="7460DDF7">
                  <w:pPr>
                    <w:pStyle w:val="81"/>
                    <w:keepNext/>
                    <w:keepLines/>
                    <w:jc w:val="center"/>
                    <w:rPr>
                      <w:rFonts w:ascii="Times New Roman" w:hAnsi="Times New Roman" w:eastAsia="宋体" w:cs="Times New Roman"/>
                      <w:b/>
                      <w:bCs/>
                      <w:sz w:val="21"/>
                      <w:szCs w:val="21"/>
                      <w:lang w:eastAsia="zh-CN"/>
                    </w:rPr>
                  </w:pPr>
                  <w:r>
                    <w:rPr>
                      <w:rFonts w:ascii="Times New Roman" w:hAnsi="Times New Roman" w:eastAsia="宋体" w:cs="Times New Roman"/>
                      <w:b/>
                      <w:bCs/>
                      <w:spacing w:val="-5"/>
                      <w:sz w:val="21"/>
                      <w:szCs w:val="21"/>
                      <w:lang w:eastAsia="zh-CN"/>
                    </w:rPr>
                    <w:t>工序名称</w:t>
                  </w:r>
                </w:p>
              </w:tc>
              <w:tc>
                <w:tcPr>
                  <w:tcW w:w="2299" w:type="dxa"/>
                  <w:tcBorders>
                    <w:tl2br w:val="nil"/>
                    <w:tr2bl w:val="nil"/>
                  </w:tcBorders>
                  <w:vAlign w:val="center"/>
                </w:tcPr>
                <w:p w14:paraId="43303EEC">
                  <w:pPr>
                    <w:pStyle w:val="81"/>
                    <w:keepNext/>
                    <w:keepLines/>
                    <w:jc w:val="center"/>
                    <w:rPr>
                      <w:rFonts w:ascii="Times New Roman" w:hAnsi="Times New Roman" w:eastAsia="宋体" w:cs="Times New Roman"/>
                      <w:b/>
                      <w:bCs/>
                      <w:sz w:val="21"/>
                      <w:szCs w:val="21"/>
                      <w:lang w:eastAsia="zh-CN"/>
                    </w:rPr>
                  </w:pPr>
                  <w:r>
                    <w:rPr>
                      <w:rFonts w:ascii="Times New Roman" w:hAnsi="Times New Roman" w:eastAsia="宋体" w:cs="Times New Roman"/>
                      <w:b/>
                      <w:bCs/>
                      <w:spacing w:val="-23"/>
                      <w:position w:val="4"/>
                      <w:sz w:val="21"/>
                      <w:szCs w:val="21"/>
                      <w:lang w:eastAsia="zh-CN"/>
                    </w:rPr>
                    <w:t>年耗电量（</w:t>
                  </w:r>
                  <w:r>
                    <w:rPr>
                      <w:rFonts w:ascii="Times New Roman" w:hAnsi="Times New Roman" w:eastAsia="宋体" w:cs="Times New Roman"/>
                      <w:b/>
                      <w:bCs/>
                      <w:spacing w:val="-29"/>
                      <w:position w:val="4"/>
                      <w:sz w:val="21"/>
                      <w:szCs w:val="21"/>
                      <w:lang w:eastAsia="zh-CN"/>
                    </w:rPr>
                    <w:t xml:space="preserve"> </w:t>
                  </w:r>
                  <w:r>
                    <w:rPr>
                      <w:rFonts w:ascii="Times New Roman" w:hAnsi="Times New Roman" w:eastAsia="宋体" w:cs="Times New Roman"/>
                      <w:b/>
                      <w:bCs/>
                      <w:spacing w:val="-23"/>
                      <w:position w:val="4"/>
                      <w:sz w:val="21"/>
                      <w:szCs w:val="21"/>
                      <w:lang w:eastAsia="zh-CN"/>
                    </w:rPr>
                    <w:t>10</w:t>
                  </w:r>
                  <w:r>
                    <w:rPr>
                      <w:rFonts w:ascii="Times New Roman" w:hAnsi="Times New Roman" w:eastAsia="宋体" w:cs="Times New Roman"/>
                      <w:b/>
                      <w:bCs/>
                      <w:spacing w:val="-6"/>
                      <w:position w:val="11"/>
                      <w:sz w:val="21"/>
                      <w:szCs w:val="21"/>
                      <w:lang w:eastAsia="zh-CN"/>
                    </w:rPr>
                    <w:t>4</w:t>
                  </w:r>
                  <w:r>
                    <w:rPr>
                      <w:rFonts w:ascii="Times New Roman" w:hAnsi="Times New Roman" w:eastAsia="宋体" w:cs="Times New Roman"/>
                      <w:b/>
                      <w:bCs/>
                      <w:spacing w:val="-6"/>
                      <w:position w:val="4"/>
                      <w:sz w:val="21"/>
                      <w:szCs w:val="21"/>
                      <w:lang w:eastAsia="zh-CN"/>
                    </w:rPr>
                    <w:t>kW·h）</w:t>
                  </w:r>
                </w:p>
              </w:tc>
            </w:tr>
            <w:tr w14:paraId="2051D2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60" w:type="dxa"/>
                  <w:tcBorders>
                    <w:tl2br w:val="nil"/>
                    <w:tr2bl w:val="nil"/>
                  </w:tcBorders>
                  <w:vAlign w:val="center"/>
                </w:tcPr>
                <w:p w14:paraId="436F0DF9">
                  <w:pPr>
                    <w:keepNext/>
                    <w:keepLines/>
                    <w:jc w:val="center"/>
                    <w:rPr>
                      <w:rFonts w:ascii="Times New Roman" w:hAnsi="Times New Roman" w:cs="Times New Roman"/>
                      <w:szCs w:val="21"/>
                    </w:rPr>
                  </w:pPr>
                  <w:r>
                    <w:rPr>
                      <w:rFonts w:ascii="Times New Roman" w:hAnsi="Times New Roman" w:cs="Times New Roman"/>
                      <w:szCs w:val="21"/>
                    </w:rPr>
                    <w:t>1</w:t>
                  </w:r>
                </w:p>
              </w:tc>
              <w:tc>
                <w:tcPr>
                  <w:tcW w:w="4221" w:type="dxa"/>
                  <w:tcBorders>
                    <w:tl2br w:val="nil"/>
                    <w:tr2bl w:val="nil"/>
                  </w:tcBorders>
                  <w:vAlign w:val="center"/>
                </w:tcPr>
                <w:p w14:paraId="1677DE5B">
                  <w:pPr>
                    <w:pStyle w:val="81"/>
                    <w:keepNext/>
                    <w:keepLines/>
                    <w:jc w:val="center"/>
                    <w:rPr>
                      <w:rFonts w:ascii="Times New Roman" w:hAnsi="Times New Roman" w:eastAsia="宋体" w:cs="Times New Roman"/>
                      <w:sz w:val="21"/>
                      <w:szCs w:val="21"/>
                    </w:rPr>
                  </w:pPr>
                  <w:r>
                    <w:rPr>
                      <w:rFonts w:ascii="Times New Roman" w:hAnsi="Times New Roman" w:eastAsia="宋体" w:cs="Times New Roman"/>
                      <w:spacing w:val="-8"/>
                      <w:sz w:val="21"/>
                      <w:szCs w:val="21"/>
                    </w:rPr>
                    <w:t>甲醇制氢单元</w:t>
                  </w:r>
                </w:p>
              </w:tc>
              <w:tc>
                <w:tcPr>
                  <w:tcW w:w="2299" w:type="dxa"/>
                  <w:tcBorders>
                    <w:tl2br w:val="nil"/>
                    <w:tr2bl w:val="nil"/>
                  </w:tcBorders>
                  <w:vAlign w:val="center"/>
                </w:tcPr>
                <w:p w14:paraId="0F99F4D2">
                  <w:pPr>
                    <w:keepNext/>
                    <w:keepLines/>
                    <w:jc w:val="center"/>
                    <w:rPr>
                      <w:rFonts w:ascii="Times New Roman" w:hAnsi="Times New Roman" w:cs="Times New Roman"/>
                      <w:szCs w:val="21"/>
                    </w:rPr>
                  </w:pPr>
                  <w:r>
                    <w:rPr>
                      <w:rFonts w:ascii="Times New Roman" w:hAnsi="Times New Roman" w:cs="Times New Roman"/>
                      <w:spacing w:val="-5"/>
                      <w:szCs w:val="21"/>
                    </w:rPr>
                    <w:t>197.02</w:t>
                  </w:r>
                </w:p>
              </w:tc>
            </w:tr>
            <w:tr w14:paraId="315B50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60" w:type="dxa"/>
                  <w:tcBorders>
                    <w:tl2br w:val="nil"/>
                    <w:tr2bl w:val="nil"/>
                  </w:tcBorders>
                  <w:vAlign w:val="center"/>
                </w:tcPr>
                <w:p w14:paraId="7E0F5EB3">
                  <w:pPr>
                    <w:keepNext/>
                    <w:keepLines/>
                    <w:jc w:val="center"/>
                    <w:rPr>
                      <w:rFonts w:ascii="Times New Roman" w:hAnsi="Times New Roman" w:cs="Times New Roman"/>
                      <w:szCs w:val="21"/>
                    </w:rPr>
                  </w:pPr>
                  <w:r>
                    <w:rPr>
                      <w:rFonts w:ascii="Times New Roman" w:hAnsi="Times New Roman" w:cs="Times New Roman"/>
                      <w:szCs w:val="21"/>
                    </w:rPr>
                    <w:t>2</w:t>
                  </w:r>
                </w:p>
              </w:tc>
              <w:tc>
                <w:tcPr>
                  <w:tcW w:w="4221" w:type="dxa"/>
                  <w:tcBorders>
                    <w:tl2br w:val="nil"/>
                    <w:tr2bl w:val="nil"/>
                  </w:tcBorders>
                  <w:vAlign w:val="center"/>
                </w:tcPr>
                <w:p w14:paraId="2EB0ED64">
                  <w:pPr>
                    <w:pStyle w:val="81"/>
                    <w:keepNext/>
                    <w:keepLines/>
                    <w:jc w:val="center"/>
                    <w:rPr>
                      <w:rFonts w:ascii="Times New Roman" w:hAnsi="Times New Roman" w:eastAsia="宋体" w:cs="Times New Roman"/>
                      <w:sz w:val="21"/>
                      <w:szCs w:val="21"/>
                    </w:rPr>
                  </w:pPr>
                  <w:r>
                    <w:rPr>
                      <w:rFonts w:ascii="Times New Roman" w:hAnsi="Times New Roman" w:eastAsia="宋体" w:cs="Times New Roman"/>
                      <w:spacing w:val="-2"/>
                      <w:sz w:val="21"/>
                      <w:szCs w:val="21"/>
                    </w:rPr>
                    <w:t>加氢精制分馏单元</w:t>
                  </w:r>
                </w:p>
              </w:tc>
              <w:tc>
                <w:tcPr>
                  <w:tcW w:w="2299" w:type="dxa"/>
                  <w:tcBorders>
                    <w:tl2br w:val="nil"/>
                    <w:tr2bl w:val="nil"/>
                  </w:tcBorders>
                  <w:vAlign w:val="center"/>
                </w:tcPr>
                <w:p w14:paraId="548FF29D">
                  <w:pPr>
                    <w:keepNext/>
                    <w:keepLines/>
                    <w:jc w:val="center"/>
                    <w:rPr>
                      <w:rFonts w:ascii="Times New Roman" w:hAnsi="Times New Roman" w:cs="Times New Roman"/>
                      <w:szCs w:val="21"/>
                    </w:rPr>
                  </w:pPr>
                  <w:r>
                    <w:rPr>
                      <w:rFonts w:ascii="Times New Roman" w:hAnsi="Times New Roman" w:cs="Times New Roman"/>
                      <w:spacing w:val="-5"/>
                      <w:szCs w:val="21"/>
                    </w:rPr>
                    <w:t>1726.83</w:t>
                  </w:r>
                </w:p>
              </w:tc>
            </w:tr>
            <w:tr w14:paraId="56D9F9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60" w:type="dxa"/>
                  <w:tcBorders>
                    <w:tl2br w:val="nil"/>
                    <w:tr2bl w:val="nil"/>
                  </w:tcBorders>
                  <w:vAlign w:val="center"/>
                </w:tcPr>
                <w:p w14:paraId="17261B9C">
                  <w:pPr>
                    <w:keepNext/>
                    <w:keepLines/>
                    <w:jc w:val="center"/>
                    <w:rPr>
                      <w:rFonts w:ascii="Times New Roman" w:hAnsi="Times New Roman" w:cs="Times New Roman"/>
                      <w:szCs w:val="21"/>
                    </w:rPr>
                  </w:pPr>
                  <w:r>
                    <w:rPr>
                      <w:rFonts w:ascii="Times New Roman" w:hAnsi="Times New Roman" w:cs="Times New Roman"/>
                      <w:szCs w:val="21"/>
                    </w:rPr>
                    <w:t>3</w:t>
                  </w:r>
                </w:p>
              </w:tc>
              <w:tc>
                <w:tcPr>
                  <w:tcW w:w="4221" w:type="dxa"/>
                  <w:tcBorders>
                    <w:tl2br w:val="nil"/>
                    <w:tr2bl w:val="nil"/>
                  </w:tcBorders>
                  <w:vAlign w:val="center"/>
                </w:tcPr>
                <w:p w14:paraId="2BFDE8C5">
                  <w:pPr>
                    <w:pStyle w:val="81"/>
                    <w:keepNext/>
                    <w:keepLines/>
                    <w:jc w:val="center"/>
                    <w:rPr>
                      <w:rFonts w:ascii="Times New Roman" w:hAnsi="Times New Roman" w:eastAsia="宋体" w:cs="Times New Roman"/>
                      <w:sz w:val="21"/>
                      <w:szCs w:val="21"/>
                    </w:rPr>
                  </w:pPr>
                  <w:r>
                    <w:rPr>
                      <w:rFonts w:ascii="Times New Roman" w:hAnsi="Times New Roman" w:eastAsia="宋体" w:cs="Times New Roman"/>
                      <w:spacing w:val="-4"/>
                      <w:sz w:val="21"/>
                      <w:szCs w:val="21"/>
                    </w:rPr>
                    <w:t>酸性水汽提单元</w:t>
                  </w:r>
                </w:p>
              </w:tc>
              <w:tc>
                <w:tcPr>
                  <w:tcW w:w="2299" w:type="dxa"/>
                  <w:tcBorders>
                    <w:tl2br w:val="nil"/>
                    <w:tr2bl w:val="nil"/>
                  </w:tcBorders>
                  <w:vAlign w:val="center"/>
                </w:tcPr>
                <w:p w14:paraId="46D790C7">
                  <w:pPr>
                    <w:keepNext/>
                    <w:keepLines/>
                    <w:jc w:val="center"/>
                    <w:rPr>
                      <w:rFonts w:ascii="Times New Roman" w:hAnsi="Times New Roman" w:cs="Times New Roman"/>
                      <w:szCs w:val="21"/>
                    </w:rPr>
                  </w:pPr>
                  <w:r>
                    <w:rPr>
                      <w:rFonts w:ascii="Times New Roman" w:hAnsi="Times New Roman" w:cs="Times New Roman"/>
                      <w:spacing w:val="-2"/>
                      <w:szCs w:val="21"/>
                    </w:rPr>
                    <w:t>32.87</w:t>
                  </w:r>
                </w:p>
              </w:tc>
            </w:tr>
            <w:tr w14:paraId="19FF79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60" w:type="dxa"/>
                  <w:tcBorders>
                    <w:tl2br w:val="nil"/>
                    <w:tr2bl w:val="nil"/>
                  </w:tcBorders>
                  <w:vAlign w:val="center"/>
                </w:tcPr>
                <w:p w14:paraId="0345DA8E">
                  <w:pPr>
                    <w:keepNext/>
                    <w:keepLines/>
                    <w:jc w:val="center"/>
                    <w:rPr>
                      <w:rFonts w:ascii="Times New Roman" w:hAnsi="Times New Roman" w:cs="Times New Roman"/>
                      <w:szCs w:val="21"/>
                    </w:rPr>
                  </w:pPr>
                  <w:r>
                    <w:rPr>
                      <w:rFonts w:ascii="Times New Roman" w:hAnsi="Times New Roman" w:cs="Times New Roman"/>
                      <w:szCs w:val="21"/>
                    </w:rPr>
                    <w:t>4</w:t>
                  </w:r>
                </w:p>
              </w:tc>
              <w:tc>
                <w:tcPr>
                  <w:tcW w:w="4221" w:type="dxa"/>
                  <w:tcBorders>
                    <w:tl2br w:val="nil"/>
                    <w:tr2bl w:val="nil"/>
                  </w:tcBorders>
                  <w:vAlign w:val="center"/>
                </w:tcPr>
                <w:p w14:paraId="29DE2366">
                  <w:pPr>
                    <w:pStyle w:val="81"/>
                    <w:keepNext/>
                    <w:keepLines/>
                    <w:jc w:val="center"/>
                    <w:rPr>
                      <w:rFonts w:ascii="Times New Roman" w:hAnsi="Times New Roman" w:eastAsia="宋体" w:cs="Times New Roman"/>
                      <w:sz w:val="21"/>
                      <w:szCs w:val="21"/>
                    </w:rPr>
                  </w:pPr>
                  <w:r>
                    <w:rPr>
                      <w:rFonts w:ascii="Times New Roman" w:hAnsi="Times New Roman" w:eastAsia="宋体" w:cs="Times New Roman"/>
                      <w:spacing w:val="-5"/>
                      <w:sz w:val="21"/>
                      <w:szCs w:val="21"/>
                      <w:lang w:eastAsia="zh-CN"/>
                    </w:rPr>
                    <w:t>抽提蒸馏</w:t>
                  </w:r>
                  <w:r>
                    <w:rPr>
                      <w:rFonts w:ascii="Times New Roman" w:hAnsi="Times New Roman" w:eastAsia="宋体" w:cs="Times New Roman"/>
                      <w:spacing w:val="-5"/>
                      <w:sz w:val="21"/>
                      <w:szCs w:val="21"/>
                    </w:rPr>
                    <w:t>单元</w:t>
                  </w:r>
                </w:p>
              </w:tc>
              <w:tc>
                <w:tcPr>
                  <w:tcW w:w="2299" w:type="dxa"/>
                  <w:tcBorders>
                    <w:tl2br w:val="nil"/>
                    <w:tr2bl w:val="nil"/>
                  </w:tcBorders>
                  <w:vAlign w:val="center"/>
                </w:tcPr>
                <w:p w14:paraId="4A00C12B">
                  <w:pPr>
                    <w:keepNext/>
                    <w:keepLines/>
                    <w:jc w:val="center"/>
                    <w:rPr>
                      <w:rFonts w:ascii="Times New Roman" w:hAnsi="Times New Roman" w:cs="Times New Roman"/>
                      <w:szCs w:val="21"/>
                    </w:rPr>
                  </w:pPr>
                  <w:r>
                    <w:rPr>
                      <w:rFonts w:ascii="Times New Roman" w:hAnsi="Times New Roman" w:cs="Times New Roman"/>
                      <w:spacing w:val="-1"/>
                      <w:szCs w:val="21"/>
                    </w:rPr>
                    <w:t>412.10</w:t>
                  </w:r>
                </w:p>
              </w:tc>
            </w:tr>
            <w:tr w14:paraId="5DE2C1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60" w:type="dxa"/>
                  <w:tcBorders>
                    <w:tl2br w:val="nil"/>
                    <w:tr2bl w:val="nil"/>
                  </w:tcBorders>
                  <w:vAlign w:val="center"/>
                </w:tcPr>
                <w:p w14:paraId="78E6AB0D">
                  <w:pPr>
                    <w:keepNext/>
                    <w:keepLines/>
                    <w:jc w:val="center"/>
                    <w:rPr>
                      <w:rFonts w:ascii="Times New Roman" w:hAnsi="Times New Roman" w:cs="Times New Roman"/>
                      <w:szCs w:val="21"/>
                    </w:rPr>
                  </w:pPr>
                  <w:r>
                    <w:rPr>
                      <w:rFonts w:ascii="Times New Roman" w:hAnsi="Times New Roman" w:cs="Times New Roman"/>
                      <w:szCs w:val="21"/>
                    </w:rPr>
                    <w:t>5</w:t>
                  </w:r>
                </w:p>
              </w:tc>
              <w:tc>
                <w:tcPr>
                  <w:tcW w:w="4221" w:type="dxa"/>
                  <w:tcBorders>
                    <w:tl2br w:val="nil"/>
                    <w:tr2bl w:val="nil"/>
                  </w:tcBorders>
                  <w:vAlign w:val="center"/>
                </w:tcPr>
                <w:p w14:paraId="443CFE98">
                  <w:pPr>
                    <w:pStyle w:val="81"/>
                    <w:keepNext/>
                    <w:keepLines/>
                    <w:jc w:val="center"/>
                    <w:rPr>
                      <w:rFonts w:ascii="Times New Roman" w:hAnsi="Times New Roman" w:eastAsia="宋体" w:cs="Times New Roman"/>
                      <w:sz w:val="21"/>
                      <w:szCs w:val="21"/>
                      <w:lang w:eastAsia="zh-CN"/>
                    </w:rPr>
                  </w:pPr>
                  <w:r>
                    <w:rPr>
                      <w:rFonts w:ascii="Times New Roman" w:hAnsi="Times New Roman" w:eastAsia="宋体" w:cs="Times New Roman"/>
                      <w:spacing w:val="-3"/>
                      <w:sz w:val="21"/>
                      <w:szCs w:val="21"/>
                      <w:lang w:eastAsia="zh-CN"/>
                    </w:rPr>
                    <w:t>干气脱硫及硫回收单元</w:t>
                  </w:r>
                </w:p>
              </w:tc>
              <w:tc>
                <w:tcPr>
                  <w:tcW w:w="2299" w:type="dxa"/>
                  <w:tcBorders>
                    <w:tl2br w:val="nil"/>
                    <w:tr2bl w:val="nil"/>
                  </w:tcBorders>
                  <w:vAlign w:val="center"/>
                </w:tcPr>
                <w:p w14:paraId="72FFE435">
                  <w:pPr>
                    <w:keepNext/>
                    <w:keepLines/>
                    <w:jc w:val="center"/>
                    <w:rPr>
                      <w:rFonts w:ascii="Times New Roman" w:hAnsi="Times New Roman" w:cs="Times New Roman"/>
                      <w:szCs w:val="21"/>
                    </w:rPr>
                  </w:pPr>
                  <w:r>
                    <w:rPr>
                      <w:rFonts w:ascii="Times New Roman" w:hAnsi="Times New Roman" w:cs="Times New Roman"/>
                      <w:spacing w:val="-1"/>
                      <w:szCs w:val="21"/>
                    </w:rPr>
                    <w:t>203.25</w:t>
                  </w:r>
                </w:p>
              </w:tc>
            </w:tr>
            <w:tr w14:paraId="5DF7F3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60" w:type="dxa"/>
                  <w:tcBorders>
                    <w:tl2br w:val="nil"/>
                    <w:tr2bl w:val="nil"/>
                  </w:tcBorders>
                  <w:vAlign w:val="center"/>
                </w:tcPr>
                <w:p w14:paraId="5F1452CE">
                  <w:pPr>
                    <w:keepNext/>
                    <w:keepLines/>
                    <w:jc w:val="center"/>
                    <w:rPr>
                      <w:rFonts w:ascii="Times New Roman" w:hAnsi="Times New Roman" w:cs="Times New Roman"/>
                      <w:szCs w:val="21"/>
                    </w:rPr>
                  </w:pPr>
                  <w:r>
                    <w:rPr>
                      <w:rFonts w:ascii="Times New Roman" w:hAnsi="Times New Roman" w:cs="Times New Roman"/>
                      <w:szCs w:val="21"/>
                    </w:rPr>
                    <w:t>6</w:t>
                  </w:r>
                </w:p>
              </w:tc>
              <w:tc>
                <w:tcPr>
                  <w:tcW w:w="4221" w:type="dxa"/>
                  <w:tcBorders>
                    <w:tl2br w:val="nil"/>
                    <w:tr2bl w:val="nil"/>
                  </w:tcBorders>
                  <w:vAlign w:val="center"/>
                </w:tcPr>
                <w:p w14:paraId="29B98F31">
                  <w:pPr>
                    <w:pStyle w:val="81"/>
                    <w:keepNext/>
                    <w:keepLines/>
                    <w:jc w:val="center"/>
                    <w:rPr>
                      <w:rFonts w:ascii="Times New Roman" w:hAnsi="Times New Roman" w:eastAsia="宋体" w:cs="Times New Roman"/>
                      <w:sz w:val="21"/>
                      <w:szCs w:val="21"/>
                    </w:rPr>
                  </w:pPr>
                  <w:r>
                    <w:rPr>
                      <w:rFonts w:ascii="Times New Roman" w:hAnsi="Times New Roman" w:eastAsia="宋体" w:cs="Times New Roman"/>
                      <w:spacing w:val="-5"/>
                      <w:sz w:val="21"/>
                      <w:szCs w:val="21"/>
                    </w:rPr>
                    <w:t>柴汽油调和工序</w:t>
                  </w:r>
                </w:p>
              </w:tc>
              <w:tc>
                <w:tcPr>
                  <w:tcW w:w="2299" w:type="dxa"/>
                  <w:tcBorders>
                    <w:tl2br w:val="nil"/>
                    <w:tr2bl w:val="nil"/>
                  </w:tcBorders>
                  <w:vAlign w:val="center"/>
                </w:tcPr>
                <w:p w14:paraId="4EB702EC">
                  <w:pPr>
                    <w:keepNext/>
                    <w:keepLines/>
                    <w:jc w:val="center"/>
                    <w:rPr>
                      <w:rFonts w:ascii="Times New Roman" w:hAnsi="Times New Roman" w:cs="Times New Roman"/>
                      <w:b/>
                      <w:bCs/>
                      <w:szCs w:val="21"/>
                    </w:rPr>
                  </w:pPr>
                  <w:r>
                    <w:rPr>
                      <w:rFonts w:ascii="Times New Roman" w:hAnsi="Times New Roman" w:cs="Times New Roman"/>
                      <w:b/>
                      <w:bCs/>
                      <w:spacing w:val="-3"/>
                      <w:szCs w:val="21"/>
                    </w:rPr>
                    <w:t>65.80</w:t>
                  </w:r>
                </w:p>
              </w:tc>
            </w:tr>
            <w:tr w14:paraId="0387B4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60" w:type="dxa"/>
                  <w:tcBorders>
                    <w:tl2br w:val="nil"/>
                    <w:tr2bl w:val="nil"/>
                  </w:tcBorders>
                  <w:vAlign w:val="center"/>
                </w:tcPr>
                <w:p w14:paraId="0C4342D8">
                  <w:pPr>
                    <w:keepNext/>
                    <w:keepLines/>
                    <w:jc w:val="center"/>
                    <w:rPr>
                      <w:rFonts w:ascii="Times New Roman" w:hAnsi="Times New Roman" w:cs="Times New Roman"/>
                      <w:szCs w:val="21"/>
                    </w:rPr>
                  </w:pPr>
                  <w:r>
                    <w:rPr>
                      <w:rFonts w:ascii="Times New Roman" w:hAnsi="Times New Roman" w:cs="Times New Roman"/>
                      <w:szCs w:val="21"/>
                    </w:rPr>
                    <w:t>7</w:t>
                  </w:r>
                </w:p>
              </w:tc>
              <w:tc>
                <w:tcPr>
                  <w:tcW w:w="4221" w:type="dxa"/>
                  <w:tcBorders>
                    <w:tl2br w:val="nil"/>
                    <w:tr2bl w:val="nil"/>
                  </w:tcBorders>
                  <w:vAlign w:val="center"/>
                </w:tcPr>
                <w:p w14:paraId="0B681790">
                  <w:pPr>
                    <w:pStyle w:val="81"/>
                    <w:keepNext/>
                    <w:keepLines/>
                    <w:jc w:val="center"/>
                    <w:rPr>
                      <w:rFonts w:ascii="Times New Roman" w:hAnsi="Times New Roman" w:eastAsia="宋体" w:cs="Times New Roman"/>
                      <w:sz w:val="21"/>
                      <w:szCs w:val="21"/>
                    </w:rPr>
                  </w:pPr>
                  <w:r>
                    <w:rPr>
                      <w:rFonts w:ascii="Times New Roman" w:hAnsi="Times New Roman" w:eastAsia="宋体" w:cs="Times New Roman"/>
                      <w:spacing w:val="-4"/>
                      <w:sz w:val="21"/>
                      <w:szCs w:val="21"/>
                    </w:rPr>
                    <w:t>照明及建筑用电</w:t>
                  </w:r>
                </w:p>
              </w:tc>
              <w:tc>
                <w:tcPr>
                  <w:tcW w:w="2299" w:type="dxa"/>
                  <w:tcBorders>
                    <w:tl2br w:val="nil"/>
                    <w:tr2bl w:val="nil"/>
                  </w:tcBorders>
                  <w:vAlign w:val="center"/>
                </w:tcPr>
                <w:p w14:paraId="335CA08B">
                  <w:pPr>
                    <w:keepNext/>
                    <w:keepLines/>
                    <w:jc w:val="center"/>
                    <w:rPr>
                      <w:rFonts w:ascii="Times New Roman" w:hAnsi="Times New Roman" w:cs="Times New Roman"/>
                      <w:szCs w:val="21"/>
                    </w:rPr>
                  </w:pPr>
                  <w:r>
                    <w:rPr>
                      <w:rFonts w:ascii="Times New Roman" w:hAnsi="Times New Roman" w:cs="Times New Roman"/>
                      <w:spacing w:val="-5"/>
                      <w:szCs w:val="21"/>
                    </w:rPr>
                    <w:t>185.44</w:t>
                  </w:r>
                </w:p>
              </w:tc>
            </w:tr>
            <w:tr w14:paraId="64FB2A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60" w:type="dxa"/>
                  <w:tcBorders>
                    <w:tl2br w:val="nil"/>
                    <w:tr2bl w:val="nil"/>
                  </w:tcBorders>
                  <w:vAlign w:val="center"/>
                </w:tcPr>
                <w:p w14:paraId="083516C2">
                  <w:pPr>
                    <w:jc w:val="center"/>
                    <w:rPr>
                      <w:rFonts w:ascii="Times New Roman" w:hAnsi="Times New Roman" w:cs="Times New Roman"/>
                      <w:szCs w:val="21"/>
                    </w:rPr>
                  </w:pPr>
                  <w:r>
                    <w:rPr>
                      <w:rFonts w:ascii="Times New Roman" w:hAnsi="Times New Roman" w:cs="Times New Roman"/>
                      <w:szCs w:val="21"/>
                    </w:rPr>
                    <w:t>8</w:t>
                  </w:r>
                </w:p>
              </w:tc>
              <w:tc>
                <w:tcPr>
                  <w:tcW w:w="4221" w:type="dxa"/>
                  <w:tcBorders>
                    <w:tl2br w:val="nil"/>
                    <w:tr2bl w:val="nil"/>
                  </w:tcBorders>
                  <w:vAlign w:val="center"/>
                </w:tcPr>
                <w:p w14:paraId="77B6D376">
                  <w:pPr>
                    <w:pStyle w:val="81"/>
                    <w:jc w:val="center"/>
                    <w:rPr>
                      <w:rFonts w:ascii="Times New Roman" w:hAnsi="Times New Roman" w:eastAsia="宋体" w:cs="Times New Roman"/>
                      <w:sz w:val="21"/>
                      <w:szCs w:val="21"/>
                    </w:rPr>
                  </w:pPr>
                  <w:r>
                    <w:rPr>
                      <w:rFonts w:ascii="Times New Roman" w:hAnsi="Times New Roman" w:eastAsia="宋体" w:cs="Times New Roman"/>
                      <w:spacing w:val="-4"/>
                      <w:sz w:val="21"/>
                      <w:szCs w:val="21"/>
                    </w:rPr>
                    <w:t>给排水设施用电</w:t>
                  </w:r>
                </w:p>
              </w:tc>
              <w:tc>
                <w:tcPr>
                  <w:tcW w:w="2299" w:type="dxa"/>
                  <w:tcBorders>
                    <w:tl2br w:val="nil"/>
                    <w:tr2bl w:val="nil"/>
                  </w:tcBorders>
                  <w:vAlign w:val="center"/>
                </w:tcPr>
                <w:p w14:paraId="3BDB3E8B">
                  <w:pPr>
                    <w:jc w:val="center"/>
                    <w:rPr>
                      <w:rFonts w:ascii="Times New Roman" w:hAnsi="Times New Roman" w:cs="Times New Roman"/>
                      <w:szCs w:val="21"/>
                    </w:rPr>
                  </w:pPr>
                  <w:r>
                    <w:rPr>
                      <w:rFonts w:ascii="Times New Roman" w:hAnsi="Times New Roman" w:cs="Times New Roman"/>
                      <w:spacing w:val="-3"/>
                      <w:szCs w:val="21"/>
                    </w:rPr>
                    <w:t>879.28</w:t>
                  </w:r>
                </w:p>
              </w:tc>
            </w:tr>
            <w:tr w14:paraId="260EA2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60" w:type="dxa"/>
                  <w:tcBorders>
                    <w:tl2br w:val="nil"/>
                    <w:tr2bl w:val="nil"/>
                  </w:tcBorders>
                  <w:vAlign w:val="center"/>
                </w:tcPr>
                <w:p w14:paraId="12A96936">
                  <w:pPr>
                    <w:jc w:val="center"/>
                    <w:rPr>
                      <w:rFonts w:ascii="Times New Roman" w:hAnsi="Times New Roman" w:cs="Times New Roman"/>
                      <w:szCs w:val="21"/>
                    </w:rPr>
                  </w:pPr>
                  <w:r>
                    <w:rPr>
                      <w:rFonts w:ascii="Times New Roman" w:hAnsi="Times New Roman" w:cs="Times New Roman"/>
                      <w:szCs w:val="21"/>
                    </w:rPr>
                    <w:t>9</w:t>
                  </w:r>
                </w:p>
              </w:tc>
              <w:tc>
                <w:tcPr>
                  <w:tcW w:w="4221" w:type="dxa"/>
                  <w:tcBorders>
                    <w:tl2br w:val="nil"/>
                    <w:tr2bl w:val="nil"/>
                  </w:tcBorders>
                  <w:vAlign w:val="center"/>
                </w:tcPr>
                <w:p w14:paraId="0836042D">
                  <w:pPr>
                    <w:pStyle w:val="81"/>
                    <w:jc w:val="center"/>
                    <w:rPr>
                      <w:rFonts w:ascii="Times New Roman" w:hAnsi="Times New Roman" w:eastAsia="宋体" w:cs="Times New Roman"/>
                      <w:sz w:val="21"/>
                      <w:szCs w:val="21"/>
                    </w:rPr>
                  </w:pPr>
                  <w:r>
                    <w:rPr>
                      <w:rFonts w:ascii="Times New Roman" w:hAnsi="Times New Roman" w:eastAsia="宋体" w:cs="Times New Roman"/>
                      <w:spacing w:val="-5"/>
                      <w:sz w:val="21"/>
                      <w:szCs w:val="21"/>
                    </w:rPr>
                    <w:t>空气压缩系统用电</w:t>
                  </w:r>
                </w:p>
              </w:tc>
              <w:tc>
                <w:tcPr>
                  <w:tcW w:w="2299" w:type="dxa"/>
                  <w:tcBorders>
                    <w:tl2br w:val="nil"/>
                    <w:tr2bl w:val="nil"/>
                  </w:tcBorders>
                  <w:vAlign w:val="center"/>
                </w:tcPr>
                <w:p w14:paraId="1B4AF7BC">
                  <w:pPr>
                    <w:jc w:val="center"/>
                    <w:rPr>
                      <w:rFonts w:ascii="Times New Roman" w:hAnsi="Times New Roman" w:cs="Times New Roman"/>
                      <w:szCs w:val="21"/>
                    </w:rPr>
                  </w:pPr>
                  <w:r>
                    <w:rPr>
                      <w:rFonts w:ascii="Times New Roman" w:hAnsi="Times New Roman" w:cs="Times New Roman"/>
                      <w:spacing w:val="-1"/>
                      <w:szCs w:val="21"/>
                    </w:rPr>
                    <w:t>488.98</w:t>
                  </w:r>
                </w:p>
              </w:tc>
            </w:tr>
            <w:tr w14:paraId="025C23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60" w:type="dxa"/>
                  <w:tcBorders>
                    <w:tl2br w:val="nil"/>
                    <w:tr2bl w:val="nil"/>
                  </w:tcBorders>
                  <w:vAlign w:val="center"/>
                </w:tcPr>
                <w:p w14:paraId="1A79A26A">
                  <w:pPr>
                    <w:jc w:val="center"/>
                    <w:rPr>
                      <w:rFonts w:ascii="Times New Roman" w:hAnsi="Times New Roman" w:cs="Times New Roman"/>
                      <w:szCs w:val="21"/>
                    </w:rPr>
                  </w:pPr>
                  <w:r>
                    <w:rPr>
                      <w:rFonts w:ascii="Times New Roman" w:hAnsi="Times New Roman" w:cs="Times New Roman"/>
                      <w:spacing w:val="-15"/>
                      <w:szCs w:val="21"/>
                    </w:rPr>
                    <w:t>10</w:t>
                  </w:r>
                </w:p>
              </w:tc>
              <w:tc>
                <w:tcPr>
                  <w:tcW w:w="4221" w:type="dxa"/>
                  <w:tcBorders>
                    <w:tl2br w:val="nil"/>
                    <w:tr2bl w:val="nil"/>
                  </w:tcBorders>
                  <w:vAlign w:val="center"/>
                </w:tcPr>
                <w:p w14:paraId="4758712F">
                  <w:pPr>
                    <w:pStyle w:val="81"/>
                    <w:jc w:val="center"/>
                    <w:rPr>
                      <w:rFonts w:ascii="Times New Roman" w:hAnsi="Times New Roman" w:eastAsia="宋体" w:cs="Times New Roman"/>
                      <w:sz w:val="21"/>
                      <w:szCs w:val="21"/>
                      <w:lang w:eastAsia="zh-CN"/>
                    </w:rPr>
                  </w:pPr>
                  <w:r>
                    <w:rPr>
                      <w:rFonts w:ascii="Times New Roman" w:hAnsi="Times New Roman" w:eastAsia="宋体" w:cs="Times New Roman"/>
                      <w:spacing w:val="-3"/>
                      <w:sz w:val="21"/>
                      <w:szCs w:val="21"/>
                      <w:lang w:eastAsia="zh-CN"/>
                    </w:rPr>
                    <w:t>采暖通风空调系统用电</w:t>
                  </w:r>
                </w:p>
              </w:tc>
              <w:tc>
                <w:tcPr>
                  <w:tcW w:w="2299" w:type="dxa"/>
                  <w:tcBorders>
                    <w:tl2br w:val="nil"/>
                    <w:tr2bl w:val="nil"/>
                  </w:tcBorders>
                  <w:vAlign w:val="center"/>
                </w:tcPr>
                <w:p w14:paraId="26FAE627">
                  <w:pPr>
                    <w:jc w:val="center"/>
                    <w:rPr>
                      <w:rFonts w:ascii="Times New Roman" w:hAnsi="Times New Roman" w:cs="Times New Roman"/>
                      <w:szCs w:val="21"/>
                    </w:rPr>
                  </w:pPr>
                  <w:r>
                    <w:rPr>
                      <w:rFonts w:ascii="Times New Roman" w:hAnsi="Times New Roman" w:cs="Times New Roman"/>
                      <w:spacing w:val="-2"/>
                      <w:szCs w:val="21"/>
                    </w:rPr>
                    <w:t>91.32</w:t>
                  </w:r>
                </w:p>
              </w:tc>
            </w:tr>
            <w:tr w14:paraId="311D32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60" w:type="dxa"/>
                  <w:tcBorders>
                    <w:tl2br w:val="nil"/>
                    <w:tr2bl w:val="nil"/>
                  </w:tcBorders>
                  <w:vAlign w:val="center"/>
                </w:tcPr>
                <w:p w14:paraId="23DD4EC5">
                  <w:pPr>
                    <w:jc w:val="center"/>
                    <w:rPr>
                      <w:rFonts w:ascii="Times New Roman" w:hAnsi="Times New Roman" w:cs="Times New Roman"/>
                      <w:szCs w:val="21"/>
                    </w:rPr>
                  </w:pPr>
                  <w:r>
                    <w:rPr>
                      <w:rFonts w:ascii="Times New Roman" w:hAnsi="Times New Roman" w:cs="Times New Roman"/>
                      <w:spacing w:val="-15"/>
                      <w:szCs w:val="21"/>
                    </w:rPr>
                    <w:t>11</w:t>
                  </w:r>
                </w:p>
              </w:tc>
              <w:tc>
                <w:tcPr>
                  <w:tcW w:w="4221" w:type="dxa"/>
                  <w:tcBorders>
                    <w:tl2br w:val="nil"/>
                    <w:tr2bl w:val="nil"/>
                  </w:tcBorders>
                  <w:vAlign w:val="center"/>
                </w:tcPr>
                <w:p w14:paraId="7C239556">
                  <w:pPr>
                    <w:pStyle w:val="81"/>
                    <w:jc w:val="center"/>
                    <w:rPr>
                      <w:rFonts w:ascii="Times New Roman" w:hAnsi="Times New Roman" w:eastAsia="宋体" w:cs="Times New Roman"/>
                      <w:sz w:val="21"/>
                      <w:szCs w:val="21"/>
                      <w:lang w:eastAsia="zh-CN"/>
                    </w:rPr>
                  </w:pPr>
                  <w:r>
                    <w:rPr>
                      <w:rFonts w:ascii="Times New Roman" w:hAnsi="Times New Roman" w:eastAsia="宋体" w:cs="Times New Roman"/>
                      <w:spacing w:val="-3"/>
                      <w:sz w:val="21"/>
                      <w:szCs w:val="21"/>
                      <w:lang w:eastAsia="zh-CN"/>
                    </w:rPr>
                    <w:t>储运工程用电</w:t>
                  </w:r>
                </w:p>
              </w:tc>
              <w:tc>
                <w:tcPr>
                  <w:tcW w:w="2299" w:type="dxa"/>
                  <w:tcBorders>
                    <w:tl2br w:val="nil"/>
                    <w:tr2bl w:val="nil"/>
                  </w:tcBorders>
                  <w:vAlign w:val="center"/>
                </w:tcPr>
                <w:p w14:paraId="7C24F6CE">
                  <w:pPr>
                    <w:jc w:val="center"/>
                    <w:rPr>
                      <w:rFonts w:ascii="Times New Roman" w:hAnsi="Times New Roman" w:cs="Times New Roman"/>
                      <w:szCs w:val="21"/>
                    </w:rPr>
                  </w:pPr>
                  <w:r>
                    <w:rPr>
                      <w:rFonts w:ascii="Times New Roman" w:hAnsi="Times New Roman" w:cs="Times New Roman"/>
                      <w:spacing w:val="-5"/>
                      <w:szCs w:val="21"/>
                    </w:rPr>
                    <w:t>176.77</w:t>
                  </w:r>
                </w:p>
              </w:tc>
            </w:tr>
            <w:tr w14:paraId="039A61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60" w:type="dxa"/>
                  <w:tcBorders>
                    <w:tl2br w:val="nil"/>
                    <w:tr2bl w:val="nil"/>
                  </w:tcBorders>
                  <w:vAlign w:val="center"/>
                </w:tcPr>
                <w:p w14:paraId="482ECC3A">
                  <w:pPr>
                    <w:jc w:val="center"/>
                    <w:rPr>
                      <w:rFonts w:ascii="Times New Roman" w:hAnsi="Times New Roman" w:cs="Times New Roman"/>
                      <w:szCs w:val="21"/>
                    </w:rPr>
                  </w:pPr>
                  <w:r>
                    <w:rPr>
                      <w:rFonts w:ascii="Times New Roman" w:hAnsi="Times New Roman" w:cs="Times New Roman"/>
                      <w:spacing w:val="-15"/>
                      <w:szCs w:val="21"/>
                    </w:rPr>
                    <w:t>12</w:t>
                  </w:r>
                </w:p>
              </w:tc>
              <w:tc>
                <w:tcPr>
                  <w:tcW w:w="4221" w:type="dxa"/>
                  <w:tcBorders>
                    <w:tl2br w:val="nil"/>
                    <w:tr2bl w:val="nil"/>
                  </w:tcBorders>
                  <w:vAlign w:val="center"/>
                </w:tcPr>
                <w:p w14:paraId="465DA6AF">
                  <w:pPr>
                    <w:pStyle w:val="81"/>
                    <w:jc w:val="center"/>
                    <w:rPr>
                      <w:rFonts w:ascii="Times New Roman" w:hAnsi="Times New Roman" w:eastAsia="宋体" w:cs="Times New Roman"/>
                      <w:sz w:val="21"/>
                      <w:szCs w:val="21"/>
                      <w:lang w:eastAsia="zh-CN"/>
                    </w:rPr>
                  </w:pPr>
                  <w:r>
                    <w:rPr>
                      <w:rFonts w:ascii="Times New Roman" w:hAnsi="Times New Roman" w:eastAsia="宋体" w:cs="Times New Roman"/>
                      <w:spacing w:val="-7"/>
                      <w:sz w:val="21"/>
                      <w:szCs w:val="21"/>
                      <w:lang w:eastAsia="zh-CN"/>
                    </w:rPr>
                    <w:t>火炬系统用电</w:t>
                  </w:r>
                </w:p>
              </w:tc>
              <w:tc>
                <w:tcPr>
                  <w:tcW w:w="2299" w:type="dxa"/>
                  <w:tcBorders>
                    <w:tl2br w:val="nil"/>
                    <w:tr2bl w:val="nil"/>
                  </w:tcBorders>
                  <w:vAlign w:val="center"/>
                </w:tcPr>
                <w:p w14:paraId="11D06AB5">
                  <w:pPr>
                    <w:jc w:val="center"/>
                    <w:rPr>
                      <w:rFonts w:ascii="Times New Roman" w:hAnsi="Times New Roman" w:cs="Times New Roman"/>
                      <w:szCs w:val="21"/>
                    </w:rPr>
                  </w:pPr>
                  <w:r>
                    <w:rPr>
                      <w:rFonts w:ascii="Times New Roman" w:hAnsi="Times New Roman" w:cs="Times New Roman"/>
                      <w:spacing w:val="-3"/>
                      <w:szCs w:val="21"/>
                    </w:rPr>
                    <w:t>0.95</w:t>
                  </w:r>
                </w:p>
              </w:tc>
            </w:tr>
            <w:tr w14:paraId="146464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60" w:type="dxa"/>
                  <w:tcBorders>
                    <w:tl2br w:val="nil"/>
                    <w:tr2bl w:val="nil"/>
                  </w:tcBorders>
                  <w:vAlign w:val="center"/>
                </w:tcPr>
                <w:p w14:paraId="548D958B">
                  <w:pPr>
                    <w:jc w:val="center"/>
                    <w:rPr>
                      <w:rFonts w:ascii="Times New Roman" w:hAnsi="Times New Roman" w:cs="Times New Roman"/>
                      <w:szCs w:val="21"/>
                    </w:rPr>
                  </w:pPr>
                  <w:r>
                    <w:rPr>
                      <w:rFonts w:ascii="Times New Roman" w:hAnsi="Times New Roman" w:cs="Times New Roman"/>
                      <w:spacing w:val="-15"/>
                      <w:szCs w:val="21"/>
                    </w:rPr>
                    <w:t>13</w:t>
                  </w:r>
                </w:p>
              </w:tc>
              <w:tc>
                <w:tcPr>
                  <w:tcW w:w="4221" w:type="dxa"/>
                  <w:tcBorders>
                    <w:tl2br w:val="nil"/>
                    <w:tr2bl w:val="nil"/>
                  </w:tcBorders>
                  <w:vAlign w:val="center"/>
                </w:tcPr>
                <w:p w14:paraId="56AECBD0">
                  <w:pPr>
                    <w:pStyle w:val="81"/>
                    <w:jc w:val="center"/>
                    <w:rPr>
                      <w:rFonts w:ascii="Times New Roman" w:hAnsi="Times New Roman" w:eastAsia="宋体" w:cs="Times New Roman"/>
                      <w:sz w:val="21"/>
                      <w:szCs w:val="21"/>
                      <w:lang w:eastAsia="zh-CN"/>
                    </w:rPr>
                  </w:pPr>
                  <w:r>
                    <w:rPr>
                      <w:rFonts w:ascii="Times New Roman" w:hAnsi="Times New Roman" w:eastAsia="宋体" w:cs="Times New Roman"/>
                      <w:spacing w:val="-8"/>
                      <w:sz w:val="21"/>
                      <w:szCs w:val="21"/>
                      <w:lang w:eastAsia="zh-CN"/>
                    </w:rPr>
                    <w:t>线路损耗</w:t>
                  </w:r>
                </w:p>
              </w:tc>
              <w:tc>
                <w:tcPr>
                  <w:tcW w:w="2299" w:type="dxa"/>
                  <w:tcBorders>
                    <w:tl2br w:val="nil"/>
                    <w:tr2bl w:val="nil"/>
                  </w:tcBorders>
                  <w:vAlign w:val="center"/>
                </w:tcPr>
                <w:p w14:paraId="0ACDCDFF">
                  <w:pPr>
                    <w:jc w:val="center"/>
                    <w:rPr>
                      <w:rFonts w:ascii="Times New Roman" w:hAnsi="Times New Roman" w:cs="Times New Roman"/>
                      <w:szCs w:val="21"/>
                    </w:rPr>
                  </w:pPr>
                  <w:r>
                    <w:rPr>
                      <w:rFonts w:ascii="Times New Roman" w:hAnsi="Times New Roman" w:cs="Times New Roman"/>
                      <w:spacing w:val="-3"/>
                      <w:szCs w:val="21"/>
                    </w:rPr>
                    <w:t>66.91</w:t>
                  </w:r>
                </w:p>
              </w:tc>
            </w:tr>
            <w:tr w14:paraId="5239E0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60" w:type="dxa"/>
                  <w:tcBorders>
                    <w:tl2br w:val="nil"/>
                    <w:tr2bl w:val="nil"/>
                  </w:tcBorders>
                  <w:vAlign w:val="center"/>
                </w:tcPr>
                <w:p w14:paraId="6A71BEBF">
                  <w:pPr>
                    <w:jc w:val="center"/>
                    <w:rPr>
                      <w:rFonts w:ascii="Times New Roman" w:hAnsi="Times New Roman" w:cs="Times New Roman"/>
                      <w:szCs w:val="21"/>
                    </w:rPr>
                  </w:pPr>
                  <w:r>
                    <w:rPr>
                      <w:rFonts w:ascii="Times New Roman" w:hAnsi="Times New Roman" w:cs="Times New Roman"/>
                      <w:spacing w:val="-15"/>
                      <w:szCs w:val="21"/>
                    </w:rPr>
                    <w:t>14</w:t>
                  </w:r>
                </w:p>
              </w:tc>
              <w:tc>
                <w:tcPr>
                  <w:tcW w:w="4221" w:type="dxa"/>
                  <w:tcBorders>
                    <w:tl2br w:val="nil"/>
                    <w:tr2bl w:val="nil"/>
                  </w:tcBorders>
                  <w:vAlign w:val="center"/>
                </w:tcPr>
                <w:p w14:paraId="28AFA391">
                  <w:pPr>
                    <w:pStyle w:val="81"/>
                    <w:jc w:val="center"/>
                    <w:rPr>
                      <w:rFonts w:ascii="Times New Roman" w:hAnsi="Times New Roman" w:eastAsia="宋体" w:cs="Times New Roman"/>
                      <w:sz w:val="21"/>
                      <w:szCs w:val="21"/>
                      <w:lang w:eastAsia="zh-CN"/>
                    </w:rPr>
                  </w:pPr>
                  <w:r>
                    <w:rPr>
                      <w:rFonts w:ascii="Times New Roman" w:hAnsi="Times New Roman" w:eastAsia="宋体" w:cs="Times New Roman"/>
                      <w:spacing w:val="-8"/>
                      <w:sz w:val="21"/>
                      <w:szCs w:val="21"/>
                      <w:lang w:eastAsia="zh-CN"/>
                    </w:rPr>
                    <w:t>变压器损耗</w:t>
                  </w:r>
                </w:p>
              </w:tc>
              <w:tc>
                <w:tcPr>
                  <w:tcW w:w="2299" w:type="dxa"/>
                  <w:tcBorders>
                    <w:tl2br w:val="nil"/>
                    <w:tr2bl w:val="nil"/>
                  </w:tcBorders>
                  <w:vAlign w:val="center"/>
                </w:tcPr>
                <w:p w14:paraId="7522C704">
                  <w:pPr>
                    <w:jc w:val="center"/>
                    <w:rPr>
                      <w:rFonts w:ascii="Times New Roman" w:hAnsi="Times New Roman" w:cs="Times New Roman"/>
                      <w:szCs w:val="21"/>
                    </w:rPr>
                  </w:pPr>
                  <w:r>
                    <w:rPr>
                      <w:rFonts w:ascii="Times New Roman" w:hAnsi="Times New Roman" w:cs="Times New Roman"/>
                      <w:spacing w:val="-1"/>
                      <w:szCs w:val="21"/>
                    </w:rPr>
                    <w:t>46.07</w:t>
                  </w:r>
                </w:p>
              </w:tc>
            </w:tr>
            <w:tr w14:paraId="426040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60" w:type="dxa"/>
                  <w:tcBorders>
                    <w:tl2br w:val="nil"/>
                    <w:tr2bl w:val="nil"/>
                  </w:tcBorders>
                  <w:vAlign w:val="center"/>
                </w:tcPr>
                <w:p w14:paraId="1161FA3A">
                  <w:pPr>
                    <w:jc w:val="center"/>
                    <w:rPr>
                      <w:rFonts w:ascii="Times New Roman" w:hAnsi="Times New Roman" w:cs="Times New Roman"/>
                      <w:szCs w:val="21"/>
                    </w:rPr>
                  </w:pPr>
                  <w:r>
                    <w:rPr>
                      <w:rFonts w:ascii="Times New Roman" w:hAnsi="Times New Roman" w:cs="Times New Roman"/>
                      <w:spacing w:val="-15"/>
                      <w:szCs w:val="21"/>
                    </w:rPr>
                    <w:t>15</w:t>
                  </w:r>
                </w:p>
              </w:tc>
              <w:tc>
                <w:tcPr>
                  <w:tcW w:w="4221" w:type="dxa"/>
                  <w:tcBorders>
                    <w:tl2br w:val="nil"/>
                    <w:tr2bl w:val="nil"/>
                  </w:tcBorders>
                  <w:vAlign w:val="center"/>
                </w:tcPr>
                <w:p w14:paraId="76C948C0">
                  <w:pPr>
                    <w:pStyle w:val="81"/>
                    <w:jc w:val="center"/>
                    <w:rPr>
                      <w:rFonts w:ascii="Times New Roman" w:hAnsi="Times New Roman" w:eastAsia="宋体" w:cs="Times New Roman"/>
                      <w:sz w:val="21"/>
                      <w:szCs w:val="21"/>
                      <w:lang w:eastAsia="zh-CN"/>
                    </w:rPr>
                  </w:pPr>
                  <w:r>
                    <w:rPr>
                      <w:rFonts w:ascii="Times New Roman" w:hAnsi="Times New Roman" w:eastAsia="宋体" w:cs="Times New Roman"/>
                      <w:spacing w:val="-8"/>
                      <w:sz w:val="21"/>
                      <w:szCs w:val="21"/>
                      <w:lang w:eastAsia="zh-CN"/>
                    </w:rPr>
                    <w:t>合计</w:t>
                  </w:r>
                </w:p>
              </w:tc>
              <w:tc>
                <w:tcPr>
                  <w:tcW w:w="2299" w:type="dxa"/>
                  <w:tcBorders>
                    <w:tl2br w:val="nil"/>
                    <w:tr2bl w:val="nil"/>
                  </w:tcBorders>
                  <w:vAlign w:val="center"/>
                </w:tcPr>
                <w:p w14:paraId="22F8EB1B">
                  <w:pPr>
                    <w:jc w:val="center"/>
                    <w:rPr>
                      <w:rFonts w:ascii="Times New Roman" w:hAnsi="Times New Roman" w:cs="Times New Roman"/>
                      <w:szCs w:val="21"/>
                    </w:rPr>
                  </w:pPr>
                  <w:r>
                    <w:rPr>
                      <w:rFonts w:hint="eastAsia" w:ascii="Times New Roman" w:hAnsi="Times New Roman" w:cs="Times New Roman"/>
                      <w:spacing w:val="-1"/>
                      <w:szCs w:val="21"/>
                    </w:rPr>
                    <w:t>4573</w:t>
                  </w:r>
                  <w:r>
                    <w:rPr>
                      <w:rFonts w:ascii="Times New Roman" w:hAnsi="Times New Roman" w:cs="Times New Roman"/>
                      <w:spacing w:val="-1"/>
                      <w:szCs w:val="21"/>
                    </w:rPr>
                    <w:t>.</w:t>
                  </w:r>
                  <w:r>
                    <w:rPr>
                      <w:rFonts w:hint="eastAsia" w:ascii="Times New Roman" w:hAnsi="Times New Roman" w:cs="Times New Roman"/>
                      <w:spacing w:val="-1"/>
                      <w:szCs w:val="21"/>
                    </w:rPr>
                    <w:t>5</w:t>
                  </w:r>
                  <w:r>
                    <w:rPr>
                      <w:rFonts w:ascii="Times New Roman" w:hAnsi="Times New Roman" w:cs="Times New Roman"/>
                      <w:spacing w:val="-1"/>
                      <w:szCs w:val="21"/>
                    </w:rPr>
                    <w:t>9</w:t>
                  </w:r>
                </w:p>
              </w:tc>
            </w:tr>
          </w:tbl>
          <w:p w14:paraId="1F1190B3">
            <w:pPr>
              <w:adjustRightInd w:val="0"/>
              <w:snapToGrid w:val="0"/>
              <w:spacing w:line="360" w:lineRule="auto"/>
              <w:ind w:firstLine="480" w:firstLineChars="200"/>
              <w:rPr>
                <w:rFonts w:ascii="Times New Roman" w:hAnsi="Times New Roman" w:cs="Times New Roman"/>
                <w:bCs/>
              </w:rPr>
            </w:pPr>
          </w:p>
          <w:p w14:paraId="3351BF4A">
            <w:pPr>
              <w:adjustRightInd w:val="0"/>
              <w:snapToGrid w:val="0"/>
              <w:spacing w:line="360" w:lineRule="auto"/>
              <w:rPr>
                <w:rFonts w:ascii="Times New Roman" w:hAnsi="Times New Roman" w:cs="Times New Roman"/>
                <w:b/>
              </w:rPr>
            </w:pPr>
            <w:r>
              <w:rPr>
                <w:rFonts w:ascii="Times New Roman" w:hAnsi="Times New Roman" w:cs="Times New Roman"/>
                <w:b/>
              </w:rPr>
              <w:t>7.3供热</w:t>
            </w:r>
          </w:p>
          <w:p w14:paraId="546385C6">
            <w:pPr>
              <w:adjustRightInd w:val="0"/>
              <w:snapToGrid w:val="0"/>
              <w:spacing w:line="360" w:lineRule="auto"/>
              <w:rPr>
                <w:rFonts w:hint="eastAsia" w:ascii="Times New Roman" w:hAnsi="Times New Roman" w:cs="Times New Roman"/>
                <w:bCs/>
              </w:rPr>
            </w:pPr>
            <w:r>
              <w:rPr>
                <w:rFonts w:hint="eastAsia" w:ascii="Times New Roman" w:hAnsi="Times New Roman" w:cs="Times New Roman"/>
                <w:bCs/>
              </w:rPr>
              <w:t>7.3.1项目供热需求</w:t>
            </w:r>
          </w:p>
          <w:p w14:paraId="6979FFF6">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本项目供热主要为罐区储罐加热用汽，项目蒸汽使用压力0.6MPaG，温度144℃，蒸汽最大用量1t/h。罐区储罐加热蒸汽产生的凝结水经集中收集，回收部分热量后加压送至循环水站，作为循环水补水。非采暖季罐区加热优先采用装置副产蒸汽，采暖季罐区加热由天然气蒸汽锅炉供给。</w:t>
            </w:r>
          </w:p>
          <w:p w14:paraId="6CD487C7">
            <w:pPr>
              <w:adjustRightInd w:val="0"/>
              <w:snapToGrid w:val="0"/>
              <w:spacing w:line="360" w:lineRule="auto"/>
            </w:pPr>
            <w:r>
              <w:rPr>
                <w:rFonts w:hint="eastAsia" w:ascii="Times New Roman" w:hAnsi="Times New Roman" w:cs="Times New Roman"/>
                <w:bCs/>
              </w:rPr>
              <w:t>7.3.2</w:t>
            </w:r>
            <w:r>
              <w:rPr>
                <w:rFonts w:ascii="Times New Roman" w:hAnsi="Times New Roman" w:cs="Times New Roman"/>
                <w:bCs/>
              </w:rPr>
              <w:t>供热依托可行性分析</w:t>
            </w:r>
          </w:p>
          <w:p w14:paraId="415255BD">
            <w:pPr>
              <w:adjustRightInd w:val="0"/>
              <w:snapToGrid w:val="0"/>
              <w:spacing w:line="360" w:lineRule="auto"/>
              <w:ind w:firstLine="480" w:firstLineChars="200"/>
              <w:rPr>
                <w:rFonts w:hint="eastAsia" w:ascii="Times New Roman" w:hAnsi="Times New Roman" w:cs="Times New Roman"/>
                <w:bCs/>
              </w:rPr>
            </w:pPr>
            <w:r>
              <w:rPr>
                <w:rFonts w:ascii="Times New Roman" w:hAnsi="Times New Roman" w:cs="Times New Roman"/>
                <w:bCs/>
              </w:rPr>
              <w:t>本项目供热依托一期工程两套蒸汽系统：一套为劣质苯类物加氢联合装置导热油系统副产蒸汽，可产1.0MPa蒸汽5t/h；另一套为1台15t/h、1.0MPa天然气蒸汽锅炉。一期两套热源总供汽能力远大于本项目最大1t/h的用汽量，可通过管网调压至0.6MPaG，满足本项目用汽压力、温度要求。热源调度方式灵活，非采暖季优先利用余热副产蒸汽，采暖季启用天然气锅炉，可稳定保障二期罐区连续加热需求。一期配套供热管网可接入本项目，凝结水也可纳入一期现有回收系统，无需新增供热主体设施，依托一期供热系统可行。</w:t>
            </w:r>
          </w:p>
          <w:p w14:paraId="3069E12B">
            <w:pPr>
              <w:adjustRightInd w:val="0"/>
              <w:snapToGrid w:val="0"/>
              <w:spacing w:line="360" w:lineRule="auto"/>
              <w:rPr>
                <w:rFonts w:ascii="Times New Roman" w:hAnsi="Times New Roman" w:cs="Times New Roman"/>
                <w:b/>
              </w:rPr>
            </w:pPr>
            <w:r>
              <w:rPr>
                <w:rFonts w:ascii="Times New Roman" w:hAnsi="Times New Roman" w:cs="Times New Roman"/>
                <w:b/>
              </w:rPr>
              <w:t>7.4供风、供氮</w:t>
            </w:r>
          </w:p>
          <w:p w14:paraId="487F9EEB">
            <w:pPr>
              <w:adjustRightInd w:val="0"/>
              <w:snapToGrid w:val="0"/>
              <w:spacing w:line="360" w:lineRule="auto"/>
              <w:rPr>
                <w:rFonts w:hint="eastAsia" w:ascii="Times New Roman" w:hAnsi="Times New Roman" w:cs="Times New Roman"/>
                <w:bCs/>
              </w:rPr>
            </w:pPr>
            <w:r>
              <w:rPr>
                <w:rFonts w:hint="eastAsia" w:ascii="Times New Roman" w:hAnsi="Times New Roman" w:cs="Times New Roman"/>
                <w:bCs/>
              </w:rPr>
              <w:t>7.4.1项目</w:t>
            </w:r>
            <w:r>
              <w:rPr>
                <w:rFonts w:ascii="Times New Roman" w:hAnsi="Times New Roman" w:cs="Times New Roman"/>
                <w:bCs/>
              </w:rPr>
              <w:t>供风、供氮需求</w:t>
            </w:r>
          </w:p>
          <w:p w14:paraId="54A04FE2">
            <w:pPr>
              <w:spacing w:line="360" w:lineRule="auto"/>
              <w:ind w:firstLine="480" w:firstLineChars="200"/>
              <w:rPr>
                <w:rFonts w:ascii="Times New Roman" w:hAnsi="Times New Roman" w:cs="Times New Roman"/>
                <w:lang w:bidi="ar"/>
              </w:rPr>
            </w:pPr>
            <w:r>
              <w:rPr>
                <w:rFonts w:ascii="Times New Roman" w:hAnsi="Times New Roman" w:cs="Times New Roman"/>
                <w:lang w:bidi="ar"/>
              </w:rPr>
              <w:t>本项目罐区储罐净化风平均连续耗量约50Nm</w:t>
            </w:r>
            <w:r>
              <w:rPr>
                <w:rFonts w:ascii="Times New Roman" w:hAnsi="Times New Roman" w:cs="Times New Roman"/>
                <w:vertAlign w:val="superscript"/>
                <w:lang w:bidi="ar"/>
              </w:rPr>
              <w:t>3</w:t>
            </w:r>
            <w:r>
              <w:rPr>
                <w:rFonts w:ascii="Times New Roman" w:hAnsi="Times New Roman" w:cs="Times New Roman"/>
                <w:lang w:bidi="ar"/>
              </w:rPr>
              <w:t>/h，使用压力0.6MPaG；氮气最大耗量约300Nm</w:t>
            </w:r>
            <w:r>
              <w:rPr>
                <w:rFonts w:ascii="Times New Roman" w:hAnsi="Times New Roman" w:cs="Times New Roman"/>
                <w:vertAlign w:val="superscript"/>
                <w:lang w:bidi="ar"/>
              </w:rPr>
              <w:t>3</w:t>
            </w:r>
            <w:r>
              <w:rPr>
                <w:rFonts w:ascii="Times New Roman" w:hAnsi="Times New Roman" w:cs="Times New Roman"/>
                <w:lang w:bidi="ar"/>
              </w:rPr>
              <w:t>/h。净化风、氮气主要用于罐区相关工艺操作及保护，用气压力与一期空氮站输出参数匹配。</w:t>
            </w:r>
          </w:p>
          <w:p w14:paraId="2AE0A4A5">
            <w:pPr>
              <w:spacing w:line="360" w:lineRule="auto"/>
              <w:rPr>
                <w:rFonts w:hint="eastAsia" w:ascii="Times New Roman" w:hAnsi="Times New Roman" w:cs="Times New Roman"/>
                <w:lang w:bidi="ar"/>
              </w:rPr>
            </w:pPr>
            <w:r>
              <w:rPr>
                <w:rFonts w:hint="eastAsia" w:ascii="Times New Roman" w:hAnsi="Times New Roman" w:cs="Times New Roman"/>
                <w:lang w:bidi="ar"/>
              </w:rPr>
              <w:t>7.4.2</w:t>
            </w:r>
            <w:r>
              <w:rPr>
                <w:rFonts w:ascii="Times New Roman" w:hAnsi="Times New Roman" w:cs="Times New Roman"/>
                <w:lang w:bidi="ar"/>
              </w:rPr>
              <w:t>依托可行性分析</w:t>
            </w:r>
          </w:p>
          <w:p w14:paraId="68EFFC78">
            <w:pPr>
              <w:spacing w:line="360" w:lineRule="auto"/>
              <w:ind w:firstLine="480" w:firstLineChars="200"/>
              <w:rPr>
                <w:rFonts w:hint="eastAsia" w:ascii="Times New Roman" w:hAnsi="Times New Roman" w:cs="Times New Roman"/>
                <w:bCs/>
              </w:rPr>
            </w:pPr>
            <w:r>
              <w:rPr>
                <w:rFonts w:ascii="Times New Roman" w:hAnsi="Times New Roman" w:cs="Times New Roman"/>
                <w:lang w:bidi="ar"/>
              </w:rPr>
              <w:t>项目一期已建设一座空氮站，该空氮站内设置三台螺杆式空气压缩机（两开一备）、两台微热再生干燥器（一开一备）和一套制氮装置，其中非净化压缩空气最大供应量为1200Nm</w:t>
            </w:r>
            <w:r>
              <w:rPr>
                <w:rFonts w:ascii="Times New Roman" w:hAnsi="Times New Roman" w:cs="Times New Roman"/>
                <w:vertAlign w:val="superscript"/>
                <w:lang w:bidi="ar"/>
              </w:rPr>
              <w:t>3</w:t>
            </w:r>
            <w:r>
              <w:rPr>
                <w:rFonts w:ascii="Times New Roman" w:hAnsi="Times New Roman" w:cs="Times New Roman"/>
                <w:lang w:bidi="ar"/>
              </w:rPr>
              <w:t>/h，净化风最大供应量为800Nm</w:t>
            </w:r>
            <w:r>
              <w:rPr>
                <w:rFonts w:ascii="Times New Roman" w:hAnsi="Times New Roman" w:cs="Times New Roman"/>
                <w:vertAlign w:val="superscript"/>
                <w:lang w:bidi="ar"/>
              </w:rPr>
              <w:t>3</w:t>
            </w:r>
            <w:r>
              <w:rPr>
                <w:rFonts w:ascii="Times New Roman" w:hAnsi="Times New Roman" w:cs="Times New Roman"/>
                <w:lang w:bidi="ar"/>
              </w:rPr>
              <w:t>/h，氮气最大供应量为2000Nm</w:t>
            </w:r>
            <w:r>
              <w:rPr>
                <w:rFonts w:ascii="Times New Roman" w:hAnsi="Times New Roman" w:cs="Times New Roman"/>
                <w:vertAlign w:val="superscript"/>
                <w:lang w:bidi="ar"/>
              </w:rPr>
              <w:t>3</w:t>
            </w:r>
            <w:r>
              <w:rPr>
                <w:rFonts w:ascii="Times New Roman" w:hAnsi="Times New Roman" w:cs="Times New Roman"/>
                <w:lang w:bidi="ar"/>
              </w:rPr>
              <w:t>/h。，全厂净化风平均连续耗量约650Nm</w:t>
            </w:r>
            <w:r>
              <w:rPr>
                <w:rFonts w:ascii="Times New Roman" w:hAnsi="Times New Roman" w:cs="Times New Roman"/>
                <w:vertAlign w:val="superscript"/>
                <w:lang w:bidi="ar"/>
              </w:rPr>
              <w:t>3</w:t>
            </w:r>
            <w:r>
              <w:rPr>
                <w:rFonts w:ascii="Times New Roman" w:hAnsi="Times New Roman" w:cs="Times New Roman"/>
                <w:lang w:bidi="ar"/>
              </w:rPr>
              <w:t>/h，使用压力0.6MPaG；非净化风间断最大耗量约1200Nm</w:t>
            </w:r>
            <w:r>
              <w:rPr>
                <w:rFonts w:ascii="Times New Roman" w:hAnsi="Times New Roman" w:cs="Times New Roman"/>
                <w:vertAlign w:val="superscript"/>
                <w:lang w:bidi="ar"/>
              </w:rPr>
              <w:t>3</w:t>
            </w:r>
            <w:r>
              <w:rPr>
                <w:rFonts w:ascii="Times New Roman" w:hAnsi="Times New Roman" w:cs="Times New Roman"/>
                <w:lang w:bidi="ar"/>
              </w:rPr>
              <w:t>/h，使用压力0.7MPaG；全厂氮气平均连续耗量约800Nm</w:t>
            </w:r>
            <w:r>
              <w:rPr>
                <w:rFonts w:ascii="Times New Roman" w:hAnsi="Times New Roman" w:cs="Times New Roman"/>
                <w:vertAlign w:val="superscript"/>
                <w:lang w:bidi="ar"/>
              </w:rPr>
              <w:t>3</w:t>
            </w:r>
            <w:r>
              <w:rPr>
                <w:rFonts w:ascii="Times New Roman" w:hAnsi="Times New Roman" w:cs="Times New Roman"/>
                <w:lang w:bidi="ar"/>
              </w:rPr>
              <w:t>/h，间断每次最大耗量约1500Nm</w:t>
            </w:r>
            <w:r>
              <w:rPr>
                <w:rFonts w:ascii="Times New Roman" w:hAnsi="Times New Roman" w:cs="Times New Roman"/>
                <w:vertAlign w:val="superscript"/>
                <w:lang w:bidi="ar"/>
              </w:rPr>
              <w:t>3</w:t>
            </w:r>
            <w:r>
              <w:rPr>
                <w:rFonts w:ascii="Times New Roman" w:hAnsi="Times New Roman" w:cs="Times New Roman"/>
                <w:lang w:bidi="ar"/>
              </w:rPr>
              <w:t>，使用压力0.6MPaG。</w:t>
            </w:r>
            <w:r>
              <w:rPr>
                <w:rFonts w:ascii="Times New Roman" w:hAnsi="Times New Roman" w:cs="Times New Roman"/>
                <w:bCs/>
              </w:rPr>
              <w:t>扣除一期原有耗量后，剩余供气、供氮余量可覆盖本项目的用气需求，供气压力可满足0.6MPaG使用要求。站内设备采用一开一备/两开一备配置，运行可靠性高，配套管网可接入二期罐区，无需新增供风、供氮主体设施，依托一期空氮站系统可行。</w:t>
            </w:r>
          </w:p>
          <w:p w14:paraId="40AF6AF1">
            <w:pPr>
              <w:adjustRightInd w:val="0"/>
              <w:snapToGrid w:val="0"/>
              <w:spacing w:line="360" w:lineRule="auto"/>
              <w:rPr>
                <w:rFonts w:ascii="Times New Roman" w:hAnsi="Times New Roman" w:cs="Times New Roman"/>
                <w:bCs/>
              </w:rPr>
            </w:pPr>
            <w:r>
              <w:rPr>
                <w:rFonts w:ascii="Times New Roman" w:hAnsi="Times New Roman" w:cs="Times New Roman"/>
                <w:b/>
              </w:rPr>
              <w:t>7.5油气回收设施</w:t>
            </w:r>
            <w:r>
              <w:rPr>
                <w:rFonts w:hint="eastAsia" w:ascii="Times New Roman" w:hAnsi="Times New Roman" w:cs="Times New Roman"/>
                <w:b/>
              </w:rPr>
              <w:t>依托可行性分析</w:t>
            </w:r>
          </w:p>
          <w:p w14:paraId="623C9804">
            <w:pPr>
              <w:spacing w:line="360" w:lineRule="auto"/>
              <w:ind w:firstLine="480" w:firstLineChars="200"/>
              <w:rPr>
                <w:rFonts w:ascii="Times New Roman" w:hAnsi="Times New Roman" w:cs="Times New Roman"/>
              </w:rPr>
            </w:pPr>
            <w:r>
              <w:rPr>
                <w:rFonts w:ascii="Times New Roman" w:hAnsi="Times New Roman" w:cs="Times New Roman"/>
              </w:rPr>
              <w:t>本项目二期罐区、装卸区产生的有机废气拟依托一期已规划建设的“吸收-冷凝-吸附”组合式油气回收集中处理装置进行收集净化，该油气回收装置额定设计处理</w:t>
            </w:r>
            <w:r>
              <w:rPr>
                <w:rFonts w:hint="eastAsia" w:ascii="Times New Roman" w:hAnsi="Times New Roman" w:cs="Times New Roman"/>
              </w:rPr>
              <w:t>的废气量为10万</w:t>
            </w:r>
            <w:r>
              <w:rPr>
                <w:rFonts w:ascii="Times New Roman" w:hAnsi="Times New Roman" w:cs="Times New Roman"/>
              </w:rPr>
              <w:t>Nm³/h，采用吸收预处理、双通道冷凝液化、双活性炭罐交替吸附解析的成熟多级串联工艺，设计废气密闭收集效率100%，综合污染物去除效率9</w:t>
            </w:r>
            <w:r>
              <w:rPr>
                <w:rFonts w:hint="eastAsia" w:ascii="Times New Roman" w:hAnsi="Times New Roman" w:cs="Times New Roman"/>
              </w:rPr>
              <w:t>9</w:t>
            </w:r>
            <w:r>
              <w:rPr>
                <w:rFonts w:ascii="Times New Roman" w:hAnsi="Times New Roman" w:cs="Times New Roman"/>
              </w:rPr>
              <w:t>%</w:t>
            </w:r>
            <w:r>
              <w:rPr>
                <w:rFonts w:hint="eastAsia" w:ascii="Times New Roman" w:hAnsi="Times New Roman" w:cs="Times New Roman"/>
              </w:rPr>
              <w:t>，本次环评取97%</w:t>
            </w:r>
            <w:r>
              <w:rPr>
                <w:rFonts w:ascii="Times New Roman" w:hAnsi="Times New Roman" w:cs="Times New Roman"/>
              </w:rPr>
              <w:t>。一期环评编制阶段仅依据一期项目全部储罐呼吸废气、油品装卸油气最大峰值工况核算源强与设备选型，未将本次二期工程废气量纳入一期废气源强核算范围，一期单独运行</w:t>
            </w:r>
            <w:r>
              <w:rPr>
                <w:rFonts w:hint="eastAsia" w:ascii="Times New Roman" w:hAnsi="Times New Roman" w:cs="Times New Roman"/>
              </w:rPr>
              <w:t>产生的最大废气量为6万</w:t>
            </w:r>
            <w:r>
              <w:rPr>
                <w:rFonts w:ascii="Times New Roman" w:hAnsi="Times New Roman" w:cs="Times New Roman"/>
              </w:rPr>
              <w:t>Nm³/h，相较于装置额定处理量预留</w:t>
            </w:r>
            <w:r>
              <w:rPr>
                <w:rFonts w:hint="eastAsia" w:ascii="Times New Roman" w:hAnsi="Times New Roman" w:cs="Times New Roman"/>
              </w:rPr>
              <w:t>4万</w:t>
            </w:r>
            <w:r>
              <w:rPr>
                <w:rFonts w:ascii="Times New Roman" w:hAnsi="Times New Roman" w:cs="Times New Roman"/>
              </w:rPr>
              <w:t>Nm³/h富余处理负荷，风机、制冷机组、吸附罐体、物料循环泵等核心设备均按照峰值工况上浮选型，具备接纳改扩建新增油气的冗余空间。</w:t>
            </w:r>
          </w:p>
          <w:p w14:paraId="2E9551E0">
            <w:pPr>
              <w:spacing w:line="360" w:lineRule="auto"/>
              <w:ind w:firstLine="480" w:firstLineChars="200"/>
              <w:rPr>
                <w:rFonts w:ascii="Times New Roman" w:hAnsi="Times New Roman" w:cs="Times New Roman"/>
              </w:rPr>
            </w:pPr>
            <w:r>
              <w:rPr>
                <w:rFonts w:ascii="Times New Roman" w:hAnsi="Times New Roman" w:cs="Times New Roman"/>
              </w:rPr>
              <w:t>结合本次二期新增废气负荷核算，本项目罐车与油气收集系统法兰、硬管螺栓连接，收集率为100%，二期新增废气</w:t>
            </w:r>
            <w:r>
              <w:rPr>
                <w:rFonts w:hint="eastAsia" w:ascii="Times New Roman" w:hAnsi="Times New Roman" w:cs="Times New Roman"/>
              </w:rPr>
              <w:t>量</w:t>
            </w:r>
            <w:r>
              <w:rPr>
                <w:rFonts w:ascii="Times New Roman" w:hAnsi="Times New Roman" w:cs="Times New Roman"/>
              </w:rPr>
              <w:t>峰值</w:t>
            </w:r>
            <w:r>
              <w:rPr>
                <w:rFonts w:hint="eastAsia" w:ascii="Times New Roman" w:hAnsi="Times New Roman" w:cs="Times New Roman"/>
              </w:rPr>
              <w:t>19024</w:t>
            </w:r>
            <w:r>
              <w:rPr>
                <w:rFonts w:ascii="Times New Roman" w:hAnsi="Times New Roman" w:cs="Times New Roman"/>
              </w:rPr>
              <w:t>Nm³/h，一、二期叠加总进气风量</w:t>
            </w:r>
            <w:r>
              <w:rPr>
                <w:rFonts w:hint="eastAsia" w:ascii="Times New Roman" w:hAnsi="Times New Roman" w:cs="Times New Roman"/>
              </w:rPr>
              <w:t>约</w:t>
            </w:r>
            <w:r>
              <w:rPr>
                <w:rFonts w:ascii="Times New Roman" w:hAnsi="Times New Roman" w:cs="Times New Roman"/>
              </w:rPr>
              <w:t>为</w:t>
            </w:r>
            <w:r>
              <w:rPr>
                <w:rFonts w:hint="eastAsia" w:ascii="Times New Roman" w:hAnsi="Times New Roman" w:cs="Times New Roman"/>
              </w:rPr>
              <w:t>8万</w:t>
            </w:r>
            <w:r>
              <w:rPr>
                <w:rFonts w:ascii="Times New Roman" w:hAnsi="Times New Roman" w:cs="Times New Roman"/>
              </w:rPr>
              <w:t>Nm³/h</w:t>
            </w:r>
            <w:r>
              <w:rPr>
                <w:rFonts w:hint="eastAsia" w:ascii="Times New Roman" w:hAnsi="Times New Roman" w:cs="Times New Roman"/>
              </w:rPr>
              <w:t>，</w:t>
            </w:r>
            <w:r>
              <w:rPr>
                <w:rFonts w:ascii="Times New Roman" w:hAnsi="Times New Roman" w:cs="Times New Roman"/>
              </w:rPr>
              <w:t>占装置额定处理风量的80%；现有引风风机、输送管路系统可满足一、二期废气统一引风收集要求，无需新增风机设备。</w:t>
            </w:r>
          </w:p>
          <w:p w14:paraId="73BC0126">
            <w:pPr>
              <w:widowControl w:val="0"/>
              <w:spacing w:line="360" w:lineRule="auto"/>
              <w:ind w:firstLine="480" w:firstLineChars="200"/>
              <w:jc w:val="both"/>
              <w:rPr>
                <w:rFonts w:ascii="Times New Roman" w:hAnsi="Times New Roman" w:cs="Times New Roman"/>
              </w:rPr>
            </w:pPr>
            <w:r>
              <w:rPr>
                <w:rFonts w:ascii="Times New Roman" w:hAnsi="Times New Roman" w:cs="Times New Roman"/>
              </w:rPr>
              <w:t>从工艺适配性来看，一期与二期储运物料品类不同，产生的油气废气不属于同质同源废气，两套系统废气经统一管网收集、装置冷凝液化后，冷凝液无法实现物理分开收集，采取混合收集、统一输送至一期加氢装置深加工处理的回用方式。本项目二期油品均为合规国标调和组分油，产生的油气冷凝液组分纯净、杂质含量极低，完全满足一期加氢装置进料指标要求，可直接进入一期加氢系统进行精制加工，无杂质富集、组分超标等问题。同时，二期油气冷凝液产生量极小，相较于一期加氢装置整体进料规模占比极低，微量混入的冷凝液可完全融入加氢生产工况，不会改变装置进料整体组分比例，对加氢装置运行稳定性、终端油品产品质量无任何不利影响，回用方案安全、合规、可行。</w:t>
            </w:r>
          </w:p>
          <w:p w14:paraId="0B47B2A8">
            <w:pPr>
              <w:spacing w:line="360" w:lineRule="auto"/>
              <w:ind w:firstLine="480" w:firstLineChars="200"/>
              <w:rPr>
                <w:rFonts w:ascii="Times New Roman" w:hAnsi="Times New Roman" w:cs="Times New Roman"/>
              </w:rPr>
            </w:pPr>
            <w:r>
              <w:rPr>
                <w:rFonts w:ascii="Times New Roman" w:hAnsi="Times New Roman" w:cs="Times New Roman"/>
              </w:rPr>
              <w:t>针对一期工程尚未</w:t>
            </w:r>
            <w:r>
              <w:rPr>
                <w:rFonts w:hint="eastAsia" w:ascii="Times New Roman" w:hAnsi="Times New Roman" w:cs="Times New Roman"/>
              </w:rPr>
              <w:t>验收</w:t>
            </w:r>
            <w:r>
              <w:rPr>
                <w:rFonts w:ascii="Times New Roman" w:hAnsi="Times New Roman" w:cs="Times New Roman"/>
              </w:rPr>
              <w:t>、治理效果暂无法实测验证的问题，本次依托可行性仅基于装置定型设计参数与同类工程成熟应用案例开展承载力校核，设备负荷冗余、工艺净化能力属于设计固有属性，与设施建成投产进度无直接关联，待一期油气回收装置建成投用后，可通过竣工环保验收、常态化在线监测等方式实测尾气排放指标，进一步核验治理措施实际有效性。废气治理过程产生的废活性炭等危险废物，可完全依托一期配套危废贮存库、既定危废处置单位及转运管理体系进行贮存、转运与合规处置，无需新增固废治理设施。</w:t>
            </w:r>
          </w:p>
          <w:p w14:paraId="409306B5">
            <w:pPr>
              <w:spacing w:line="360" w:lineRule="auto"/>
              <w:ind w:firstLine="480" w:firstLineChars="200"/>
              <w:rPr>
                <w:rFonts w:ascii="Times New Roman" w:hAnsi="Times New Roman" w:cs="Times New Roman"/>
              </w:rPr>
            </w:pPr>
            <w:r>
              <w:rPr>
                <w:rFonts w:ascii="Times New Roman" w:hAnsi="Times New Roman" w:cs="Times New Roman"/>
              </w:rPr>
              <w:t>综合风量负荷、工艺适配、设备冗余、固废处置、后期效果核验等多方面分析，本次二期工程有机废气依托一期油气回收设施集中处理规模匹配、工艺可靠、余量充足，依托方案具备可行性。</w:t>
            </w:r>
          </w:p>
          <w:p w14:paraId="59B57D3B">
            <w:pPr>
              <w:adjustRightInd w:val="0"/>
              <w:snapToGrid w:val="0"/>
              <w:spacing w:line="360" w:lineRule="auto"/>
              <w:rPr>
                <w:rFonts w:ascii="Times New Roman" w:hAnsi="Times New Roman" w:cs="Times New Roman"/>
                <w:b/>
              </w:rPr>
            </w:pPr>
            <w:r>
              <w:rPr>
                <w:rFonts w:ascii="Times New Roman" w:hAnsi="Times New Roman" w:cs="Times New Roman"/>
                <w:b/>
              </w:rPr>
              <w:t>8、总平面布置</w:t>
            </w:r>
          </w:p>
          <w:p w14:paraId="22922105">
            <w:pPr>
              <w:pStyle w:val="54"/>
              <w:rPr>
                <w:color w:val="000000"/>
              </w:rPr>
            </w:pPr>
            <w:r>
              <w:rPr>
                <w:color w:val="000000"/>
              </w:rPr>
              <w:t>厂区内总图布置情况：储运设施区包括1#罐组~5#罐组及其配套泵房布位于厂区西侧，区域配电室、现场机柜间以及泡沫站都布置在各罐组之间供其使用；高架火炬位于厂区西北角；汽车装卸区位于厂区西南角，独立设置围墙（栏）与生产区域隔离，靠近厂区外围，便于汽车装卸，且化学品仓库、危废贮存库、机修车间、硫磺堆场、备品备件仓库等仓储区布置在装卸区东侧，便于物料的运输装卸管理。</w:t>
            </w:r>
          </w:p>
          <w:p w14:paraId="14EC15FF">
            <w:pPr>
              <w:pStyle w:val="54"/>
              <w:rPr>
                <w:color w:val="000000"/>
              </w:rPr>
            </w:pPr>
            <w:r>
              <w:rPr>
                <w:color w:val="000000"/>
              </w:rPr>
              <w:t>本项目新建储罐位于2#罐组和3#罐组中，位于罐区西南侧，紧靠配电室与中心化验室。罐区的集中设置有利于油气回收装置对储罐废气的收集与处理。</w:t>
            </w:r>
          </w:p>
          <w:p w14:paraId="4014A137">
            <w:pPr>
              <w:overflowPunct w:val="0"/>
              <w:spacing w:line="360" w:lineRule="auto"/>
              <w:ind w:firstLine="480" w:firstLineChars="200"/>
              <w:rPr>
                <w:rFonts w:ascii="Times New Roman" w:hAnsi="Times New Roman" w:cs="Times New Roman"/>
                <w:color w:val="000000"/>
              </w:rPr>
            </w:pPr>
            <w:r>
              <w:rPr>
                <w:rFonts w:ascii="Times New Roman" w:hAnsi="Times New Roman" w:cs="Times New Roman"/>
                <w:color w:val="000000"/>
              </w:rPr>
              <w:t>按照上述平面布置，其总占地面积较小，且功能分区明确，装置区与罐区、辅助服务设施等距离最近，各单元间交通顺畅；满足项目集中、紧凑、布置合理且安全间距均满足安全防火规范的要求。</w:t>
            </w:r>
          </w:p>
          <w:p w14:paraId="7279A30E">
            <w:pPr>
              <w:adjustRightInd w:val="0"/>
              <w:snapToGrid w:val="0"/>
              <w:spacing w:line="360" w:lineRule="auto"/>
              <w:ind w:firstLine="512" w:firstLineChars="200"/>
              <w:rPr>
                <w:rFonts w:ascii="Times New Roman" w:hAnsi="Times New Roman" w:cs="Times New Roman"/>
                <w:b/>
              </w:rPr>
            </w:pPr>
            <w:r>
              <w:rPr>
                <w:rFonts w:ascii="Times New Roman" w:hAnsi="Times New Roman" w:cs="Times New Roman"/>
                <w:color w:val="000000"/>
                <w:spacing w:val="8"/>
              </w:rPr>
              <w:t>厂区平面布置详见附图1。</w:t>
            </w:r>
          </w:p>
        </w:tc>
      </w:tr>
      <w:tr w14:paraId="1D7FF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1" w:hRule="atLeast"/>
        </w:trPr>
        <w:tc>
          <w:tcPr>
            <w:tcW w:w="823" w:type="dxa"/>
            <w:vAlign w:val="center"/>
          </w:tcPr>
          <w:p w14:paraId="751A06FB">
            <w:pPr>
              <w:pStyle w:val="13"/>
              <w:adjustRightInd w:val="0"/>
              <w:snapToGrid w:val="0"/>
              <w:spacing w:before="0" w:beforeAutospacing="0" w:after="0" w:afterAutospacing="0"/>
              <w:jc w:val="center"/>
              <w:rPr>
                <w:rFonts w:ascii="Times New Roman" w:hAnsi="Times New Roman"/>
                <w:sz w:val="21"/>
                <w:szCs w:val="21"/>
              </w:rPr>
            </w:pPr>
            <w:r>
              <w:rPr>
                <w:rFonts w:ascii="Times New Roman" w:hAnsi="Times New Roman"/>
                <w:sz w:val="21"/>
                <w:szCs w:val="21"/>
              </w:rPr>
              <w:t>工艺流程和产排污环节</w:t>
            </w:r>
          </w:p>
        </w:tc>
        <w:tc>
          <w:tcPr>
            <w:tcW w:w="8161" w:type="dxa"/>
          </w:tcPr>
          <w:p w14:paraId="1F172468">
            <w:pPr>
              <w:pStyle w:val="42"/>
              <w:ind w:firstLine="0" w:firstLineChars="0"/>
            </w:pPr>
            <w:r>
              <w:rPr>
                <w:b/>
                <w:bCs/>
                <w:color w:val="000000"/>
              </w:rPr>
              <w:t>1、施工期</w:t>
            </w:r>
          </w:p>
          <w:p w14:paraId="55DC5B63">
            <w:pPr>
              <w:adjustRightInd w:val="0"/>
              <w:snapToGrid w:val="0"/>
              <w:ind w:firstLine="480" w:firstLineChars="200"/>
              <w:rPr>
                <w:rFonts w:ascii="Times New Roman" w:hAnsi="Times New Roman" w:cs="Times New Roman"/>
                <w:highlight w:val="yellow"/>
              </w:rPr>
            </w:pPr>
            <w:r>
              <w:rPr>
                <w:rFonts w:ascii="Times New Roman" w:hAnsi="Times New Roman" w:cs="Times New Roman"/>
              </w:rPr>
              <w:t>施工期工艺流程及产污节点见图2.</w:t>
            </w:r>
            <w:r>
              <w:rPr>
                <w:rFonts w:hint="eastAsia" w:ascii="Times New Roman" w:hAnsi="Times New Roman" w:cs="Times New Roman"/>
              </w:rPr>
              <w:t>2</w:t>
            </w:r>
            <w:r>
              <w:rPr>
                <w:rFonts w:ascii="Times New Roman" w:hAnsi="Times New Roman" w:cs="Times New Roman"/>
              </w:rPr>
              <w:t>。</w:t>
            </w:r>
          </w:p>
          <w:p w14:paraId="01AAB8E3">
            <w:pPr>
              <w:adjustRightInd w:val="0"/>
              <w:snapToGrid w:val="0"/>
              <w:rPr>
                <w:rFonts w:ascii="Times New Roman" w:hAnsi="Times New Roman" w:cs="Times New Roman"/>
              </w:rPr>
            </w:pPr>
          </w:p>
          <w:p w14:paraId="0D83A0BA">
            <w:pPr>
              <w:adjustRightInd w:val="0"/>
              <w:snapToGrid w:val="0"/>
              <w:ind w:firstLine="442" w:firstLineChars="200"/>
              <w:jc w:val="center"/>
              <w:rPr>
                <w:rFonts w:ascii="Times New Roman" w:hAnsi="Times New Roman" w:cs="Times New Roman"/>
                <w:b/>
                <w:bCs/>
                <w:highlight w:val="yellow"/>
              </w:rPr>
            </w:pPr>
            <w:r>
              <w:rPr>
                <w:rFonts w:ascii="Times New Roman" w:hAnsi="Times New Roman" w:cs="Times New Roman"/>
                <w:b/>
                <w:spacing w:val="-10"/>
                <w:szCs w:val="21"/>
              </w:rPr>
              <w:t>图2.2  施工期工艺流程及产污节点图</w:t>
            </w:r>
          </w:p>
          <w:p w14:paraId="0DB9C542">
            <w:pPr>
              <w:pStyle w:val="42"/>
              <w:ind w:firstLine="0" w:firstLineChars="0"/>
            </w:pPr>
            <w:r>
              <w:rPr>
                <w:b/>
                <w:bCs/>
                <w:color w:val="000000"/>
              </w:rPr>
              <w:t>2、运营期</w:t>
            </w:r>
          </w:p>
          <w:p w14:paraId="2AD13C9C">
            <w:pPr>
              <w:pStyle w:val="42"/>
              <w:ind w:firstLine="0" w:firstLineChars="0"/>
              <w:rPr>
                <w:b/>
                <w:bCs/>
                <w:color w:val="000000"/>
              </w:rPr>
            </w:pPr>
            <w:r>
              <w:rPr>
                <w:b/>
                <w:bCs/>
                <w:color w:val="000000"/>
              </w:rPr>
              <w:t>2.1汽油调和工艺流程及产污节点</w:t>
            </w:r>
          </w:p>
          <w:p w14:paraId="556A3199">
            <w:pPr>
              <w:adjustRightInd w:val="0"/>
              <w:snapToGrid w:val="0"/>
              <w:ind w:firstLine="480" w:firstLineChars="200"/>
              <w:rPr>
                <w:rFonts w:ascii="Times New Roman" w:hAnsi="Times New Roman" w:cs="Times New Roman"/>
                <w:b/>
                <w:bCs/>
                <w:color w:val="000000"/>
              </w:rPr>
            </w:pPr>
            <w:r>
              <w:rPr>
                <w:rFonts w:ascii="Times New Roman" w:hAnsi="Times New Roman" w:cs="Times New Roman"/>
              </w:rPr>
              <w:t>项目汽油调和工艺流程及产污节点见图2.3。</w:t>
            </w:r>
          </w:p>
          <w:p w14:paraId="380EF906">
            <w:pPr>
              <w:adjustRightInd w:val="0"/>
              <w:snapToGrid w:val="0"/>
              <w:rPr>
                <w:rFonts w:ascii="Times New Roman" w:hAnsi="Times New Roman" w:cs="Times New Roman"/>
                <w:bCs/>
              </w:rPr>
            </w:pPr>
          </w:p>
          <w:p w14:paraId="3174388B">
            <w:pPr>
              <w:adjustRightInd w:val="0"/>
              <w:snapToGrid w:val="0"/>
              <w:ind w:firstLine="442" w:firstLineChars="200"/>
              <w:jc w:val="center"/>
              <w:rPr>
                <w:rFonts w:ascii="Times New Roman" w:hAnsi="Times New Roman" w:cs="Times New Roman"/>
                <w:b/>
              </w:rPr>
            </w:pPr>
            <w:r>
              <w:rPr>
                <w:rFonts w:ascii="Times New Roman" w:hAnsi="Times New Roman" w:cs="Times New Roman"/>
                <w:b/>
                <w:spacing w:val="-10"/>
                <w:szCs w:val="21"/>
              </w:rPr>
              <w:t>图2.3  汽油调和工艺流程及产污节点图</w:t>
            </w:r>
          </w:p>
          <w:p w14:paraId="52A9EC69">
            <w:pPr>
              <w:adjustRightInd w:val="0"/>
              <w:snapToGrid w:val="0"/>
              <w:spacing w:line="360" w:lineRule="auto"/>
              <w:rPr>
                <w:rFonts w:ascii="Times New Roman" w:hAnsi="Times New Roman" w:cs="Times New Roman"/>
                <w:bCs/>
              </w:rPr>
            </w:pPr>
            <w:r>
              <w:rPr>
                <w:rFonts w:ascii="Times New Roman" w:hAnsi="Times New Roman" w:cs="Times New Roman"/>
                <w:bCs/>
              </w:rPr>
              <w:t>工艺流程简述：</w:t>
            </w:r>
          </w:p>
          <w:p w14:paraId="62F8D108">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1、原料进厂化验工序</w:t>
            </w:r>
          </w:p>
          <w:p w14:paraId="76BB948A">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外购异辛烷、石脑油、混合芳烃、MTBE 四类调和原料入场后，取样送入化验室开展理化指标、组分含量检测，确定汽油各组分配比参数，配比参数录入 DCS 自动化控制系统，用于精准自控调和流量。</w:t>
            </w:r>
          </w:p>
          <w:p w14:paraId="5BDF4FA9">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产污节点：化验试剂挥发、油品敞口取样产生化验有机废气。</w:t>
            </w:r>
          </w:p>
          <w:p w14:paraId="67557D15">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2、原料卸车工序</w:t>
            </w:r>
          </w:p>
          <w:p w14:paraId="4E85F87E">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原料罐车驶入卸车区，采用密闭鹤管底部卸车，利用卸车泵将油品送入原料储罐。</w:t>
            </w:r>
          </w:p>
          <w:p w14:paraId="1F73A09C">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产污节点：槽车卸车油气挥发、管路接口微量泄漏VOCs；卸车油泵运转噪声。</w:t>
            </w:r>
          </w:p>
          <w:p w14:paraId="3DAF4BAE">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3、原料储罐密闭储存工序</w:t>
            </w:r>
          </w:p>
          <w:p w14:paraId="6BEA68E3">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化验合格的4类原料分别泵入对应常压内浮顶原料储罐密闭静置储存，储罐设置浮盘、罐顶呼吸阀、气相收集支管，罐区统一气相总管汇集废气。</w:t>
            </w:r>
          </w:p>
          <w:p w14:paraId="1E761FAE">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产污节点：原料罐大呼吸、小呼吸挥发油气（VOCs），全部接入油气收集管网；储罐配套氮封调节阀、呼吸阀节流轻微噪声。</w:t>
            </w:r>
          </w:p>
          <w:p w14:paraId="75EE354F">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4、原料管道输送工序</w:t>
            </w:r>
          </w:p>
          <w:p w14:paraId="3CEF871A">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依托 DCS 系统设定配比，启动输送油泵，将四类原料按设定质量流量，从各自原料储罐经密闭管道输送至调和罐。全程管道法兰、阀门、泵体机械密封全部采用密闭无泄漏设计。</w:t>
            </w:r>
          </w:p>
          <w:p w14:paraId="5E51FBB6">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产污节点：输送油泵高速运转、介质管道节流产生持续机械噪声。</w:t>
            </w:r>
          </w:p>
          <w:p w14:paraId="71BEE89F">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5、调和工序</w:t>
            </w:r>
          </w:p>
          <w:p w14:paraId="011D6C89">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各</w:t>
            </w:r>
            <w:r>
              <w:rPr>
                <w:rFonts w:hint="eastAsia" w:ascii="Times New Roman" w:hAnsi="Times New Roman" w:cs="Times New Roman"/>
              </w:rPr>
              <w:t>组分</w:t>
            </w:r>
            <w:r>
              <w:rPr>
                <w:rFonts w:ascii="Times New Roman" w:hAnsi="Times New Roman" w:cs="Times New Roman"/>
              </w:rPr>
              <w:t>物料全部进入成品调和罐（成品储罐一体化罐体），启动循环调和泵，油品在罐体与外部管路之间持续高速循环，依靠水力剪切、罐内构件扰动实现多组分充分混匀，调和阶段罐体全程密闭，罐顶气相空间接入废气收集管网。</w:t>
            </w:r>
          </w:p>
          <w:p w14:paraId="0EC3EC42">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产污节点：调和阶段液面剧烈扰动产生大量挥发油气；罐体呼吸损耗；泵体、管路密封泄漏VOCs；调和循环泵持续运行产生噪声。</w:t>
            </w:r>
          </w:p>
          <w:p w14:paraId="63E84FFF">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6、成品化验工序</w:t>
            </w:r>
          </w:p>
          <w:p w14:paraId="225C1B0F">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油品调和均匀后，密闭取样检测辛烷值、芳烃、烯烃等指标，检测结果符合 GB 17930-2016标准则留存罐内待装车；不合格油品持续循环重新调和。</w:t>
            </w:r>
          </w:p>
          <w:p w14:paraId="14302520">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产污节点：取样过程油品挥发、化验试剂挥发产生化验废气。</w:t>
            </w:r>
          </w:p>
          <w:p w14:paraId="43BD7044">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7、成品暂存+装车外运工序</w:t>
            </w:r>
          </w:p>
          <w:p w14:paraId="67DA5AC3">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调和合格油品长期储存在同一调和成品罐内；装车作业时，启动装车泵，油品经密闭鹤管底部伸入槽车密闭装车，装车过程槽车内挤压油气同步回收至废气总管，装车完成称重后外运出厂。</w:t>
            </w:r>
          </w:p>
          <w:p w14:paraId="40739D9D">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产污节点：槽车密闭装车挤压产生装车油气；成品装车泵运行噪声、管路节流噪声。</w:t>
            </w:r>
          </w:p>
          <w:p w14:paraId="160CFF3D">
            <w:pPr>
              <w:pStyle w:val="42"/>
              <w:ind w:firstLine="0" w:firstLineChars="0"/>
              <w:rPr>
                <w:b/>
                <w:bCs/>
                <w:color w:val="000000"/>
              </w:rPr>
            </w:pPr>
            <w:r>
              <w:rPr>
                <w:b/>
                <w:bCs/>
                <w:color w:val="000000"/>
              </w:rPr>
              <w:t>2.2柴油调和工艺流程及产污节点</w:t>
            </w:r>
          </w:p>
          <w:p w14:paraId="7B2B6036">
            <w:pPr>
              <w:pStyle w:val="42"/>
              <w:ind w:firstLine="480"/>
            </w:pPr>
            <w:r>
              <w:t>项目柴油调和工艺流程及产污节点见图2.</w:t>
            </w:r>
            <w:r>
              <w:rPr>
                <w:rFonts w:hint="eastAsia"/>
              </w:rPr>
              <w:t>4</w:t>
            </w:r>
            <w:r>
              <w:t>。</w:t>
            </w:r>
          </w:p>
          <w:p w14:paraId="0BA88CFF">
            <w:pPr>
              <w:adjustRightInd w:val="0"/>
              <w:snapToGrid w:val="0"/>
              <w:rPr>
                <w:rFonts w:ascii="Times New Roman" w:hAnsi="Times New Roman" w:cs="Times New Roman"/>
              </w:rPr>
            </w:pPr>
          </w:p>
          <w:p w14:paraId="5C35D133">
            <w:pPr>
              <w:adjustRightInd w:val="0"/>
              <w:snapToGrid w:val="0"/>
              <w:ind w:firstLine="442" w:firstLineChars="200"/>
              <w:jc w:val="center"/>
              <w:rPr>
                <w:rFonts w:ascii="Times New Roman" w:hAnsi="Times New Roman" w:cs="Times New Roman"/>
                <w:b/>
              </w:rPr>
            </w:pPr>
            <w:r>
              <w:rPr>
                <w:rFonts w:ascii="Times New Roman" w:hAnsi="Times New Roman" w:cs="Times New Roman"/>
                <w:b/>
                <w:spacing w:val="-10"/>
                <w:szCs w:val="21"/>
              </w:rPr>
              <w:t>图2.4  柴油调和工艺流程及产污节点图</w:t>
            </w:r>
          </w:p>
          <w:p w14:paraId="17A78512">
            <w:pPr>
              <w:adjustRightInd w:val="0"/>
              <w:snapToGrid w:val="0"/>
              <w:spacing w:line="360" w:lineRule="auto"/>
              <w:rPr>
                <w:rFonts w:ascii="Times New Roman" w:hAnsi="Times New Roman" w:cs="Times New Roman"/>
              </w:rPr>
            </w:pPr>
            <w:r>
              <w:rPr>
                <w:rFonts w:ascii="Times New Roman" w:hAnsi="Times New Roman" w:cs="Times New Roman"/>
              </w:rPr>
              <w:t>工艺流程简述：</w:t>
            </w:r>
          </w:p>
          <w:p w14:paraId="079CEF52">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1、原料进厂化验工序</w:t>
            </w:r>
          </w:p>
          <w:p w14:paraId="2A95CE65">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外购轻质燃料油、煤基柴油进场后取样化验，检测组分、黏度、十六烷值等指标，确定调和配比，配比参数录入 DCS 自动化控制系统。</w:t>
            </w:r>
          </w:p>
          <w:p w14:paraId="316E6A59">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产污节点：化验试剂挥发、油品敞口取样产生化验有机废气。</w:t>
            </w:r>
          </w:p>
          <w:p w14:paraId="73F2A894">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2、原料卸车工序</w:t>
            </w:r>
          </w:p>
          <w:p w14:paraId="3F3A2436">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原料罐车驶入卸车区，采用密闭鹤管底部卸车，利用卸车泵将油品送入原料储罐。</w:t>
            </w:r>
          </w:p>
          <w:p w14:paraId="348BFB91">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产污节点：槽车卸车油气挥发、管路接口微量泄漏 VOCs；卸车油泵运转噪声。</w:t>
            </w:r>
          </w:p>
          <w:p w14:paraId="793EBC3E">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3、原料储罐密闭储存工序</w:t>
            </w:r>
          </w:p>
          <w:p w14:paraId="76C89D2B">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化验合格的原料分别泵入对应常压内浮顶原料储罐密闭静置储存，储罐设置浮盘、罐顶呼吸阀、气相收集支管，罐区统一气相总管汇集废气。</w:t>
            </w:r>
          </w:p>
          <w:p w14:paraId="09426433">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产污节点：原料罐大呼吸、小呼吸挥发油气（VOCs），全部接入油气收集管网；储罐配套氮封调节阀、呼吸阀节流轻微噪声。</w:t>
            </w:r>
          </w:p>
          <w:p w14:paraId="530AA974">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4、原料管道输送工序</w:t>
            </w:r>
          </w:p>
          <w:p w14:paraId="5B13B86E">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依托 DCS 系统设定配比，启动输送油泵，将原料按设定质量流量，从各自原料储罐经密闭管道输送至调和罐。全程管道法兰、阀门、泵体机械密封全部采用密闭无泄漏设计。</w:t>
            </w:r>
          </w:p>
          <w:p w14:paraId="1E974661">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产污节点：输送油泵高速运转、介质管道节流产生持续机械噪声。</w:t>
            </w:r>
          </w:p>
          <w:p w14:paraId="2C73B8BA">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5、调和工序</w:t>
            </w:r>
          </w:p>
          <w:p w14:paraId="6E8287F7">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各组</w:t>
            </w:r>
            <w:r>
              <w:rPr>
                <w:rFonts w:hint="eastAsia" w:ascii="Times New Roman" w:hAnsi="Times New Roman" w:cs="Times New Roman"/>
              </w:rPr>
              <w:t>分</w:t>
            </w:r>
            <w:r>
              <w:rPr>
                <w:rFonts w:ascii="Times New Roman" w:hAnsi="Times New Roman" w:cs="Times New Roman"/>
              </w:rPr>
              <w:t>物料全部进入成品调和罐（成品储罐一体化罐体），启动循环调和泵，油品在罐体与外部管路之间持续高速循环，依靠水力剪切、罐内构件扰动实现多组分充分混匀，调和阶段罐体全程密闭，罐顶气相空间接入废气收集管网。</w:t>
            </w:r>
          </w:p>
          <w:p w14:paraId="20A70B1D">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产污节点：调和阶段液面剧烈扰动产生大量挥发油气；罐体呼吸损耗；泵体、管路密封泄漏VOCs；调和循环泵持续运行产生噪声。</w:t>
            </w:r>
          </w:p>
          <w:p w14:paraId="43621F17">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6、成品化验工序</w:t>
            </w:r>
          </w:p>
          <w:p w14:paraId="0019BFAE">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调和完成后密闭取样化验，对照 GB 19147-2016标准判定产品是否合格，不合格柴油：利用输送泵泵入不合格柴油罐密闭暂存，定期回流至调和储存罐重新调和；合格柴油：留存于调和储存罐内待装车外销。</w:t>
            </w:r>
          </w:p>
          <w:p w14:paraId="57E443ED">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产污节点：取样过程油品挥发、化验试剂挥发产生化验废气；不合格柴油罐输送回流泵运转噪声。</w:t>
            </w:r>
          </w:p>
          <w:p w14:paraId="6B0EC0FF">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7、成品暂存+装车外运工序</w:t>
            </w:r>
          </w:p>
          <w:p w14:paraId="300EF80A">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调和合格油品长期储存在同一调和成品罐内；装车作业时，启动装车泵，油品经密闭鹤管底部伸入槽车密闭装车，装车过程槽车内挤压油气同步回收至废气总管，装车完成称重后外运出厂。</w:t>
            </w:r>
          </w:p>
          <w:p w14:paraId="10A8BA77">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产污节点：槽车密闭装车挤压产生装车油气；成品装车泵运行噪声、管路节流噪声。</w:t>
            </w:r>
          </w:p>
          <w:p w14:paraId="3406202D">
            <w:pPr>
              <w:pStyle w:val="42"/>
              <w:ind w:firstLine="0" w:firstLineChars="0"/>
              <w:rPr>
                <w:bCs/>
              </w:rPr>
            </w:pPr>
            <w:r>
              <w:rPr>
                <w:b/>
                <w:bCs/>
                <w:color w:val="000000"/>
              </w:rPr>
              <w:t>2.3项目产污节点汇总</w:t>
            </w:r>
          </w:p>
          <w:p w14:paraId="6A0D39FC">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运营期工艺产排污节点见表2-1</w:t>
            </w:r>
            <w:r>
              <w:rPr>
                <w:rFonts w:hint="eastAsia" w:ascii="Times New Roman" w:hAnsi="Times New Roman" w:cs="Times New Roman"/>
                <w:bCs/>
              </w:rPr>
              <w:t>5</w:t>
            </w:r>
            <w:r>
              <w:rPr>
                <w:rFonts w:ascii="Times New Roman" w:hAnsi="Times New Roman" w:cs="Times New Roman"/>
                <w:bCs/>
              </w:rPr>
              <w:t>。</w:t>
            </w:r>
          </w:p>
          <w:p w14:paraId="7DA49377">
            <w:pPr>
              <w:adjustRightInd w:val="0"/>
              <w:snapToGrid w:val="0"/>
              <w:ind w:firstLine="442" w:firstLineChars="200"/>
              <w:jc w:val="center"/>
              <w:rPr>
                <w:rFonts w:ascii="Times New Roman" w:hAnsi="Times New Roman" w:cs="Times New Roman"/>
                <w:b/>
              </w:rPr>
            </w:pPr>
            <w:r>
              <w:rPr>
                <w:rFonts w:ascii="Times New Roman" w:hAnsi="Times New Roman" w:cs="Times New Roman"/>
                <w:b/>
                <w:spacing w:val="-10"/>
                <w:szCs w:val="21"/>
              </w:rPr>
              <w:t>表2-1</w:t>
            </w:r>
            <w:r>
              <w:rPr>
                <w:rFonts w:hint="eastAsia" w:ascii="Times New Roman" w:hAnsi="Times New Roman" w:cs="Times New Roman"/>
                <w:b/>
                <w:spacing w:val="-10"/>
                <w:szCs w:val="21"/>
              </w:rPr>
              <w:t>5</w:t>
            </w:r>
            <w:r>
              <w:rPr>
                <w:rFonts w:ascii="Times New Roman" w:hAnsi="Times New Roman" w:cs="Times New Roman"/>
                <w:b/>
                <w:spacing w:val="-10"/>
                <w:szCs w:val="21"/>
              </w:rPr>
              <w:t xml:space="preserve">  运营期工艺产排污节点一览表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701"/>
              <w:gridCol w:w="1985"/>
              <w:gridCol w:w="3408"/>
            </w:tblGrid>
            <w:tr w14:paraId="6B127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18765802">
                  <w:pPr>
                    <w:adjustRightInd w:val="0"/>
                    <w:snapToGrid w:val="0"/>
                    <w:jc w:val="center"/>
                    <w:rPr>
                      <w:rFonts w:ascii="Times New Roman" w:hAnsi="Times New Roman" w:cs="Times New Roman"/>
                      <w:bCs/>
                      <w:szCs w:val="21"/>
                    </w:rPr>
                  </w:pPr>
                  <w:r>
                    <w:rPr>
                      <w:rFonts w:ascii="Times New Roman" w:hAnsi="Times New Roman" w:cs="Times New Roman"/>
                      <w:bCs/>
                      <w:szCs w:val="21"/>
                    </w:rPr>
                    <w:t>类型</w:t>
                  </w:r>
                </w:p>
              </w:tc>
              <w:tc>
                <w:tcPr>
                  <w:tcW w:w="1701" w:type="dxa"/>
                  <w:vAlign w:val="center"/>
                </w:tcPr>
                <w:p w14:paraId="0F1B07F1">
                  <w:pPr>
                    <w:adjustRightInd w:val="0"/>
                    <w:snapToGrid w:val="0"/>
                    <w:jc w:val="center"/>
                    <w:rPr>
                      <w:rFonts w:ascii="Times New Roman" w:hAnsi="Times New Roman" w:cs="Times New Roman"/>
                      <w:bCs/>
                      <w:szCs w:val="21"/>
                    </w:rPr>
                  </w:pPr>
                  <w:r>
                    <w:rPr>
                      <w:rFonts w:ascii="Times New Roman" w:hAnsi="Times New Roman" w:cs="Times New Roman"/>
                      <w:bCs/>
                      <w:szCs w:val="21"/>
                    </w:rPr>
                    <w:t>污染源</w:t>
                  </w:r>
                </w:p>
              </w:tc>
              <w:tc>
                <w:tcPr>
                  <w:tcW w:w="1985" w:type="dxa"/>
                  <w:vAlign w:val="center"/>
                </w:tcPr>
                <w:p w14:paraId="1B0C5968">
                  <w:pPr>
                    <w:adjustRightInd w:val="0"/>
                    <w:snapToGrid w:val="0"/>
                    <w:jc w:val="center"/>
                    <w:rPr>
                      <w:rFonts w:ascii="Times New Roman" w:hAnsi="Times New Roman" w:cs="Times New Roman"/>
                      <w:bCs/>
                      <w:szCs w:val="21"/>
                    </w:rPr>
                  </w:pPr>
                  <w:r>
                    <w:rPr>
                      <w:rFonts w:ascii="Times New Roman" w:hAnsi="Times New Roman" w:cs="Times New Roman"/>
                      <w:bCs/>
                      <w:szCs w:val="21"/>
                    </w:rPr>
                    <w:t>污染物</w:t>
                  </w:r>
                </w:p>
              </w:tc>
              <w:tc>
                <w:tcPr>
                  <w:tcW w:w="3408" w:type="dxa"/>
                </w:tcPr>
                <w:p w14:paraId="43CEAEBE">
                  <w:pPr>
                    <w:adjustRightInd w:val="0"/>
                    <w:snapToGrid w:val="0"/>
                    <w:jc w:val="center"/>
                    <w:rPr>
                      <w:rFonts w:ascii="Times New Roman" w:hAnsi="Times New Roman" w:cs="Times New Roman"/>
                      <w:bCs/>
                      <w:szCs w:val="21"/>
                    </w:rPr>
                  </w:pPr>
                  <w:r>
                    <w:rPr>
                      <w:rFonts w:ascii="Times New Roman" w:hAnsi="Times New Roman" w:cs="Times New Roman"/>
                      <w:bCs/>
                      <w:szCs w:val="21"/>
                    </w:rPr>
                    <w:t>治理措施</w:t>
                  </w:r>
                </w:p>
              </w:tc>
            </w:tr>
            <w:tr w14:paraId="45018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vMerge w:val="restart"/>
                  <w:vAlign w:val="center"/>
                </w:tcPr>
                <w:p w14:paraId="3FA688A4">
                  <w:pPr>
                    <w:adjustRightInd w:val="0"/>
                    <w:snapToGrid w:val="0"/>
                    <w:jc w:val="center"/>
                    <w:rPr>
                      <w:rFonts w:ascii="Times New Roman" w:hAnsi="Times New Roman" w:cs="Times New Roman"/>
                      <w:bCs/>
                      <w:szCs w:val="21"/>
                    </w:rPr>
                  </w:pPr>
                  <w:r>
                    <w:rPr>
                      <w:rFonts w:ascii="Times New Roman" w:hAnsi="Times New Roman" w:cs="Times New Roman"/>
                      <w:bCs/>
                      <w:szCs w:val="21"/>
                    </w:rPr>
                    <w:t>废气</w:t>
                  </w:r>
                </w:p>
              </w:tc>
              <w:tc>
                <w:tcPr>
                  <w:tcW w:w="1701" w:type="dxa"/>
                  <w:vAlign w:val="center"/>
                </w:tcPr>
                <w:p w14:paraId="72D4CF92">
                  <w:pPr>
                    <w:adjustRightInd w:val="0"/>
                    <w:snapToGrid w:val="0"/>
                    <w:jc w:val="center"/>
                    <w:rPr>
                      <w:rFonts w:ascii="Times New Roman" w:hAnsi="Times New Roman" w:cs="Times New Roman"/>
                      <w:bCs/>
                      <w:szCs w:val="21"/>
                    </w:rPr>
                  </w:pPr>
                  <w:r>
                    <w:rPr>
                      <w:rFonts w:ascii="Times New Roman" w:hAnsi="Times New Roman" w:cs="Times New Roman"/>
                      <w:bCs/>
                      <w:szCs w:val="21"/>
                    </w:rPr>
                    <w:t>物料装卸工序</w:t>
                  </w:r>
                </w:p>
              </w:tc>
              <w:tc>
                <w:tcPr>
                  <w:tcW w:w="1985" w:type="dxa"/>
                  <w:vAlign w:val="center"/>
                </w:tcPr>
                <w:p w14:paraId="692C05A1">
                  <w:pPr>
                    <w:adjustRightInd w:val="0"/>
                    <w:snapToGrid w:val="0"/>
                    <w:jc w:val="center"/>
                    <w:rPr>
                      <w:rFonts w:ascii="Times New Roman" w:hAnsi="Times New Roman" w:cs="Times New Roman"/>
                      <w:bCs/>
                      <w:szCs w:val="21"/>
                    </w:rPr>
                  </w:pPr>
                  <w:r>
                    <w:rPr>
                      <w:rFonts w:ascii="Times New Roman" w:hAnsi="Times New Roman" w:cs="Times New Roman"/>
                      <w:bCs/>
                      <w:szCs w:val="21"/>
                    </w:rPr>
                    <w:t>非甲烷总烃</w:t>
                  </w:r>
                  <w:r>
                    <w:rPr>
                      <w:rFonts w:hint="eastAsia" w:ascii="Times New Roman" w:hAnsi="Times New Roman" w:cs="Times New Roman"/>
                      <w:bCs/>
                      <w:szCs w:val="21"/>
                    </w:rPr>
                    <w:t>、苯、甲苯、二甲苯</w:t>
                  </w:r>
                </w:p>
              </w:tc>
              <w:tc>
                <w:tcPr>
                  <w:tcW w:w="3408" w:type="dxa"/>
                </w:tcPr>
                <w:p w14:paraId="58E0D96A">
                  <w:pPr>
                    <w:adjustRightInd w:val="0"/>
                    <w:snapToGrid w:val="0"/>
                    <w:rPr>
                      <w:rFonts w:ascii="Times New Roman" w:hAnsi="Times New Roman" w:cs="Times New Roman"/>
                      <w:bCs/>
                      <w:szCs w:val="21"/>
                    </w:rPr>
                  </w:pPr>
                  <w:r>
                    <w:rPr>
                      <w:rFonts w:ascii="Times New Roman" w:hAnsi="Times New Roman" w:cs="Times New Roman"/>
                      <w:bCs/>
                      <w:szCs w:val="21"/>
                    </w:rPr>
                    <w:t>油气回收系统（冷凝+活性炭吸附）+15m排气筒</w:t>
                  </w:r>
                </w:p>
              </w:tc>
            </w:tr>
            <w:tr w14:paraId="74DC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vMerge w:val="continue"/>
                  <w:vAlign w:val="center"/>
                </w:tcPr>
                <w:p w14:paraId="67D2F945">
                  <w:pPr>
                    <w:adjustRightInd w:val="0"/>
                    <w:snapToGrid w:val="0"/>
                    <w:jc w:val="center"/>
                    <w:rPr>
                      <w:rFonts w:ascii="Times New Roman" w:hAnsi="Times New Roman" w:cs="Times New Roman"/>
                      <w:bCs/>
                      <w:szCs w:val="21"/>
                    </w:rPr>
                  </w:pPr>
                </w:p>
              </w:tc>
              <w:tc>
                <w:tcPr>
                  <w:tcW w:w="1701" w:type="dxa"/>
                  <w:vAlign w:val="center"/>
                </w:tcPr>
                <w:p w14:paraId="23B1BA5D">
                  <w:pPr>
                    <w:adjustRightInd w:val="0"/>
                    <w:snapToGrid w:val="0"/>
                    <w:jc w:val="center"/>
                    <w:rPr>
                      <w:rFonts w:ascii="Times New Roman" w:hAnsi="Times New Roman" w:cs="Times New Roman"/>
                      <w:bCs/>
                      <w:szCs w:val="21"/>
                    </w:rPr>
                  </w:pPr>
                  <w:r>
                    <w:rPr>
                      <w:rFonts w:ascii="Times New Roman" w:hAnsi="Times New Roman" w:cs="Times New Roman"/>
                      <w:bCs/>
                      <w:szCs w:val="21"/>
                    </w:rPr>
                    <w:t>物料储存、调和工序</w:t>
                  </w:r>
                </w:p>
              </w:tc>
              <w:tc>
                <w:tcPr>
                  <w:tcW w:w="1985" w:type="dxa"/>
                  <w:vAlign w:val="center"/>
                </w:tcPr>
                <w:p w14:paraId="744743A5">
                  <w:pPr>
                    <w:adjustRightInd w:val="0"/>
                    <w:snapToGrid w:val="0"/>
                    <w:jc w:val="center"/>
                    <w:rPr>
                      <w:rFonts w:ascii="Times New Roman" w:hAnsi="Times New Roman" w:cs="Times New Roman"/>
                      <w:bCs/>
                      <w:szCs w:val="21"/>
                    </w:rPr>
                  </w:pPr>
                  <w:r>
                    <w:rPr>
                      <w:rFonts w:ascii="Times New Roman" w:hAnsi="Times New Roman" w:cs="Times New Roman"/>
                      <w:bCs/>
                      <w:szCs w:val="21"/>
                    </w:rPr>
                    <w:t>非甲烷总烃</w:t>
                  </w:r>
                  <w:r>
                    <w:rPr>
                      <w:rFonts w:hint="eastAsia" w:ascii="Times New Roman" w:hAnsi="Times New Roman" w:cs="Times New Roman"/>
                      <w:bCs/>
                      <w:szCs w:val="21"/>
                    </w:rPr>
                    <w:t>、苯、甲苯、二甲苯</w:t>
                  </w:r>
                </w:p>
              </w:tc>
              <w:tc>
                <w:tcPr>
                  <w:tcW w:w="3408" w:type="dxa"/>
                </w:tcPr>
                <w:p w14:paraId="6CFB042E">
                  <w:pPr>
                    <w:adjustRightInd w:val="0"/>
                    <w:snapToGrid w:val="0"/>
                    <w:rPr>
                      <w:rFonts w:ascii="Times New Roman" w:hAnsi="Times New Roman" w:cs="Times New Roman"/>
                      <w:bCs/>
                      <w:szCs w:val="21"/>
                    </w:rPr>
                  </w:pPr>
                  <w:r>
                    <w:rPr>
                      <w:rFonts w:ascii="Times New Roman" w:hAnsi="Times New Roman" w:cs="Times New Roman"/>
                      <w:bCs/>
                      <w:szCs w:val="21"/>
                    </w:rPr>
                    <w:t>内浮顶罐+氮封+油气回收系统（冷凝+活性炭吸附）+15m排气筒</w:t>
                  </w:r>
                </w:p>
              </w:tc>
            </w:tr>
            <w:tr w14:paraId="2395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vMerge w:val="continue"/>
                  <w:vAlign w:val="center"/>
                </w:tcPr>
                <w:p w14:paraId="4FEBBF54">
                  <w:pPr>
                    <w:adjustRightInd w:val="0"/>
                    <w:snapToGrid w:val="0"/>
                    <w:jc w:val="center"/>
                    <w:rPr>
                      <w:rFonts w:ascii="Times New Roman" w:hAnsi="Times New Roman" w:cs="Times New Roman"/>
                      <w:bCs/>
                      <w:szCs w:val="21"/>
                    </w:rPr>
                  </w:pPr>
                </w:p>
              </w:tc>
              <w:tc>
                <w:tcPr>
                  <w:tcW w:w="1701" w:type="dxa"/>
                  <w:vAlign w:val="center"/>
                </w:tcPr>
                <w:p w14:paraId="2217D694">
                  <w:pPr>
                    <w:adjustRightInd w:val="0"/>
                    <w:snapToGrid w:val="0"/>
                    <w:jc w:val="center"/>
                    <w:rPr>
                      <w:rFonts w:ascii="Times New Roman" w:hAnsi="Times New Roman" w:cs="Times New Roman"/>
                      <w:bCs/>
                      <w:szCs w:val="21"/>
                    </w:rPr>
                  </w:pPr>
                  <w:r>
                    <w:rPr>
                      <w:rFonts w:ascii="Times New Roman" w:hAnsi="Times New Roman" w:cs="Times New Roman"/>
                      <w:bCs/>
                      <w:szCs w:val="21"/>
                    </w:rPr>
                    <w:t>设备动静密封点</w:t>
                  </w:r>
                </w:p>
              </w:tc>
              <w:tc>
                <w:tcPr>
                  <w:tcW w:w="1985" w:type="dxa"/>
                  <w:vAlign w:val="center"/>
                </w:tcPr>
                <w:p w14:paraId="078FB62C">
                  <w:pPr>
                    <w:adjustRightInd w:val="0"/>
                    <w:snapToGrid w:val="0"/>
                    <w:jc w:val="center"/>
                    <w:rPr>
                      <w:rFonts w:ascii="Times New Roman" w:hAnsi="Times New Roman" w:cs="Times New Roman"/>
                      <w:bCs/>
                      <w:szCs w:val="21"/>
                    </w:rPr>
                  </w:pPr>
                  <w:r>
                    <w:rPr>
                      <w:rFonts w:ascii="Times New Roman" w:hAnsi="Times New Roman" w:cs="Times New Roman"/>
                      <w:bCs/>
                      <w:szCs w:val="21"/>
                    </w:rPr>
                    <w:t>非甲烷总烃</w:t>
                  </w:r>
                  <w:r>
                    <w:rPr>
                      <w:rFonts w:hint="eastAsia" w:ascii="Times New Roman" w:hAnsi="Times New Roman" w:cs="Times New Roman"/>
                      <w:bCs/>
                      <w:szCs w:val="21"/>
                    </w:rPr>
                    <w:t>、苯、甲苯、二甲苯</w:t>
                  </w:r>
                </w:p>
              </w:tc>
              <w:tc>
                <w:tcPr>
                  <w:tcW w:w="3408" w:type="dxa"/>
                </w:tcPr>
                <w:p w14:paraId="2F4C779F">
                  <w:pPr>
                    <w:adjustRightInd w:val="0"/>
                    <w:snapToGrid w:val="0"/>
                    <w:rPr>
                      <w:rFonts w:ascii="Times New Roman" w:hAnsi="Times New Roman" w:cs="Times New Roman"/>
                      <w:bCs/>
                      <w:szCs w:val="21"/>
                    </w:rPr>
                  </w:pPr>
                  <w:r>
                    <w:rPr>
                      <w:rFonts w:ascii="Times New Roman" w:hAnsi="Times New Roman" w:cs="Times New Roman"/>
                      <w:bCs/>
                      <w:szCs w:val="21"/>
                    </w:rPr>
                    <w:t>对各设备、阀门、法兰、泵、连接件等进行定期的检查、检修；定期开展泄漏检测和修复工作</w:t>
                  </w:r>
                </w:p>
              </w:tc>
            </w:tr>
            <w:tr w14:paraId="770C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vMerge w:val="continue"/>
                  <w:vAlign w:val="center"/>
                </w:tcPr>
                <w:p w14:paraId="648EC44F">
                  <w:pPr>
                    <w:adjustRightInd w:val="0"/>
                    <w:snapToGrid w:val="0"/>
                    <w:jc w:val="center"/>
                    <w:rPr>
                      <w:rFonts w:ascii="Times New Roman" w:hAnsi="Times New Roman" w:cs="Times New Roman"/>
                      <w:bCs/>
                      <w:szCs w:val="21"/>
                    </w:rPr>
                  </w:pPr>
                </w:p>
              </w:tc>
              <w:tc>
                <w:tcPr>
                  <w:tcW w:w="1701" w:type="dxa"/>
                  <w:vAlign w:val="center"/>
                </w:tcPr>
                <w:p w14:paraId="540DF7B8">
                  <w:pPr>
                    <w:adjustRightInd w:val="0"/>
                    <w:snapToGrid w:val="0"/>
                    <w:jc w:val="center"/>
                    <w:rPr>
                      <w:rFonts w:ascii="Times New Roman" w:hAnsi="Times New Roman" w:cs="Times New Roman"/>
                      <w:bCs/>
                      <w:szCs w:val="21"/>
                    </w:rPr>
                  </w:pPr>
                  <w:r>
                    <w:rPr>
                      <w:rFonts w:ascii="Times New Roman" w:hAnsi="Times New Roman" w:cs="Times New Roman"/>
                      <w:bCs/>
                      <w:szCs w:val="21"/>
                    </w:rPr>
                    <w:t>化验废气</w:t>
                  </w:r>
                </w:p>
              </w:tc>
              <w:tc>
                <w:tcPr>
                  <w:tcW w:w="1985" w:type="dxa"/>
                  <w:vAlign w:val="center"/>
                </w:tcPr>
                <w:p w14:paraId="36E532B3">
                  <w:pPr>
                    <w:adjustRightInd w:val="0"/>
                    <w:snapToGrid w:val="0"/>
                    <w:jc w:val="center"/>
                    <w:rPr>
                      <w:rFonts w:ascii="Times New Roman" w:hAnsi="Times New Roman" w:cs="Times New Roman"/>
                      <w:bCs/>
                      <w:szCs w:val="21"/>
                    </w:rPr>
                  </w:pPr>
                  <w:r>
                    <w:rPr>
                      <w:rFonts w:ascii="Times New Roman" w:hAnsi="Times New Roman" w:cs="Times New Roman"/>
                      <w:bCs/>
                      <w:szCs w:val="21"/>
                    </w:rPr>
                    <w:t>非甲烷总烃</w:t>
                  </w:r>
                </w:p>
              </w:tc>
              <w:tc>
                <w:tcPr>
                  <w:tcW w:w="3408" w:type="dxa"/>
                </w:tcPr>
                <w:p w14:paraId="11D6C33D">
                  <w:pPr>
                    <w:adjustRightInd w:val="0"/>
                    <w:snapToGrid w:val="0"/>
                    <w:rPr>
                      <w:rFonts w:ascii="Times New Roman" w:hAnsi="Times New Roman" w:cs="Times New Roman"/>
                      <w:bCs/>
                      <w:szCs w:val="21"/>
                    </w:rPr>
                  </w:pPr>
                  <w:r>
                    <w:rPr>
                      <w:rFonts w:ascii="Times New Roman" w:hAnsi="Times New Roman" w:cs="Times New Roman"/>
                      <w:bCs/>
                      <w:szCs w:val="21"/>
                    </w:rPr>
                    <w:t>化验室密闭通风、局部集气；加强操作管理，减少敞口取样时长</w:t>
                  </w:r>
                </w:p>
              </w:tc>
            </w:tr>
            <w:tr w14:paraId="5FEA8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836" w:type="dxa"/>
                  <w:vAlign w:val="center"/>
                </w:tcPr>
                <w:p w14:paraId="40E14EA5">
                  <w:pPr>
                    <w:adjustRightInd w:val="0"/>
                    <w:snapToGrid w:val="0"/>
                    <w:jc w:val="center"/>
                    <w:rPr>
                      <w:rFonts w:ascii="Times New Roman" w:hAnsi="Times New Roman" w:cs="Times New Roman"/>
                      <w:bCs/>
                      <w:szCs w:val="21"/>
                    </w:rPr>
                  </w:pPr>
                  <w:r>
                    <w:rPr>
                      <w:rFonts w:ascii="Times New Roman" w:hAnsi="Times New Roman" w:cs="Times New Roman"/>
                      <w:bCs/>
                      <w:szCs w:val="21"/>
                    </w:rPr>
                    <w:t>噪声</w:t>
                  </w:r>
                </w:p>
              </w:tc>
              <w:tc>
                <w:tcPr>
                  <w:tcW w:w="1701" w:type="dxa"/>
                  <w:vAlign w:val="center"/>
                </w:tcPr>
                <w:p w14:paraId="1E92EA62">
                  <w:pPr>
                    <w:adjustRightInd w:val="0"/>
                    <w:snapToGrid w:val="0"/>
                    <w:jc w:val="center"/>
                    <w:rPr>
                      <w:rFonts w:ascii="Times New Roman" w:hAnsi="Times New Roman" w:cs="Times New Roman"/>
                      <w:bCs/>
                      <w:szCs w:val="21"/>
                    </w:rPr>
                  </w:pPr>
                  <w:r>
                    <w:rPr>
                      <w:rFonts w:ascii="Times New Roman" w:hAnsi="Times New Roman" w:cs="Times New Roman"/>
                      <w:bCs/>
                      <w:szCs w:val="21"/>
                    </w:rPr>
                    <w:t>泵类</w:t>
                  </w:r>
                </w:p>
              </w:tc>
              <w:tc>
                <w:tcPr>
                  <w:tcW w:w="1985" w:type="dxa"/>
                  <w:vAlign w:val="center"/>
                </w:tcPr>
                <w:p w14:paraId="05366E4C">
                  <w:pPr>
                    <w:adjustRightInd w:val="0"/>
                    <w:snapToGrid w:val="0"/>
                    <w:jc w:val="center"/>
                    <w:rPr>
                      <w:rFonts w:ascii="Times New Roman" w:hAnsi="Times New Roman" w:cs="Times New Roman"/>
                      <w:bCs/>
                      <w:szCs w:val="21"/>
                    </w:rPr>
                  </w:pPr>
                  <w:r>
                    <w:rPr>
                      <w:rFonts w:ascii="Times New Roman" w:hAnsi="Times New Roman" w:cs="Times New Roman"/>
                      <w:bCs/>
                      <w:szCs w:val="21"/>
                    </w:rPr>
                    <w:t>设备噪声</w:t>
                  </w:r>
                </w:p>
              </w:tc>
              <w:tc>
                <w:tcPr>
                  <w:tcW w:w="3408" w:type="dxa"/>
                  <w:vAlign w:val="center"/>
                </w:tcPr>
                <w:p w14:paraId="14321209">
                  <w:pPr>
                    <w:adjustRightInd w:val="0"/>
                    <w:snapToGrid w:val="0"/>
                    <w:jc w:val="center"/>
                    <w:rPr>
                      <w:rFonts w:ascii="Times New Roman" w:hAnsi="Times New Roman" w:cs="Times New Roman"/>
                      <w:bCs/>
                      <w:szCs w:val="21"/>
                    </w:rPr>
                  </w:pPr>
                  <w:r>
                    <w:rPr>
                      <w:rFonts w:ascii="Times New Roman" w:hAnsi="Times New Roman" w:cs="Times New Roman"/>
                      <w:bCs/>
                      <w:szCs w:val="21"/>
                    </w:rPr>
                    <w:t>选用低噪声设备，基础减</w:t>
                  </w:r>
                  <w:r>
                    <w:rPr>
                      <w:rFonts w:hint="eastAsia" w:ascii="Times New Roman" w:hAnsi="Times New Roman" w:cs="Times New Roman"/>
                      <w:bCs/>
                      <w:szCs w:val="21"/>
                    </w:rPr>
                    <w:t>振</w:t>
                  </w:r>
                </w:p>
              </w:tc>
            </w:tr>
            <w:tr w14:paraId="0EE6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836" w:type="dxa"/>
                  <w:vMerge w:val="restart"/>
                  <w:vAlign w:val="center"/>
                </w:tcPr>
                <w:p w14:paraId="4EED3375">
                  <w:pPr>
                    <w:adjustRightInd w:val="0"/>
                    <w:snapToGrid w:val="0"/>
                    <w:jc w:val="center"/>
                    <w:rPr>
                      <w:rFonts w:ascii="Times New Roman" w:hAnsi="Times New Roman" w:cs="Times New Roman"/>
                      <w:bCs/>
                      <w:szCs w:val="21"/>
                    </w:rPr>
                  </w:pPr>
                  <w:r>
                    <w:rPr>
                      <w:rFonts w:ascii="Times New Roman" w:hAnsi="Times New Roman" w:cs="Times New Roman"/>
                      <w:bCs/>
                      <w:szCs w:val="21"/>
                    </w:rPr>
                    <w:t>固废</w:t>
                  </w:r>
                </w:p>
              </w:tc>
              <w:tc>
                <w:tcPr>
                  <w:tcW w:w="1701" w:type="dxa"/>
                  <w:vAlign w:val="center"/>
                </w:tcPr>
                <w:p w14:paraId="7CDBE97D">
                  <w:pPr>
                    <w:adjustRightInd w:val="0"/>
                    <w:snapToGrid w:val="0"/>
                    <w:jc w:val="center"/>
                    <w:rPr>
                      <w:rFonts w:ascii="Times New Roman" w:hAnsi="Times New Roman" w:cs="Times New Roman"/>
                      <w:bCs/>
                      <w:szCs w:val="21"/>
                    </w:rPr>
                  </w:pPr>
                  <w:r>
                    <w:rPr>
                      <w:rFonts w:ascii="Times New Roman" w:hAnsi="Times New Roman" w:cs="Times New Roman"/>
                      <w:bCs/>
                      <w:szCs w:val="21"/>
                    </w:rPr>
                    <w:t>油气回收装置</w:t>
                  </w:r>
                </w:p>
              </w:tc>
              <w:tc>
                <w:tcPr>
                  <w:tcW w:w="1985" w:type="dxa"/>
                  <w:vAlign w:val="center"/>
                </w:tcPr>
                <w:p w14:paraId="1B996662">
                  <w:pPr>
                    <w:adjustRightInd w:val="0"/>
                    <w:snapToGrid w:val="0"/>
                    <w:jc w:val="center"/>
                    <w:rPr>
                      <w:rFonts w:ascii="Times New Roman" w:hAnsi="Times New Roman" w:cs="Times New Roman"/>
                      <w:bCs/>
                      <w:szCs w:val="21"/>
                    </w:rPr>
                  </w:pPr>
                  <w:r>
                    <w:rPr>
                      <w:rFonts w:ascii="Times New Roman" w:hAnsi="Times New Roman" w:cs="Times New Roman"/>
                      <w:bCs/>
                      <w:szCs w:val="21"/>
                    </w:rPr>
                    <w:t>废活性炭</w:t>
                  </w:r>
                </w:p>
              </w:tc>
              <w:tc>
                <w:tcPr>
                  <w:tcW w:w="3408" w:type="dxa"/>
                  <w:vMerge w:val="restart"/>
                  <w:vAlign w:val="center"/>
                </w:tcPr>
                <w:p w14:paraId="66F98EBF">
                  <w:pPr>
                    <w:adjustRightInd w:val="0"/>
                    <w:snapToGrid w:val="0"/>
                    <w:jc w:val="center"/>
                    <w:rPr>
                      <w:rFonts w:ascii="Times New Roman" w:hAnsi="Times New Roman" w:cs="Times New Roman"/>
                      <w:bCs/>
                      <w:szCs w:val="21"/>
                    </w:rPr>
                  </w:pPr>
                  <w:r>
                    <w:rPr>
                      <w:rFonts w:ascii="Times New Roman" w:hAnsi="Times New Roman" w:cs="Times New Roman"/>
                      <w:bCs/>
                      <w:szCs w:val="21"/>
                    </w:rPr>
                    <w:t>危废贮存库暂存，定期交有资质单位处置</w:t>
                  </w:r>
                </w:p>
              </w:tc>
            </w:tr>
            <w:tr w14:paraId="5F821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836" w:type="dxa"/>
                  <w:vMerge w:val="continue"/>
                  <w:vAlign w:val="center"/>
                </w:tcPr>
                <w:p w14:paraId="619DA88F">
                  <w:pPr>
                    <w:adjustRightInd w:val="0"/>
                    <w:snapToGrid w:val="0"/>
                    <w:jc w:val="center"/>
                    <w:rPr>
                      <w:rFonts w:ascii="Times New Roman" w:hAnsi="Times New Roman" w:cs="Times New Roman"/>
                      <w:bCs/>
                      <w:szCs w:val="21"/>
                    </w:rPr>
                  </w:pPr>
                </w:p>
              </w:tc>
              <w:tc>
                <w:tcPr>
                  <w:tcW w:w="1701" w:type="dxa"/>
                  <w:vMerge w:val="restart"/>
                  <w:vAlign w:val="center"/>
                </w:tcPr>
                <w:p w14:paraId="78586CA2">
                  <w:pPr>
                    <w:adjustRightInd w:val="0"/>
                    <w:snapToGrid w:val="0"/>
                    <w:jc w:val="center"/>
                    <w:rPr>
                      <w:rFonts w:ascii="Times New Roman" w:hAnsi="Times New Roman" w:cs="Times New Roman"/>
                      <w:bCs/>
                      <w:szCs w:val="21"/>
                    </w:rPr>
                  </w:pPr>
                  <w:r>
                    <w:rPr>
                      <w:rFonts w:ascii="Times New Roman" w:hAnsi="Times New Roman" w:cs="Times New Roman"/>
                      <w:bCs/>
                      <w:szCs w:val="21"/>
                    </w:rPr>
                    <w:t>化验室</w:t>
                  </w:r>
                </w:p>
              </w:tc>
              <w:tc>
                <w:tcPr>
                  <w:tcW w:w="1985" w:type="dxa"/>
                  <w:vAlign w:val="center"/>
                </w:tcPr>
                <w:p w14:paraId="734C7843">
                  <w:pPr>
                    <w:adjustRightInd w:val="0"/>
                    <w:snapToGrid w:val="0"/>
                    <w:jc w:val="center"/>
                    <w:rPr>
                      <w:rFonts w:ascii="Times New Roman" w:hAnsi="Times New Roman" w:cs="Times New Roman"/>
                      <w:bCs/>
                      <w:szCs w:val="21"/>
                    </w:rPr>
                  </w:pPr>
                  <w:r>
                    <w:rPr>
                      <w:rFonts w:ascii="Times New Roman" w:hAnsi="Times New Roman" w:cs="Times New Roman"/>
                      <w:bCs/>
                      <w:szCs w:val="21"/>
                    </w:rPr>
                    <w:t>废检测管、吸管</w:t>
                  </w:r>
                </w:p>
              </w:tc>
              <w:tc>
                <w:tcPr>
                  <w:tcW w:w="3408" w:type="dxa"/>
                  <w:vMerge w:val="continue"/>
                  <w:vAlign w:val="center"/>
                </w:tcPr>
                <w:p w14:paraId="57AE9474">
                  <w:pPr>
                    <w:adjustRightInd w:val="0"/>
                    <w:snapToGrid w:val="0"/>
                    <w:jc w:val="center"/>
                    <w:rPr>
                      <w:rFonts w:ascii="Times New Roman" w:hAnsi="Times New Roman" w:cs="Times New Roman"/>
                      <w:bCs/>
                      <w:szCs w:val="21"/>
                    </w:rPr>
                  </w:pPr>
                </w:p>
              </w:tc>
            </w:tr>
            <w:tr w14:paraId="54DC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836" w:type="dxa"/>
                  <w:vMerge w:val="continue"/>
                  <w:vAlign w:val="center"/>
                </w:tcPr>
                <w:p w14:paraId="049442B7">
                  <w:pPr>
                    <w:adjustRightInd w:val="0"/>
                    <w:snapToGrid w:val="0"/>
                    <w:jc w:val="center"/>
                    <w:rPr>
                      <w:rFonts w:ascii="Times New Roman" w:hAnsi="Times New Roman" w:cs="Times New Roman"/>
                      <w:bCs/>
                      <w:szCs w:val="21"/>
                    </w:rPr>
                  </w:pPr>
                </w:p>
              </w:tc>
              <w:tc>
                <w:tcPr>
                  <w:tcW w:w="1701" w:type="dxa"/>
                  <w:vMerge w:val="continue"/>
                  <w:vAlign w:val="center"/>
                </w:tcPr>
                <w:p w14:paraId="46D02964">
                  <w:pPr>
                    <w:adjustRightInd w:val="0"/>
                    <w:snapToGrid w:val="0"/>
                    <w:jc w:val="center"/>
                    <w:rPr>
                      <w:rFonts w:ascii="Times New Roman" w:hAnsi="Times New Roman" w:cs="Times New Roman"/>
                      <w:bCs/>
                      <w:szCs w:val="21"/>
                    </w:rPr>
                  </w:pPr>
                </w:p>
              </w:tc>
              <w:tc>
                <w:tcPr>
                  <w:tcW w:w="1985" w:type="dxa"/>
                  <w:vAlign w:val="center"/>
                </w:tcPr>
                <w:p w14:paraId="3AD0C309">
                  <w:pPr>
                    <w:adjustRightInd w:val="0"/>
                    <w:snapToGrid w:val="0"/>
                    <w:jc w:val="center"/>
                    <w:rPr>
                      <w:rFonts w:ascii="Times New Roman" w:hAnsi="Times New Roman" w:cs="Times New Roman"/>
                      <w:bCs/>
                      <w:szCs w:val="21"/>
                    </w:rPr>
                  </w:pPr>
                  <w:r>
                    <w:rPr>
                      <w:rFonts w:ascii="Times New Roman" w:hAnsi="Times New Roman" w:cs="Times New Roman"/>
                      <w:bCs/>
                      <w:szCs w:val="21"/>
                    </w:rPr>
                    <w:t>废试剂瓶</w:t>
                  </w:r>
                </w:p>
              </w:tc>
              <w:tc>
                <w:tcPr>
                  <w:tcW w:w="3408" w:type="dxa"/>
                  <w:vMerge w:val="continue"/>
                  <w:vAlign w:val="center"/>
                </w:tcPr>
                <w:p w14:paraId="75D704B6">
                  <w:pPr>
                    <w:adjustRightInd w:val="0"/>
                    <w:snapToGrid w:val="0"/>
                    <w:jc w:val="center"/>
                    <w:rPr>
                      <w:rFonts w:ascii="Times New Roman" w:hAnsi="Times New Roman" w:cs="Times New Roman"/>
                      <w:bCs/>
                      <w:szCs w:val="21"/>
                    </w:rPr>
                  </w:pPr>
                </w:p>
              </w:tc>
            </w:tr>
          </w:tbl>
          <w:p w14:paraId="4AE47631">
            <w:pPr>
              <w:pStyle w:val="42"/>
              <w:ind w:firstLine="0" w:firstLineChars="0"/>
              <w:rPr>
                <w:bCs/>
              </w:rPr>
            </w:pPr>
            <w:r>
              <w:rPr>
                <w:b/>
                <w:bCs/>
                <w:color w:val="000000"/>
              </w:rPr>
              <w:t>2.4工艺操作条件</w:t>
            </w:r>
          </w:p>
          <w:p w14:paraId="39972359">
            <w:pPr>
              <w:adjustRightInd w:val="0"/>
              <w:snapToGrid w:val="0"/>
              <w:ind w:firstLine="480" w:firstLineChars="200"/>
              <w:rPr>
                <w:rFonts w:ascii="Times New Roman" w:hAnsi="Times New Roman" w:cs="Times New Roman"/>
                <w:bCs/>
              </w:rPr>
            </w:pPr>
            <w:r>
              <w:rPr>
                <w:rFonts w:ascii="Times New Roman" w:hAnsi="Times New Roman" w:cs="Times New Roman"/>
                <w:bCs/>
              </w:rPr>
              <w:t>各单元主要工艺操作条件详见表2-1</w:t>
            </w:r>
            <w:r>
              <w:rPr>
                <w:rFonts w:hint="eastAsia" w:ascii="Times New Roman" w:hAnsi="Times New Roman" w:cs="Times New Roman"/>
                <w:bCs/>
              </w:rPr>
              <w:t>6</w:t>
            </w:r>
            <w:r>
              <w:rPr>
                <w:rFonts w:ascii="Times New Roman" w:hAnsi="Times New Roman" w:cs="Times New Roman"/>
                <w:bCs/>
              </w:rPr>
              <w:t>。</w:t>
            </w:r>
          </w:p>
          <w:p w14:paraId="5E2B1BA8">
            <w:pPr>
              <w:adjustRightInd w:val="0"/>
              <w:snapToGrid w:val="0"/>
              <w:ind w:firstLine="442" w:firstLineChars="200"/>
              <w:jc w:val="center"/>
              <w:rPr>
                <w:rFonts w:ascii="Times New Roman" w:hAnsi="Times New Roman" w:cs="Times New Roman"/>
                <w:b/>
              </w:rPr>
            </w:pPr>
            <w:r>
              <w:rPr>
                <w:rFonts w:ascii="Times New Roman" w:hAnsi="Times New Roman" w:cs="Times New Roman"/>
                <w:b/>
                <w:spacing w:val="-10"/>
                <w:szCs w:val="21"/>
              </w:rPr>
              <w:t>表2-1</w:t>
            </w:r>
            <w:r>
              <w:rPr>
                <w:rFonts w:hint="eastAsia" w:ascii="Times New Roman" w:hAnsi="Times New Roman" w:cs="Times New Roman"/>
                <w:b/>
                <w:spacing w:val="-10"/>
                <w:szCs w:val="21"/>
              </w:rPr>
              <w:t>6</w:t>
            </w:r>
            <w:r>
              <w:rPr>
                <w:rFonts w:ascii="Times New Roman" w:hAnsi="Times New Roman" w:cs="Times New Roman"/>
                <w:b/>
                <w:spacing w:val="-10"/>
                <w:szCs w:val="21"/>
              </w:rPr>
              <w:t xml:space="preserve">  各单元主要操作条件一览表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2"/>
              <w:gridCol w:w="1982"/>
              <w:gridCol w:w="1983"/>
              <w:gridCol w:w="1983"/>
            </w:tblGrid>
            <w:tr w14:paraId="44389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tcPr>
                <w:p w14:paraId="7633D63C">
                  <w:pPr>
                    <w:adjustRightInd w:val="0"/>
                    <w:snapToGrid w:val="0"/>
                    <w:rPr>
                      <w:rFonts w:ascii="Times New Roman" w:hAnsi="Times New Roman" w:cs="Times New Roman"/>
                      <w:bCs/>
                      <w:szCs w:val="21"/>
                    </w:rPr>
                  </w:pPr>
                  <w:r>
                    <w:rPr>
                      <w:rFonts w:ascii="Times New Roman" w:hAnsi="Times New Roman" w:cs="Times New Roman"/>
                      <w:bCs/>
                      <w:szCs w:val="21"/>
                    </w:rPr>
                    <w:t>项目</w:t>
                  </w:r>
                </w:p>
              </w:tc>
              <w:tc>
                <w:tcPr>
                  <w:tcW w:w="1982" w:type="dxa"/>
                </w:tcPr>
                <w:p w14:paraId="3DAEB1E2">
                  <w:pPr>
                    <w:adjustRightInd w:val="0"/>
                    <w:snapToGrid w:val="0"/>
                    <w:rPr>
                      <w:rFonts w:ascii="Times New Roman" w:hAnsi="Times New Roman" w:cs="Times New Roman"/>
                      <w:bCs/>
                      <w:szCs w:val="21"/>
                    </w:rPr>
                  </w:pPr>
                  <w:r>
                    <w:rPr>
                      <w:rFonts w:ascii="Times New Roman" w:hAnsi="Times New Roman" w:cs="Times New Roman"/>
                      <w:bCs/>
                      <w:szCs w:val="21"/>
                    </w:rPr>
                    <w:t>指标名称</w:t>
                  </w:r>
                </w:p>
              </w:tc>
              <w:tc>
                <w:tcPr>
                  <w:tcW w:w="1983" w:type="dxa"/>
                </w:tcPr>
                <w:p w14:paraId="71EB0F21">
                  <w:pPr>
                    <w:adjustRightInd w:val="0"/>
                    <w:snapToGrid w:val="0"/>
                    <w:rPr>
                      <w:rFonts w:ascii="Times New Roman" w:hAnsi="Times New Roman" w:cs="Times New Roman"/>
                      <w:bCs/>
                      <w:szCs w:val="21"/>
                    </w:rPr>
                  </w:pPr>
                  <w:r>
                    <w:rPr>
                      <w:rFonts w:ascii="Times New Roman" w:hAnsi="Times New Roman" w:cs="Times New Roman"/>
                      <w:bCs/>
                      <w:szCs w:val="21"/>
                    </w:rPr>
                    <w:t>单元</w:t>
                  </w:r>
                </w:p>
              </w:tc>
              <w:tc>
                <w:tcPr>
                  <w:tcW w:w="1983" w:type="dxa"/>
                </w:tcPr>
                <w:p w14:paraId="61B051A2">
                  <w:pPr>
                    <w:adjustRightInd w:val="0"/>
                    <w:snapToGrid w:val="0"/>
                    <w:rPr>
                      <w:rFonts w:ascii="Times New Roman" w:hAnsi="Times New Roman" w:cs="Times New Roman"/>
                      <w:bCs/>
                      <w:szCs w:val="21"/>
                    </w:rPr>
                  </w:pPr>
                  <w:r>
                    <w:rPr>
                      <w:rFonts w:ascii="Times New Roman" w:hAnsi="Times New Roman" w:cs="Times New Roman"/>
                      <w:bCs/>
                      <w:szCs w:val="21"/>
                    </w:rPr>
                    <w:t>操作参数</w:t>
                  </w:r>
                </w:p>
              </w:tc>
            </w:tr>
            <w:tr w14:paraId="40CF8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930" w:type="dxa"/>
                  <w:gridSpan w:val="4"/>
                </w:tcPr>
                <w:p w14:paraId="4AD3F7A0">
                  <w:pPr>
                    <w:adjustRightInd w:val="0"/>
                    <w:snapToGrid w:val="0"/>
                    <w:jc w:val="center"/>
                    <w:rPr>
                      <w:rFonts w:ascii="Times New Roman" w:hAnsi="Times New Roman" w:cs="Times New Roman"/>
                      <w:bCs/>
                      <w:szCs w:val="21"/>
                    </w:rPr>
                  </w:pPr>
                  <w:r>
                    <w:rPr>
                      <w:rFonts w:ascii="Times New Roman" w:hAnsi="Times New Roman" w:cs="Times New Roman"/>
                      <w:bCs/>
                      <w:szCs w:val="21"/>
                    </w:rPr>
                    <w:t>汽油调和单元</w:t>
                  </w:r>
                </w:p>
              </w:tc>
            </w:tr>
            <w:tr w14:paraId="7E143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trPr>
              <w:tc>
                <w:tcPr>
                  <w:tcW w:w="1982" w:type="dxa"/>
                  <w:vMerge w:val="restart"/>
                  <w:vAlign w:val="center"/>
                </w:tcPr>
                <w:p w14:paraId="754AAFCC">
                  <w:pPr>
                    <w:adjustRightInd w:val="0"/>
                    <w:snapToGrid w:val="0"/>
                    <w:rPr>
                      <w:rFonts w:ascii="Times New Roman" w:hAnsi="Times New Roman" w:cs="Times New Roman"/>
                      <w:bCs/>
                      <w:szCs w:val="21"/>
                    </w:rPr>
                  </w:pPr>
                  <w:r>
                    <w:rPr>
                      <w:rFonts w:ascii="Times New Roman" w:hAnsi="Times New Roman" w:cs="Times New Roman"/>
                      <w:szCs w:val="21"/>
                    </w:rPr>
                    <w:t>MTBE储罐</w:t>
                  </w:r>
                </w:p>
              </w:tc>
              <w:tc>
                <w:tcPr>
                  <w:tcW w:w="1982" w:type="dxa"/>
                </w:tcPr>
                <w:p w14:paraId="4D471786">
                  <w:pPr>
                    <w:adjustRightInd w:val="0"/>
                    <w:snapToGrid w:val="0"/>
                    <w:rPr>
                      <w:rFonts w:ascii="Times New Roman" w:hAnsi="Times New Roman" w:cs="Times New Roman"/>
                      <w:bCs/>
                      <w:szCs w:val="21"/>
                    </w:rPr>
                  </w:pPr>
                  <w:r>
                    <w:rPr>
                      <w:rFonts w:ascii="Times New Roman" w:hAnsi="Times New Roman" w:cs="Times New Roman"/>
                      <w:bCs/>
                      <w:szCs w:val="21"/>
                    </w:rPr>
                    <w:t>操作温度</w:t>
                  </w:r>
                </w:p>
              </w:tc>
              <w:tc>
                <w:tcPr>
                  <w:tcW w:w="1983" w:type="dxa"/>
                </w:tcPr>
                <w:p w14:paraId="3B5E579B">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2D53ACAD">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005F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1982" w:type="dxa"/>
                  <w:vMerge w:val="continue"/>
                  <w:vAlign w:val="center"/>
                </w:tcPr>
                <w:p w14:paraId="691E7951">
                  <w:pPr>
                    <w:adjustRightInd w:val="0"/>
                    <w:snapToGrid w:val="0"/>
                    <w:rPr>
                      <w:rFonts w:ascii="Times New Roman" w:hAnsi="Times New Roman" w:cs="Times New Roman"/>
                      <w:szCs w:val="21"/>
                    </w:rPr>
                  </w:pPr>
                </w:p>
              </w:tc>
              <w:tc>
                <w:tcPr>
                  <w:tcW w:w="1982" w:type="dxa"/>
                </w:tcPr>
                <w:p w14:paraId="512100A6">
                  <w:pPr>
                    <w:adjustRightInd w:val="0"/>
                    <w:snapToGrid w:val="0"/>
                    <w:rPr>
                      <w:rFonts w:ascii="Times New Roman" w:hAnsi="Times New Roman" w:cs="Times New Roman"/>
                      <w:bCs/>
                      <w:szCs w:val="21"/>
                    </w:rPr>
                  </w:pPr>
                  <w:r>
                    <w:rPr>
                      <w:rFonts w:ascii="Times New Roman" w:hAnsi="Times New Roman" w:cs="Times New Roman"/>
                      <w:bCs/>
                      <w:szCs w:val="21"/>
                    </w:rPr>
                    <w:t>操作压力</w:t>
                  </w:r>
                </w:p>
              </w:tc>
              <w:tc>
                <w:tcPr>
                  <w:tcW w:w="1983" w:type="dxa"/>
                </w:tcPr>
                <w:p w14:paraId="7A22D38B">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251A6346">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78B28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1982" w:type="dxa"/>
                  <w:vMerge w:val="continue"/>
                  <w:vAlign w:val="center"/>
                </w:tcPr>
                <w:p w14:paraId="60D7DAEE">
                  <w:pPr>
                    <w:adjustRightInd w:val="0"/>
                    <w:snapToGrid w:val="0"/>
                    <w:rPr>
                      <w:rFonts w:ascii="Times New Roman" w:hAnsi="Times New Roman" w:cs="Times New Roman"/>
                      <w:szCs w:val="21"/>
                    </w:rPr>
                  </w:pPr>
                </w:p>
              </w:tc>
              <w:tc>
                <w:tcPr>
                  <w:tcW w:w="1982" w:type="dxa"/>
                </w:tcPr>
                <w:p w14:paraId="53F6C5E3">
                  <w:pPr>
                    <w:adjustRightInd w:val="0"/>
                    <w:snapToGrid w:val="0"/>
                    <w:rPr>
                      <w:rFonts w:ascii="Times New Roman" w:hAnsi="Times New Roman" w:cs="Times New Roman"/>
                      <w:bCs/>
                      <w:szCs w:val="21"/>
                    </w:rPr>
                  </w:pPr>
                  <w:r>
                    <w:rPr>
                      <w:rFonts w:ascii="Times New Roman" w:hAnsi="Times New Roman" w:cs="Times New Roman"/>
                      <w:bCs/>
                      <w:szCs w:val="21"/>
                    </w:rPr>
                    <w:t>设计温度</w:t>
                  </w:r>
                </w:p>
              </w:tc>
              <w:tc>
                <w:tcPr>
                  <w:tcW w:w="1983" w:type="dxa"/>
                </w:tcPr>
                <w:p w14:paraId="3D126D22">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06F178C3">
                  <w:pPr>
                    <w:adjustRightInd w:val="0"/>
                    <w:snapToGrid w:val="0"/>
                    <w:rPr>
                      <w:rFonts w:ascii="Times New Roman" w:hAnsi="Times New Roman" w:cs="Times New Roman"/>
                      <w:bCs/>
                      <w:szCs w:val="21"/>
                    </w:rPr>
                  </w:pPr>
                  <w:r>
                    <w:rPr>
                      <w:rFonts w:ascii="Times New Roman" w:hAnsi="Times New Roman" w:cs="Times New Roman"/>
                      <w:bCs/>
                      <w:szCs w:val="21"/>
                    </w:rPr>
                    <w:t>80</w:t>
                  </w:r>
                </w:p>
              </w:tc>
            </w:tr>
            <w:tr w14:paraId="22988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1982" w:type="dxa"/>
                  <w:vMerge w:val="continue"/>
                  <w:vAlign w:val="center"/>
                </w:tcPr>
                <w:p w14:paraId="7423423E">
                  <w:pPr>
                    <w:adjustRightInd w:val="0"/>
                    <w:snapToGrid w:val="0"/>
                    <w:rPr>
                      <w:rFonts w:ascii="Times New Roman" w:hAnsi="Times New Roman" w:cs="Times New Roman"/>
                      <w:szCs w:val="21"/>
                    </w:rPr>
                  </w:pPr>
                </w:p>
              </w:tc>
              <w:tc>
                <w:tcPr>
                  <w:tcW w:w="1982" w:type="dxa"/>
                </w:tcPr>
                <w:p w14:paraId="07B129C1">
                  <w:pPr>
                    <w:adjustRightInd w:val="0"/>
                    <w:snapToGrid w:val="0"/>
                    <w:rPr>
                      <w:rFonts w:ascii="Times New Roman" w:hAnsi="Times New Roman" w:cs="Times New Roman"/>
                      <w:bCs/>
                      <w:szCs w:val="21"/>
                    </w:rPr>
                  </w:pPr>
                  <w:r>
                    <w:rPr>
                      <w:rFonts w:ascii="Times New Roman" w:hAnsi="Times New Roman" w:cs="Times New Roman"/>
                      <w:bCs/>
                      <w:szCs w:val="21"/>
                    </w:rPr>
                    <w:t>设计压力</w:t>
                  </w:r>
                </w:p>
              </w:tc>
              <w:tc>
                <w:tcPr>
                  <w:tcW w:w="1983" w:type="dxa"/>
                </w:tcPr>
                <w:p w14:paraId="329B93E0">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1584CC26">
                  <w:pPr>
                    <w:adjustRightInd w:val="0"/>
                    <w:snapToGrid w:val="0"/>
                    <w:rPr>
                      <w:rFonts w:ascii="Times New Roman" w:hAnsi="Times New Roman" w:cs="Times New Roman"/>
                      <w:bCs/>
                      <w:szCs w:val="21"/>
                    </w:rPr>
                  </w:pPr>
                  <w:r>
                    <w:rPr>
                      <w:rFonts w:ascii="Times New Roman" w:hAnsi="Times New Roman" w:cs="Times New Roman"/>
                      <w:szCs w:val="21"/>
                    </w:rPr>
                    <w:t>0.002/-0.0005</w:t>
                  </w:r>
                </w:p>
              </w:tc>
            </w:tr>
            <w:tr w14:paraId="499A7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trPr>
              <w:tc>
                <w:tcPr>
                  <w:tcW w:w="1982" w:type="dxa"/>
                  <w:vMerge w:val="restart"/>
                  <w:vAlign w:val="center"/>
                </w:tcPr>
                <w:p w14:paraId="5011B3EA">
                  <w:pPr>
                    <w:adjustRightInd w:val="0"/>
                    <w:snapToGrid w:val="0"/>
                    <w:rPr>
                      <w:rFonts w:ascii="Times New Roman" w:hAnsi="Times New Roman" w:cs="Times New Roman"/>
                      <w:bCs/>
                      <w:szCs w:val="21"/>
                    </w:rPr>
                  </w:pPr>
                  <w:r>
                    <w:rPr>
                      <w:rFonts w:ascii="Times New Roman" w:hAnsi="Times New Roman" w:cs="Times New Roman"/>
                      <w:szCs w:val="21"/>
                    </w:rPr>
                    <w:t>异辛烷储罐</w:t>
                  </w:r>
                </w:p>
              </w:tc>
              <w:tc>
                <w:tcPr>
                  <w:tcW w:w="1982" w:type="dxa"/>
                </w:tcPr>
                <w:p w14:paraId="522FEE40">
                  <w:pPr>
                    <w:adjustRightInd w:val="0"/>
                    <w:snapToGrid w:val="0"/>
                    <w:rPr>
                      <w:rFonts w:ascii="Times New Roman" w:hAnsi="Times New Roman" w:cs="Times New Roman"/>
                      <w:bCs/>
                      <w:szCs w:val="21"/>
                    </w:rPr>
                  </w:pPr>
                  <w:r>
                    <w:rPr>
                      <w:rFonts w:ascii="Times New Roman" w:hAnsi="Times New Roman" w:cs="Times New Roman"/>
                      <w:bCs/>
                      <w:szCs w:val="21"/>
                    </w:rPr>
                    <w:t>操作温度</w:t>
                  </w:r>
                </w:p>
              </w:tc>
              <w:tc>
                <w:tcPr>
                  <w:tcW w:w="1983" w:type="dxa"/>
                </w:tcPr>
                <w:p w14:paraId="13D3E9B7">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43B9CA80">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5C46D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1982" w:type="dxa"/>
                  <w:vMerge w:val="continue"/>
                  <w:vAlign w:val="center"/>
                </w:tcPr>
                <w:p w14:paraId="453EAE25">
                  <w:pPr>
                    <w:adjustRightInd w:val="0"/>
                    <w:snapToGrid w:val="0"/>
                    <w:rPr>
                      <w:rFonts w:ascii="Times New Roman" w:hAnsi="Times New Roman" w:cs="Times New Roman"/>
                      <w:szCs w:val="21"/>
                    </w:rPr>
                  </w:pPr>
                </w:p>
              </w:tc>
              <w:tc>
                <w:tcPr>
                  <w:tcW w:w="1982" w:type="dxa"/>
                </w:tcPr>
                <w:p w14:paraId="10ABAB65">
                  <w:pPr>
                    <w:adjustRightInd w:val="0"/>
                    <w:snapToGrid w:val="0"/>
                    <w:rPr>
                      <w:rFonts w:ascii="Times New Roman" w:hAnsi="Times New Roman" w:cs="Times New Roman"/>
                      <w:bCs/>
                      <w:szCs w:val="21"/>
                    </w:rPr>
                  </w:pPr>
                  <w:r>
                    <w:rPr>
                      <w:rFonts w:ascii="Times New Roman" w:hAnsi="Times New Roman" w:cs="Times New Roman"/>
                      <w:bCs/>
                      <w:szCs w:val="21"/>
                    </w:rPr>
                    <w:t>操作压力</w:t>
                  </w:r>
                </w:p>
              </w:tc>
              <w:tc>
                <w:tcPr>
                  <w:tcW w:w="1983" w:type="dxa"/>
                </w:tcPr>
                <w:p w14:paraId="24DAEF06">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7E108EE5">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65AC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1982" w:type="dxa"/>
                  <w:vMerge w:val="continue"/>
                  <w:vAlign w:val="center"/>
                </w:tcPr>
                <w:p w14:paraId="25FCECE4">
                  <w:pPr>
                    <w:adjustRightInd w:val="0"/>
                    <w:snapToGrid w:val="0"/>
                    <w:rPr>
                      <w:rFonts w:ascii="Times New Roman" w:hAnsi="Times New Roman" w:cs="Times New Roman"/>
                      <w:szCs w:val="21"/>
                    </w:rPr>
                  </w:pPr>
                </w:p>
              </w:tc>
              <w:tc>
                <w:tcPr>
                  <w:tcW w:w="1982" w:type="dxa"/>
                </w:tcPr>
                <w:p w14:paraId="7318A76A">
                  <w:pPr>
                    <w:adjustRightInd w:val="0"/>
                    <w:snapToGrid w:val="0"/>
                    <w:rPr>
                      <w:rFonts w:ascii="Times New Roman" w:hAnsi="Times New Roman" w:cs="Times New Roman"/>
                      <w:bCs/>
                      <w:szCs w:val="21"/>
                    </w:rPr>
                  </w:pPr>
                  <w:r>
                    <w:rPr>
                      <w:rFonts w:ascii="Times New Roman" w:hAnsi="Times New Roman" w:cs="Times New Roman"/>
                      <w:bCs/>
                      <w:szCs w:val="21"/>
                    </w:rPr>
                    <w:t>设计温度</w:t>
                  </w:r>
                </w:p>
              </w:tc>
              <w:tc>
                <w:tcPr>
                  <w:tcW w:w="1983" w:type="dxa"/>
                </w:tcPr>
                <w:p w14:paraId="13DB7D61">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6665AD0E">
                  <w:pPr>
                    <w:adjustRightInd w:val="0"/>
                    <w:snapToGrid w:val="0"/>
                    <w:rPr>
                      <w:rFonts w:ascii="Times New Roman" w:hAnsi="Times New Roman" w:cs="Times New Roman"/>
                      <w:bCs/>
                      <w:szCs w:val="21"/>
                    </w:rPr>
                  </w:pPr>
                  <w:r>
                    <w:rPr>
                      <w:rFonts w:ascii="Times New Roman" w:hAnsi="Times New Roman" w:cs="Times New Roman"/>
                      <w:bCs/>
                      <w:szCs w:val="21"/>
                    </w:rPr>
                    <w:t>80</w:t>
                  </w:r>
                </w:p>
              </w:tc>
            </w:tr>
            <w:tr w14:paraId="4C697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 w:hRule="atLeast"/>
              </w:trPr>
              <w:tc>
                <w:tcPr>
                  <w:tcW w:w="1982" w:type="dxa"/>
                  <w:vMerge w:val="continue"/>
                  <w:vAlign w:val="center"/>
                </w:tcPr>
                <w:p w14:paraId="34794DD8">
                  <w:pPr>
                    <w:adjustRightInd w:val="0"/>
                    <w:snapToGrid w:val="0"/>
                    <w:rPr>
                      <w:rFonts w:ascii="Times New Roman" w:hAnsi="Times New Roman" w:cs="Times New Roman"/>
                      <w:szCs w:val="21"/>
                    </w:rPr>
                  </w:pPr>
                </w:p>
              </w:tc>
              <w:tc>
                <w:tcPr>
                  <w:tcW w:w="1982" w:type="dxa"/>
                </w:tcPr>
                <w:p w14:paraId="2CAC240C">
                  <w:pPr>
                    <w:adjustRightInd w:val="0"/>
                    <w:snapToGrid w:val="0"/>
                    <w:rPr>
                      <w:rFonts w:ascii="Times New Roman" w:hAnsi="Times New Roman" w:cs="Times New Roman"/>
                      <w:bCs/>
                      <w:szCs w:val="21"/>
                    </w:rPr>
                  </w:pPr>
                  <w:r>
                    <w:rPr>
                      <w:rFonts w:ascii="Times New Roman" w:hAnsi="Times New Roman" w:cs="Times New Roman"/>
                      <w:bCs/>
                      <w:szCs w:val="21"/>
                    </w:rPr>
                    <w:t>设计压力</w:t>
                  </w:r>
                </w:p>
              </w:tc>
              <w:tc>
                <w:tcPr>
                  <w:tcW w:w="1983" w:type="dxa"/>
                </w:tcPr>
                <w:p w14:paraId="62EFAC43">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1FB06042">
                  <w:pPr>
                    <w:adjustRightInd w:val="0"/>
                    <w:snapToGrid w:val="0"/>
                    <w:rPr>
                      <w:rFonts w:ascii="Times New Roman" w:hAnsi="Times New Roman" w:cs="Times New Roman"/>
                      <w:bCs/>
                      <w:szCs w:val="21"/>
                    </w:rPr>
                  </w:pPr>
                  <w:r>
                    <w:rPr>
                      <w:rFonts w:ascii="Times New Roman" w:hAnsi="Times New Roman" w:cs="Times New Roman"/>
                      <w:szCs w:val="21"/>
                    </w:rPr>
                    <w:t>0.002/-0.0005</w:t>
                  </w:r>
                </w:p>
              </w:tc>
            </w:tr>
            <w:tr w14:paraId="2D2C8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trPr>
              <w:tc>
                <w:tcPr>
                  <w:tcW w:w="1982" w:type="dxa"/>
                  <w:vMerge w:val="restart"/>
                  <w:vAlign w:val="center"/>
                </w:tcPr>
                <w:p w14:paraId="04EA70E3">
                  <w:pPr>
                    <w:adjustRightInd w:val="0"/>
                    <w:snapToGrid w:val="0"/>
                    <w:rPr>
                      <w:rFonts w:ascii="Times New Roman" w:hAnsi="Times New Roman" w:cs="Times New Roman"/>
                      <w:bCs/>
                      <w:szCs w:val="21"/>
                    </w:rPr>
                  </w:pPr>
                  <w:r>
                    <w:rPr>
                      <w:rFonts w:ascii="Times New Roman" w:hAnsi="Times New Roman" w:cs="Times New Roman"/>
                      <w:szCs w:val="21"/>
                    </w:rPr>
                    <w:t>轻质石脑油储罐</w:t>
                  </w:r>
                </w:p>
              </w:tc>
              <w:tc>
                <w:tcPr>
                  <w:tcW w:w="1982" w:type="dxa"/>
                </w:tcPr>
                <w:p w14:paraId="30F95CB4">
                  <w:pPr>
                    <w:adjustRightInd w:val="0"/>
                    <w:snapToGrid w:val="0"/>
                    <w:rPr>
                      <w:rFonts w:ascii="Times New Roman" w:hAnsi="Times New Roman" w:cs="Times New Roman"/>
                      <w:bCs/>
                      <w:szCs w:val="21"/>
                    </w:rPr>
                  </w:pPr>
                  <w:r>
                    <w:rPr>
                      <w:rFonts w:ascii="Times New Roman" w:hAnsi="Times New Roman" w:cs="Times New Roman"/>
                      <w:bCs/>
                      <w:szCs w:val="21"/>
                    </w:rPr>
                    <w:t>操作温度</w:t>
                  </w:r>
                </w:p>
              </w:tc>
              <w:tc>
                <w:tcPr>
                  <w:tcW w:w="1983" w:type="dxa"/>
                </w:tcPr>
                <w:p w14:paraId="69662D9F">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0FF10A80">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35F2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1982" w:type="dxa"/>
                  <w:vMerge w:val="continue"/>
                  <w:vAlign w:val="center"/>
                </w:tcPr>
                <w:p w14:paraId="2125F01B">
                  <w:pPr>
                    <w:adjustRightInd w:val="0"/>
                    <w:snapToGrid w:val="0"/>
                    <w:rPr>
                      <w:rFonts w:ascii="Times New Roman" w:hAnsi="Times New Roman" w:cs="Times New Roman"/>
                      <w:szCs w:val="21"/>
                    </w:rPr>
                  </w:pPr>
                </w:p>
              </w:tc>
              <w:tc>
                <w:tcPr>
                  <w:tcW w:w="1982" w:type="dxa"/>
                </w:tcPr>
                <w:p w14:paraId="4778F727">
                  <w:pPr>
                    <w:adjustRightInd w:val="0"/>
                    <w:snapToGrid w:val="0"/>
                    <w:rPr>
                      <w:rFonts w:ascii="Times New Roman" w:hAnsi="Times New Roman" w:cs="Times New Roman"/>
                      <w:bCs/>
                      <w:szCs w:val="21"/>
                    </w:rPr>
                  </w:pPr>
                  <w:r>
                    <w:rPr>
                      <w:rFonts w:ascii="Times New Roman" w:hAnsi="Times New Roman" w:cs="Times New Roman"/>
                      <w:bCs/>
                      <w:szCs w:val="21"/>
                    </w:rPr>
                    <w:t>操作压力</w:t>
                  </w:r>
                </w:p>
              </w:tc>
              <w:tc>
                <w:tcPr>
                  <w:tcW w:w="1983" w:type="dxa"/>
                </w:tcPr>
                <w:p w14:paraId="06AE679E">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6BC9C0B5">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771AF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1982" w:type="dxa"/>
                  <w:vMerge w:val="continue"/>
                  <w:vAlign w:val="center"/>
                </w:tcPr>
                <w:p w14:paraId="3FEE5E1E">
                  <w:pPr>
                    <w:adjustRightInd w:val="0"/>
                    <w:snapToGrid w:val="0"/>
                    <w:rPr>
                      <w:rFonts w:ascii="Times New Roman" w:hAnsi="Times New Roman" w:cs="Times New Roman"/>
                      <w:szCs w:val="21"/>
                    </w:rPr>
                  </w:pPr>
                </w:p>
              </w:tc>
              <w:tc>
                <w:tcPr>
                  <w:tcW w:w="1982" w:type="dxa"/>
                </w:tcPr>
                <w:p w14:paraId="369D68A2">
                  <w:pPr>
                    <w:adjustRightInd w:val="0"/>
                    <w:snapToGrid w:val="0"/>
                    <w:rPr>
                      <w:rFonts w:ascii="Times New Roman" w:hAnsi="Times New Roman" w:cs="Times New Roman"/>
                      <w:bCs/>
                      <w:szCs w:val="21"/>
                    </w:rPr>
                  </w:pPr>
                  <w:r>
                    <w:rPr>
                      <w:rFonts w:ascii="Times New Roman" w:hAnsi="Times New Roman" w:cs="Times New Roman"/>
                      <w:bCs/>
                      <w:szCs w:val="21"/>
                    </w:rPr>
                    <w:t>设计温度</w:t>
                  </w:r>
                </w:p>
              </w:tc>
              <w:tc>
                <w:tcPr>
                  <w:tcW w:w="1983" w:type="dxa"/>
                </w:tcPr>
                <w:p w14:paraId="4FC3F07C">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2AED9286">
                  <w:pPr>
                    <w:adjustRightInd w:val="0"/>
                    <w:snapToGrid w:val="0"/>
                    <w:rPr>
                      <w:rFonts w:ascii="Times New Roman" w:hAnsi="Times New Roman" w:cs="Times New Roman"/>
                      <w:bCs/>
                      <w:szCs w:val="21"/>
                    </w:rPr>
                  </w:pPr>
                  <w:r>
                    <w:rPr>
                      <w:rFonts w:ascii="Times New Roman" w:hAnsi="Times New Roman" w:cs="Times New Roman"/>
                      <w:bCs/>
                      <w:szCs w:val="21"/>
                    </w:rPr>
                    <w:t>80</w:t>
                  </w:r>
                </w:p>
              </w:tc>
            </w:tr>
            <w:tr w14:paraId="09AF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1982" w:type="dxa"/>
                  <w:vMerge w:val="continue"/>
                  <w:vAlign w:val="center"/>
                </w:tcPr>
                <w:p w14:paraId="5FAEA425">
                  <w:pPr>
                    <w:adjustRightInd w:val="0"/>
                    <w:snapToGrid w:val="0"/>
                    <w:rPr>
                      <w:rFonts w:ascii="Times New Roman" w:hAnsi="Times New Roman" w:cs="Times New Roman"/>
                      <w:szCs w:val="21"/>
                    </w:rPr>
                  </w:pPr>
                </w:p>
              </w:tc>
              <w:tc>
                <w:tcPr>
                  <w:tcW w:w="1982" w:type="dxa"/>
                </w:tcPr>
                <w:p w14:paraId="49DBFC94">
                  <w:pPr>
                    <w:adjustRightInd w:val="0"/>
                    <w:snapToGrid w:val="0"/>
                    <w:rPr>
                      <w:rFonts w:ascii="Times New Roman" w:hAnsi="Times New Roman" w:cs="Times New Roman"/>
                      <w:bCs/>
                      <w:szCs w:val="21"/>
                    </w:rPr>
                  </w:pPr>
                  <w:r>
                    <w:rPr>
                      <w:rFonts w:ascii="Times New Roman" w:hAnsi="Times New Roman" w:cs="Times New Roman"/>
                      <w:bCs/>
                      <w:szCs w:val="21"/>
                    </w:rPr>
                    <w:t>设计压力</w:t>
                  </w:r>
                </w:p>
              </w:tc>
              <w:tc>
                <w:tcPr>
                  <w:tcW w:w="1983" w:type="dxa"/>
                </w:tcPr>
                <w:p w14:paraId="17758B24">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1367A199">
                  <w:pPr>
                    <w:adjustRightInd w:val="0"/>
                    <w:snapToGrid w:val="0"/>
                    <w:rPr>
                      <w:rFonts w:ascii="Times New Roman" w:hAnsi="Times New Roman" w:cs="Times New Roman"/>
                      <w:bCs/>
                      <w:szCs w:val="21"/>
                    </w:rPr>
                  </w:pPr>
                  <w:r>
                    <w:rPr>
                      <w:rFonts w:ascii="Times New Roman" w:hAnsi="Times New Roman" w:cs="Times New Roman"/>
                      <w:szCs w:val="21"/>
                    </w:rPr>
                    <w:t>0.002/-0.0005</w:t>
                  </w:r>
                </w:p>
              </w:tc>
            </w:tr>
            <w:tr w14:paraId="0DB9A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trPr>
              <w:tc>
                <w:tcPr>
                  <w:tcW w:w="1982" w:type="dxa"/>
                  <w:vMerge w:val="restart"/>
                  <w:vAlign w:val="center"/>
                </w:tcPr>
                <w:p w14:paraId="1EDBCEB8">
                  <w:pPr>
                    <w:adjustRightInd w:val="0"/>
                    <w:snapToGrid w:val="0"/>
                    <w:rPr>
                      <w:rFonts w:ascii="Times New Roman" w:hAnsi="Times New Roman" w:cs="Times New Roman"/>
                      <w:bCs/>
                      <w:szCs w:val="21"/>
                    </w:rPr>
                  </w:pPr>
                  <w:r>
                    <w:rPr>
                      <w:rFonts w:ascii="Times New Roman" w:hAnsi="Times New Roman" w:cs="Times New Roman"/>
                      <w:szCs w:val="21"/>
                    </w:rPr>
                    <w:t>混合芳烃储罐</w:t>
                  </w:r>
                </w:p>
              </w:tc>
              <w:tc>
                <w:tcPr>
                  <w:tcW w:w="1982" w:type="dxa"/>
                </w:tcPr>
                <w:p w14:paraId="71961C8B">
                  <w:pPr>
                    <w:adjustRightInd w:val="0"/>
                    <w:snapToGrid w:val="0"/>
                    <w:rPr>
                      <w:rFonts w:ascii="Times New Roman" w:hAnsi="Times New Roman" w:cs="Times New Roman"/>
                      <w:bCs/>
                      <w:szCs w:val="21"/>
                    </w:rPr>
                  </w:pPr>
                  <w:r>
                    <w:rPr>
                      <w:rFonts w:ascii="Times New Roman" w:hAnsi="Times New Roman" w:cs="Times New Roman"/>
                      <w:bCs/>
                      <w:szCs w:val="21"/>
                    </w:rPr>
                    <w:t>操作温度</w:t>
                  </w:r>
                </w:p>
              </w:tc>
              <w:tc>
                <w:tcPr>
                  <w:tcW w:w="1983" w:type="dxa"/>
                </w:tcPr>
                <w:p w14:paraId="26D1E713">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5D9A9101">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1005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1982" w:type="dxa"/>
                  <w:vMerge w:val="continue"/>
                  <w:vAlign w:val="center"/>
                </w:tcPr>
                <w:p w14:paraId="26AF5BA5">
                  <w:pPr>
                    <w:adjustRightInd w:val="0"/>
                    <w:snapToGrid w:val="0"/>
                    <w:rPr>
                      <w:rFonts w:ascii="Times New Roman" w:hAnsi="Times New Roman" w:cs="Times New Roman"/>
                      <w:szCs w:val="21"/>
                    </w:rPr>
                  </w:pPr>
                </w:p>
              </w:tc>
              <w:tc>
                <w:tcPr>
                  <w:tcW w:w="1982" w:type="dxa"/>
                </w:tcPr>
                <w:p w14:paraId="305B7DD8">
                  <w:pPr>
                    <w:adjustRightInd w:val="0"/>
                    <w:snapToGrid w:val="0"/>
                    <w:rPr>
                      <w:rFonts w:ascii="Times New Roman" w:hAnsi="Times New Roman" w:cs="Times New Roman"/>
                      <w:bCs/>
                      <w:szCs w:val="21"/>
                    </w:rPr>
                  </w:pPr>
                  <w:r>
                    <w:rPr>
                      <w:rFonts w:ascii="Times New Roman" w:hAnsi="Times New Roman" w:cs="Times New Roman"/>
                      <w:bCs/>
                      <w:szCs w:val="21"/>
                    </w:rPr>
                    <w:t>操作压力</w:t>
                  </w:r>
                </w:p>
              </w:tc>
              <w:tc>
                <w:tcPr>
                  <w:tcW w:w="1983" w:type="dxa"/>
                </w:tcPr>
                <w:p w14:paraId="40F78416">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729317CE">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144A1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1982" w:type="dxa"/>
                  <w:vMerge w:val="continue"/>
                  <w:vAlign w:val="center"/>
                </w:tcPr>
                <w:p w14:paraId="32E3EB24">
                  <w:pPr>
                    <w:adjustRightInd w:val="0"/>
                    <w:snapToGrid w:val="0"/>
                    <w:rPr>
                      <w:rFonts w:ascii="Times New Roman" w:hAnsi="Times New Roman" w:cs="Times New Roman"/>
                      <w:szCs w:val="21"/>
                    </w:rPr>
                  </w:pPr>
                </w:p>
              </w:tc>
              <w:tc>
                <w:tcPr>
                  <w:tcW w:w="1982" w:type="dxa"/>
                </w:tcPr>
                <w:p w14:paraId="6CC08F27">
                  <w:pPr>
                    <w:adjustRightInd w:val="0"/>
                    <w:snapToGrid w:val="0"/>
                    <w:rPr>
                      <w:rFonts w:ascii="Times New Roman" w:hAnsi="Times New Roman" w:cs="Times New Roman"/>
                      <w:bCs/>
                      <w:szCs w:val="21"/>
                    </w:rPr>
                  </w:pPr>
                  <w:r>
                    <w:rPr>
                      <w:rFonts w:ascii="Times New Roman" w:hAnsi="Times New Roman" w:cs="Times New Roman"/>
                      <w:bCs/>
                      <w:szCs w:val="21"/>
                    </w:rPr>
                    <w:t>设计温度</w:t>
                  </w:r>
                </w:p>
              </w:tc>
              <w:tc>
                <w:tcPr>
                  <w:tcW w:w="1983" w:type="dxa"/>
                </w:tcPr>
                <w:p w14:paraId="3240CB85">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7ACC8CFF">
                  <w:pPr>
                    <w:adjustRightInd w:val="0"/>
                    <w:snapToGrid w:val="0"/>
                    <w:rPr>
                      <w:rFonts w:ascii="Times New Roman" w:hAnsi="Times New Roman" w:cs="Times New Roman"/>
                      <w:bCs/>
                      <w:szCs w:val="21"/>
                    </w:rPr>
                  </w:pPr>
                  <w:r>
                    <w:rPr>
                      <w:rFonts w:ascii="Times New Roman" w:hAnsi="Times New Roman" w:cs="Times New Roman"/>
                      <w:bCs/>
                      <w:szCs w:val="21"/>
                    </w:rPr>
                    <w:t>80</w:t>
                  </w:r>
                </w:p>
              </w:tc>
            </w:tr>
            <w:tr w14:paraId="4C441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1982" w:type="dxa"/>
                  <w:vMerge w:val="continue"/>
                  <w:vAlign w:val="center"/>
                </w:tcPr>
                <w:p w14:paraId="787F76C0">
                  <w:pPr>
                    <w:adjustRightInd w:val="0"/>
                    <w:snapToGrid w:val="0"/>
                    <w:rPr>
                      <w:rFonts w:ascii="Times New Roman" w:hAnsi="Times New Roman" w:cs="Times New Roman"/>
                      <w:szCs w:val="21"/>
                    </w:rPr>
                  </w:pPr>
                </w:p>
              </w:tc>
              <w:tc>
                <w:tcPr>
                  <w:tcW w:w="1982" w:type="dxa"/>
                </w:tcPr>
                <w:p w14:paraId="4CFB8F32">
                  <w:pPr>
                    <w:adjustRightInd w:val="0"/>
                    <w:snapToGrid w:val="0"/>
                    <w:rPr>
                      <w:rFonts w:ascii="Times New Roman" w:hAnsi="Times New Roman" w:cs="Times New Roman"/>
                      <w:bCs/>
                      <w:szCs w:val="21"/>
                    </w:rPr>
                  </w:pPr>
                  <w:r>
                    <w:rPr>
                      <w:rFonts w:ascii="Times New Roman" w:hAnsi="Times New Roman" w:cs="Times New Roman"/>
                      <w:bCs/>
                      <w:szCs w:val="21"/>
                    </w:rPr>
                    <w:t>设计压力</w:t>
                  </w:r>
                </w:p>
              </w:tc>
              <w:tc>
                <w:tcPr>
                  <w:tcW w:w="1983" w:type="dxa"/>
                </w:tcPr>
                <w:p w14:paraId="69B15D49">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5454977B">
                  <w:pPr>
                    <w:adjustRightInd w:val="0"/>
                    <w:snapToGrid w:val="0"/>
                    <w:rPr>
                      <w:rFonts w:ascii="Times New Roman" w:hAnsi="Times New Roman" w:cs="Times New Roman"/>
                      <w:bCs/>
                      <w:szCs w:val="21"/>
                    </w:rPr>
                  </w:pPr>
                  <w:r>
                    <w:rPr>
                      <w:rFonts w:ascii="Times New Roman" w:hAnsi="Times New Roman" w:cs="Times New Roman"/>
                      <w:szCs w:val="21"/>
                    </w:rPr>
                    <w:t>0.002/-0.0005</w:t>
                  </w:r>
                </w:p>
              </w:tc>
            </w:tr>
            <w:tr w14:paraId="5E57D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trPr>
              <w:tc>
                <w:tcPr>
                  <w:tcW w:w="1982" w:type="dxa"/>
                  <w:vMerge w:val="restart"/>
                  <w:vAlign w:val="center"/>
                </w:tcPr>
                <w:p w14:paraId="6BCBEC18">
                  <w:pPr>
                    <w:adjustRightInd w:val="0"/>
                    <w:snapToGrid w:val="0"/>
                    <w:rPr>
                      <w:rFonts w:ascii="Times New Roman" w:hAnsi="Times New Roman" w:cs="Times New Roman"/>
                      <w:bCs/>
                      <w:szCs w:val="21"/>
                    </w:rPr>
                  </w:pPr>
                  <w:r>
                    <w:rPr>
                      <w:rFonts w:ascii="Times New Roman" w:hAnsi="Times New Roman" w:cs="Times New Roman"/>
                      <w:szCs w:val="21"/>
                    </w:rPr>
                    <w:t>92号车用汽油调和储罐</w:t>
                  </w:r>
                </w:p>
              </w:tc>
              <w:tc>
                <w:tcPr>
                  <w:tcW w:w="1982" w:type="dxa"/>
                </w:tcPr>
                <w:p w14:paraId="092D378E">
                  <w:pPr>
                    <w:adjustRightInd w:val="0"/>
                    <w:snapToGrid w:val="0"/>
                    <w:rPr>
                      <w:rFonts w:ascii="Times New Roman" w:hAnsi="Times New Roman" w:cs="Times New Roman"/>
                      <w:bCs/>
                      <w:szCs w:val="21"/>
                    </w:rPr>
                  </w:pPr>
                  <w:r>
                    <w:rPr>
                      <w:rFonts w:ascii="Times New Roman" w:hAnsi="Times New Roman" w:cs="Times New Roman"/>
                      <w:bCs/>
                      <w:szCs w:val="21"/>
                    </w:rPr>
                    <w:t>操作温度</w:t>
                  </w:r>
                </w:p>
              </w:tc>
              <w:tc>
                <w:tcPr>
                  <w:tcW w:w="1983" w:type="dxa"/>
                </w:tcPr>
                <w:p w14:paraId="26B8E62E">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1E6330E7">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7859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1982" w:type="dxa"/>
                  <w:vMerge w:val="continue"/>
                  <w:vAlign w:val="center"/>
                </w:tcPr>
                <w:p w14:paraId="6C041EEC">
                  <w:pPr>
                    <w:adjustRightInd w:val="0"/>
                    <w:snapToGrid w:val="0"/>
                    <w:rPr>
                      <w:rFonts w:ascii="Times New Roman" w:hAnsi="Times New Roman" w:cs="Times New Roman"/>
                      <w:szCs w:val="21"/>
                    </w:rPr>
                  </w:pPr>
                </w:p>
              </w:tc>
              <w:tc>
                <w:tcPr>
                  <w:tcW w:w="1982" w:type="dxa"/>
                </w:tcPr>
                <w:p w14:paraId="75234788">
                  <w:pPr>
                    <w:adjustRightInd w:val="0"/>
                    <w:snapToGrid w:val="0"/>
                    <w:rPr>
                      <w:rFonts w:ascii="Times New Roman" w:hAnsi="Times New Roman" w:cs="Times New Roman"/>
                      <w:bCs/>
                      <w:szCs w:val="21"/>
                    </w:rPr>
                  </w:pPr>
                  <w:r>
                    <w:rPr>
                      <w:rFonts w:ascii="Times New Roman" w:hAnsi="Times New Roman" w:cs="Times New Roman"/>
                      <w:bCs/>
                      <w:szCs w:val="21"/>
                    </w:rPr>
                    <w:t>操作压力</w:t>
                  </w:r>
                </w:p>
              </w:tc>
              <w:tc>
                <w:tcPr>
                  <w:tcW w:w="1983" w:type="dxa"/>
                </w:tcPr>
                <w:p w14:paraId="657C19BA">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64F3CF02">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63D6D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1982" w:type="dxa"/>
                  <w:vMerge w:val="continue"/>
                  <w:vAlign w:val="center"/>
                </w:tcPr>
                <w:p w14:paraId="182F7171">
                  <w:pPr>
                    <w:adjustRightInd w:val="0"/>
                    <w:snapToGrid w:val="0"/>
                    <w:rPr>
                      <w:rFonts w:ascii="Times New Roman" w:hAnsi="Times New Roman" w:cs="Times New Roman"/>
                      <w:szCs w:val="21"/>
                    </w:rPr>
                  </w:pPr>
                </w:p>
              </w:tc>
              <w:tc>
                <w:tcPr>
                  <w:tcW w:w="1982" w:type="dxa"/>
                </w:tcPr>
                <w:p w14:paraId="6F1FCD58">
                  <w:pPr>
                    <w:adjustRightInd w:val="0"/>
                    <w:snapToGrid w:val="0"/>
                    <w:rPr>
                      <w:rFonts w:ascii="Times New Roman" w:hAnsi="Times New Roman" w:cs="Times New Roman"/>
                      <w:bCs/>
                      <w:szCs w:val="21"/>
                    </w:rPr>
                  </w:pPr>
                  <w:r>
                    <w:rPr>
                      <w:rFonts w:ascii="Times New Roman" w:hAnsi="Times New Roman" w:cs="Times New Roman"/>
                      <w:bCs/>
                      <w:szCs w:val="21"/>
                    </w:rPr>
                    <w:t>设计温度</w:t>
                  </w:r>
                </w:p>
              </w:tc>
              <w:tc>
                <w:tcPr>
                  <w:tcW w:w="1983" w:type="dxa"/>
                </w:tcPr>
                <w:p w14:paraId="3215AC3F">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047DA95C">
                  <w:pPr>
                    <w:adjustRightInd w:val="0"/>
                    <w:snapToGrid w:val="0"/>
                    <w:rPr>
                      <w:rFonts w:ascii="Times New Roman" w:hAnsi="Times New Roman" w:cs="Times New Roman"/>
                      <w:bCs/>
                      <w:szCs w:val="21"/>
                    </w:rPr>
                  </w:pPr>
                  <w:r>
                    <w:rPr>
                      <w:rFonts w:ascii="Times New Roman" w:hAnsi="Times New Roman" w:cs="Times New Roman"/>
                      <w:bCs/>
                      <w:szCs w:val="21"/>
                    </w:rPr>
                    <w:t>80</w:t>
                  </w:r>
                </w:p>
              </w:tc>
            </w:tr>
            <w:tr w14:paraId="4C6E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1982" w:type="dxa"/>
                  <w:vMerge w:val="continue"/>
                  <w:vAlign w:val="center"/>
                </w:tcPr>
                <w:p w14:paraId="4340C1C6">
                  <w:pPr>
                    <w:adjustRightInd w:val="0"/>
                    <w:snapToGrid w:val="0"/>
                    <w:rPr>
                      <w:rFonts w:ascii="Times New Roman" w:hAnsi="Times New Roman" w:cs="Times New Roman"/>
                      <w:szCs w:val="21"/>
                    </w:rPr>
                  </w:pPr>
                </w:p>
              </w:tc>
              <w:tc>
                <w:tcPr>
                  <w:tcW w:w="1982" w:type="dxa"/>
                </w:tcPr>
                <w:p w14:paraId="26569DC0">
                  <w:pPr>
                    <w:adjustRightInd w:val="0"/>
                    <w:snapToGrid w:val="0"/>
                    <w:rPr>
                      <w:rFonts w:ascii="Times New Roman" w:hAnsi="Times New Roman" w:cs="Times New Roman"/>
                      <w:bCs/>
                      <w:szCs w:val="21"/>
                    </w:rPr>
                  </w:pPr>
                  <w:r>
                    <w:rPr>
                      <w:rFonts w:ascii="Times New Roman" w:hAnsi="Times New Roman" w:cs="Times New Roman"/>
                      <w:bCs/>
                      <w:szCs w:val="21"/>
                    </w:rPr>
                    <w:t>设计压力</w:t>
                  </w:r>
                </w:p>
              </w:tc>
              <w:tc>
                <w:tcPr>
                  <w:tcW w:w="1983" w:type="dxa"/>
                </w:tcPr>
                <w:p w14:paraId="63EE99E7">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539313E0">
                  <w:pPr>
                    <w:adjustRightInd w:val="0"/>
                    <w:snapToGrid w:val="0"/>
                    <w:rPr>
                      <w:rFonts w:ascii="Times New Roman" w:hAnsi="Times New Roman" w:cs="Times New Roman"/>
                      <w:bCs/>
                      <w:szCs w:val="21"/>
                    </w:rPr>
                  </w:pPr>
                  <w:r>
                    <w:rPr>
                      <w:rFonts w:ascii="Times New Roman" w:hAnsi="Times New Roman" w:cs="Times New Roman"/>
                      <w:szCs w:val="21"/>
                    </w:rPr>
                    <w:t>0.002/-0.0005</w:t>
                  </w:r>
                </w:p>
              </w:tc>
            </w:tr>
            <w:tr w14:paraId="350A3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trPr>
              <w:tc>
                <w:tcPr>
                  <w:tcW w:w="1982" w:type="dxa"/>
                  <w:vMerge w:val="restart"/>
                  <w:vAlign w:val="center"/>
                </w:tcPr>
                <w:p w14:paraId="3F9416CF">
                  <w:pPr>
                    <w:adjustRightInd w:val="0"/>
                    <w:snapToGrid w:val="0"/>
                    <w:rPr>
                      <w:rFonts w:ascii="Times New Roman" w:hAnsi="Times New Roman" w:cs="Times New Roman"/>
                      <w:bCs/>
                      <w:szCs w:val="21"/>
                    </w:rPr>
                  </w:pPr>
                  <w:r>
                    <w:rPr>
                      <w:rFonts w:ascii="Times New Roman" w:hAnsi="Times New Roman" w:cs="Times New Roman"/>
                      <w:szCs w:val="21"/>
                    </w:rPr>
                    <w:t>95号车用汽油调和储罐</w:t>
                  </w:r>
                </w:p>
              </w:tc>
              <w:tc>
                <w:tcPr>
                  <w:tcW w:w="1982" w:type="dxa"/>
                </w:tcPr>
                <w:p w14:paraId="2F3BCEA7">
                  <w:pPr>
                    <w:adjustRightInd w:val="0"/>
                    <w:snapToGrid w:val="0"/>
                    <w:rPr>
                      <w:rFonts w:ascii="Times New Roman" w:hAnsi="Times New Roman" w:cs="Times New Roman"/>
                      <w:bCs/>
                      <w:szCs w:val="21"/>
                    </w:rPr>
                  </w:pPr>
                  <w:r>
                    <w:rPr>
                      <w:rFonts w:ascii="Times New Roman" w:hAnsi="Times New Roman" w:cs="Times New Roman"/>
                      <w:bCs/>
                      <w:szCs w:val="21"/>
                    </w:rPr>
                    <w:t>操作温度</w:t>
                  </w:r>
                </w:p>
              </w:tc>
              <w:tc>
                <w:tcPr>
                  <w:tcW w:w="1983" w:type="dxa"/>
                </w:tcPr>
                <w:p w14:paraId="2473B323">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05AC10B9">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6DFE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1982" w:type="dxa"/>
                  <w:vMerge w:val="continue"/>
                  <w:vAlign w:val="center"/>
                </w:tcPr>
                <w:p w14:paraId="63C14303">
                  <w:pPr>
                    <w:adjustRightInd w:val="0"/>
                    <w:snapToGrid w:val="0"/>
                    <w:rPr>
                      <w:rFonts w:ascii="Times New Roman" w:hAnsi="Times New Roman" w:cs="Times New Roman"/>
                      <w:szCs w:val="21"/>
                    </w:rPr>
                  </w:pPr>
                </w:p>
              </w:tc>
              <w:tc>
                <w:tcPr>
                  <w:tcW w:w="1982" w:type="dxa"/>
                </w:tcPr>
                <w:p w14:paraId="0834C13B">
                  <w:pPr>
                    <w:adjustRightInd w:val="0"/>
                    <w:snapToGrid w:val="0"/>
                    <w:rPr>
                      <w:rFonts w:ascii="Times New Roman" w:hAnsi="Times New Roman" w:cs="Times New Roman"/>
                      <w:bCs/>
                      <w:szCs w:val="21"/>
                    </w:rPr>
                  </w:pPr>
                  <w:r>
                    <w:rPr>
                      <w:rFonts w:ascii="Times New Roman" w:hAnsi="Times New Roman" w:cs="Times New Roman"/>
                      <w:bCs/>
                      <w:szCs w:val="21"/>
                    </w:rPr>
                    <w:t>操作压力</w:t>
                  </w:r>
                </w:p>
              </w:tc>
              <w:tc>
                <w:tcPr>
                  <w:tcW w:w="1983" w:type="dxa"/>
                </w:tcPr>
                <w:p w14:paraId="6AE5A090">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064DB3FF">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0DB04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1982" w:type="dxa"/>
                  <w:vMerge w:val="continue"/>
                  <w:vAlign w:val="center"/>
                </w:tcPr>
                <w:p w14:paraId="65ABD747">
                  <w:pPr>
                    <w:adjustRightInd w:val="0"/>
                    <w:snapToGrid w:val="0"/>
                    <w:rPr>
                      <w:rFonts w:ascii="Times New Roman" w:hAnsi="Times New Roman" w:cs="Times New Roman"/>
                      <w:szCs w:val="21"/>
                    </w:rPr>
                  </w:pPr>
                </w:p>
              </w:tc>
              <w:tc>
                <w:tcPr>
                  <w:tcW w:w="1982" w:type="dxa"/>
                </w:tcPr>
                <w:p w14:paraId="0C6EB0EA">
                  <w:pPr>
                    <w:adjustRightInd w:val="0"/>
                    <w:snapToGrid w:val="0"/>
                    <w:rPr>
                      <w:rFonts w:ascii="Times New Roman" w:hAnsi="Times New Roman" w:cs="Times New Roman"/>
                      <w:bCs/>
                      <w:szCs w:val="21"/>
                    </w:rPr>
                  </w:pPr>
                  <w:r>
                    <w:rPr>
                      <w:rFonts w:ascii="Times New Roman" w:hAnsi="Times New Roman" w:cs="Times New Roman"/>
                      <w:bCs/>
                      <w:szCs w:val="21"/>
                    </w:rPr>
                    <w:t>设计温度</w:t>
                  </w:r>
                </w:p>
              </w:tc>
              <w:tc>
                <w:tcPr>
                  <w:tcW w:w="1983" w:type="dxa"/>
                </w:tcPr>
                <w:p w14:paraId="0D85A6A0">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5B5602A5">
                  <w:pPr>
                    <w:adjustRightInd w:val="0"/>
                    <w:snapToGrid w:val="0"/>
                    <w:rPr>
                      <w:rFonts w:ascii="Times New Roman" w:hAnsi="Times New Roman" w:cs="Times New Roman"/>
                      <w:bCs/>
                      <w:szCs w:val="21"/>
                    </w:rPr>
                  </w:pPr>
                  <w:r>
                    <w:rPr>
                      <w:rFonts w:ascii="Times New Roman" w:hAnsi="Times New Roman" w:cs="Times New Roman"/>
                      <w:bCs/>
                      <w:szCs w:val="21"/>
                    </w:rPr>
                    <w:t>80</w:t>
                  </w:r>
                </w:p>
              </w:tc>
            </w:tr>
            <w:tr w14:paraId="14464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1982" w:type="dxa"/>
                  <w:vMerge w:val="continue"/>
                  <w:vAlign w:val="center"/>
                </w:tcPr>
                <w:p w14:paraId="3ED8AC83">
                  <w:pPr>
                    <w:adjustRightInd w:val="0"/>
                    <w:snapToGrid w:val="0"/>
                    <w:rPr>
                      <w:rFonts w:ascii="Times New Roman" w:hAnsi="Times New Roman" w:cs="Times New Roman"/>
                      <w:szCs w:val="21"/>
                    </w:rPr>
                  </w:pPr>
                </w:p>
              </w:tc>
              <w:tc>
                <w:tcPr>
                  <w:tcW w:w="1982" w:type="dxa"/>
                </w:tcPr>
                <w:p w14:paraId="195EE8AC">
                  <w:pPr>
                    <w:adjustRightInd w:val="0"/>
                    <w:snapToGrid w:val="0"/>
                    <w:rPr>
                      <w:rFonts w:ascii="Times New Roman" w:hAnsi="Times New Roman" w:cs="Times New Roman"/>
                      <w:bCs/>
                      <w:szCs w:val="21"/>
                    </w:rPr>
                  </w:pPr>
                  <w:r>
                    <w:rPr>
                      <w:rFonts w:ascii="Times New Roman" w:hAnsi="Times New Roman" w:cs="Times New Roman"/>
                      <w:bCs/>
                      <w:szCs w:val="21"/>
                    </w:rPr>
                    <w:t>设计压力</w:t>
                  </w:r>
                </w:p>
              </w:tc>
              <w:tc>
                <w:tcPr>
                  <w:tcW w:w="1983" w:type="dxa"/>
                </w:tcPr>
                <w:p w14:paraId="6910C21C">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42F38BC8">
                  <w:pPr>
                    <w:adjustRightInd w:val="0"/>
                    <w:snapToGrid w:val="0"/>
                    <w:rPr>
                      <w:rFonts w:ascii="Times New Roman" w:hAnsi="Times New Roman" w:cs="Times New Roman"/>
                      <w:bCs/>
                      <w:szCs w:val="21"/>
                    </w:rPr>
                  </w:pPr>
                  <w:r>
                    <w:rPr>
                      <w:rFonts w:ascii="Times New Roman" w:hAnsi="Times New Roman" w:cs="Times New Roman"/>
                      <w:szCs w:val="21"/>
                    </w:rPr>
                    <w:t>0.002/-0.0005</w:t>
                  </w:r>
                </w:p>
              </w:tc>
            </w:tr>
            <w:tr w14:paraId="1B4A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restart"/>
                  <w:vAlign w:val="center"/>
                </w:tcPr>
                <w:p w14:paraId="6763D5CF">
                  <w:pPr>
                    <w:adjustRightInd w:val="0"/>
                    <w:snapToGrid w:val="0"/>
                    <w:rPr>
                      <w:rFonts w:ascii="Times New Roman" w:hAnsi="Times New Roman" w:cs="Times New Roman"/>
                      <w:bCs/>
                      <w:szCs w:val="21"/>
                    </w:rPr>
                  </w:pPr>
                  <w:r>
                    <w:rPr>
                      <w:rFonts w:ascii="Times New Roman" w:hAnsi="Times New Roman" w:cs="Times New Roman"/>
                      <w:szCs w:val="21"/>
                    </w:rPr>
                    <w:t>MTBE泵</w:t>
                  </w:r>
                </w:p>
              </w:tc>
              <w:tc>
                <w:tcPr>
                  <w:tcW w:w="1982" w:type="dxa"/>
                  <w:tcBorders>
                    <w:bottom w:val="single" w:color="auto" w:sz="4" w:space="0"/>
                  </w:tcBorders>
                </w:tcPr>
                <w:p w14:paraId="7C0E5145">
                  <w:pPr>
                    <w:adjustRightInd w:val="0"/>
                    <w:snapToGrid w:val="0"/>
                    <w:rPr>
                      <w:rFonts w:ascii="Times New Roman" w:hAnsi="Times New Roman" w:cs="Times New Roman"/>
                      <w:bCs/>
                      <w:szCs w:val="21"/>
                    </w:rPr>
                  </w:pPr>
                  <w:r>
                    <w:rPr>
                      <w:rFonts w:ascii="Times New Roman" w:hAnsi="Times New Roman" w:cs="Times New Roman"/>
                      <w:bCs/>
                      <w:szCs w:val="21"/>
                    </w:rPr>
                    <w:t>温度</w:t>
                  </w:r>
                </w:p>
              </w:tc>
              <w:tc>
                <w:tcPr>
                  <w:tcW w:w="1983" w:type="dxa"/>
                </w:tcPr>
                <w:p w14:paraId="4C50B38F">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4F055994">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55F9F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0E7C1BBC">
                  <w:pPr>
                    <w:adjustRightInd w:val="0"/>
                    <w:snapToGrid w:val="0"/>
                    <w:rPr>
                      <w:rFonts w:ascii="Times New Roman" w:hAnsi="Times New Roman" w:cs="Times New Roman"/>
                      <w:szCs w:val="21"/>
                    </w:rPr>
                  </w:pPr>
                </w:p>
              </w:tc>
              <w:tc>
                <w:tcPr>
                  <w:tcW w:w="1982" w:type="dxa"/>
                  <w:tcBorders>
                    <w:bottom w:val="single" w:color="auto" w:sz="4" w:space="0"/>
                  </w:tcBorders>
                </w:tcPr>
                <w:p w14:paraId="4A40B2BE">
                  <w:pPr>
                    <w:adjustRightInd w:val="0"/>
                    <w:snapToGrid w:val="0"/>
                    <w:rPr>
                      <w:rFonts w:ascii="Times New Roman" w:hAnsi="Times New Roman" w:cs="Times New Roman"/>
                      <w:bCs/>
                      <w:szCs w:val="21"/>
                    </w:rPr>
                  </w:pPr>
                  <w:r>
                    <w:rPr>
                      <w:rFonts w:ascii="Times New Roman" w:hAnsi="Times New Roman" w:cs="Times New Roman"/>
                      <w:bCs/>
                      <w:szCs w:val="21"/>
                    </w:rPr>
                    <w:t>入口压力</w:t>
                  </w:r>
                </w:p>
              </w:tc>
              <w:tc>
                <w:tcPr>
                  <w:tcW w:w="1983" w:type="dxa"/>
                </w:tcPr>
                <w:p w14:paraId="2F160CC0">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7BF3E089">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02E22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tcBorders>
                    <w:bottom w:val="single" w:color="auto" w:sz="4" w:space="0"/>
                  </w:tcBorders>
                  <w:vAlign w:val="center"/>
                </w:tcPr>
                <w:p w14:paraId="70813EFA">
                  <w:pPr>
                    <w:adjustRightInd w:val="0"/>
                    <w:snapToGrid w:val="0"/>
                    <w:rPr>
                      <w:rFonts w:ascii="Times New Roman" w:hAnsi="Times New Roman" w:cs="Times New Roman"/>
                      <w:szCs w:val="21"/>
                    </w:rPr>
                  </w:pPr>
                </w:p>
              </w:tc>
              <w:tc>
                <w:tcPr>
                  <w:tcW w:w="1982" w:type="dxa"/>
                  <w:tcBorders>
                    <w:bottom w:val="single" w:color="auto" w:sz="4" w:space="0"/>
                  </w:tcBorders>
                </w:tcPr>
                <w:p w14:paraId="2959E439">
                  <w:pPr>
                    <w:adjustRightInd w:val="0"/>
                    <w:snapToGrid w:val="0"/>
                    <w:rPr>
                      <w:rFonts w:ascii="Times New Roman" w:hAnsi="Times New Roman" w:cs="Times New Roman"/>
                      <w:bCs/>
                      <w:szCs w:val="21"/>
                    </w:rPr>
                  </w:pPr>
                  <w:r>
                    <w:rPr>
                      <w:rFonts w:ascii="Times New Roman" w:hAnsi="Times New Roman" w:cs="Times New Roman"/>
                      <w:bCs/>
                      <w:szCs w:val="21"/>
                    </w:rPr>
                    <w:t>出口压力</w:t>
                  </w:r>
                </w:p>
              </w:tc>
              <w:tc>
                <w:tcPr>
                  <w:tcW w:w="1983" w:type="dxa"/>
                  <w:tcBorders>
                    <w:bottom w:val="single" w:color="auto" w:sz="4" w:space="0"/>
                  </w:tcBorders>
                </w:tcPr>
                <w:p w14:paraId="78952BA8">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Borders>
                    <w:bottom w:val="single" w:color="auto" w:sz="4" w:space="0"/>
                  </w:tcBorders>
                </w:tcPr>
                <w:p w14:paraId="0DB8BAC7">
                  <w:pPr>
                    <w:adjustRightInd w:val="0"/>
                    <w:snapToGrid w:val="0"/>
                    <w:rPr>
                      <w:rFonts w:ascii="Times New Roman" w:hAnsi="Times New Roman" w:cs="Times New Roman"/>
                      <w:bCs/>
                      <w:szCs w:val="21"/>
                    </w:rPr>
                  </w:pPr>
                  <w:r>
                    <w:rPr>
                      <w:rFonts w:ascii="Times New Roman" w:hAnsi="Times New Roman" w:cs="Times New Roman"/>
                      <w:bCs/>
                      <w:szCs w:val="21"/>
                    </w:rPr>
                    <w:t>0.3</w:t>
                  </w:r>
                </w:p>
              </w:tc>
            </w:tr>
            <w:tr w14:paraId="5D593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restart"/>
                  <w:vAlign w:val="center"/>
                </w:tcPr>
                <w:p w14:paraId="39689333">
                  <w:pPr>
                    <w:adjustRightInd w:val="0"/>
                    <w:snapToGrid w:val="0"/>
                    <w:rPr>
                      <w:rFonts w:ascii="Times New Roman" w:hAnsi="Times New Roman" w:cs="Times New Roman"/>
                      <w:bCs/>
                      <w:szCs w:val="21"/>
                    </w:rPr>
                  </w:pPr>
                  <w:r>
                    <w:rPr>
                      <w:rFonts w:ascii="Times New Roman" w:hAnsi="Times New Roman" w:cs="Times New Roman"/>
                      <w:szCs w:val="21"/>
                    </w:rPr>
                    <w:t>异辛烷泵</w:t>
                  </w:r>
                </w:p>
              </w:tc>
              <w:tc>
                <w:tcPr>
                  <w:tcW w:w="1982" w:type="dxa"/>
                  <w:tcBorders>
                    <w:bottom w:val="single" w:color="auto" w:sz="4" w:space="0"/>
                  </w:tcBorders>
                </w:tcPr>
                <w:p w14:paraId="7BE3ED4F">
                  <w:pPr>
                    <w:adjustRightInd w:val="0"/>
                    <w:snapToGrid w:val="0"/>
                    <w:rPr>
                      <w:rFonts w:ascii="Times New Roman" w:hAnsi="Times New Roman" w:cs="Times New Roman"/>
                      <w:bCs/>
                      <w:szCs w:val="21"/>
                    </w:rPr>
                  </w:pPr>
                  <w:r>
                    <w:rPr>
                      <w:rFonts w:ascii="Times New Roman" w:hAnsi="Times New Roman" w:cs="Times New Roman"/>
                      <w:bCs/>
                      <w:szCs w:val="21"/>
                    </w:rPr>
                    <w:t>温度</w:t>
                  </w:r>
                </w:p>
              </w:tc>
              <w:tc>
                <w:tcPr>
                  <w:tcW w:w="1983" w:type="dxa"/>
                </w:tcPr>
                <w:p w14:paraId="7213E21D">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7FD65A75">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25F2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42D207A4">
                  <w:pPr>
                    <w:adjustRightInd w:val="0"/>
                    <w:snapToGrid w:val="0"/>
                    <w:rPr>
                      <w:rFonts w:ascii="Times New Roman" w:hAnsi="Times New Roman" w:cs="Times New Roman"/>
                      <w:szCs w:val="21"/>
                    </w:rPr>
                  </w:pPr>
                </w:p>
              </w:tc>
              <w:tc>
                <w:tcPr>
                  <w:tcW w:w="1982" w:type="dxa"/>
                  <w:tcBorders>
                    <w:bottom w:val="single" w:color="auto" w:sz="4" w:space="0"/>
                  </w:tcBorders>
                </w:tcPr>
                <w:p w14:paraId="0E7BE95C">
                  <w:pPr>
                    <w:adjustRightInd w:val="0"/>
                    <w:snapToGrid w:val="0"/>
                    <w:rPr>
                      <w:rFonts w:ascii="Times New Roman" w:hAnsi="Times New Roman" w:cs="Times New Roman"/>
                      <w:bCs/>
                      <w:szCs w:val="21"/>
                    </w:rPr>
                  </w:pPr>
                  <w:r>
                    <w:rPr>
                      <w:rFonts w:ascii="Times New Roman" w:hAnsi="Times New Roman" w:cs="Times New Roman"/>
                      <w:bCs/>
                      <w:szCs w:val="21"/>
                    </w:rPr>
                    <w:t>入口压力</w:t>
                  </w:r>
                </w:p>
              </w:tc>
              <w:tc>
                <w:tcPr>
                  <w:tcW w:w="1983" w:type="dxa"/>
                </w:tcPr>
                <w:p w14:paraId="42B42C8A">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151D73DD">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4328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tcBorders>
                    <w:bottom w:val="single" w:color="auto" w:sz="4" w:space="0"/>
                  </w:tcBorders>
                  <w:vAlign w:val="center"/>
                </w:tcPr>
                <w:p w14:paraId="6B1411E2">
                  <w:pPr>
                    <w:adjustRightInd w:val="0"/>
                    <w:snapToGrid w:val="0"/>
                    <w:rPr>
                      <w:rFonts w:ascii="Times New Roman" w:hAnsi="Times New Roman" w:cs="Times New Roman"/>
                      <w:szCs w:val="21"/>
                    </w:rPr>
                  </w:pPr>
                </w:p>
              </w:tc>
              <w:tc>
                <w:tcPr>
                  <w:tcW w:w="1982" w:type="dxa"/>
                  <w:tcBorders>
                    <w:bottom w:val="single" w:color="auto" w:sz="4" w:space="0"/>
                  </w:tcBorders>
                </w:tcPr>
                <w:p w14:paraId="7BFEFBDE">
                  <w:pPr>
                    <w:adjustRightInd w:val="0"/>
                    <w:snapToGrid w:val="0"/>
                    <w:rPr>
                      <w:rFonts w:ascii="Times New Roman" w:hAnsi="Times New Roman" w:cs="Times New Roman"/>
                      <w:bCs/>
                      <w:szCs w:val="21"/>
                    </w:rPr>
                  </w:pPr>
                  <w:r>
                    <w:rPr>
                      <w:rFonts w:ascii="Times New Roman" w:hAnsi="Times New Roman" w:cs="Times New Roman"/>
                      <w:bCs/>
                      <w:szCs w:val="21"/>
                    </w:rPr>
                    <w:t>出口压力</w:t>
                  </w:r>
                </w:p>
              </w:tc>
              <w:tc>
                <w:tcPr>
                  <w:tcW w:w="1983" w:type="dxa"/>
                  <w:tcBorders>
                    <w:bottom w:val="single" w:color="auto" w:sz="4" w:space="0"/>
                  </w:tcBorders>
                </w:tcPr>
                <w:p w14:paraId="00115BBA">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Borders>
                    <w:bottom w:val="single" w:color="auto" w:sz="4" w:space="0"/>
                  </w:tcBorders>
                </w:tcPr>
                <w:p w14:paraId="34F8AD96">
                  <w:pPr>
                    <w:adjustRightInd w:val="0"/>
                    <w:snapToGrid w:val="0"/>
                    <w:rPr>
                      <w:rFonts w:ascii="Times New Roman" w:hAnsi="Times New Roman" w:cs="Times New Roman"/>
                      <w:bCs/>
                      <w:szCs w:val="21"/>
                    </w:rPr>
                  </w:pPr>
                  <w:r>
                    <w:rPr>
                      <w:rFonts w:ascii="Times New Roman" w:hAnsi="Times New Roman" w:cs="Times New Roman"/>
                      <w:bCs/>
                      <w:szCs w:val="21"/>
                    </w:rPr>
                    <w:t>0.3</w:t>
                  </w:r>
                </w:p>
              </w:tc>
            </w:tr>
            <w:tr w14:paraId="5CD5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restart"/>
                  <w:vAlign w:val="center"/>
                </w:tcPr>
                <w:p w14:paraId="75FE6518">
                  <w:pPr>
                    <w:adjustRightInd w:val="0"/>
                    <w:snapToGrid w:val="0"/>
                    <w:rPr>
                      <w:rFonts w:ascii="Times New Roman" w:hAnsi="Times New Roman" w:cs="Times New Roman"/>
                      <w:bCs/>
                      <w:szCs w:val="21"/>
                    </w:rPr>
                  </w:pPr>
                  <w:r>
                    <w:rPr>
                      <w:rFonts w:ascii="Times New Roman" w:hAnsi="Times New Roman" w:cs="Times New Roman"/>
                      <w:szCs w:val="21"/>
                    </w:rPr>
                    <w:t>轻质石脑油泵</w:t>
                  </w:r>
                </w:p>
              </w:tc>
              <w:tc>
                <w:tcPr>
                  <w:tcW w:w="1982" w:type="dxa"/>
                  <w:tcBorders>
                    <w:bottom w:val="single" w:color="auto" w:sz="4" w:space="0"/>
                  </w:tcBorders>
                </w:tcPr>
                <w:p w14:paraId="3B792D86">
                  <w:pPr>
                    <w:adjustRightInd w:val="0"/>
                    <w:snapToGrid w:val="0"/>
                    <w:rPr>
                      <w:rFonts w:ascii="Times New Roman" w:hAnsi="Times New Roman" w:cs="Times New Roman"/>
                      <w:bCs/>
                      <w:szCs w:val="21"/>
                    </w:rPr>
                  </w:pPr>
                  <w:r>
                    <w:rPr>
                      <w:rFonts w:ascii="Times New Roman" w:hAnsi="Times New Roman" w:cs="Times New Roman"/>
                      <w:bCs/>
                      <w:szCs w:val="21"/>
                    </w:rPr>
                    <w:t>温度</w:t>
                  </w:r>
                </w:p>
              </w:tc>
              <w:tc>
                <w:tcPr>
                  <w:tcW w:w="1983" w:type="dxa"/>
                </w:tcPr>
                <w:p w14:paraId="32D4456C">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14780E9D">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4F7E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7E78C384">
                  <w:pPr>
                    <w:adjustRightInd w:val="0"/>
                    <w:snapToGrid w:val="0"/>
                    <w:rPr>
                      <w:rFonts w:ascii="Times New Roman" w:hAnsi="Times New Roman" w:cs="Times New Roman"/>
                      <w:szCs w:val="21"/>
                    </w:rPr>
                  </w:pPr>
                </w:p>
              </w:tc>
              <w:tc>
                <w:tcPr>
                  <w:tcW w:w="1982" w:type="dxa"/>
                  <w:tcBorders>
                    <w:bottom w:val="single" w:color="auto" w:sz="4" w:space="0"/>
                  </w:tcBorders>
                </w:tcPr>
                <w:p w14:paraId="79F1A6F2">
                  <w:pPr>
                    <w:adjustRightInd w:val="0"/>
                    <w:snapToGrid w:val="0"/>
                    <w:rPr>
                      <w:rFonts w:ascii="Times New Roman" w:hAnsi="Times New Roman" w:cs="Times New Roman"/>
                      <w:bCs/>
                      <w:szCs w:val="21"/>
                    </w:rPr>
                  </w:pPr>
                  <w:r>
                    <w:rPr>
                      <w:rFonts w:ascii="Times New Roman" w:hAnsi="Times New Roman" w:cs="Times New Roman"/>
                      <w:bCs/>
                      <w:szCs w:val="21"/>
                    </w:rPr>
                    <w:t>入口压力</w:t>
                  </w:r>
                </w:p>
              </w:tc>
              <w:tc>
                <w:tcPr>
                  <w:tcW w:w="1983" w:type="dxa"/>
                </w:tcPr>
                <w:p w14:paraId="469E85D4">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4A80EFDB">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56164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tcBorders>
                    <w:bottom w:val="single" w:color="auto" w:sz="4" w:space="0"/>
                  </w:tcBorders>
                  <w:vAlign w:val="center"/>
                </w:tcPr>
                <w:p w14:paraId="418A8ED3">
                  <w:pPr>
                    <w:adjustRightInd w:val="0"/>
                    <w:snapToGrid w:val="0"/>
                    <w:rPr>
                      <w:rFonts w:ascii="Times New Roman" w:hAnsi="Times New Roman" w:cs="Times New Roman"/>
                      <w:szCs w:val="21"/>
                    </w:rPr>
                  </w:pPr>
                </w:p>
              </w:tc>
              <w:tc>
                <w:tcPr>
                  <w:tcW w:w="1982" w:type="dxa"/>
                  <w:tcBorders>
                    <w:bottom w:val="single" w:color="auto" w:sz="4" w:space="0"/>
                  </w:tcBorders>
                </w:tcPr>
                <w:p w14:paraId="7B9602E0">
                  <w:pPr>
                    <w:adjustRightInd w:val="0"/>
                    <w:snapToGrid w:val="0"/>
                    <w:rPr>
                      <w:rFonts w:ascii="Times New Roman" w:hAnsi="Times New Roman" w:cs="Times New Roman"/>
                      <w:bCs/>
                      <w:szCs w:val="21"/>
                    </w:rPr>
                  </w:pPr>
                  <w:r>
                    <w:rPr>
                      <w:rFonts w:ascii="Times New Roman" w:hAnsi="Times New Roman" w:cs="Times New Roman"/>
                      <w:bCs/>
                      <w:szCs w:val="21"/>
                    </w:rPr>
                    <w:t>出口压力</w:t>
                  </w:r>
                </w:p>
              </w:tc>
              <w:tc>
                <w:tcPr>
                  <w:tcW w:w="1983" w:type="dxa"/>
                  <w:tcBorders>
                    <w:bottom w:val="single" w:color="auto" w:sz="4" w:space="0"/>
                  </w:tcBorders>
                </w:tcPr>
                <w:p w14:paraId="44F93D7E">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Borders>
                    <w:bottom w:val="single" w:color="auto" w:sz="4" w:space="0"/>
                  </w:tcBorders>
                </w:tcPr>
                <w:p w14:paraId="28B8D6D4">
                  <w:pPr>
                    <w:adjustRightInd w:val="0"/>
                    <w:snapToGrid w:val="0"/>
                    <w:rPr>
                      <w:rFonts w:ascii="Times New Roman" w:hAnsi="Times New Roman" w:cs="Times New Roman"/>
                      <w:bCs/>
                      <w:szCs w:val="21"/>
                    </w:rPr>
                  </w:pPr>
                  <w:r>
                    <w:rPr>
                      <w:rFonts w:ascii="Times New Roman" w:hAnsi="Times New Roman" w:cs="Times New Roman"/>
                      <w:bCs/>
                      <w:szCs w:val="21"/>
                    </w:rPr>
                    <w:t>0.3</w:t>
                  </w:r>
                </w:p>
              </w:tc>
            </w:tr>
            <w:tr w14:paraId="4A4A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restart"/>
                  <w:vAlign w:val="center"/>
                </w:tcPr>
                <w:p w14:paraId="2F4ED943">
                  <w:pPr>
                    <w:adjustRightInd w:val="0"/>
                    <w:snapToGrid w:val="0"/>
                    <w:rPr>
                      <w:rFonts w:ascii="Times New Roman" w:hAnsi="Times New Roman" w:cs="Times New Roman"/>
                      <w:bCs/>
                      <w:szCs w:val="21"/>
                    </w:rPr>
                  </w:pPr>
                  <w:r>
                    <w:rPr>
                      <w:rFonts w:ascii="Times New Roman" w:hAnsi="Times New Roman" w:cs="Times New Roman"/>
                      <w:szCs w:val="21"/>
                    </w:rPr>
                    <w:t>混合芳烃泵</w:t>
                  </w:r>
                </w:p>
              </w:tc>
              <w:tc>
                <w:tcPr>
                  <w:tcW w:w="1982" w:type="dxa"/>
                  <w:tcBorders>
                    <w:bottom w:val="single" w:color="auto" w:sz="4" w:space="0"/>
                  </w:tcBorders>
                </w:tcPr>
                <w:p w14:paraId="7EF1B55B">
                  <w:pPr>
                    <w:adjustRightInd w:val="0"/>
                    <w:snapToGrid w:val="0"/>
                    <w:rPr>
                      <w:rFonts w:ascii="Times New Roman" w:hAnsi="Times New Roman" w:cs="Times New Roman"/>
                      <w:bCs/>
                      <w:szCs w:val="21"/>
                    </w:rPr>
                  </w:pPr>
                  <w:r>
                    <w:rPr>
                      <w:rFonts w:ascii="Times New Roman" w:hAnsi="Times New Roman" w:cs="Times New Roman"/>
                      <w:bCs/>
                      <w:szCs w:val="21"/>
                    </w:rPr>
                    <w:t>温度</w:t>
                  </w:r>
                </w:p>
              </w:tc>
              <w:tc>
                <w:tcPr>
                  <w:tcW w:w="1983" w:type="dxa"/>
                </w:tcPr>
                <w:p w14:paraId="19C751FB">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0EA0CFA5">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4BE00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2E298153">
                  <w:pPr>
                    <w:adjustRightInd w:val="0"/>
                    <w:snapToGrid w:val="0"/>
                    <w:rPr>
                      <w:rFonts w:ascii="Times New Roman" w:hAnsi="Times New Roman" w:cs="Times New Roman"/>
                      <w:szCs w:val="21"/>
                    </w:rPr>
                  </w:pPr>
                </w:p>
              </w:tc>
              <w:tc>
                <w:tcPr>
                  <w:tcW w:w="1982" w:type="dxa"/>
                  <w:tcBorders>
                    <w:bottom w:val="single" w:color="auto" w:sz="4" w:space="0"/>
                  </w:tcBorders>
                </w:tcPr>
                <w:p w14:paraId="09532892">
                  <w:pPr>
                    <w:adjustRightInd w:val="0"/>
                    <w:snapToGrid w:val="0"/>
                    <w:rPr>
                      <w:rFonts w:ascii="Times New Roman" w:hAnsi="Times New Roman" w:cs="Times New Roman"/>
                      <w:bCs/>
                      <w:szCs w:val="21"/>
                    </w:rPr>
                  </w:pPr>
                  <w:r>
                    <w:rPr>
                      <w:rFonts w:ascii="Times New Roman" w:hAnsi="Times New Roman" w:cs="Times New Roman"/>
                      <w:bCs/>
                      <w:szCs w:val="21"/>
                    </w:rPr>
                    <w:t>入口压力</w:t>
                  </w:r>
                </w:p>
              </w:tc>
              <w:tc>
                <w:tcPr>
                  <w:tcW w:w="1983" w:type="dxa"/>
                </w:tcPr>
                <w:p w14:paraId="56480D3A">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25306002">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3272B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tcBorders>
                    <w:bottom w:val="single" w:color="auto" w:sz="4" w:space="0"/>
                  </w:tcBorders>
                  <w:vAlign w:val="center"/>
                </w:tcPr>
                <w:p w14:paraId="6BD900D0">
                  <w:pPr>
                    <w:adjustRightInd w:val="0"/>
                    <w:snapToGrid w:val="0"/>
                    <w:rPr>
                      <w:rFonts w:ascii="Times New Roman" w:hAnsi="Times New Roman" w:cs="Times New Roman"/>
                      <w:szCs w:val="21"/>
                    </w:rPr>
                  </w:pPr>
                </w:p>
              </w:tc>
              <w:tc>
                <w:tcPr>
                  <w:tcW w:w="1982" w:type="dxa"/>
                  <w:tcBorders>
                    <w:bottom w:val="single" w:color="auto" w:sz="4" w:space="0"/>
                  </w:tcBorders>
                </w:tcPr>
                <w:p w14:paraId="7F01132F">
                  <w:pPr>
                    <w:adjustRightInd w:val="0"/>
                    <w:snapToGrid w:val="0"/>
                    <w:rPr>
                      <w:rFonts w:ascii="Times New Roman" w:hAnsi="Times New Roman" w:cs="Times New Roman"/>
                      <w:bCs/>
                      <w:szCs w:val="21"/>
                    </w:rPr>
                  </w:pPr>
                  <w:r>
                    <w:rPr>
                      <w:rFonts w:ascii="Times New Roman" w:hAnsi="Times New Roman" w:cs="Times New Roman"/>
                      <w:bCs/>
                      <w:szCs w:val="21"/>
                    </w:rPr>
                    <w:t>出口压力</w:t>
                  </w:r>
                </w:p>
              </w:tc>
              <w:tc>
                <w:tcPr>
                  <w:tcW w:w="1983" w:type="dxa"/>
                  <w:tcBorders>
                    <w:bottom w:val="single" w:color="auto" w:sz="4" w:space="0"/>
                  </w:tcBorders>
                </w:tcPr>
                <w:p w14:paraId="6749FA5E">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Borders>
                    <w:bottom w:val="single" w:color="auto" w:sz="4" w:space="0"/>
                  </w:tcBorders>
                </w:tcPr>
                <w:p w14:paraId="1C16D193">
                  <w:pPr>
                    <w:adjustRightInd w:val="0"/>
                    <w:snapToGrid w:val="0"/>
                    <w:rPr>
                      <w:rFonts w:ascii="Times New Roman" w:hAnsi="Times New Roman" w:cs="Times New Roman"/>
                      <w:bCs/>
                      <w:szCs w:val="21"/>
                    </w:rPr>
                  </w:pPr>
                  <w:r>
                    <w:rPr>
                      <w:rFonts w:ascii="Times New Roman" w:hAnsi="Times New Roman" w:cs="Times New Roman"/>
                      <w:bCs/>
                      <w:szCs w:val="21"/>
                    </w:rPr>
                    <w:t>0.3</w:t>
                  </w:r>
                </w:p>
              </w:tc>
            </w:tr>
            <w:tr w14:paraId="4CF6A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restart"/>
                  <w:vAlign w:val="center"/>
                </w:tcPr>
                <w:p w14:paraId="76E3AEC6">
                  <w:pPr>
                    <w:adjustRightInd w:val="0"/>
                    <w:snapToGrid w:val="0"/>
                    <w:rPr>
                      <w:rFonts w:ascii="Times New Roman" w:hAnsi="Times New Roman" w:cs="Times New Roman"/>
                      <w:bCs/>
                      <w:szCs w:val="21"/>
                    </w:rPr>
                  </w:pPr>
                  <w:r>
                    <w:rPr>
                      <w:rFonts w:ascii="Times New Roman" w:hAnsi="Times New Roman" w:cs="Times New Roman"/>
                      <w:szCs w:val="21"/>
                    </w:rPr>
                    <w:t>92号汽油装车泵</w:t>
                  </w:r>
                </w:p>
              </w:tc>
              <w:tc>
                <w:tcPr>
                  <w:tcW w:w="1982" w:type="dxa"/>
                  <w:tcBorders>
                    <w:bottom w:val="single" w:color="auto" w:sz="4" w:space="0"/>
                  </w:tcBorders>
                </w:tcPr>
                <w:p w14:paraId="17B4D7B8">
                  <w:pPr>
                    <w:adjustRightInd w:val="0"/>
                    <w:snapToGrid w:val="0"/>
                    <w:rPr>
                      <w:rFonts w:ascii="Times New Roman" w:hAnsi="Times New Roman" w:cs="Times New Roman"/>
                      <w:bCs/>
                      <w:szCs w:val="21"/>
                    </w:rPr>
                  </w:pPr>
                  <w:r>
                    <w:rPr>
                      <w:rFonts w:ascii="Times New Roman" w:hAnsi="Times New Roman" w:cs="Times New Roman"/>
                      <w:bCs/>
                      <w:szCs w:val="21"/>
                    </w:rPr>
                    <w:t>温度</w:t>
                  </w:r>
                </w:p>
              </w:tc>
              <w:tc>
                <w:tcPr>
                  <w:tcW w:w="1983" w:type="dxa"/>
                </w:tcPr>
                <w:p w14:paraId="0FC47601">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7EEFB4C3">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7D9B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2DE7AA3E">
                  <w:pPr>
                    <w:adjustRightInd w:val="0"/>
                    <w:snapToGrid w:val="0"/>
                    <w:rPr>
                      <w:rFonts w:ascii="Times New Roman" w:hAnsi="Times New Roman" w:cs="Times New Roman"/>
                      <w:szCs w:val="21"/>
                    </w:rPr>
                  </w:pPr>
                </w:p>
              </w:tc>
              <w:tc>
                <w:tcPr>
                  <w:tcW w:w="1982" w:type="dxa"/>
                  <w:tcBorders>
                    <w:bottom w:val="single" w:color="auto" w:sz="4" w:space="0"/>
                  </w:tcBorders>
                </w:tcPr>
                <w:p w14:paraId="2B7AD25C">
                  <w:pPr>
                    <w:adjustRightInd w:val="0"/>
                    <w:snapToGrid w:val="0"/>
                    <w:rPr>
                      <w:rFonts w:ascii="Times New Roman" w:hAnsi="Times New Roman" w:cs="Times New Roman"/>
                      <w:bCs/>
                      <w:szCs w:val="21"/>
                    </w:rPr>
                  </w:pPr>
                  <w:r>
                    <w:rPr>
                      <w:rFonts w:ascii="Times New Roman" w:hAnsi="Times New Roman" w:cs="Times New Roman"/>
                      <w:bCs/>
                      <w:szCs w:val="21"/>
                    </w:rPr>
                    <w:t>入口压力</w:t>
                  </w:r>
                </w:p>
              </w:tc>
              <w:tc>
                <w:tcPr>
                  <w:tcW w:w="1983" w:type="dxa"/>
                </w:tcPr>
                <w:p w14:paraId="21E4D1FD">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6258A416">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69257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tcBorders>
                    <w:bottom w:val="single" w:color="auto" w:sz="4" w:space="0"/>
                  </w:tcBorders>
                  <w:vAlign w:val="center"/>
                </w:tcPr>
                <w:p w14:paraId="5AB92C1A">
                  <w:pPr>
                    <w:adjustRightInd w:val="0"/>
                    <w:snapToGrid w:val="0"/>
                    <w:rPr>
                      <w:rFonts w:ascii="Times New Roman" w:hAnsi="Times New Roman" w:cs="Times New Roman"/>
                      <w:szCs w:val="21"/>
                    </w:rPr>
                  </w:pPr>
                </w:p>
              </w:tc>
              <w:tc>
                <w:tcPr>
                  <w:tcW w:w="1982" w:type="dxa"/>
                  <w:tcBorders>
                    <w:bottom w:val="single" w:color="auto" w:sz="4" w:space="0"/>
                  </w:tcBorders>
                </w:tcPr>
                <w:p w14:paraId="0CDDBD16">
                  <w:pPr>
                    <w:adjustRightInd w:val="0"/>
                    <w:snapToGrid w:val="0"/>
                    <w:rPr>
                      <w:rFonts w:ascii="Times New Roman" w:hAnsi="Times New Roman" w:cs="Times New Roman"/>
                      <w:bCs/>
                      <w:szCs w:val="21"/>
                    </w:rPr>
                  </w:pPr>
                  <w:r>
                    <w:rPr>
                      <w:rFonts w:ascii="Times New Roman" w:hAnsi="Times New Roman" w:cs="Times New Roman"/>
                      <w:bCs/>
                      <w:szCs w:val="21"/>
                    </w:rPr>
                    <w:t>出口压力</w:t>
                  </w:r>
                </w:p>
              </w:tc>
              <w:tc>
                <w:tcPr>
                  <w:tcW w:w="1983" w:type="dxa"/>
                  <w:tcBorders>
                    <w:bottom w:val="single" w:color="auto" w:sz="4" w:space="0"/>
                  </w:tcBorders>
                </w:tcPr>
                <w:p w14:paraId="31ABAE17">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Borders>
                    <w:bottom w:val="single" w:color="auto" w:sz="4" w:space="0"/>
                  </w:tcBorders>
                </w:tcPr>
                <w:p w14:paraId="22426B91">
                  <w:pPr>
                    <w:adjustRightInd w:val="0"/>
                    <w:snapToGrid w:val="0"/>
                    <w:rPr>
                      <w:rFonts w:ascii="Times New Roman" w:hAnsi="Times New Roman" w:cs="Times New Roman"/>
                      <w:bCs/>
                      <w:szCs w:val="21"/>
                    </w:rPr>
                  </w:pPr>
                  <w:r>
                    <w:rPr>
                      <w:rFonts w:ascii="Times New Roman" w:hAnsi="Times New Roman" w:cs="Times New Roman"/>
                      <w:bCs/>
                      <w:szCs w:val="21"/>
                    </w:rPr>
                    <w:t>0.4</w:t>
                  </w:r>
                </w:p>
              </w:tc>
            </w:tr>
            <w:tr w14:paraId="5799B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restart"/>
                  <w:vAlign w:val="center"/>
                </w:tcPr>
                <w:p w14:paraId="5C68C526">
                  <w:pPr>
                    <w:adjustRightInd w:val="0"/>
                    <w:snapToGrid w:val="0"/>
                    <w:rPr>
                      <w:rFonts w:ascii="Times New Roman" w:hAnsi="Times New Roman" w:cs="Times New Roman"/>
                      <w:bCs/>
                      <w:szCs w:val="21"/>
                    </w:rPr>
                  </w:pPr>
                  <w:r>
                    <w:rPr>
                      <w:rFonts w:ascii="Times New Roman" w:hAnsi="Times New Roman" w:cs="Times New Roman"/>
                      <w:szCs w:val="21"/>
                    </w:rPr>
                    <w:t>95号汽油装车泵</w:t>
                  </w:r>
                </w:p>
              </w:tc>
              <w:tc>
                <w:tcPr>
                  <w:tcW w:w="1982" w:type="dxa"/>
                </w:tcPr>
                <w:p w14:paraId="3A603958">
                  <w:pPr>
                    <w:adjustRightInd w:val="0"/>
                    <w:snapToGrid w:val="0"/>
                    <w:rPr>
                      <w:rFonts w:ascii="Times New Roman" w:hAnsi="Times New Roman" w:cs="Times New Roman"/>
                      <w:bCs/>
                      <w:szCs w:val="21"/>
                    </w:rPr>
                  </w:pPr>
                  <w:r>
                    <w:rPr>
                      <w:rFonts w:ascii="Times New Roman" w:hAnsi="Times New Roman" w:cs="Times New Roman"/>
                      <w:bCs/>
                      <w:szCs w:val="21"/>
                    </w:rPr>
                    <w:t>温度</w:t>
                  </w:r>
                </w:p>
              </w:tc>
              <w:tc>
                <w:tcPr>
                  <w:tcW w:w="1983" w:type="dxa"/>
                </w:tcPr>
                <w:p w14:paraId="1884A616">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33E4478D">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2000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3E144ABB">
                  <w:pPr>
                    <w:adjustRightInd w:val="0"/>
                    <w:snapToGrid w:val="0"/>
                    <w:rPr>
                      <w:rFonts w:ascii="Times New Roman" w:hAnsi="Times New Roman" w:cs="Times New Roman"/>
                      <w:szCs w:val="21"/>
                      <w:highlight w:val="yellow"/>
                    </w:rPr>
                  </w:pPr>
                </w:p>
              </w:tc>
              <w:tc>
                <w:tcPr>
                  <w:tcW w:w="1982" w:type="dxa"/>
                </w:tcPr>
                <w:p w14:paraId="2B83BEED">
                  <w:pPr>
                    <w:adjustRightInd w:val="0"/>
                    <w:snapToGrid w:val="0"/>
                    <w:rPr>
                      <w:rFonts w:ascii="Times New Roman" w:hAnsi="Times New Roman" w:cs="Times New Roman"/>
                      <w:bCs/>
                      <w:szCs w:val="21"/>
                    </w:rPr>
                  </w:pPr>
                  <w:r>
                    <w:rPr>
                      <w:rFonts w:ascii="Times New Roman" w:hAnsi="Times New Roman" w:cs="Times New Roman"/>
                      <w:bCs/>
                      <w:szCs w:val="21"/>
                    </w:rPr>
                    <w:t>入口压力</w:t>
                  </w:r>
                </w:p>
              </w:tc>
              <w:tc>
                <w:tcPr>
                  <w:tcW w:w="1983" w:type="dxa"/>
                </w:tcPr>
                <w:p w14:paraId="78405F83">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589D277D">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79D8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59BF1332">
                  <w:pPr>
                    <w:adjustRightInd w:val="0"/>
                    <w:snapToGrid w:val="0"/>
                    <w:rPr>
                      <w:rFonts w:ascii="Times New Roman" w:hAnsi="Times New Roman" w:cs="Times New Roman"/>
                      <w:szCs w:val="21"/>
                      <w:highlight w:val="yellow"/>
                    </w:rPr>
                  </w:pPr>
                </w:p>
              </w:tc>
              <w:tc>
                <w:tcPr>
                  <w:tcW w:w="1982" w:type="dxa"/>
                </w:tcPr>
                <w:p w14:paraId="12503CC2">
                  <w:pPr>
                    <w:adjustRightInd w:val="0"/>
                    <w:snapToGrid w:val="0"/>
                    <w:rPr>
                      <w:rFonts w:ascii="Times New Roman" w:hAnsi="Times New Roman" w:cs="Times New Roman"/>
                      <w:bCs/>
                      <w:szCs w:val="21"/>
                    </w:rPr>
                  </w:pPr>
                  <w:r>
                    <w:rPr>
                      <w:rFonts w:ascii="Times New Roman" w:hAnsi="Times New Roman" w:cs="Times New Roman"/>
                      <w:bCs/>
                      <w:szCs w:val="21"/>
                    </w:rPr>
                    <w:t>出口压力</w:t>
                  </w:r>
                </w:p>
              </w:tc>
              <w:tc>
                <w:tcPr>
                  <w:tcW w:w="1983" w:type="dxa"/>
                </w:tcPr>
                <w:p w14:paraId="2B379EEB">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0FD858F1">
                  <w:pPr>
                    <w:adjustRightInd w:val="0"/>
                    <w:snapToGrid w:val="0"/>
                    <w:rPr>
                      <w:rFonts w:ascii="Times New Roman" w:hAnsi="Times New Roman" w:cs="Times New Roman"/>
                      <w:bCs/>
                      <w:szCs w:val="21"/>
                    </w:rPr>
                  </w:pPr>
                  <w:r>
                    <w:rPr>
                      <w:rFonts w:ascii="Times New Roman" w:hAnsi="Times New Roman" w:cs="Times New Roman"/>
                      <w:bCs/>
                      <w:szCs w:val="21"/>
                    </w:rPr>
                    <w:t>0.4</w:t>
                  </w:r>
                </w:p>
              </w:tc>
            </w:tr>
            <w:tr w14:paraId="579D2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930" w:type="dxa"/>
                  <w:gridSpan w:val="4"/>
                  <w:vAlign w:val="center"/>
                </w:tcPr>
                <w:p w14:paraId="0EF7E873">
                  <w:pPr>
                    <w:adjustRightInd w:val="0"/>
                    <w:snapToGrid w:val="0"/>
                    <w:jc w:val="center"/>
                    <w:rPr>
                      <w:rFonts w:ascii="Times New Roman" w:hAnsi="Times New Roman" w:cs="Times New Roman"/>
                      <w:bCs/>
                      <w:szCs w:val="21"/>
                    </w:rPr>
                  </w:pPr>
                  <w:r>
                    <w:rPr>
                      <w:rFonts w:ascii="Times New Roman" w:hAnsi="Times New Roman" w:cs="Times New Roman"/>
                      <w:bCs/>
                      <w:szCs w:val="21"/>
                    </w:rPr>
                    <w:t>柴油调和单元</w:t>
                  </w:r>
                </w:p>
              </w:tc>
            </w:tr>
            <w:tr w14:paraId="5B54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restart"/>
                  <w:vAlign w:val="center"/>
                </w:tcPr>
                <w:p w14:paraId="43F35A95">
                  <w:pPr>
                    <w:adjustRightInd w:val="0"/>
                    <w:snapToGrid w:val="0"/>
                    <w:rPr>
                      <w:rFonts w:ascii="Times New Roman" w:hAnsi="Times New Roman" w:cs="Times New Roman"/>
                      <w:szCs w:val="21"/>
                    </w:rPr>
                  </w:pPr>
                  <w:r>
                    <w:rPr>
                      <w:rFonts w:ascii="Times New Roman" w:hAnsi="Times New Roman" w:cs="Times New Roman"/>
                      <w:szCs w:val="21"/>
                    </w:rPr>
                    <w:t>轻质燃料油储罐</w:t>
                  </w:r>
                </w:p>
              </w:tc>
              <w:tc>
                <w:tcPr>
                  <w:tcW w:w="1982" w:type="dxa"/>
                </w:tcPr>
                <w:p w14:paraId="69E6CDAF">
                  <w:pPr>
                    <w:adjustRightInd w:val="0"/>
                    <w:snapToGrid w:val="0"/>
                    <w:rPr>
                      <w:rFonts w:ascii="Times New Roman" w:hAnsi="Times New Roman" w:cs="Times New Roman"/>
                      <w:bCs/>
                      <w:szCs w:val="21"/>
                    </w:rPr>
                  </w:pPr>
                  <w:r>
                    <w:rPr>
                      <w:rFonts w:ascii="Times New Roman" w:hAnsi="Times New Roman" w:cs="Times New Roman"/>
                      <w:bCs/>
                      <w:szCs w:val="21"/>
                    </w:rPr>
                    <w:t>操作温度</w:t>
                  </w:r>
                </w:p>
              </w:tc>
              <w:tc>
                <w:tcPr>
                  <w:tcW w:w="1983" w:type="dxa"/>
                </w:tcPr>
                <w:p w14:paraId="566D9E52">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465F9145">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01E3D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63A0AA21">
                  <w:pPr>
                    <w:adjustRightInd w:val="0"/>
                    <w:snapToGrid w:val="0"/>
                    <w:rPr>
                      <w:rFonts w:ascii="Times New Roman" w:hAnsi="Times New Roman" w:cs="Times New Roman"/>
                      <w:szCs w:val="21"/>
                    </w:rPr>
                  </w:pPr>
                </w:p>
              </w:tc>
              <w:tc>
                <w:tcPr>
                  <w:tcW w:w="1982" w:type="dxa"/>
                </w:tcPr>
                <w:p w14:paraId="25ABA86E">
                  <w:pPr>
                    <w:adjustRightInd w:val="0"/>
                    <w:snapToGrid w:val="0"/>
                    <w:rPr>
                      <w:rFonts w:ascii="Times New Roman" w:hAnsi="Times New Roman" w:cs="Times New Roman"/>
                      <w:bCs/>
                      <w:szCs w:val="21"/>
                    </w:rPr>
                  </w:pPr>
                  <w:r>
                    <w:rPr>
                      <w:rFonts w:ascii="Times New Roman" w:hAnsi="Times New Roman" w:cs="Times New Roman"/>
                      <w:bCs/>
                      <w:szCs w:val="21"/>
                    </w:rPr>
                    <w:t>操作压力</w:t>
                  </w:r>
                </w:p>
              </w:tc>
              <w:tc>
                <w:tcPr>
                  <w:tcW w:w="1983" w:type="dxa"/>
                </w:tcPr>
                <w:p w14:paraId="456941C7">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720D4382">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67325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1CFE0CD9">
                  <w:pPr>
                    <w:adjustRightInd w:val="0"/>
                    <w:snapToGrid w:val="0"/>
                    <w:rPr>
                      <w:rFonts w:ascii="Times New Roman" w:hAnsi="Times New Roman" w:cs="Times New Roman"/>
                      <w:szCs w:val="21"/>
                    </w:rPr>
                  </w:pPr>
                </w:p>
              </w:tc>
              <w:tc>
                <w:tcPr>
                  <w:tcW w:w="1982" w:type="dxa"/>
                </w:tcPr>
                <w:p w14:paraId="593F99EE">
                  <w:pPr>
                    <w:adjustRightInd w:val="0"/>
                    <w:snapToGrid w:val="0"/>
                    <w:rPr>
                      <w:rFonts w:ascii="Times New Roman" w:hAnsi="Times New Roman" w:cs="Times New Roman"/>
                      <w:bCs/>
                      <w:szCs w:val="21"/>
                    </w:rPr>
                  </w:pPr>
                  <w:r>
                    <w:rPr>
                      <w:rFonts w:ascii="Times New Roman" w:hAnsi="Times New Roman" w:cs="Times New Roman"/>
                      <w:bCs/>
                      <w:szCs w:val="21"/>
                    </w:rPr>
                    <w:t>设计温度</w:t>
                  </w:r>
                </w:p>
              </w:tc>
              <w:tc>
                <w:tcPr>
                  <w:tcW w:w="1983" w:type="dxa"/>
                </w:tcPr>
                <w:p w14:paraId="780119AC">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5D42CFFF">
                  <w:pPr>
                    <w:adjustRightInd w:val="0"/>
                    <w:snapToGrid w:val="0"/>
                    <w:rPr>
                      <w:rFonts w:ascii="Times New Roman" w:hAnsi="Times New Roman" w:cs="Times New Roman"/>
                      <w:bCs/>
                      <w:szCs w:val="21"/>
                    </w:rPr>
                  </w:pPr>
                  <w:r>
                    <w:rPr>
                      <w:rFonts w:ascii="Times New Roman" w:hAnsi="Times New Roman" w:cs="Times New Roman"/>
                      <w:bCs/>
                      <w:szCs w:val="21"/>
                    </w:rPr>
                    <w:t>80</w:t>
                  </w:r>
                </w:p>
              </w:tc>
            </w:tr>
            <w:tr w14:paraId="440AA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10EE52FE">
                  <w:pPr>
                    <w:adjustRightInd w:val="0"/>
                    <w:snapToGrid w:val="0"/>
                    <w:rPr>
                      <w:rFonts w:ascii="Times New Roman" w:hAnsi="Times New Roman" w:cs="Times New Roman"/>
                      <w:szCs w:val="21"/>
                    </w:rPr>
                  </w:pPr>
                </w:p>
              </w:tc>
              <w:tc>
                <w:tcPr>
                  <w:tcW w:w="1982" w:type="dxa"/>
                </w:tcPr>
                <w:p w14:paraId="21F2904D">
                  <w:pPr>
                    <w:adjustRightInd w:val="0"/>
                    <w:snapToGrid w:val="0"/>
                    <w:rPr>
                      <w:rFonts w:ascii="Times New Roman" w:hAnsi="Times New Roman" w:cs="Times New Roman"/>
                      <w:bCs/>
                      <w:szCs w:val="21"/>
                    </w:rPr>
                  </w:pPr>
                  <w:r>
                    <w:rPr>
                      <w:rFonts w:ascii="Times New Roman" w:hAnsi="Times New Roman" w:cs="Times New Roman"/>
                      <w:bCs/>
                      <w:szCs w:val="21"/>
                    </w:rPr>
                    <w:t>设计压力</w:t>
                  </w:r>
                </w:p>
              </w:tc>
              <w:tc>
                <w:tcPr>
                  <w:tcW w:w="1983" w:type="dxa"/>
                </w:tcPr>
                <w:p w14:paraId="71968C06">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3786A8E8">
                  <w:pPr>
                    <w:adjustRightInd w:val="0"/>
                    <w:snapToGrid w:val="0"/>
                    <w:rPr>
                      <w:rFonts w:ascii="Times New Roman" w:hAnsi="Times New Roman" w:cs="Times New Roman"/>
                      <w:bCs/>
                      <w:szCs w:val="21"/>
                    </w:rPr>
                  </w:pPr>
                  <w:r>
                    <w:rPr>
                      <w:rFonts w:ascii="Times New Roman" w:hAnsi="Times New Roman" w:cs="Times New Roman"/>
                      <w:szCs w:val="21"/>
                    </w:rPr>
                    <w:t>0.002/-0.0005</w:t>
                  </w:r>
                </w:p>
              </w:tc>
            </w:tr>
            <w:tr w14:paraId="7BACB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restart"/>
                  <w:vAlign w:val="center"/>
                </w:tcPr>
                <w:p w14:paraId="67C1C2DD">
                  <w:pPr>
                    <w:adjustRightInd w:val="0"/>
                    <w:snapToGrid w:val="0"/>
                    <w:rPr>
                      <w:rFonts w:ascii="Times New Roman" w:hAnsi="Times New Roman" w:cs="Times New Roman"/>
                      <w:szCs w:val="21"/>
                    </w:rPr>
                  </w:pPr>
                  <w:r>
                    <w:rPr>
                      <w:rFonts w:ascii="Times New Roman" w:hAnsi="Times New Roman" w:cs="Times New Roman"/>
                      <w:szCs w:val="21"/>
                    </w:rPr>
                    <w:t>煤基柴油储罐</w:t>
                  </w:r>
                </w:p>
              </w:tc>
              <w:tc>
                <w:tcPr>
                  <w:tcW w:w="1982" w:type="dxa"/>
                </w:tcPr>
                <w:p w14:paraId="0F5D7C78">
                  <w:pPr>
                    <w:adjustRightInd w:val="0"/>
                    <w:snapToGrid w:val="0"/>
                    <w:rPr>
                      <w:rFonts w:ascii="Times New Roman" w:hAnsi="Times New Roman" w:cs="Times New Roman"/>
                      <w:bCs/>
                      <w:szCs w:val="21"/>
                    </w:rPr>
                  </w:pPr>
                  <w:r>
                    <w:rPr>
                      <w:rFonts w:ascii="Times New Roman" w:hAnsi="Times New Roman" w:cs="Times New Roman"/>
                      <w:bCs/>
                      <w:szCs w:val="21"/>
                    </w:rPr>
                    <w:t>操作温度</w:t>
                  </w:r>
                </w:p>
              </w:tc>
              <w:tc>
                <w:tcPr>
                  <w:tcW w:w="1983" w:type="dxa"/>
                </w:tcPr>
                <w:p w14:paraId="107CB574">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1B49DCEA">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229A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2B3D73BF">
                  <w:pPr>
                    <w:adjustRightInd w:val="0"/>
                    <w:snapToGrid w:val="0"/>
                    <w:rPr>
                      <w:rFonts w:ascii="Times New Roman" w:hAnsi="Times New Roman" w:cs="Times New Roman"/>
                      <w:szCs w:val="21"/>
                    </w:rPr>
                  </w:pPr>
                </w:p>
              </w:tc>
              <w:tc>
                <w:tcPr>
                  <w:tcW w:w="1982" w:type="dxa"/>
                </w:tcPr>
                <w:p w14:paraId="6F8E2DCA">
                  <w:pPr>
                    <w:adjustRightInd w:val="0"/>
                    <w:snapToGrid w:val="0"/>
                    <w:rPr>
                      <w:rFonts w:ascii="Times New Roman" w:hAnsi="Times New Roman" w:cs="Times New Roman"/>
                      <w:bCs/>
                      <w:szCs w:val="21"/>
                    </w:rPr>
                  </w:pPr>
                  <w:r>
                    <w:rPr>
                      <w:rFonts w:ascii="Times New Roman" w:hAnsi="Times New Roman" w:cs="Times New Roman"/>
                      <w:bCs/>
                      <w:szCs w:val="21"/>
                    </w:rPr>
                    <w:t>操作压力</w:t>
                  </w:r>
                </w:p>
              </w:tc>
              <w:tc>
                <w:tcPr>
                  <w:tcW w:w="1983" w:type="dxa"/>
                </w:tcPr>
                <w:p w14:paraId="3C7FA28F">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078C0B50">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0D974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24FF1F47">
                  <w:pPr>
                    <w:adjustRightInd w:val="0"/>
                    <w:snapToGrid w:val="0"/>
                    <w:rPr>
                      <w:rFonts w:ascii="Times New Roman" w:hAnsi="Times New Roman" w:cs="Times New Roman"/>
                      <w:szCs w:val="21"/>
                    </w:rPr>
                  </w:pPr>
                </w:p>
              </w:tc>
              <w:tc>
                <w:tcPr>
                  <w:tcW w:w="1982" w:type="dxa"/>
                </w:tcPr>
                <w:p w14:paraId="6A5FB7B7">
                  <w:pPr>
                    <w:adjustRightInd w:val="0"/>
                    <w:snapToGrid w:val="0"/>
                    <w:rPr>
                      <w:rFonts w:ascii="Times New Roman" w:hAnsi="Times New Roman" w:cs="Times New Roman"/>
                      <w:bCs/>
                      <w:szCs w:val="21"/>
                    </w:rPr>
                  </w:pPr>
                  <w:r>
                    <w:rPr>
                      <w:rFonts w:ascii="Times New Roman" w:hAnsi="Times New Roman" w:cs="Times New Roman"/>
                      <w:bCs/>
                      <w:szCs w:val="21"/>
                    </w:rPr>
                    <w:t>设计温度</w:t>
                  </w:r>
                </w:p>
              </w:tc>
              <w:tc>
                <w:tcPr>
                  <w:tcW w:w="1983" w:type="dxa"/>
                </w:tcPr>
                <w:p w14:paraId="7517C7E9">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2C5D2D15">
                  <w:pPr>
                    <w:adjustRightInd w:val="0"/>
                    <w:snapToGrid w:val="0"/>
                    <w:rPr>
                      <w:rFonts w:ascii="Times New Roman" w:hAnsi="Times New Roman" w:cs="Times New Roman"/>
                      <w:bCs/>
                      <w:szCs w:val="21"/>
                    </w:rPr>
                  </w:pPr>
                  <w:r>
                    <w:rPr>
                      <w:rFonts w:ascii="Times New Roman" w:hAnsi="Times New Roman" w:cs="Times New Roman"/>
                      <w:bCs/>
                      <w:szCs w:val="21"/>
                    </w:rPr>
                    <w:t>80</w:t>
                  </w:r>
                </w:p>
              </w:tc>
            </w:tr>
            <w:tr w14:paraId="6104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7F8363C8">
                  <w:pPr>
                    <w:adjustRightInd w:val="0"/>
                    <w:snapToGrid w:val="0"/>
                    <w:rPr>
                      <w:rFonts w:ascii="Times New Roman" w:hAnsi="Times New Roman" w:cs="Times New Roman"/>
                      <w:szCs w:val="21"/>
                    </w:rPr>
                  </w:pPr>
                </w:p>
              </w:tc>
              <w:tc>
                <w:tcPr>
                  <w:tcW w:w="1982" w:type="dxa"/>
                </w:tcPr>
                <w:p w14:paraId="6E97FCE5">
                  <w:pPr>
                    <w:adjustRightInd w:val="0"/>
                    <w:snapToGrid w:val="0"/>
                    <w:rPr>
                      <w:rFonts w:ascii="Times New Roman" w:hAnsi="Times New Roman" w:cs="Times New Roman"/>
                      <w:bCs/>
                      <w:szCs w:val="21"/>
                    </w:rPr>
                  </w:pPr>
                  <w:r>
                    <w:rPr>
                      <w:rFonts w:ascii="Times New Roman" w:hAnsi="Times New Roman" w:cs="Times New Roman"/>
                      <w:bCs/>
                      <w:szCs w:val="21"/>
                    </w:rPr>
                    <w:t>设计压力</w:t>
                  </w:r>
                </w:p>
              </w:tc>
              <w:tc>
                <w:tcPr>
                  <w:tcW w:w="1983" w:type="dxa"/>
                </w:tcPr>
                <w:p w14:paraId="57CDC62A">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0C382588">
                  <w:pPr>
                    <w:adjustRightInd w:val="0"/>
                    <w:snapToGrid w:val="0"/>
                    <w:rPr>
                      <w:rFonts w:ascii="Times New Roman" w:hAnsi="Times New Roman" w:cs="Times New Roman"/>
                      <w:bCs/>
                      <w:szCs w:val="21"/>
                    </w:rPr>
                  </w:pPr>
                  <w:r>
                    <w:rPr>
                      <w:rFonts w:ascii="Times New Roman" w:hAnsi="Times New Roman" w:cs="Times New Roman"/>
                      <w:szCs w:val="21"/>
                    </w:rPr>
                    <w:t>0.002/-0.0005</w:t>
                  </w:r>
                </w:p>
              </w:tc>
            </w:tr>
            <w:tr w14:paraId="4545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restart"/>
                  <w:vAlign w:val="center"/>
                </w:tcPr>
                <w:p w14:paraId="0845C19C">
                  <w:pPr>
                    <w:adjustRightInd w:val="0"/>
                    <w:snapToGrid w:val="0"/>
                    <w:rPr>
                      <w:rFonts w:ascii="Times New Roman" w:hAnsi="Times New Roman" w:cs="Times New Roman"/>
                      <w:szCs w:val="21"/>
                    </w:rPr>
                  </w:pPr>
                  <w:r>
                    <w:rPr>
                      <w:rFonts w:ascii="Times New Roman" w:hAnsi="Times New Roman" w:cs="Times New Roman"/>
                      <w:szCs w:val="21"/>
                    </w:rPr>
                    <w:t>车用柴油调和储罐</w:t>
                  </w:r>
                </w:p>
                <w:p w14:paraId="772134F7">
                  <w:pPr>
                    <w:adjustRightInd w:val="0"/>
                    <w:snapToGrid w:val="0"/>
                    <w:rPr>
                      <w:rFonts w:ascii="Times New Roman" w:hAnsi="Times New Roman" w:cs="Times New Roman"/>
                      <w:szCs w:val="21"/>
                    </w:rPr>
                  </w:pPr>
                </w:p>
              </w:tc>
              <w:tc>
                <w:tcPr>
                  <w:tcW w:w="1982" w:type="dxa"/>
                </w:tcPr>
                <w:p w14:paraId="4FF9E9E1">
                  <w:pPr>
                    <w:adjustRightInd w:val="0"/>
                    <w:snapToGrid w:val="0"/>
                    <w:rPr>
                      <w:rFonts w:ascii="Times New Roman" w:hAnsi="Times New Roman" w:cs="Times New Roman"/>
                      <w:bCs/>
                      <w:szCs w:val="21"/>
                    </w:rPr>
                  </w:pPr>
                  <w:r>
                    <w:rPr>
                      <w:rFonts w:ascii="Times New Roman" w:hAnsi="Times New Roman" w:cs="Times New Roman"/>
                      <w:bCs/>
                      <w:szCs w:val="21"/>
                    </w:rPr>
                    <w:t>操作温度</w:t>
                  </w:r>
                </w:p>
              </w:tc>
              <w:tc>
                <w:tcPr>
                  <w:tcW w:w="1983" w:type="dxa"/>
                </w:tcPr>
                <w:p w14:paraId="418E4A35">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0AC1BB8F">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6D7D4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04AE019F">
                  <w:pPr>
                    <w:adjustRightInd w:val="0"/>
                    <w:snapToGrid w:val="0"/>
                    <w:rPr>
                      <w:rFonts w:ascii="Times New Roman" w:hAnsi="Times New Roman" w:cs="Times New Roman"/>
                      <w:szCs w:val="21"/>
                    </w:rPr>
                  </w:pPr>
                </w:p>
              </w:tc>
              <w:tc>
                <w:tcPr>
                  <w:tcW w:w="1982" w:type="dxa"/>
                </w:tcPr>
                <w:p w14:paraId="2280D434">
                  <w:pPr>
                    <w:adjustRightInd w:val="0"/>
                    <w:snapToGrid w:val="0"/>
                    <w:rPr>
                      <w:rFonts w:ascii="Times New Roman" w:hAnsi="Times New Roman" w:cs="Times New Roman"/>
                      <w:bCs/>
                      <w:szCs w:val="21"/>
                    </w:rPr>
                  </w:pPr>
                  <w:r>
                    <w:rPr>
                      <w:rFonts w:ascii="Times New Roman" w:hAnsi="Times New Roman" w:cs="Times New Roman"/>
                      <w:bCs/>
                      <w:szCs w:val="21"/>
                    </w:rPr>
                    <w:t>操作压力</w:t>
                  </w:r>
                </w:p>
              </w:tc>
              <w:tc>
                <w:tcPr>
                  <w:tcW w:w="1983" w:type="dxa"/>
                </w:tcPr>
                <w:p w14:paraId="4359A582">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612F452A">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31CD6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7B0F2688">
                  <w:pPr>
                    <w:adjustRightInd w:val="0"/>
                    <w:snapToGrid w:val="0"/>
                    <w:rPr>
                      <w:rFonts w:ascii="Times New Roman" w:hAnsi="Times New Roman" w:cs="Times New Roman"/>
                      <w:szCs w:val="21"/>
                    </w:rPr>
                  </w:pPr>
                </w:p>
              </w:tc>
              <w:tc>
                <w:tcPr>
                  <w:tcW w:w="1982" w:type="dxa"/>
                </w:tcPr>
                <w:p w14:paraId="0F461F94">
                  <w:pPr>
                    <w:adjustRightInd w:val="0"/>
                    <w:snapToGrid w:val="0"/>
                    <w:rPr>
                      <w:rFonts w:ascii="Times New Roman" w:hAnsi="Times New Roman" w:cs="Times New Roman"/>
                      <w:bCs/>
                      <w:szCs w:val="21"/>
                    </w:rPr>
                  </w:pPr>
                  <w:r>
                    <w:rPr>
                      <w:rFonts w:ascii="Times New Roman" w:hAnsi="Times New Roman" w:cs="Times New Roman"/>
                      <w:bCs/>
                      <w:szCs w:val="21"/>
                    </w:rPr>
                    <w:t>设计温度</w:t>
                  </w:r>
                </w:p>
              </w:tc>
              <w:tc>
                <w:tcPr>
                  <w:tcW w:w="1983" w:type="dxa"/>
                </w:tcPr>
                <w:p w14:paraId="10362119">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07A075A1">
                  <w:pPr>
                    <w:adjustRightInd w:val="0"/>
                    <w:snapToGrid w:val="0"/>
                    <w:rPr>
                      <w:rFonts w:ascii="Times New Roman" w:hAnsi="Times New Roman" w:cs="Times New Roman"/>
                      <w:bCs/>
                      <w:szCs w:val="21"/>
                    </w:rPr>
                  </w:pPr>
                  <w:r>
                    <w:rPr>
                      <w:rFonts w:ascii="Times New Roman" w:hAnsi="Times New Roman" w:cs="Times New Roman"/>
                      <w:bCs/>
                      <w:szCs w:val="21"/>
                    </w:rPr>
                    <w:t>80</w:t>
                  </w:r>
                </w:p>
              </w:tc>
            </w:tr>
            <w:tr w14:paraId="1FFDE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3021384C">
                  <w:pPr>
                    <w:adjustRightInd w:val="0"/>
                    <w:snapToGrid w:val="0"/>
                    <w:rPr>
                      <w:rFonts w:ascii="Times New Roman" w:hAnsi="Times New Roman" w:cs="Times New Roman"/>
                      <w:szCs w:val="21"/>
                    </w:rPr>
                  </w:pPr>
                </w:p>
              </w:tc>
              <w:tc>
                <w:tcPr>
                  <w:tcW w:w="1982" w:type="dxa"/>
                </w:tcPr>
                <w:p w14:paraId="057981D2">
                  <w:pPr>
                    <w:adjustRightInd w:val="0"/>
                    <w:snapToGrid w:val="0"/>
                    <w:rPr>
                      <w:rFonts w:ascii="Times New Roman" w:hAnsi="Times New Roman" w:cs="Times New Roman"/>
                      <w:bCs/>
                      <w:szCs w:val="21"/>
                    </w:rPr>
                  </w:pPr>
                  <w:r>
                    <w:rPr>
                      <w:rFonts w:ascii="Times New Roman" w:hAnsi="Times New Roman" w:cs="Times New Roman"/>
                      <w:bCs/>
                      <w:szCs w:val="21"/>
                    </w:rPr>
                    <w:t>设计压力</w:t>
                  </w:r>
                </w:p>
              </w:tc>
              <w:tc>
                <w:tcPr>
                  <w:tcW w:w="1983" w:type="dxa"/>
                </w:tcPr>
                <w:p w14:paraId="21761056">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495D6BD0">
                  <w:pPr>
                    <w:adjustRightInd w:val="0"/>
                    <w:snapToGrid w:val="0"/>
                    <w:rPr>
                      <w:rFonts w:ascii="Times New Roman" w:hAnsi="Times New Roman" w:cs="Times New Roman"/>
                      <w:bCs/>
                      <w:szCs w:val="21"/>
                    </w:rPr>
                  </w:pPr>
                  <w:r>
                    <w:rPr>
                      <w:rFonts w:ascii="Times New Roman" w:hAnsi="Times New Roman" w:cs="Times New Roman"/>
                      <w:szCs w:val="21"/>
                    </w:rPr>
                    <w:t>0.002/-0.0005</w:t>
                  </w:r>
                </w:p>
              </w:tc>
            </w:tr>
            <w:tr w14:paraId="68829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restart"/>
                  <w:vAlign w:val="center"/>
                </w:tcPr>
                <w:p w14:paraId="6AFC2BE8">
                  <w:pPr>
                    <w:adjustRightInd w:val="0"/>
                    <w:snapToGrid w:val="0"/>
                    <w:rPr>
                      <w:rFonts w:ascii="Times New Roman" w:hAnsi="Times New Roman" w:cs="Times New Roman"/>
                      <w:szCs w:val="21"/>
                    </w:rPr>
                  </w:pPr>
                  <w:r>
                    <w:rPr>
                      <w:rFonts w:ascii="Times New Roman" w:hAnsi="Times New Roman" w:cs="Times New Roman"/>
                      <w:szCs w:val="21"/>
                    </w:rPr>
                    <w:t>不合格柴油储罐</w:t>
                  </w:r>
                </w:p>
              </w:tc>
              <w:tc>
                <w:tcPr>
                  <w:tcW w:w="1982" w:type="dxa"/>
                </w:tcPr>
                <w:p w14:paraId="672D4AFB">
                  <w:pPr>
                    <w:adjustRightInd w:val="0"/>
                    <w:snapToGrid w:val="0"/>
                    <w:rPr>
                      <w:rFonts w:ascii="Times New Roman" w:hAnsi="Times New Roman" w:cs="Times New Roman"/>
                      <w:bCs/>
                      <w:szCs w:val="21"/>
                    </w:rPr>
                  </w:pPr>
                  <w:r>
                    <w:rPr>
                      <w:rFonts w:ascii="Times New Roman" w:hAnsi="Times New Roman" w:cs="Times New Roman"/>
                      <w:bCs/>
                      <w:szCs w:val="21"/>
                    </w:rPr>
                    <w:t>操作温度</w:t>
                  </w:r>
                </w:p>
              </w:tc>
              <w:tc>
                <w:tcPr>
                  <w:tcW w:w="1983" w:type="dxa"/>
                </w:tcPr>
                <w:p w14:paraId="4FA26802">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247CF2FD">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073F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75765145">
                  <w:pPr>
                    <w:adjustRightInd w:val="0"/>
                    <w:snapToGrid w:val="0"/>
                    <w:rPr>
                      <w:rFonts w:ascii="Times New Roman" w:hAnsi="Times New Roman" w:cs="Times New Roman"/>
                      <w:szCs w:val="21"/>
                    </w:rPr>
                  </w:pPr>
                </w:p>
              </w:tc>
              <w:tc>
                <w:tcPr>
                  <w:tcW w:w="1982" w:type="dxa"/>
                </w:tcPr>
                <w:p w14:paraId="5718A865">
                  <w:pPr>
                    <w:adjustRightInd w:val="0"/>
                    <w:snapToGrid w:val="0"/>
                    <w:rPr>
                      <w:rFonts w:ascii="Times New Roman" w:hAnsi="Times New Roman" w:cs="Times New Roman"/>
                      <w:bCs/>
                      <w:szCs w:val="21"/>
                    </w:rPr>
                  </w:pPr>
                  <w:r>
                    <w:rPr>
                      <w:rFonts w:ascii="Times New Roman" w:hAnsi="Times New Roman" w:cs="Times New Roman"/>
                      <w:bCs/>
                      <w:szCs w:val="21"/>
                    </w:rPr>
                    <w:t>操作压力</w:t>
                  </w:r>
                </w:p>
              </w:tc>
              <w:tc>
                <w:tcPr>
                  <w:tcW w:w="1983" w:type="dxa"/>
                </w:tcPr>
                <w:p w14:paraId="68010CEC">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0B599899">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154CE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3737A8F8">
                  <w:pPr>
                    <w:adjustRightInd w:val="0"/>
                    <w:snapToGrid w:val="0"/>
                    <w:rPr>
                      <w:rFonts w:ascii="Times New Roman" w:hAnsi="Times New Roman" w:cs="Times New Roman"/>
                      <w:szCs w:val="21"/>
                    </w:rPr>
                  </w:pPr>
                </w:p>
              </w:tc>
              <w:tc>
                <w:tcPr>
                  <w:tcW w:w="1982" w:type="dxa"/>
                </w:tcPr>
                <w:p w14:paraId="6D59F30E">
                  <w:pPr>
                    <w:adjustRightInd w:val="0"/>
                    <w:snapToGrid w:val="0"/>
                    <w:rPr>
                      <w:rFonts w:ascii="Times New Roman" w:hAnsi="Times New Roman" w:cs="Times New Roman"/>
                      <w:bCs/>
                      <w:szCs w:val="21"/>
                    </w:rPr>
                  </w:pPr>
                  <w:r>
                    <w:rPr>
                      <w:rFonts w:ascii="Times New Roman" w:hAnsi="Times New Roman" w:cs="Times New Roman"/>
                      <w:bCs/>
                      <w:szCs w:val="21"/>
                    </w:rPr>
                    <w:t>设计温度</w:t>
                  </w:r>
                </w:p>
              </w:tc>
              <w:tc>
                <w:tcPr>
                  <w:tcW w:w="1983" w:type="dxa"/>
                </w:tcPr>
                <w:p w14:paraId="2ECE4C6F">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3B570AFA">
                  <w:pPr>
                    <w:adjustRightInd w:val="0"/>
                    <w:snapToGrid w:val="0"/>
                    <w:rPr>
                      <w:rFonts w:ascii="Times New Roman" w:hAnsi="Times New Roman" w:cs="Times New Roman"/>
                      <w:bCs/>
                      <w:szCs w:val="21"/>
                    </w:rPr>
                  </w:pPr>
                  <w:r>
                    <w:rPr>
                      <w:rFonts w:ascii="Times New Roman" w:hAnsi="Times New Roman" w:cs="Times New Roman"/>
                      <w:bCs/>
                      <w:szCs w:val="21"/>
                    </w:rPr>
                    <w:t>80</w:t>
                  </w:r>
                </w:p>
              </w:tc>
            </w:tr>
            <w:tr w14:paraId="2284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42FABB18">
                  <w:pPr>
                    <w:adjustRightInd w:val="0"/>
                    <w:snapToGrid w:val="0"/>
                    <w:rPr>
                      <w:rFonts w:ascii="Times New Roman" w:hAnsi="Times New Roman" w:cs="Times New Roman"/>
                      <w:szCs w:val="21"/>
                    </w:rPr>
                  </w:pPr>
                </w:p>
              </w:tc>
              <w:tc>
                <w:tcPr>
                  <w:tcW w:w="1982" w:type="dxa"/>
                </w:tcPr>
                <w:p w14:paraId="27E860BC">
                  <w:pPr>
                    <w:adjustRightInd w:val="0"/>
                    <w:snapToGrid w:val="0"/>
                    <w:rPr>
                      <w:rFonts w:ascii="Times New Roman" w:hAnsi="Times New Roman" w:cs="Times New Roman"/>
                      <w:bCs/>
                      <w:szCs w:val="21"/>
                    </w:rPr>
                  </w:pPr>
                  <w:r>
                    <w:rPr>
                      <w:rFonts w:ascii="Times New Roman" w:hAnsi="Times New Roman" w:cs="Times New Roman"/>
                      <w:bCs/>
                      <w:szCs w:val="21"/>
                    </w:rPr>
                    <w:t>设计压力</w:t>
                  </w:r>
                </w:p>
              </w:tc>
              <w:tc>
                <w:tcPr>
                  <w:tcW w:w="1983" w:type="dxa"/>
                </w:tcPr>
                <w:p w14:paraId="18D3DE0C">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12FA2C5B">
                  <w:pPr>
                    <w:adjustRightInd w:val="0"/>
                    <w:snapToGrid w:val="0"/>
                    <w:rPr>
                      <w:rFonts w:ascii="Times New Roman" w:hAnsi="Times New Roman" w:cs="Times New Roman"/>
                      <w:bCs/>
                      <w:szCs w:val="21"/>
                    </w:rPr>
                  </w:pPr>
                  <w:r>
                    <w:rPr>
                      <w:rFonts w:ascii="Times New Roman" w:hAnsi="Times New Roman" w:cs="Times New Roman"/>
                      <w:szCs w:val="21"/>
                    </w:rPr>
                    <w:t>0.002/-0.0005</w:t>
                  </w:r>
                </w:p>
              </w:tc>
            </w:tr>
            <w:tr w14:paraId="493FA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restart"/>
                  <w:vAlign w:val="center"/>
                </w:tcPr>
                <w:p w14:paraId="4CC33C62">
                  <w:pPr>
                    <w:adjustRightInd w:val="0"/>
                    <w:snapToGrid w:val="0"/>
                    <w:rPr>
                      <w:rFonts w:ascii="Times New Roman" w:hAnsi="Times New Roman" w:cs="Times New Roman"/>
                      <w:szCs w:val="21"/>
                    </w:rPr>
                  </w:pPr>
                  <w:r>
                    <w:rPr>
                      <w:rFonts w:ascii="Times New Roman" w:hAnsi="Times New Roman" w:cs="Times New Roman"/>
                      <w:szCs w:val="21"/>
                    </w:rPr>
                    <w:t>轻质燃料油泵</w:t>
                  </w:r>
                </w:p>
              </w:tc>
              <w:tc>
                <w:tcPr>
                  <w:tcW w:w="1982" w:type="dxa"/>
                </w:tcPr>
                <w:p w14:paraId="78F06A6B">
                  <w:pPr>
                    <w:adjustRightInd w:val="0"/>
                    <w:snapToGrid w:val="0"/>
                    <w:rPr>
                      <w:rFonts w:ascii="Times New Roman" w:hAnsi="Times New Roman" w:cs="Times New Roman"/>
                      <w:bCs/>
                      <w:szCs w:val="21"/>
                    </w:rPr>
                  </w:pPr>
                  <w:r>
                    <w:rPr>
                      <w:rFonts w:ascii="Times New Roman" w:hAnsi="Times New Roman" w:cs="Times New Roman"/>
                      <w:bCs/>
                      <w:szCs w:val="21"/>
                    </w:rPr>
                    <w:t>温度</w:t>
                  </w:r>
                </w:p>
              </w:tc>
              <w:tc>
                <w:tcPr>
                  <w:tcW w:w="1983" w:type="dxa"/>
                </w:tcPr>
                <w:p w14:paraId="3A2F7D83">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4AEEE122">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4455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2A02EA0E">
                  <w:pPr>
                    <w:adjustRightInd w:val="0"/>
                    <w:snapToGrid w:val="0"/>
                    <w:rPr>
                      <w:rFonts w:ascii="Times New Roman" w:hAnsi="Times New Roman" w:cs="Times New Roman"/>
                      <w:szCs w:val="21"/>
                    </w:rPr>
                  </w:pPr>
                </w:p>
              </w:tc>
              <w:tc>
                <w:tcPr>
                  <w:tcW w:w="1982" w:type="dxa"/>
                </w:tcPr>
                <w:p w14:paraId="4CD9D8D4">
                  <w:pPr>
                    <w:adjustRightInd w:val="0"/>
                    <w:snapToGrid w:val="0"/>
                    <w:rPr>
                      <w:rFonts w:ascii="Times New Roman" w:hAnsi="Times New Roman" w:cs="Times New Roman"/>
                      <w:bCs/>
                      <w:szCs w:val="21"/>
                    </w:rPr>
                  </w:pPr>
                  <w:r>
                    <w:rPr>
                      <w:rFonts w:ascii="Times New Roman" w:hAnsi="Times New Roman" w:cs="Times New Roman"/>
                      <w:bCs/>
                      <w:szCs w:val="21"/>
                    </w:rPr>
                    <w:t>入口压力</w:t>
                  </w:r>
                </w:p>
              </w:tc>
              <w:tc>
                <w:tcPr>
                  <w:tcW w:w="1983" w:type="dxa"/>
                </w:tcPr>
                <w:p w14:paraId="5C600A44">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6B76B6F4">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59B6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265523E4">
                  <w:pPr>
                    <w:adjustRightInd w:val="0"/>
                    <w:snapToGrid w:val="0"/>
                    <w:rPr>
                      <w:rFonts w:ascii="Times New Roman" w:hAnsi="Times New Roman" w:cs="Times New Roman"/>
                      <w:szCs w:val="21"/>
                    </w:rPr>
                  </w:pPr>
                </w:p>
              </w:tc>
              <w:tc>
                <w:tcPr>
                  <w:tcW w:w="1982" w:type="dxa"/>
                </w:tcPr>
                <w:p w14:paraId="2B4E9E5F">
                  <w:pPr>
                    <w:adjustRightInd w:val="0"/>
                    <w:snapToGrid w:val="0"/>
                    <w:rPr>
                      <w:rFonts w:ascii="Times New Roman" w:hAnsi="Times New Roman" w:cs="Times New Roman"/>
                      <w:bCs/>
                      <w:szCs w:val="21"/>
                    </w:rPr>
                  </w:pPr>
                  <w:r>
                    <w:rPr>
                      <w:rFonts w:ascii="Times New Roman" w:hAnsi="Times New Roman" w:cs="Times New Roman"/>
                      <w:bCs/>
                      <w:szCs w:val="21"/>
                    </w:rPr>
                    <w:t>出口压力</w:t>
                  </w:r>
                </w:p>
              </w:tc>
              <w:tc>
                <w:tcPr>
                  <w:tcW w:w="1983" w:type="dxa"/>
                </w:tcPr>
                <w:p w14:paraId="021E735D">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653C69E2">
                  <w:pPr>
                    <w:adjustRightInd w:val="0"/>
                    <w:snapToGrid w:val="0"/>
                    <w:rPr>
                      <w:rFonts w:ascii="Times New Roman" w:hAnsi="Times New Roman" w:cs="Times New Roman"/>
                      <w:bCs/>
                      <w:szCs w:val="21"/>
                    </w:rPr>
                  </w:pPr>
                  <w:r>
                    <w:rPr>
                      <w:rFonts w:ascii="Times New Roman" w:hAnsi="Times New Roman" w:cs="Times New Roman"/>
                      <w:bCs/>
                      <w:szCs w:val="21"/>
                    </w:rPr>
                    <w:t>0.3</w:t>
                  </w:r>
                </w:p>
              </w:tc>
            </w:tr>
            <w:tr w14:paraId="4959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restart"/>
                  <w:vAlign w:val="center"/>
                </w:tcPr>
                <w:p w14:paraId="5C547807">
                  <w:pPr>
                    <w:adjustRightInd w:val="0"/>
                    <w:snapToGrid w:val="0"/>
                    <w:rPr>
                      <w:rFonts w:ascii="Times New Roman" w:hAnsi="Times New Roman" w:cs="Times New Roman"/>
                      <w:szCs w:val="21"/>
                    </w:rPr>
                  </w:pPr>
                  <w:r>
                    <w:rPr>
                      <w:rFonts w:ascii="Times New Roman" w:hAnsi="Times New Roman" w:cs="Times New Roman"/>
                      <w:szCs w:val="21"/>
                    </w:rPr>
                    <w:t>煤基柴油泵</w:t>
                  </w:r>
                </w:p>
              </w:tc>
              <w:tc>
                <w:tcPr>
                  <w:tcW w:w="1982" w:type="dxa"/>
                </w:tcPr>
                <w:p w14:paraId="2F8D8E31">
                  <w:pPr>
                    <w:adjustRightInd w:val="0"/>
                    <w:snapToGrid w:val="0"/>
                    <w:rPr>
                      <w:rFonts w:ascii="Times New Roman" w:hAnsi="Times New Roman" w:cs="Times New Roman"/>
                      <w:bCs/>
                      <w:szCs w:val="21"/>
                    </w:rPr>
                  </w:pPr>
                  <w:r>
                    <w:rPr>
                      <w:rFonts w:ascii="Times New Roman" w:hAnsi="Times New Roman" w:cs="Times New Roman"/>
                      <w:bCs/>
                      <w:szCs w:val="21"/>
                    </w:rPr>
                    <w:t>温度</w:t>
                  </w:r>
                </w:p>
              </w:tc>
              <w:tc>
                <w:tcPr>
                  <w:tcW w:w="1983" w:type="dxa"/>
                </w:tcPr>
                <w:p w14:paraId="6494CBFC">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3B6268C0">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1B4D5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04836D91">
                  <w:pPr>
                    <w:adjustRightInd w:val="0"/>
                    <w:snapToGrid w:val="0"/>
                    <w:rPr>
                      <w:rFonts w:ascii="Times New Roman" w:hAnsi="Times New Roman" w:cs="Times New Roman"/>
                      <w:szCs w:val="21"/>
                    </w:rPr>
                  </w:pPr>
                </w:p>
              </w:tc>
              <w:tc>
                <w:tcPr>
                  <w:tcW w:w="1982" w:type="dxa"/>
                </w:tcPr>
                <w:p w14:paraId="410F12FE">
                  <w:pPr>
                    <w:adjustRightInd w:val="0"/>
                    <w:snapToGrid w:val="0"/>
                    <w:rPr>
                      <w:rFonts w:ascii="Times New Roman" w:hAnsi="Times New Roman" w:cs="Times New Roman"/>
                      <w:bCs/>
                      <w:szCs w:val="21"/>
                    </w:rPr>
                  </w:pPr>
                  <w:r>
                    <w:rPr>
                      <w:rFonts w:ascii="Times New Roman" w:hAnsi="Times New Roman" w:cs="Times New Roman"/>
                      <w:bCs/>
                      <w:szCs w:val="21"/>
                    </w:rPr>
                    <w:t>入口压力</w:t>
                  </w:r>
                </w:p>
              </w:tc>
              <w:tc>
                <w:tcPr>
                  <w:tcW w:w="1983" w:type="dxa"/>
                </w:tcPr>
                <w:p w14:paraId="7A586067">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2B775039">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0F8B6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0121A2B7">
                  <w:pPr>
                    <w:adjustRightInd w:val="0"/>
                    <w:snapToGrid w:val="0"/>
                    <w:rPr>
                      <w:rFonts w:ascii="Times New Roman" w:hAnsi="Times New Roman" w:cs="Times New Roman"/>
                      <w:szCs w:val="21"/>
                    </w:rPr>
                  </w:pPr>
                </w:p>
              </w:tc>
              <w:tc>
                <w:tcPr>
                  <w:tcW w:w="1982" w:type="dxa"/>
                </w:tcPr>
                <w:p w14:paraId="026BED39">
                  <w:pPr>
                    <w:adjustRightInd w:val="0"/>
                    <w:snapToGrid w:val="0"/>
                    <w:rPr>
                      <w:rFonts w:ascii="Times New Roman" w:hAnsi="Times New Roman" w:cs="Times New Roman"/>
                      <w:bCs/>
                      <w:szCs w:val="21"/>
                    </w:rPr>
                  </w:pPr>
                  <w:r>
                    <w:rPr>
                      <w:rFonts w:ascii="Times New Roman" w:hAnsi="Times New Roman" w:cs="Times New Roman"/>
                      <w:bCs/>
                      <w:szCs w:val="21"/>
                    </w:rPr>
                    <w:t>出口压力</w:t>
                  </w:r>
                </w:p>
              </w:tc>
              <w:tc>
                <w:tcPr>
                  <w:tcW w:w="1983" w:type="dxa"/>
                </w:tcPr>
                <w:p w14:paraId="017853AB">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002E6954">
                  <w:pPr>
                    <w:adjustRightInd w:val="0"/>
                    <w:snapToGrid w:val="0"/>
                    <w:rPr>
                      <w:rFonts w:ascii="Times New Roman" w:hAnsi="Times New Roman" w:cs="Times New Roman"/>
                      <w:bCs/>
                      <w:szCs w:val="21"/>
                    </w:rPr>
                  </w:pPr>
                  <w:r>
                    <w:rPr>
                      <w:rFonts w:ascii="Times New Roman" w:hAnsi="Times New Roman" w:cs="Times New Roman"/>
                      <w:bCs/>
                      <w:szCs w:val="21"/>
                    </w:rPr>
                    <w:t>0.3</w:t>
                  </w:r>
                </w:p>
              </w:tc>
            </w:tr>
            <w:tr w14:paraId="25BE3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restart"/>
                  <w:vAlign w:val="center"/>
                </w:tcPr>
                <w:p w14:paraId="72244464">
                  <w:pPr>
                    <w:adjustRightInd w:val="0"/>
                    <w:snapToGrid w:val="0"/>
                    <w:rPr>
                      <w:rFonts w:ascii="Times New Roman" w:hAnsi="Times New Roman" w:cs="Times New Roman"/>
                      <w:szCs w:val="21"/>
                    </w:rPr>
                  </w:pPr>
                  <w:r>
                    <w:rPr>
                      <w:rFonts w:ascii="Times New Roman" w:hAnsi="Times New Roman" w:cs="Times New Roman"/>
                      <w:szCs w:val="21"/>
                    </w:rPr>
                    <w:t>车用柴油装车泵</w:t>
                  </w:r>
                </w:p>
              </w:tc>
              <w:tc>
                <w:tcPr>
                  <w:tcW w:w="1982" w:type="dxa"/>
                </w:tcPr>
                <w:p w14:paraId="7460B75D">
                  <w:pPr>
                    <w:adjustRightInd w:val="0"/>
                    <w:snapToGrid w:val="0"/>
                    <w:rPr>
                      <w:rFonts w:ascii="Times New Roman" w:hAnsi="Times New Roman" w:cs="Times New Roman"/>
                      <w:bCs/>
                      <w:szCs w:val="21"/>
                    </w:rPr>
                  </w:pPr>
                  <w:r>
                    <w:rPr>
                      <w:rFonts w:ascii="Times New Roman" w:hAnsi="Times New Roman" w:cs="Times New Roman"/>
                      <w:bCs/>
                      <w:szCs w:val="21"/>
                    </w:rPr>
                    <w:t>温度</w:t>
                  </w:r>
                </w:p>
              </w:tc>
              <w:tc>
                <w:tcPr>
                  <w:tcW w:w="1983" w:type="dxa"/>
                </w:tcPr>
                <w:p w14:paraId="3D676F55">
                  <w:pPr>
                    <w:adjustRightInd w:val="0"/>
                    <w:snapToGrid w:val="0"/>
                    <w:rPr>
                      <w:rFonts w:ascii="Times New Roman" w:hAnsi="Times New Roman" w:cs="Times New Roman"/>
                      <w:bCs/>
                      <w:szCs w:val="21"/>
                    </w:rPr>
                  </w:pPr>
                  <w:r>
                    <w:rPr>
                      <w:rFonts w:ascii="Times New Roman" w:hAnsi="Times New Roman" w:cs="Times New Roman"/>
                      <w:bCs/>
                      <w:szCs w:val="21"/>
                    </w:rPr>
                    <w:t>℃</w:t>
                  </w:r>
                </w:p>
              </w:tc>
              <w:tc>
                <w:tcPr>
                  <w:tcW w:w="1983" w:type="dxa"/>
                </w:tcPr>
                <w:p w14:paraId="4426F628">
                  <w:pPr>
                    <w:adjustRightInd w:val="0"/>
                    <w:snapToGrid w:val="0"/>
                    <w:rPr>
                      <w:rFonts w:ascii="Times New Roman" w:hAnsi="Times New Roman" w:cs="Times New Roman"/>
                      <w:bCs/>
                      <w:szCs w:val="21"/>
                    </w:rPr>
                  </w:pPr>
                  <w:r>
                    <w:rPr>
                      <w:rFonts w:ascii="Times New Roman" w:hAnsi="Times New Roman" w:cs="Times New Roman"/>
                      <w:bCs/>
                      <w:szCs w:val="21"/>
                    </w:rPr>
                    <w:t>40</w:t>
                  </w:r>
                </w:p>
              </w:tc>
            </w:tr>
            <w:tr w14:paraId="4D94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0CDF9032">
                  <w:pPr>
                    <w:adjustRightInd w:val="0"/>
                    <w:snapToGrid w:val="0"/>
                    <w:rPr>
                      <w:rFonts w:ascii="Times New Roman" w:hAnsi="Times New Roman" w:cs="Times New Roman"/>
                      <w:szCs w:val="21"/>
                      <w:highlight w:val="yellow"/>
                    </w:rPr>
                  </w:pPr>
                </w:p>
              </w:tc>
              <w:tc>
                <w:tcPr>
                  <w:tcW w:w="1982" w:type="dxa"/>
                </w:tcPr>
                <w:p w14:paraId="77AB8DDA">
                  <w:pPr>
                    <w:adjustRightInd w:val="0"/>
                    <w:snapToGrid w:val="0"/>
                    <w:rPr>
                      <w:rFonts w:ascii="Times New Roman" w:hAnsi="Times New Roman" w:cs="Times New Roman"/>
                      <w:bCs/>
                      <w:szCs w:val="21"/>
                    </w:rPr>
                  </w:pPr>
                  <w:r>
                    <w:rPr>
                      <w:rFonts w:ascii="Times New Roman" w:hAnsi="Times New Roman" w:cs="Times New Roman"/>
                      <w:bCs/>
                      <w:szCs w:val="21"/>
                    </w:rPr>
                    <w:t>入口压力</w:t>
                  </w:r>
                </w:p>
              </w:tc>
              <w:tc>
                <w:tcPr>
                  <w:tcW w:w="1983" w:type="dxa"/>
                </w:tcPr>
                <w:p w14:paraId="0B6DCD2C">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0E64D6E5">
                  <w:pPr>
                    <w:adjustRightInd w:val="0"/>
                    <w:snapToGrid w:val="0"/>
                    <w:rPr>
                      <w:rFonts w:ascii="Times New Roman" w:hAnsi="Times New Roman" w:cs="Times New Roman"/>
                      <w:bCs/>
                      <w:szCs w:val="21"/>
                    </w:rPr>
                  </w:pPr>
                  <w:r>
                    <w:rPr>
                      <w:rFonts w:ascii="Times New Roman" w:hAnsi="Times New Roman" w:cs="Times New Roman"/>
                      <w:bCs/>
                      <w:szCs w:val="21"/>
                    </w:rPr>
                    <w:t>常压</w:t>
                  </w:r>
                </w:p>
              </w:tc>
            </w:tr>
            <w:tr w14:paraId="528B9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982" w:type="dxa"/>
                  <w:vMerge w:val="continue"/>
                  <w:vAlign w:val="center"/>
                </w:tcPr>
                <w:p w14:paraId="61B1ACA0">
                  <w:pPr>
                    <w:adjustRightInd w:val="0"/>
                    <w:snapToGrid w:val="0"/>
                    <w:rPr>
                      <w:rFonts w:ascii="Times New Roman" w:hAnsi="Times New Roman" w:cs="Times New Roman"/>
                      <w:szCs w:val="21"/>
                      <w:highlight w:val="yellow"/>
                    </w:rPr>
                  </w:pPr>
                </w:p>
              </w:tc>
              <w:tc>
                <w:tcPr>
                  <w:tcW w:w="1982" w:type="dxa"/>
                </w:tcPr>
                <w:p w14:paraId="783853C8">
                  <w:pPr>
                    <w:adjustRightInd w:val="0"/>
                    <w:snapToGrid w:val="0"/>
                    <w:rPr>
                      <w:rFonts w:ascii="Times New Roman" w:hAnsi="Times New Roman" w:cs="Times New Roman"/>
                      <w:bCs/>
                      <w:szCs w:val="21"/>
                    </w:rPr>
                  </w:pPr>
                  <w:r>
                    <w:rPr>
                      <w:rFonts w:ascii="Times New Roman" w:hAnsi="Times New Roman" w:cs="Times New Roman"/>
                      <w:bCs/>
                      <w:szCs w:val="21"/>
                    </w:rPr>
                    <w:t>出口压力</w:t>
                  </w:r>
                </w:p>
              </w:tc>
              <w:tc>
                <w:tcPr>
                  <w:tcW w:w="1983" w:type="dxa"/>
                </w:tcPr>
                <w:p w14:paraId="23F321CF">
                  <w:pPr>
                    <w:adjustRightInd w:val="0"/>
                    <w:snapToGrid w:val="0"/>
                    <w:rPr>
                      <w:rFonts w:ascii="Times New Roman" w:hAnsi="Times New Roman" w:cs="Times New Roman"/>
                      <w:bCs/>
                      <w:szCs w:val="21"/>
                    </w:rPr>
                  </w:pPr>
                  <w:r>
                    <w:rPr>
                      <w:rFonts w:ascii="Times New Roman" w:hAnsi="Times New Roman" w:cs="Times New Roman"/>
                      <w:bCs/>
                      <w:szCs w:val="21"/>
                    </w:rPr>
                    <w:t>MPa（G）</w:t>
                  </w:r>
                </w:p>
              </w:tc>
              <w:tc>
                <w:tcPr>
                  <w:tcW w:w="1983" w:type="dxa"/>
                </w:tcPr>
                <w:p w14:paraId="4164C94E">
                  <w:pPr>
                    <w:adjustRightInd w:val="0"/>
                    <w:snapToGrid w:val="0"/>
                    <w:rPr>
                      <w:rFonts w:ascii="Times New Roman" w:hAnsi="Times New Roman" w:cs="Times New Roman"/>
                      <w:bCs/>
                      <w:szCs w:val="21"/>
                    </w:rPr>
                  </w:pPr>
                  <w:r>
                    <w:rPr>
                      <w:rFonts w:ascii="Times New Roman" w:hAnsi="Times New Roman" w:cs="Times New Roman"/>
                      <w:bCs/>
                      <w:szCs w:val="21"/>
                    </w:rPr>
                    <w:t>0.4</w:t>
                  </w:r>
                </w:p>
              </w:tc>
            </w:tr>
          </w:tbl>
          <w:p w14:paraId="512B4A0F">
            <w:pPr>
              <w:pStyle w:val="42"/>
              <w:ind w:firstLine="0" w:firstLineChars="0"/>
              <w:rPr>
                <w:b/>
                <w:bCs/>
                <w:color w:val="000000"/>
              </w:rPr>
            </w:pPr>
          </w:p>
          <w:p w14:paraId="04C5051C">
            <w:pPr>
              <w:pStyle w:val="42"/>
              <w:ind w:firstLine="0" w:firstLineChars="0"/>
              <w:rPr>
                <w:bCs/>
              </w:rPr>
            </w:pPr>
            <w:r>
              <w:rPr>
                <w:b/>
                <w:bCs/>
                <w:color w:val="000000"/>
              </w:rPr>
              <w:t>3、物料平衡</w:t>
            </w:r>
          </w:p>
          <w:p w14:paraId="1561A69E">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本项目汽油调和物料平衡详见表2-1</w:t>
            </w:r>
            <w:r>
              <w:rPr>
                <w:rFonts w:hint="eastAsia" w:ascii="Times New Roman" w:hAnsi="Times New Roman" w:cs="Times New Roman"/>
                <w:bCs/>
              </w:rPr>
              <w:t>7</w:t>
            </w:r>
            <w:r>
              <w:rPr>
                <w:rFonts w:ascii="Times New Roman" w:hAnsi="Times New Roman" w:cs="Times New Roman"/>
                <w:bCs/>
              </w:rPr>
              <w:t>与表2-1</w:t>
            </w:r>
            <w:r>
              <w:rPr>
                <w:rFonts w:hint="eastAsia" w:ascii="Times New Roman" w:hAnsi="Times New Roman" w:cs="Times New Roman"/>
                <w:bCs/>
              </w:rPr>
              <w:t>8</w:t>
            </w:r>
            <w:r>
              <w:rPr>
                <w:rFonts w:ascii="Times New Roman" w:hAnsi="Times New Roman" w:cs="Times New Roman"/>
                <w:bCs/>
              </w:rPr>
              <w:t>，柴油调和物料平衡详见表2-1</w:t>
            </w:r>
            <w:r>
              <w:rPr>
                <w:rFonts w:hint="eastAsia" w:ascii="Times New Roman" w:hAnsi="Times New Roman" w:cs="Times New Roman"/>
                <w:bCs/>
              </w:rPr>
              <w:t>9</w:t>
            </w:r>
            <w:r>
              <w:rPr>
                <w:rFonts w:ascii="Times New Roman" w:hAnsi="Times New Roman" w:cs="Times New Roman"/>
                <w:bCs/>
              </w:rPr>
              <w:t>。</w:t>
            </w:r>
          </w:p>
          <w:p w14:paraId="311D611E">
            <w:pPr>
              <w:adjustRightInd w:val="0"/>
              <w:snapToGrid w:val="0"/>
              <w:ind w:firstLine="442" w:firstLineChars="200"/>
              <w:jc w:val="center"/>
              <w:rPr>
                <w:rFonts w:ascii="Times New Roman" w:hAnsi="Times New Roman" w:cs="Times New Roman"/>
                <w:b/>
              </w:rPr>
            </w:pPr>
            <w:r>
              <w:rPr>
                <w:rFonts w:ascii="Times New Roman" w:hAnsi="Times New Roman" w:cs="Times New Roman"/>
                <w:b/>
                <w:spacing w:val="-10"/>
                <w:szCs w:val="21"/>
              </w:rPr>
              <w:t>表2-1</w:t>
            </w:r>
            <w:r>
              <w:rPr>
                <w:rFonts w:hint="eastAsia" w:ascii="Times New Roman" w:hAnsi="Times New Roman" w:cs="Times New Roman"/>
                <w:b/>
                <w:spacing w:val="-10"/>
                <w:szCs w:val="21"/>
              </w:rPr>
              <w:t>7</w:t>
            </w:r>
            <w:r>
              <w:rPr>
                <w:rFonts w:ascii="Times New Roman" w:hAnsi="Times New Roman" w:cs="Times New Roman"/>
                <w:b/>
                <w:spacing w:val="-10"/>
                <w:szCs w:val="21"/>
              </w:rPr>
              <w:t xml:space="preserve">  92号汽油调和物料平衡表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2"/>
              <w:gridCol w:w="1758"/>
              <w:gridCol w:w="2410"/>
              <w:gridCol w:w="1780"/>
            </w:tblGrid>
            <w:tr w14:paraId="72C3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40" w:type="dxa"/>
                  <w:gridSpan w:val="2"/>
                </w:tcPr>
                <w:p w14:paraId="4F237D9C">
                  <w:pPr>
                    <w:adjustRightInd w:val="0"/>
                    <w:snapToGrid w:val="0"/>
                    <w:rPr>
                      <w:rFonts w:ascii="Times New Roman" w:hAnsi="Times New Roman" w:cs="Times New Roman"/>
                      <w:bCs/>
                      <w:szCs w:val="21"/>
                    </w:rPr>
                  </w:pPr>
                  <w:r>
                    <w:rPr>
                      <w:rFonts w:ascii="Times New Roman" w:hAnsi="Times New Roman" w:cs="Times New Roman"/>
                      <w:bCs/>
                      <w:szCs w:val="21"/>
                    </w:rPr>
                    <w:t>投入</w:t>
                  </w:r>
                </w:p>
              </w:tc>
              <w:tc>
                <w:tcPr>
                  <w:tcW w:w="4190" w:type="dxa"/>
                  <w:gridSpan w:val="2"/>
                </w:tcPr>
                <w:p w14:paraId="1F96AEFA">
                  <w:pPr>
                    <w:adjustRightInd w:val="0"/>
                    <w:snapToGrid w:val="0"/>
                    <w:rPr>
                      <w:rFonts w:ascii="Times New Roman" w:hAnsi="Times New Roman" w:cs="Times New Roman"/>
                      <w:bCs/>
                      <w:szCs w:val="21"/>
                    </w:rPr>
                  </w:pPr>
                  <w:r>
                    <w:rPr>
                      <w:rFonts w:ascii="Times New Roman" w:hAnsi="Times New Roman" w:cs="Times New Roman"/>
                      <w:bCs/>
                      <w:szCs w:val="21"/>
                    </w:rPr>
                    <w:t>产出</w:t>
                  </w:r>
                </w:p>
              </w:tc>
            </w:tr>
            <w:tr w14:paraId="1371E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82" w:type="dxa"/>
                </w:tcPr>
                <w:p w14:paraId="4FA4EF00">
                  <w:pPr>
                    <w:adjustRightInd w:val="0"/>
                    <w:snapToGrid w:val="0"/>
                    <w:rPr>
                      <w:rFonts w:ascii="Times New Roman" w:hAnsi="Times New Roman" w:cs="Times New Roman"/>
                      <w:bCs/>
                      <w:szCs w:val="21"/>
                    </w:rPr>
                  </w:pPr>
                  <w:r>
                    <w:rPr>
                      <w:rFonts w:ascii="Times New Roman" w:hAnsi="Times New Roman" w:cs="Times New Roman"/>
                      <w:bCs/>
                      <w:szCs w:val="21"/>
                    </w:rPr>
                    <w:t>物料名称</w:t>
                  </w:r>
                </w:p>
              </w:tc>
              <w:tc>
                <w:tcPr>
                  <w:tcW w:w="1758" w:type="dxa"/>
                </w:tcPr>
                <w:p w14:paraId="0571B456">
                  <w:pPr>
                    <w:adjustRightInd w:val="0"/>
                    <w:snapToGrid w:val="0"/>
                    <w:rPr>
                      <w:rFonts w:ascii="Times New Roman" w:hAnsi="Times New Roman" w:cs="Times New Roman"/>
                      <w:bCs/>
                      <w:szCs w:val="21"/>
                    </w:rPr>
                  </w:pPr>
                  <w:r>
                    <w:rPr>
                      <w:rFonts w:ascii="Times New Roman" w:hAnsi="Times New Roman" w:cs="Times New Roman"/>
                      <w:bCs/>
                      <w:szCs w:val="21"/>
                    </w:rPr>
                    <w:t>投入量（t/a）</w:t>
                  </w:r>
                </w:p>
              </w:tc>
              <w:tc>
                <w:tcPr>
                  <w:tcW w:w="2410" w:type="dxa"/>
                </w:tcPr>
                <w:p w14:paraId="761FF8D7">
                  <w:pPr>
                    <w:adjustRightInd w:val="0"/>
                    <w:snapToGrid w:val="0"/>
                    <w:rPr>
                      <w:rFonts w:ascii="Times New Roman" w:hAnsi="Times New Roman" w:cs="Times New Roman"/>
                      <w:bCs/>
                      <w:szCs w:val="21"/>
                    </w:rPr>
                  </w:pPr>
                  <w:r>
                    <w:rPr>
                      <w:rFonts w:ascii="Times New Roman" w:hAnsi="Times New Roman" w:cs="Times New Roman"/>
                      <w:bCs/>
                      <w:szCs w:val="21"/>
                    </w:rPr>
                    <w:t>物料名称</w:t>
                  </w:r>
                </w:p>
              </w:tc>
              <w:tc>
                <w:tcPr>
                  <w:tcW w:w="1780" w:type="dxa"/>
                </w:tcPr>
                <w:p w14:paraId="439A59C0">
                  <w:pPr>
                    <w:adjustRightInd w:val="0"/>
                    <w:snapToGrid w:val="0"/>
                    <w:rPr>
                      <w:rFonts w:ascii="Times New Roman" w:hAnsi="Times New Roman" w:cs="Times New Roman"/>
                      <w:bCs/>
                      <w:szCs w:val="21"/>
                    </w:rPr>
                  </w:pPr>
                  <w:r>
                    <w:rPr>
                      <w:rFonts w:ascii="Times New Roman" w:hAnsi="Times New Roman" w:cs="Times New Roman"/>
                      <w:bCs/>
                      <w:szCs w:val="21"/>
                    </w:rPr>
                    <w:t>产出量（t/a）</w:t>
                  </w:r>
                </w:p>
              </w:tc>
            </w:tr>
            <w:tr w14:paraId="29E1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0" w:type="dxa"/>
                  <w:gridSpan w:val="4"/>
                </w:tcPr>
                <w:p w14:paraId="13E3EC00">
                  <w:pPr>
                    <w:adjustRightInd w:val="0"/>
                    <w:snapToGrid w:val="0"/>
                    <w:rPr>
                      <w:rFonts w:ascii="Times New Roman" w:hAnsi="Times New Roman" w:cs="Times New Roman"/>
                      <w:bCs/>
                      <w:szCs w:val="21"/>
                    </w:rPr>
                  </w:pPr>
                  <w:r>
                    <w:rPr>
                      <w:rFonts w:ascii="Times New Roman" w:hAnsi="Times New Roman" w:cs="Times New Roman"/>
                      <w:bCs/>
                      <w:szCs w:val="21"/>
                    </w:rPr>
                    <w:t>汽油调和单元</w:t>
                  </w:r>
                </w:p>
              </w:tc>
            </w:tr>
            <w:tr w14:paraId="6B19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82" w:type="dxa"/>
                </w:tcPr>
                <w:p w14:paraId="4775F8E4">
                  <w:pPr>
                    <w:adjustRightInd w:val="0"/>
                    <w:snapToGrid w:val="0"/>
                    <w:rPr>
                      <w:rFonts w:ascii="Times New Roman" w:hAnsi="Times New Roman" w:cs="Times New Roman"/>
                      <w:bCs/>
                      <w:szCs w:val="21"/>
                    </w:rPr>
                  </w:pPr>
                  <w:r>
                    <w:rPr>
                      <w:rFonts w:ascii="Times New Roman" w:hAnsi="Times New Roman" w:cs="Times New Roman"/>
                      <w:bCs/>
                      <w:szCs w:val="21"/>
                    </w:rPr>
                    <w:t>石脑油</w:t>
                  </w:r>
                </w:p>
              </w:tc>
              <w:tc>
                <w:tcPr>
                  <w:tcW w:w="1758" w:type="dxa"/>
                </w:tcPr>
                <w:p w14:paraId="13DA17BA">
                  <w:pPr>
                    <w:adjustRightInd w:val="0"/>
                    <w:snapToGrid w:val="0"/>
                    <w:rPr>
                      <w:rFonts w:ascii="Times New Roman" w:hAnsi="Times New Roman" w:cs="Times New Roman"/>
                      <w:bCs/>
                      <w:szCs w:val="21"/>
                    </w:rPr>
                  </w:pPr>
                  <w:r>
                    <w:rPr>
                      <w:rFonts w:ascii="Times New Roman" w:hAnsi="Times New Roman" w:cs="Times New Roman"/>
                      <w:bCs/>
                      <w:szCs w:val="21"/>
                    </w:rPr>
                    <w:t>84500</w:t>
                  </w:r>
                </w:p>
              </w:tc>
              <w:tc>
                <w:tcPr>
                  <w:tcW w:w="2410" w:type="dxa"/>
                </w:tcPr>
                <w:p w14:paraId="30CCE654">
                  <w:pPr>
                    <w:adjustRightInd w:val="0"/>
                    <w:snapToGrid w:val="0"/>
                    <w:rPr>
                      <w:rFonts w:ascii="Times New Roman" w:hAnsi="Times New Roman" w:cs="Times New Roman"/>
                      <w:bCs/>
                      <w:szCs w:val="21"/>
                    </w:rPr>
                  </w:pPr>
                  <w:r>
                    <w:rPr>
                      <w:rFonts w:ascii="Times New Roman" w:hAnsi="Times New Roman" w:cs="Times New Roman"/>
                      <w:bCs/>
                      <w:szCs w:val="21"/>
                    </w:rPr>
                    <w:t>92#汽油</w:t>
                  </w:r>
                </w:p>
              </w:tc>
              <w:tc>
                <w:tcPr>
                  <w:tcW w:w="1780" w:type="dxa"/>
                </w:tcPr>
                <w:p w14:paraId="3FAD015A">
                  <w:pPr>
                    <w:adjustRightInd w:val="0"/>
                    <w:snapToGrid w:val="0"/>
                    <w:rPr>
                      <w:rFonts w:ascii="Times New Roman" w:hAnsi="Times New Roman" w:cs="Times New Roman"/>
                      <w:bCs/>
                      <w:szCs w:val="21"/>
                    </w:rPr>
                  </w:pPr>
                  <w:r>
                    <w:rPr>
                      <w:rFonts w:hint="eastAsia" w:ascii="Times New Roman" w:hAnsi="Times New Roman" w:cs="Times New Roman"/>
                      <w:bCs/>
                      <w:szCs w:val="21"/>
                    </w:rPr>
                    <w:t>199993.687</w:t>
                  </w:r>
                </w:p>
              </w:tc>
            </w:tr>
            <w:tr w14:paraId="5A33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tcPr>
                <w:p w14:paraId="5456FCF3">
                  <w:pPr>
                    <w:adjustRightInd w:val="0"/>
                    <w:snapToGrid w:val="0"/>
                    <w:rPr>
                      <w:rFonts w:ascii="Times New Roman" w:hAnsi="Times New Roman" w:cs="Times New Roman"/>
                      <w:bCs/>
                      <w:szCs w:val="21"/>
                    </w:rPr>
                  </w:pPr>
                  <w:r>
                    <w:rPr>
                      <w:rFonts w:ascii="Times New Roman" w:hAnsi="Times New Roman" w:cs="Times New Roman"/>
                      <w:bCs/>
                      <w:szCs w:val="21"/>
                    </w:rPr>
                    <w:t>异辛烷</w:t>
                  </w:r>
                </w:p>
              </w:tc>
              <w:tc>
                <w:tcPr>
                  <w:tcW w:w="1758" w:type="dxa"/>
                </w:tcPr>
                <w:p w14:paraId="2832D391">
                  <w:pPr>
                    <w:adjustRightInd w:val="0"/>
                    <w:snapToGrid w:val="0"/>
                    <w:rPr>
                      <w:rFonts w:ascii="Times New Roman" w:hAnsi="Times New Roman" w:cs="Times New Roman"/>
                      <w:bCs/>
                      <w:szCs w:val="21"/>
                    </w:rPr>
                  </w:pPr>
                  <w:r>
                    <w:rPr>
                      <w:rFonts w:ascii="Times New Roman" w:hAnsi="Times New Roman" w:cs="Times New Roman"/>
                      <w:bCs/>
                      <w:szCs w:val="21"/>
                    </w:rPr>
                    <w:t>57000</w:t>
                  </w:r>
                </w:p>
              </w:tc>
              <w:tc>
                <w:tcPr>
                  <w:tcW w:w="2410" w:type="dxa"/>
                </w:tcPr>
                <w:p w14:paraId="40EB1A9F">
                  <w:pPr>
                    <w:adjustRightInd w:val="0"/>
                    <w:snapToGrid w:val="0"/>
                    <w:rPr>
                      <w:rFonts w:ascii="Times New Roman" w:hAnsi="Times New Roman" w:cs="Times New Roman"/>
                      <w:bCs/>
                      <w:szCs w:val="21"/>
                    </w:rPr>
                  </w:pPr>
                  <w:r>
                    <w:rPr>
                      <w:rFonts w:ascii="Times New Roman" w:hAnsi="Times New Roman" w:cs="Times New Roman"/>
                      <w:bCs/>
                      <w:szCs w:val="21"/>
                    </w:rPr>
                    <w:t>废气</w:t>
                  </w:r>
                </w:p>
              </w:tc>
              <w:tc>
                <w:tcPr>
                  <w:tcW w:w="1780" w:type="dxa"/>
                </w:tcPr>
                <w:p w14:paraId="16692167">
                  <w:pPr>
                    <w:adjustRightInd w:val="0"/>
                    <w:snapToGrid w:val="0"/>
                    <w:rPr>
                      <w:rFonts w:ascii="Times New Roman" w:hAnsi="Times New Roman" w:cs="Times New Roman"/>
                      <w:bCs/>
                      <w:szCs w:val="21"/>
                    </w:rPr>
                  </w:pPr>
                  <w:r>
                    <w:rPr>
                      <w:rFonts w:hint="eastAsia" w:ascii="Times New Roman" w:hAnsi="Times New Roman" w:cs="Times New Roman"/>
                      <w:bCs/>
                      <w:szCs w:val="21"/>
                    </w:rPr>
                    <w:t>6.313</w:t>
                  </w:r>
                </w:p>
              </w:tc>
            </w:tr>
            <w:tr w14:paraId="72BB2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tcPr>
                <w:p w14:paraId="7732FC29">
                  <w:pPr>
                    <w:adjustRightInd w:val="0"/>
                    <w:snapToGrid w:val="0"/>
                    <w:rPr>
                      <w:rFonts w:ascii="Times New Roman" w:hAnsi="Times New Roman" w:cs="Times New Roman"/>
                      <w:bCs/>
                      <w:szCs w:val="21"/>
                    </w:rPr>
                  </w:pPr>
                  <w:r>
                    <w:rPr>
                      <w:rFonts w:ascii="Times New Roman" w:hAnsi="Times New Roman" w:cs="Times New Roman"/>
                      <w:bCs/>
                      <w:szCs w:val="21"/>
                    </w:rPr>
                    <w:t>混合芳烃</w:t>
                  </w:r>
                </w:p>
              </w:tc>
              <w:tc>
                <w:tcPr>
                  <w:tcW w:w="1758" w:type="dxa"/>
                </w:tcPr>
                <w:p w14:paraId="7A00AE79">
                  <w:pPr>
                    <w:adjustRightInd w:val="0"/>
                    <w:snapToGrid w:val="0"/>
                    <w:rPr>
                      <w:rFonts w:ascii="Times New Roman" w:hAnsi="Times New Roman" w:cs="Times New Roman"/>
                      <w:bCs/>
                      <w:szCs w:val="21"/>
                    </w:rPr>
                  </w:pPr>
                  <w:r>
                    <w:rPr>
                      <w:rFonts w:ascii="Times New Roman" w:hAnsi="Times New Roman" w:cs="Times New Roman"/>
                      <w:bCs/>
                      <w:szCs w:val="21"/>
                    </w:rPr>
                    <w:t>35000</w:t>
                  </w:r>
                </w:p>
              </w:tc>
              <w:tc>
                <w:tcPr>
                  <w:tcW w:w="2410" w:type="dxa"/>
                </w:tcPr>
                <w:p w14:paraId="07324249">
                  <w:pPr>
                    <w:adjustRightInd w:val="0"/>
                    <w:snapToGrid w:val="0"/>
                    <w:rPr>
                      <w:rFonts w:ascii="Times New Roman" w:hAnsi="Times New Roman" w:cs="Times New Roman"/>
                      <w:bCs/>
                      <w:szCs w:val="21"/>
                    </w:rPr>
                  </w:pPr>
                </w:p>
              </w:tc>
              <w:tc>
                <w:tcPr>
                  <w:tcW w:w="1780" w:type="dxa"/>
                </w:tcPr>
                <w:p w14:paraId="2E259468">
                  <w:pPr>
                    <w:adjustRightInd w:val="0"/>
                    <w:snapToGrid w:val="0"/>
                    <w:rPr>
                      <w:rFonts w:ascii="Times New Roman" w:hAnsi="Times New Roman" w:cs="Times New Roman"/>
                      <w:bCs/>
                      <w:szCs w:val="21"/>
                    </w:rPr>
                  </w:pPr>
                </w:p>
              </w:tc>
            </w:tr>
            <w:tr w14:paraId="0045E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tcPr>
                <w:p w14:paraId="100EEB16">
                  <w:pPr>
                    <w:adjustRightInd w:val="0"/>
                    <w:snapToGrid w:val="0"/>
                    <w:rPr>
                      <w:rFonts w:ascii="Times New Roman" w:hAnsi="Times New Roman" w:cs="Times New Roman"/>
                      <w:bCs/>
                      <w:szCs w:val="21"/>
                    </w:rPr>
                  </w:pPr>
                  <w:r>
                    <w:rPr>
                      <w:rFonts w:ascii="Times New Roman" w:hAnsi="Times New Roman" w:cs="Times New Roman"/>
                      <w:bCs/>
                      <w:szCs w:val="21"/>
                    </w:rPr>
                    <w:t>MTBE</w:t>
                  </w:r>
                </w:p>
              </w:tc>
              <w:tc>
                <w:tcPr>
                  <w:tcW w:w="1758" w:type="dxa"/>
                </w:tcPr>
                <w:p w14:paraId="275D6FB4">
                  <w:pPr>
                    <w:adjustRightInd w:val="0"/>
                    <w:snapToGrid w:val="0"/>
                    <w:rPr>
                      <w:rFonts w:ascii="Times New Roman" w:hAnsi="Times New Roman" w:cs="Times New Roman"/>
                      <w:bCs/>
                      <w:szCs w:val="21"/>
                    </w:rPr>
                  </w:pPr>
                  <w:r>
                    <w:rPr>
                      <w:rFonts w:ascii="Times New Roman" w:hAnsi="Times New Roman" w:cs="Times New Roman"/>
                      <w:bCs/>
                      <w:szCs w:val="21"/>
                    </w:rPr>
                    <w:t>23500</w:t>
                  </w:r>
                </w:p>
              </w:tc>
              <w:tc>
                <w:tcPr>
                  <w:tcW w:w="2410" w:type="dxa"/>
                </w:tcPr>
                <w:p w14:paraId="46931585">
                  <w:pPr>
                    <w:adjustRightInd w:val="0"/>
                    <w:snapToGrid w:val="0"/>
                    <w:rPr>
                      <w:rFonts w:ascii="Times New Roman" w:hAnsi="Times New Roman" w:cs="Times New Roman"/>
                      <w:bCs/>
                      <w:szCs w:val="21"/>
                    </w:rPr>
                  </w:pPr>
                </w:p>
              </w:tc>
              <w:tc>
                <w:tcPr>
                  <w:tcW w:w="1780" w:type="dxa"/>
                </w:tcPr>
                <w:p w14:paraId="13AD73F3">
                  <w:pPr>
                    <w:adjustRightInd w:val="0"/>
                    <w:snapToGrid w:val="0"/>
                    <w:rPr>
                      <w:rFonts w:ascii="Times New Roman" w:hAnsi="Times New Roman" w:cs="Times New Roman"/>
                      <w:bCs/>
                      <w:szCs w:val="21"/>
                    </w:rPr>
                  </w:pPr>
                </w:p>
              </w:tc>
            </w:tr>
            <w:tr w14:paraId="53E4B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tcPr>
                <w:p w14:paraId="1412358A">
                  <w:pPr>
                    <w:adjustRightInd w:val="0"/>
                    <w:snapToGrid w:val="0"/>
                    <w:rPr>
                      <w:rFonts w:ascii="Times New Roman" w:hAnsi="Times New Roman" w:cs="Times New Roman"/>
                      <w:bCs/>
                      <w:szCs w:val="21"/>
                    </w:rPr>
                  </w:pPr>
                  <w:r>
                    <w:rPr>
                      <w:rFonts w:ascii="Times New Roman" w:hAnsi="Times New Roman" w:cs="Times New Roman"/>
                      <w:bCs/>
                      <w:szCs w:val="21"/>
                    </w:rPr>
                    <w:t>合计</w:t>
                  </w:r>
                </w:p>
              </w:tc>
              <w:tc>
                <w:tcPr>
                  <w:tcW w:w="1758" w:type="dxa"/>
                </w:tcPr>
                <w:p w14:paraId="199CA695">
                  <w:pPr>
                    <w:adjustRightInd w:val="0"/>
                    <w:snapToGrid w:val="0"/>
                    <w:rPr>
                      <w:rFonts w:ascii="Times New Roman" w:hAnsi="Times New Roman" w:cs="Times New Roman"/>
                      <w:bCs/>
                      <w:szCs w:val="21"/>
                    </w:rPr>
                  </w:pPr>
                  <w:r>
                    <w:rPr>
                      <w:rFonts w:ascii="Times New Roman" w:hAnsi="Times New Roman" w:cs="Times New Roman"/>
                      <w:bCs/>
                      <w:szCs w:val="21"/>
                    </w:rPr>
                    <w:t>200000</w:t>
                  </w:r>
                </w:p>
              </w:tc>
              <w:tc>
                <w:tcPr>
                  <w:tcW w:w="2410" w:type="dxa"/>
                </w:tcPr>
                <w:p w14:paraId="29AF73DC">
                  <w:pPr>
                    <w:adjustRightInd w:val="0"/>
                    <w:snapToGrid w:val="0"/>
                    <w:rPr>
                      <w:rFonts w:ascii="Times New Roman" w:hAnsi="Times New Roman" w:cs="Times New Roman"/>
                      <w:bCs/>
                      <w:szCs w:val="21"/>
                    </w:rPr>
                  </w:pPr>
                  <w:r>
                    <w:rPr>
                      <w:rFonts w:ascii="Times New Roman" w:hAnsi="Times New Roman" w:cs="Times New Roman"/>
                      <w:bCs/>
                      <w:szCs w:val="21"/>
                    </w:rPr>
                    <w:t>合计</w:t>
                  </w:r>
                </w:p>
              </w:tc>
              <w:tc>
                <w:tcPr>
                  <w:tcW w:w="1780" w:type="dxa"/>
                </w:tcPr>
                <w:p w14:paraId="4AFC80C4">
                  <w:pPr>
                    <w:adjustRightInd w:val="0"/>
                    <w:snapToGrid w:val="0"/>
                    <w:rPr>
                      <w:rFonts w:ascii="Times New Roman" w:hAnsi="Times New Roman" w:cs="Times New Roman"/>
                      <w:bCs/>
                      <w:szCs w:val="21"/>
                    </w:rPr>
                  </w:pPr>
                  <w:r>
                    <w:rPr>
                      <w:rFonts w:ascii="Times New Roman" w:hAnsi="Times New Roman" w:cs="Times New Roman"/>
                      <w:bCs/>
                      <w:szCs w:val="21"/>
                    </w:rPr>
                    <w:t>200000</w:t>
                  </w:r>
                </w:p>
              </w:tc>
            </w:tr>
          </w:tbl>
          <w:p w14:paraId="38158707">
            <w:pPr>
              <w:adjustRightInd w:val="0"/>
              <w:snapToGrid w:val="0"/>
              <w:spacing w:line="360" w:lineRule="auto"/>
              <w:ind w:firstLine="480" w:firstLineChars="200"/>
              <w:rPr>
                <w:rFonts w:ascii="Times New Roman" w:hAnsi="Times New Roman" w:cs="Times New Roman"/>
                <w:bCs/>
              </w:rPr>
            </w:pPr>
          </w:p>
          <w:p w14:paraId="53A63F87">
            <w:pPr>
              <w:adjustRightInd w:val="0"/>
              <w:snapToGrid w:val="0"/>
              <w:ind w:firstLine="442" w:firstLineChars="200"/>
              <w:jc w:val="center"/>
              <w:rPr>
                <w:rFonts w:ascii="Times New Roman" w:hAnsi="Times New Roman" w:cs="Times New Roman"/>
                <w:bCs/>
              </w:rPr>
            </w:pPr>
            <w:r>
              <w:rPr>
                <w:rFonts w:ascii="Times New Roman" w:hAnsi="Times New Roman" w:cs="Times New Roman"/>
                <w:b/>
                <w:spacing w:val="-10"/>
                <w:szCs w:val="21"/>
              </w:rPr>
              <w:t>表2-1</w:t>
            </w:r>
            <w:r>
              <w:rPr>
                <w:rFonts w:hint="eastAsia" w:ascii="Times New Roman" w:hAnsi="Times New Roman" w:cs="Times New Roman"/>
                <w:b/>
                <w:spacing w:val="-10"/>
                <w:szCs w:val="21"/>
              </w:rPr>
              <w:t>8</w:t>
            </w:r>
            <w:r>
              <w:rPr>
                <w:rFonts w:ascii="Times New Roman" w:hAnsi="Times New Roman" w:cs="Times New Roman"/>
                <w:b/>
                <w:spacing w:val="-10"/>
                <w:szCs w:val="21"/>
              </w:rPr>
              <w:t xml:space="preserve">  95号汽油调和物料平衡表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2"/>
              <w:gridCol w:w="1758"/>
              <w:gridCol w:w="2410"/>
              <w:gridCol w:w="1780"/>
            </w:tblGrid>
            <w:tr w14:paraId="38AD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40" w:type="dxa"/>
                  <w:gridSpan w:val="2"/>
                </w:tcPr>
                <w:p w14:paraId="7DF0AFFF">
                  <w:pPr>
                    <w:adjustRightInd w:val="0"/>
                    <w:snapToGrid w:val="0"/>
                    <w:rPr>
                      <w:rFonts w:ascii="Times New Roman" w:hAnsi="Times New Roman" w:cs="Times New Roman"/>
                      <w:bCs/>
                      <w:szCs w:val="21"/>
                    </w:rPr>
                  </w:pPr>
                  <w:r>
                    <w:rPr>
                      <w:rFonts w:ascii="Times New Roman" w:hAnsi="Times New Roman" w:cs="Times New Roman"/>
                      <w:bCs/>
                      <w:szCs w:val="21"/>
                    </w:rPr>
                    <w:t>投入</w:t>
                  </w:r>
                </w:p>
              </w:tc>
              <w:tc>
                <w:tcPr>
                  <w:tcW w:w="4190" w:type="dxa"/>
                  <w:gridSpan w:val="2"/>
                </w:tcPr>
                <w:p w14:paraId="159CBA8E">
                  <w:pPr>
                    <w:adjustRightInd w:val="0"/>
                    <w:snapToGrid w:val="0"/>
                    <w:rPr>
                      <w:rFonts w:ascii="Times New Roman" w:hAnsi="Times New Roman" w:cs="Times New Roman"/>
                      <w:bCs/>
                      <w:szCs w:val="21"/>
                    </w:rPr>
                  </w:pPr>
                  <w:r>
                    <w:rPr>
                      <w:rFonts w:ascii="Times New Roman" w:hAnsi="Times New Roman" w:cs="Times New Roman"/>
                      <w:bCs/>
                      <w:szCs w:val="21"/>
                    </w:rPr>
                    <w:t>产出</w:t>
                  </w:r>
                </w:p>
              </w:tc>
            </w:tr>
            <w:tr w14:paraId="7EFAD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tcPr>
                <w:p w14:paraId="79423FDB">
                  <w:pPr>
                    <w:adjustRightInd w:val="0"/>
                    <w:snapToGrid w:val="0"/>
                    <w:rPr>
                      <w:rFonts w:ascii="Times New Roman" w:hAnsi="Times New Roman" w:cs="Times New Roman"/>
                      <w:bCs/>
                      <w:szCs w:val="21"/>
                    </w:rPr>
                  </w:pPr>
                  <w:r>
                    <w:rPr>
                      <w:rFonts w:ascii="Times New Roman" w:hAnsi="Times New Roman" w:cs="Times New Roman"/>
                      <w:bCs/>
                      <w:szCs w:val="21"/>
                    </w:rPr>
                    <w:t>物料名称</w:t>
                  </w:r>
                </w:p>
              </w:tc>
              <w:tc>
                <w:tcPr>
                  <w:tcW w:w="1758" w:type="dxa"/>
                </w:tcPr>
                <w:p w14:paraId="7D98A552">
                  <w:pPr>
                    <w:adjustRightInd w:val="0"/>
                    <w:snapToGrid w:val="0"/>
                    <w:rPr>
                      <w:rFonts w:ascii="Times New Roman" w:hAnsi="Times New Roman" w:cs="Times New Roman"/>
                      <w:bCs/>
                      <w:szCs w:val="21"/>
                    </w:rPr>
                  </w:pPr>
                  <w:r>
                    <w:rPr>
                      <w:rFonts w:ascii="Times New Roman" w:hAnsi="Times New Roman" w:cs="Times New Roman"/>
                      <w:bCs/>
                      <w:szCs w:val="21"/>
                    </w:rPr>
                    <w:t>投入量（t/a）</w:t>
                  </w:r>
                </w:p>
              </w:tc>
              <w:tc>
                <w:tcPr>
                  <w:tcW w:w="2410" w:type="dxa"/>
                </w:tcPr>
                <w:p w14:paraId="640B493A">
                  <w:pPr>
                    <w:adjustRightInd w:val="0"/>
                    <w:snapToGrid w:val="0"/>
                    <w:rPr>
                      <w:rFonts w:ascii="Times New Roman" w:hAnsi="Times New Roman" w:cs="Times New Roman"/>
                      <w:bCs/>
                      <w:szCs w:val="21"/>
                    </w:rPr>
                  </w:pPr>
                  <w:r>
                    <w:rPr>
                      <w:rFonts w:ascii="Times New Roman" w:hAnsi="Times New Roman" w:cs="Times New Roman"/>
                      <w:bCs/>
                      <w:szCs w:val="21"/>
                    </w:rPr>
                    <w:t>物料名称</w:t>
                  </w:r>
                </w:p>
              </w:tc>
              <w:tc>
                <w:tcPr>
                  <w:tcW w:w="1780" w:type="dxa"/>
                </w:tcPr>
                <w:p w14:paraId="20051B73">
                  <w:pPr>
                    <w:adjustRightInd w:val="0"/>
                    <w:snapToGrid w:val="0"/>
                    <w:rPr>
                      <w:rFonts w:ascii="Times New Roman" w:hAnsi="Times New Roman" w:cs="Times New Roman"/>
                      <w:bCs/>
                      <w:szCs w:val="21"/>
                    </w:rPr>
                  </w:pPr>
                  <w:r>
                    <w:rPr>
                      <w:rFonts w:ascii="Times New Roman" w:hAnsi="Times New Roman" w:cs="Times New Roman"/>
                      <w:bCs/>
                      <w:szCs w:val="21"/>
                    </w:rPr>
                    <w:t>产出量（t/a）</w:t>
                  </w:r>
                </w:p>
              </w:tc>
            </w:tr>
            <w:tr w14:paraId="6FA7D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0" w:type="dxa"/>
                  <w:gridSpan w:val="4"/>
                </w:tcPr>
                <w:p w14:paraId="78BFC2F9">
                  <w:pPr>
                    <w:adjustRightInd w:val="0"/>
                    <w:snapToGrid w:val="0"/>
                    <w:rPr>
                      <w:rFonts w:ascii="Times New Roman" w:hAnsi="Times New Roman" w:cs="Times New Roman"/>
                      <w:bCs/>
                      <w:szCs w:val="21"/>
                    </w:rPr>
                  </w:pPr>
                  <w:r>
                    <w:rPr>
                      <w:rFonts w:ascii="Times New Roman" w:hAnsi="Times New Roman" w:cs="Times New Roman"/>
                      <w:bCs/>
                      <w:szCs w:val="21"/>
                    </w:rPr>
                    <w:t>汽油调和单元</w:t>
                  </w:r>
                </w:p>
              </w:tc>
            </w:tr>
            <w:tr w14:paraId="0FDD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tcPr>
                <w:p w14:paraId="144179B2">
                  <w:pPr>
                    <w:adjustRightInd w:val="0"/>
                    <w:snapToGrid w:val="0"/>
                    <w:rPr>
                      <w:rFonts w:ascii="Times New Roman" w:hAnsi="Times New Roman" w:cs="Times New Roman"/>
                      <w:bCs/>
                      <w:szCs w:val="21"/>
                    </w:rPr>
                  </w:pPr>
                  <w:r>
                    <w:rPr>
                      <w:rFonts w:ascii="Times New Roman" w:hAnsi="Times New Roman" w:cs="Times New Roman"/>
                      <w:bCs/>
                      <w:szCs w:val="21"/>
                    </w:rPr>
                    <w:t>石脑油</w:t>
                  </w:r>
                </w:p>
              </w:tc>
              <w:tc>
                <w:tcPr>
                  <w:tcW w:w="1758" w:type="dxa"/>
                </w:tcPr>
                <w:p w14:paraId="2EE65524">
                  <w:pPr>
                    <w:adjustRightInd w:val="0"/>
                    <w:snapToGrid w:val="0"/>
                    <w:rPr>
                      <w:rFonts w:ascii="Times New Roman" w:hAnsi="Times New Roman" w:cs="Times New Roman"/>
                      <w:bCs/>
                      <w:szCs w:val="21"/>
                    </w:rPr>
                  </w:pPr>
                  <w:r>
                    <w:rPr>
                      <w:rFonts w:ascii="Times New Roman" w:hAnsi="Times New Roman" w:cs="Times New Roman"/>
                      <w:bCs/>
                      <w:szCs w:val="21"/>
                    </w:rPr>
                    <w:t>29600</w:t>
                  </w:r>
                </w:p>
              </w:tc>
              <w:tc>
                <w:tcPr>
                  <w:tcW w:w="2410" w:type="dxa"/>
                </w:tcPr>
                <w:p w14:paraId="555D17C0">
                  <w:pPr>
                    <w:adjustRightInd w:val="0"/>
                    <w:snapToGrid w:val="0"/>
                    <w:rPr>
                      <w:rFonts w:ascii="Times New Roman" w:hAnsi="Times New Roman" w:cs="Times New Roman"/>
                      <w:bCs/>
                      <w:szCs w:val="21"/>
                    </w:rPr>
                  </w:pPr>
                  <w:r>
                    <w:rPr>
                      <w:rFonts w:ascii="Times New Roman" w:hAnsi="Times New Roman" w:cs="Times New Roman"/>
                      <w:bCs/>
                      <w:szCs w:val="21"/>
                    </w:rPr>
                    <w:t>95#汽油</w:t>
                  </w:r>
                </w:p>
              </w:tc>
              <w:tc>
                <w:tcPr>
                  <w:tcW w:w="1780" w:type="dxa"/>
                </w:tcPr>
                <w:p w14:paraId="6F64FA23">
                  <w:pPr>
                    <w:adjustRightInd w:val="0"/>
                    <w:snapToGrid w:val="0"/>
                    <w:rPr>
                      <w:rFonts w:ascii="Times New Roman" w:hAnsi="Times New Roman" w:cs="Times New Roman"/>
                      <w:bCs/>
                      <w:szCs w:val="21"/>
                    </w:rPr>
                  </w:pPr>
                  <w:r>
                    <w:rPr>
                      <w:rFonts w:hint="eastAsia" w:ascii="Times New Roman" w:hAnsi="Times New Roman" w:cs="Times New Roman"/>
                      <w:bCs/>
                      <w:szCs w:val="21"/>
                    </w:rPr>
                    <w:t>99996.811</w:t>
                  </w:r>
                </w:p>
              </w:tc>
            </w:tr>
            <w:tr w14:paraId="3A438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tcPr>
                <w:p w14:paraId="2D214D17">
                  <w:pPr>
                    <w:adjustRightInd w:val="0"/>
                    <w:snapToGrid w:val="0"/>
                    <w:rPr>
                      <w:rFonts w:ascii="Times New Roman" w:hAnsi="Times New Roman" w:cs="Times New Roman"/>
                      <w:bCs/>
                      <w:szCs w:val="21"/>
                    </w:rPr>
                  </w:pPr>
                  <w:r>
                    <w:rPr>
                      <w:rFonts w:ascii="Times New Roman" w:hAnsi="Times New Roman" w:cs="Times New Roman"/>
                      <w:bCs/>
                      <w:szCs w:val="21"/>
                    </w:rPr>
                    <w:t>异辛烷</w:t>
                  </w:r>
                </w:p>
              </w:tc>
              <w:tc>
                <w:tcPr>
                  <w:tcW w:w="1758" w:type="dxa"/>
                </w:tcPr>
                <w:p w14:paraId="71973754">
                  <w:pPr>
                    <w:adjustRightInd w:val="0"/>
                    <w:snapToGrid w:val="0"/>
                    <w:rPr>
                      <w:rFonts w:ascii="Times New Roman" w:hAnsi="Times New Roman" w:cs="Times New Roman"/>
                      <w:bCs/>
                      <w:szCs w:val="21"/>
                    </w:rPr>
                  </w:pPr>
                  <w:r>
                    <w:rPr>
                      <w:rFonts w:ascii="Times New Roman" w:hAnsi="Times New Roman" w:cs="Times New Roman"/>
                      <w:bCs/>
                      <w:szCs w:val="21"/>
                    </w:rPr>
                    <w:t>38900</w:t>
                  </w:r>
                </w:p>
              </w:tc>
              <w:tc>
                <w:tcPr>
                  <w:tcW w:w="2410" w:type="dxa"/>
                </w:tcPr>
                <w:p w14:paraId="513298C3">
                  <w:pPr>
                    <w:adjustRightInd w:val="0"/>
                    <w:snapToGrid w:val="0"/>
                    <w:rPr>
                      <w:rFonts w:ascii="Times New Roman" w:hAnsi="Times New Roman" w:cs="Times New Roman"/>
                      <w:bCs/>
                      <w:szCs w:val="21"/>
                    </w:rPr>
                  </w:pPr>
                  <w:r>
                    <w:rPr>
                      <w:rFonts w:ascii="Times New Roman" w:hAnsi="Times New Roman" w:cs="Times New Roman"/>
                      <w:bCs/>
                      <w:szCs w:val="21"/>
                    </w:rPr>
                    <w:t>废气</w:t>
                  </w:r>
                </w:p>
              </w:tc>
              <w:tc>
                <w:tcPr>
                  <w:tcW w:w="1780" w:type="dxa"/>
                </w:tcPr>
                <w:p w14:paraId="1D1B4570">
                  <w:pPr>
                    <w:adjustRightInd w:val="0"/>
                    <w:snapToGrid w:val="0"/>
                    <w:rPr>
                      <w:rFonts w:ascii="Times New Roman" w:hAnsi="Times New Roman" w:cs="Times New Roman"/>
                      <w:bCs/>
                      <w:szCs w:val="21"/>
                    </w:rPr>
                  </w:pPr>
                  <w:r>
                    <w:rPr>
                      <w:rFonts w:hint="eastAsia" w:ascii="Times New Roman" w:hAnsi="Times New Roman" w:cs="Times New Roman"/>
                      <w:bCs/>
                      <w:szCs w:val="21"/>
                    </w:rPr>
                    <w:t>3.189</w:t>
                  </w:r>
                </w:p>
              </w:tc>
            </w:tr>
            <w:tr w14:paraId="7CE4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tcPr>
                <w:p w14:paraId="4CF5B125">
                  <w:pPr>
                    <w:adjustRightInd w:val="0"/>
                    <w:snapToGrid w:val="0"/>
                    <w:rPr>
                      <w:rFonts w:ascii="Times New Roman" w:hAnsi="Times New Roman" w:cs="Times New Roman"/>
                      <w:bCs/>
                      <w:szCs w:val="21"/>
                    </w:rPr>
                  </w:pPr>
                  <w:r>
                    <w:rPr>
                      <w:rFonts w:ascii="Times New Roman" w:hAnsi="Times New Roman" w:cs="Times New Roman"/>
                      <w:bCs/>
                      <w:szCs w:val="21"/>
                    </w:rPr>
                    <w:t>混合芳烃</w:t>
                  </w:r>
                </w:p>
              </w:tc>
              <w:tc>
                <w:tcPr>
                  <w:tcW w:w="1758" w:type="dxa"/>
                </w:tcPr>
                <w:p w14:paraId="0899B2CF">
                  <w:pPr>
                    <w:adjustRightInd w:val="0"/>
                    <w:snapToGrid w:val="0"/>
                    <w:rPr>
                      <w:rFonts w:ascii="Times New Roman" w:hAnsi="Times New Roman" w:cs="Times New Roman"/>
                      <w:bCs/>
                      <w:szCs w:val="21"/>
                    </w:rPr>
                  </w:pPr>
                  <w:r>
                    <w:rPr>
                      <w:rFonts w:ascii="Times New Roman" w:hAnsi="Times New Roman" w:cs="Times New Roman"/>
                      <w:bCs/>
                      <w:szCs w:val="21"/>
                    </w:rPr>
                    <w:t>19000</w:t>
                  </w:r>
                </w:p>
              </w:tc>
              <w:tc>
                <w:tcPr>
                  <w:tcW w:w="2410" w:type="dxa"/>
                </w:tcPr>
                <w:p w14:paraId="0B6D64ED">
                  <w:pPr>
                    <w:adjustRightInd w:val="0"/>
                    <w:snapToGrid w:val="0"/>
                    <w:rPr>
                      <w:rFonts w:ascii="Times New Roman" w:hAnsi="Times New Roman" w:cs="Times New Roman"/>
                      <w:bCs/>
                      <w:szCs w:val="21"/>
                    </w:rPr>
                  </w:pPr>
                </w:p>
              </w:tc>
              <w:tc>
                <w:tcPr>
                  <w:tcW w:w="1780" w:type="dxa"/>
                </w:tcPr>
                <w:p w14:paraId="7EC594A3">
                  <w:pPr>
                    <w:adjustRightInd w:val="0"/>
                    <w:snapToGrid w:val="0"/>
                    <w:rPr>
                      <w:rFonts w:ascii="Times New Roman" w:hAnsi="Times New Roman" w:cs="Times New Roman"/>
                      <w:bCs/>
                      <w:szCs w:val="21"/>
                    </w:rPr>
                  </w:pPr>
                </w:p>
              </w:tc>
            </w:tr>
            <w:tr w14:paraId="6CA01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tcPr>
                <w:p w14:paraId="57EFB723">
                  <w:pPr>
                    <w:adjustRightInd w:val="0"/>
                    <w:snapToGrid w:val="0"/>
                    <w:rPr>
                      <w:rFonts w:ascii="Times New Roman" w:hAnsi="Times New Roman" w:cs="Times New Roman"/>
                      <w:bCs/>
                      <w:szCs w:val="21"/>
                    </w:rPr>
                  </w:pPr>
                  <w:r>
                    <w:rPr>
                      <w:rFonts w:ascii="Times New Roman" w:hAnsi="Times New Roman" w:cs="Times New Roman"/>
                      <w:bCs/>
                      <w:szCs w:val="21"/>
                    </w:rPr>
                    <w:t>MTBE</w:t>
                  </w:r>
                </w:p>
              </w:tc>
              <w:tc>
                <w:tcPr>
                  <w:tcW w:w="1758" w:type="dxa"/>
                </w:tcPr>
                <w:p w14:paraId="225195F4">
                  <w:pPr>
                    <w:adjustRightInd w:val="0"/>
                    <w:snapToGrid w:val="0"/>
                    <w:rPr>
                      <w:rFonts w:ascii="Times New Roman" w:hAnsi="Times New Roman" w:cs="Times New Roman"/>
                      <w:bCs/>
                      <w:szCs w:val="21"/>
                    </w:rPr>
                  </w:pPr>
                  <w:r>
                    <w:rPr>
                      <w:rFonts w:ascii="Times New Roman" w:hAnsi="Times New Roman" w:cs="Times New Roman"/>
                      <w:bCs/>
                      <w:szCs w:val="21"/>
                    </w:rPr>
                    <w:t>12500</w:t>
                  </w:r>
                </w:p>
              </w:tc>
              <w:tc>
                <w:tcPr>
                  <w:tcW w:w="2410" w:type="dxa"/>
                </w:tcPr>
                <w:p w14:paraId="2EF27C1F">
                  <w:pPr>
                    <w:adjustRightInd w:val="0"/>
                    <w:snapToGrid w:val="0"/>
                    <w:rPr>
                      <w:rFonts w:ascii="Times New Roman" w:hAnsi="Times New Roman" w:cs="Times New Roman"/>
                      <w:bCs/>
                      <w:szCs w:val="21"/>
                    </w:rPr>
                  </w:pPr>
                </w:p>
              </w:tc>
              <w:tc>
                <w:tcPr>
                  <w:tcW w:w="1780" w:type="dxa"/>
                </w:tcPr>
                <w:p w14:paraId="279079DE">
                  <w:pPr>
                    <w:adjustRightInd w:val="0"/>
                    <w:snapToGrid w:val="0"/>
                    <w:rPr>
                      <w:rFonts w:ascii="Times New Roman" w:hAnsi="Times New Roman" w:cs="Times New Roman"/>
                      <w:bCs/>
                      <w:szCs w:val="21"/>
                    </w:rPr>
                  </w:pPr>
                </w:p>
              </w:tc>
            </w:tr>
            <w:tr w14:paraId="6525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tcPr>
                <w:p w14:paraId="5426D36F">
                  <w:pPr>
                    <w:adjustRightInd w:val="0"/>
                    <w:snapToGrid w:val="0"/>
                    <w:rPr>
                      <w:rFonts w:ascii="Times New Roman" w:hAnsi="Times New Roman" w:cs="Times New Roman"/>
                      <w:bCs/>
                      <w:szCs w:val="21"/>
                    </w:rPr>
                  </w:pPr>
                  <w:r>
                    <w:rPr>
                      <w:rFonts w:ascii="Times New Roman" w:hAnsi="Times New Roman" w:cs="Times New Roman"/>
                      <w:bCs/>
                      <w:szCs w:val="21"/>
                    </w:rPr>
                    <w:t>合计</w:t>
                  </w:r>
                </w:p>
              </w:tc>
              <w:tc>
                <w:tcPr>
                  <w:tcW w:w="1758" w:type="dxa"/>
                </w:tcPr>
                <w:p w14:paraId="708A348B">
                  <w:pPr>
                    <w:adjustRightInd w:val="0"/>
                    <w:snapToGrid w:val="0"/>
                    <w:rPr>
                      <w:rFonts w:ascii="Times New Roman" w:hAnsi="Times New Roman" w:cs="Times New Roman"/>
                      <w:bCs/>
                      <w:szCs w:val="21"/>
                    </w:rPr>
                  </w:pPr>
                  <w:r>
                    <w:rPr>
                      <w:rFonts w:ascii="Times New Roman" w:hAnsi="Times New Roman" w:cs="Times New Roman"/>
                      <w:bCs/>
                      <w:szCs w:val="21"/>
                    </w:rPr>
                    <w:t>100000</w:t>
                  </w:r>
                </w:p>
              </w:tc>
              <w:tc>
                <w:tcPr>
                  <w:tcW w:w="2410" w:type="dxa"/>
                </w:tcPr>
                <w:p w14:paraId="010EB5EE">
                  <w:pPr>
                    <w:adjustRightInd w:val="0"/>
                    <w:snapToGrid w:val="0"/>
                    <w:rPr>
                      <w:rFonts w:ascii="Times New Roman" w:hAnsi="Times New Roman" w:cs="Times New Roman"/>
                      <w:bCs/>
                      <w:szCs w:val="21"/>
                    </w:rPr>
                  </w:pPr>
                  <w:r>
                    <w:rPr>
                      <w:rFonts w:ascii="Times New Roman" w:hAnsi="Times New Roman" w:cs="Times New Roman"/>
                      <w:bCs/>
                      <w:szCs w:val="21"/>
                    </w:rPr>
                    <w:t>合计</w:t>
                  </w:r>
                </w:p>
              </w:tc>
              <w:tc>
                <w:tcPr>
                  <w:tcW w:w="1780" w:type="dxa"/>
                </w:tcPr>
                <w:p w14:paraId="2C6621A3">
                  <w:pPr>
                    <w:adjustRightInd w:val="0"/>
                    <w:snapToGrid w:val="0"/>
                    <w:rPr>
                      <w:rFonts w:ascii="Times New Roman" w:hAnsi="Times New Roman" w:cs="Times New Roman"/>
                      <w:bCs/>
                      <w:szCs w:val="21"/>
                    </w:rPr>
                  </w:pPr>
                  <w:r>
                    <w:rPr>
                      <w:rFonts w:ascii="Times New Roman" w:hAnsi="Times New Roman" w:cs="Times New Roman"/>
                      <w:bCs/>
                      <w:szCs w:val="21"/>
                    </w:rPr>
                    <w:t>100000</w:t>
                  </w:r>
                </w:p>
              </w:tc>
            </w:tr>
          </w:tbl>
          <w:p w14:paraId="4C65F18E">
            <w:pPr>
              <w:adjustRightInd w:val="0"/>
              <w:snapToGrid w:val="0"/>
              <w:spacing w:line="360" w:lineRule="auto"/>
              <w:ind w:firstLine="480" w:firstLineChars="200"/>
              <w:rPr>
                <w:rFonts w:ascii="Times New Roman" w:hAnsi="Times New Roman" w:cs="Times New Roman"/>
                <w:bCs/>
              </w:rPr>
            </w:pPr>
          </w:p>
          <w:p w14:paraId="346D0510">
            <w:pPr>
              <w:adjustRightInd w:val="0"/>
              <w:snapToGrid w:val="0"/>
              <w:spacing w:line="360" w:lineRule="auto"/>
              <w:ind w:firstLine="442" w:firstLineChars="200"/>
              <w:jc w:val="center"/>
              <w:rPr>
                <w:rFonts w:ascii="Times New Roman" w:hAnsi="Times New Roman" w:cs="Times New Roman"/>
                <w:b/>
                <w:spacing w:val="-10"/>
                <w:szCs w:val="21"/>
              </w:rPr>
            </w:pPr>
            <w:r>
              <w:rPr>
                <w:rFonts w:ascii="Times New Roman" w:hAnsi="Times New Roman" w:cs="Times New Roman"/>
                <w:b/>
                <w:spacing w:val="-10"/>
                <w:szCs w:val="21"/>
              </w:rPr>
              <w:t>表2-1</w:t>
            </w:r>
            <w:r>
              <w:rPr>
                <w:rFonts w:hint="eastAsia" w:ascii="Times New Roman" w:hAnsi="Times New Roman" w:cs="Times New Roman"/>
                <w:b/>
                <w:spacing w:val="-10"/>
                <w:szCs w:val="21"/>
              </w:rPr>
              <w:t>9</w:t>
            </w:r>
            <w:r>
              <w:rPr>
                <w:rFonts w:ascii="Times New Roman" w:hAnsi="Times New Roman" w:cs="Times New Roman"/>
                <w:b/>
                <w:spacing w:val="-10"/>
                <w:szCs w:val="21"/>
              </w:rPr>
              <w:t xml:space="preserve">  柴油调和物料平衡表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2"/>
              <w:gridCol w:w="1758"/>
              <w:gridCol w:w="2410"/>
              <w:gridCol w:w="1780"/>
            </w:tblGrid>
            <w:tr w14:paraId="52012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40" w:type="dxa"/>
                  <w:gridSpan w:val="2"/>
                </w:tcPr>
                <w:p w14:paraId="07D83577">
                  <w:pPr>
                    <w:adjustRightInd w:val="0"/>
                    <w:snapToGrid w:val="0"/>
                    <w:rPr>
                      <w:rFonts w:ascii="Times New Roman" w:hAnsi="Times New Roman" w:cs="Times New Roman"/>
                      <w:bCs/>
                      <w:szCs w:val="21"/>
                    </w:rPr>
                  </w:pPr>
                  <w:r>
                    <w:rPr>
                      <w:rFonts w:ascii="Times New Roman" w:hAnsi="Times New Roman" w:cs="Times New Roman"/>
                      <w:bCs/>
                      <w:szCs w:val="21"/>
                    </w:rPr>
                    <w:t>投入</w:t>
                  </w:r>
                </w:p>
              </w:tc>
              <w:tc>
                <w:tcPr>
                  <w:tcW w:w="4190" w:type="dxa"/>
                  <w:gridSpan w:val="2"/>
                </w:tcPr>
                <w:p w14:paraId="0C87D4F3">
                  <w:pPr>
                    <w:adjustRightInd w:val="0"/>
                    <w:snapToGrid w:val="0"/>
                    <w:rPr>
                      <w:rFonts w:ascii="Times New Roman" w:hAnsi="Times New Roman" w:cs="Times New Roman"/>
                      <w:bCs/>
                      <w:szCs w:val="21"/>
                    </w:rPr>
                  </w:pPr>
                  <w:r>
                    <w:rPr>
                      <w:rFonts w:ascii="Times New Roman" w:hAnsi="Times New Roman" w:cs="Times New Roman"/>
                      <w:bCs/>
                      <w:szCs w:val="21"/>
                    </w:rPr>
                    <w:t>产出</w:t>
                  </w:r>
                </w:p>
              </w:tc>
            </w:tr>
            <w:tr w14:paraId="5E2A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tcPr>
                <w:p w14:paraId="10A99897">
                  <w:pPr>
                    <w:adjustRightInd w:val="0"/>
                    <w:snapToGrid w:val="0"/>
                    <w:rPr>
                      <w:rFonts w:ascii="Times New Roman" w:hAnsi="Times New Roman" w:cs="Times New Roman"/>
                      <w:bCs/>
                      <w:szCs w:val="21"/>
                    </w:rPr>
                  </w:pPr>
                  <w:r>
                    <w:rPr>
                      <w:rFonts w:ascii="Times New Roman" w:hAnsi="Times New Roman" w:cs="Times New Roman"/>
                      <w:bCs/>
                      <w:szCs w:val="21"/>
                    </w:rPr>
                    <w:t>物料名称</w:t>
                  </w:r>
                </w:p>
              </w:tc>
              <w:tc>
                <w:tcPr>
                  <w:tcW w:w="1758" w:type="dxa"/>
                </w:tcPr>
                <w:p w14:paraId="554F928D">
                  <w:pPr>
                    <w:adjustRightInd w:val="0"/>
                    <w:snapToGrid w:val="0"/>
                    <w:rPr>
                      <w:rFonts w:ascii="Times New Roman" w:hAnsi="Times New Roman" w:cs="Times New Roman"/>
                      <w:bCs/>
                      <w:szCs w:val="21"/>
                    </w:rPr>
                  </w:pPr>
                  <w:r>
                    <w:rPr>
                      <w:rFonts w:ascii="Times New Roman" w:hAnsi="Times New Roman" w:cs="Times New Roman"/>
                      <w:bCs/>
                      <w:szCs w:val="21"/>
                    </w:rPr>
                    <w:t>投入量（t/a）</w:t>
                  </w:r>
                </w:p>
              </w:tc>
              <w:tc>
                <w:tcPr>
                  <w:tcW w:w="2410" w:type="dxa"/>
                </w:tcPr>
                <w:p w14:paraId="68B5FFD1">
                  <w:pPr>
                    <w:adjustRightInd w:val="0"/>
                    <w:snapToGrid w:val="0"/>
                    <w:rPr>
                      <w:rFonts w:ascii="Times New Roman" w:hAnsi="Times New Roman" w:cs="Times New Roman"/>
                      <w:bCs/>
                      <w:szCs w:val="21"/>
                    </w:rPr>
                  </w:pPr>
                  <w:r>
                    <w:rPr>
                      <w:rFonts w:ascii="Times New Roman" w:hAnsi="Times New Roman" w:cs="Times New Roman"/>
                      <w:bCs/>
                      <w:szCs w:val="21"/>
                    </w:rPr>
                    <w:t>物料名称</w:t>
                  </w:r>
                </w:p>
              </w:tc>
              <w:tc>
                <w:tcPr>
                  <w:tcW w:w="1780" w:type="dxa"/>
                </w:tcPr>
                <w:p w14:paraId="2923D18A">
                  <w:pPr>
                    <w:adjustRightInd w:val="0"/>
                    <w:snapToGrid w:val="0"/>
                    <w:rPr>
                      <w:rFonts w:ascii="Times New Roman" w:hAnsi="Times New Roman" w:cs="Times New Roman"/>
                      <w:bCs/>
                      <w:szCs w:val="21"/>
                    </w:rPr>
                  </w:pPr>
                  <w:r>
                    <w:rPr>
                      <w:rFonts w:ascii="Times New Roman" w:hAnsi="Times New Roman" w:cs="Times New Roman"/>
                      <w:bCs/>
                      <w:szCs w:val="21"/>
                    </w:rPr>
                    <w:t>产出量（t/a）</w:t>
                  </w:r>
                </w:p>
              </w:tc>
            </w:tr>
            <w:tr w14:paraId="32FC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0" w:type="dxa"/>
                  <w:gridSpan w:val="4"/>
                </w:tcPr>
                <w:p w14:paraId="1B01E6B9">
                  <w:pPr>
                    <w:adjustRightInd w:val="0"/>
                    <w:snapToGrid w:val="0"/>
                    <w:rPr>
                      <w:rFonts w:ascii="Times New Roman" w:hAnsi="Times New Roman" w:cs="Times New Roman"/>
                      <w:bCs/>
                      <w:szCs w:val="21"/>
                    </w:rPr>
                  </w:pPr>
                  <w:r>
                    <w:rPr>
                      <w:rFonts w:ascii="Times New Roman" w:hAnsi="Times New Roman" w:cs="Times New Roman"/>
                      <w:bCs/>
                      <w:szCs w:val="21"/>
                    </w:rPr>
                    <w:t>柴油调和单元</w:t>
                  </w:r>
                </w:p>
              </w:tc>
            </w:tr>
            <w:tr w14:paraId="27966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tcPr>
                <w:p w14:paraId="2E80195E">
                  <w:pPr>
                    <w:adjustRightInd w:val="0"/>
                    <w:snapToGrid w:val="0"/>
                    <w:rPr>
                      <w:rFonts w:ascii="Times New Roman" w:hAnsi="Times New Roman" w:cs="Times New Roman"/>
                      <w:bCs/>
                      <w:szCs w:val="21"/>
                    </w:rPr>
                  </w:pPr>
                  <w:r>
                    <w:rPr>
                      <w:rFonts w:ascii="Times New Roman" w:hAnsi="Times New Roman" w:cs="Times New Roman"/>
                      <w:bCs/>
                      <w:szCs w:val="21"/>
                    </w:rPr>
                    <w:t>轻质燃料油</w:t>
                  </w:r>
                </w:p>
              </w:tc>
              <w:tc>
                <w:tcPr>
                  <w:tcW w:w="1758" w:type="dxa"/>
                </w:tcPr>
                <w:p w14:paraId="0359FC00">
                  <w:pPr>
                    <w:adjustRightInd w:val="0"/>
                    <w:snapToGrid w:val="0"/>
                    <w:rPr>
                      <w:rFonts w:ascii="Times New Roman" w:hAnsi="Times New Roman" w:cs="Times New Roman"/>
                      <w:bCs/>
                      <w:szCs w:val="21"/>
                    </w:rPr>
                  </w:pPr>
                  <w:r>
                    <w:rPr>
                      <w:rFonts w:ascii="Times New Roman" w:hAnsi="Times New Roman" w:cs="Times New Roman"/>
                      <w:bCs/>
                      <w:szCs w:val="21"/>
                    </w:rPr>
                    <w:t>135600</w:t>
                  </w:r>
                </w:p>
              </w:tc>
              <w:tc>
                <w:tcPr>
                  <w:tcW w:w="2410" w:type="dxa"/>
                </w:tcPr>
                <w:p w14:paraId="2E253F1A">
                  <w:pPr>
                    <w:adjustRightInd w:val="0"/>
                    <w:snapToGrid w:val="0"/>
                    <w:rPr>
                      <w:rFonts w:ascii="Times New Roman" w:hAnsi="Times New Roman" w:cs="Times New Roman"/>
                      <w:bCs/>
                      <w:szCs w:val="21"/>
                    </w:rPr>
                  </w:pPr>
                  <w:r>
                    <w:rPr>
                      <w:rFonts w:ascii="Times New Roman" w:hAnsi="Times New Roman" w:cs="Times New Roman"/>
                      <w:bCs/>
                      <w:szCs w:val="21"/>
                    </w:rPr>
                    <w:t>柴油</w:t>
                  </w:r>
                </w:p>
              </w:tc>
              <w:tc>
                <w:tcPr>
                  <w:tcW w:w="1780" w:type="dxa"/>
                </w:tcPr>
                <w:p w14:paraId="65F29DA3">
                  <w:pPr>
                    <w:adjustRightInd w:val="0"/>
                    <w:snapToGrid w:val="0"/>
                    <w:rPr>
                      <w:rFonts w:ascii="Times New Roman" w:hAnsi="Times New Roman" w:cs="Times New Roman"/>
                      <w:bCs/>
                      <w:szCs w:val="21"/>
                    </w:rPr>
                  </w:pPr>
                  <w:r>
                    <w:rPr>
                      <w:rFonts w:hint="eastAsia" w:ascii="Times New Roman" w:hAnsi="Times New Roman" w:cs="Times New Roman"/>
                      <w:bCs/>
                      <w:szCs w:val="21"/>
                    </w:rPr>
                    <w:t>299995.581</w:t>
                  </w:r>
                </w:p>
              </w:tc>
            </w:tr>
            <w:tr w14:paraId="7146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tcPr>
                <w:p w14:paraId="4F8F37F8">
                  <w:pPr>
                    <w:adjustRightInd w:val="0"/>
                    <w:snapToGrid w:val="0"/>
                    <w:rPr>
                      <w:rFonts w:ascii="Times New Roman" w:hAnsi="Times New Roman" w:cs="Times New Roman"/>
                      <w:bCs/>
                      <w:szCs w:val="21"/>
                    </w:rPr>
                  </w:pPr>
                  <w:r>
                    <w:rPr>
                      <w:rFonts w:ascii="Times New Roman" w:hAnsi="Times New Roman" w:cs="Times New Roman"/>
                      <w:szCs w:val="21"/>
                    </w:rPr>
                    <w:t>煤基柴油</w:t>
                  </w:r>
                </w:p>
              </w:tc>
              <w:tc>
                <w:tcPr>
                  <w:tcW w:w="1758" w:type="dxa"/>
                </w:tcPr>
                <w:p w14:paraId="44630274">
                  <w:pPr>
                    <w:adjustRightInd w:val="0"/>
                    <w:snapToGrid w:val="0"/>
                    <w:rPr>
                      <w:rFonts w:ascii="Times New Roman" w:hAnsi="Times New Roman" w:cs="Times New Roman"/>
                      <w:bCs/>
                      <w:szCs w:val="21"/>
                    </w:rPr>
                  </w:pPr>
                  <w:r>
                    <w:rPr>
                      <w:rFonts w:ascii="Times New Roman" w:hAnsi="Times New Roman" w:cs="Times New Roman"/>
                      <w:bCs/>
                      <w:szCs w:val="21"/>
                    </w:rPr>
                    <w:t>164200</w:t>
                  </w:r>
                </w:p>
              </w:tc>
              <w:tc>
                <w:tcPr>
                  <w:tcW w:w="2410" w:type="dxa"/>
                </w:tcPr>
                <w:p w14:paraId="2562026B">
                  <w:pPr>
                    <w:adjustRightInd w:val="0"/>
                    <w:snapToGrid w:val="0"/>
                    <w:rPr>
                      <w:rFonts w:ascii="Times New Roman" w:hAnsi="Times New Roman" w:cs="Times New Roman"/>
                      <w:bCs/>
                      <w:szCs w:val="21"/>
                    </w:rPr>
                  </w:pPr>
                  <w:r>
                    <w:rPr>
                      <w:rFonts w:ascii="Times New Roman" w:hAnsi="Times New Roman" w:cs="Times New Roman"/>
                      <w:bCs/>
                      <w:szCs w:val="21"/>
                    </w:rPr>
                    <w:t>废气</w:t>
                  </w:r>
                </w:p>
              </w:tc>
              <w:tc>
                <w:tcPr>
                  <w:tcW w:w="1780" w:type="dxa"/>
                </w:tcPr>
                <w:p w14:paraId="3C039A63">
                  <w:pPr>
                    <w:adjustRightInd w:val="0"/>
                    <w:snapToGrid w:val="0"/>
                    <w:rPr>
                      <w:rFonts w:ascii="Times New Roman" w:hAnsi="Times New Roman" w:cs="Times New Roman"/>
                      <w:bCs/>
                      <w:szCs w:val="21"/>
                    </w:rPr>
                  </w:pPr>
                  <w:r>
                    <w:rPr>
                      <w:rFonts w:hint="eastAsia" w:ascii="Times New Roman" w:hAnsi="Times New Roman" w:cs="Times New Roman"/>
                      <w:bCs/>
                      <w:szCs w:val="21"/>
                    </w:rPr>
                    <w:t>4.419</w:t>
                  </w:r>
                </w:p>
              </w:tc>
            </w:tr>
            <w:tr w14:paraId="0924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vAlign w:val="center"/>
                </w:tcPr>
                <w:p w14:paraId="3EA0232A">
                  <w:pPr>
                    <w:adjustRightInd w:val="0"/>
                    <w:snapToGrid w:val="0"/>
                    <w:rPr>
                      <w:rFonts w:ascii="Times New Roman" w:hAnsi="Times New Roman" w:cs="Times New Roman"/>
                      <w:bCs/>
                      <w:szCs w:val="21"/>
                    </w:rPr>
                  </w:pPr>
                  <w:r>
                    <w:rPr>
                      <w:rFonts w:ascii="Times New Roman" w:hAnsi="Times New Roman" w:cs="Times New Roman"/>
                      <w:szCs w:val="21"/>
                    </w:rPr>
                    <w:t>抗磨剂</w:t>
                  </w:r>
                </w:p>
              </w:tc>
              <w:tc>
                <w:tcPr>
                  <w:tcW w:w="1758" w:type="dxa"/>
                </w:tcPr>
                <w:p w14:paraId="2071C505">
                  <w:pPr>
                    <w:adjustRightInd w:val="0"/>
                    <w:snapToGrid w:val="0"/>
                    <w:rPr>
                      <w:rFonts w:ascii="Times New Roman" w:hAnsi="Times New Roman" w:cs="Times New Roman"/>
                      <w:bCs/>
                      <w:szCs w:val="21"/>
                    </w:rPr>
                  </w:pPr>
                  <w:r>
                    <w:rPr>
                      <w:rFonts w:ascii="Times New Roman" w:hAnsi="Times New Roman" w:cs="Times New Roman"/>
                      <w:bCs/>
                      <w:szCs w:val="21"/>
                    </w:rPr>
                    <w:t>100</w:t>
                  </w:r>
                </w:p>
              </w:tc>
              <w:tc>
                <w:tcPr>
                  <w:tcW w:w="2410" w:type="dxa"/>
                </w:tcPr>
                <w:p w14:paraId="47A02496">
                  <w:pPr>
                    <w:adjustRightInd w:val="0"/>
                    <w:snapToGrid w:val="0"/>
                    <w:rPr>
                      <w:rFonts w:ascii="Times New Roman" w:hAnsi="Times New Roman" w:cs="Times New Roman"/>
                      <w:bCs/>
                      <w:szCs w:val="21"/>
                    </w:rPr>
                  </w:pPr>
                </w:p>
              </w:tc>
              <w:tc>
                <w:tcPr>
                  <w:tcW w:w="1780" w:type="dxa"/>
                </w:tcPr>
                <w:p w14:paraId="65A86B2D">
                  <w:pPr>
                    <w:adjustRightInd w:val="0"/>
                    <w:snapToGrid w:val="0"/>
                    <w:rPr>
                      <w:rFonts w:ascii="Times New Roman" w:hAnsi="Times New Roman" w:cs="Times New Roman"/>
                      <w:bCs/>
                      <w:szCs w:val="21"/>
                    </w:rPr>
                  </w:pPr>
                </w:p>
              </w:tc>
            </w:tr>
            <w:tr w14:paraId="2347C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vAlign w:val="center"/>
                </w:tcPr>
                <w:p w14:paraId="5AF3F075">
                  <w:pPr>
                    <w:adjustRightInd w:val="0"/>
                    <w:snapToGrid w:val="0"/>
                    <w:rPr>
                      <w:rFonts w:ascii="Times New Roman" w:hAnsi="Times New Roman" w:cs="Times New Roman"/>
                      <w:bCs/>
                      <w:szCs w:val="21"/>
                    </w:rPr>
                  </w:pPr>
                  <w:r>
                    <w:rPr>
                      <w:rFonts w:ascii="Times New Roman" w:hAnsi="Times New Roman" w:cs="Times New Roman"/>
                      <w:szCs w:val="21"/>
                    </w:rPr>
                    <w:t>十六烷值改进剂</w:t>
                  </w:r>
                </w:p>
              </w:tc>
              <w:tc>
                <w:tcPr>
                  <w:tcW w:w="1758" w:type="dxa"/>
                </w:tcPr>
                <w:p w14:paraId="5B5C94F7">
                  <w:pPr>
                    <w:adjustRightInd w:val="0"/>
                    <w:snapToGrid w:val="0"/>
                    <w:rPr>
                      <w:rFonts w:ascii="Times New Roman" w:hAnsi="Times New Roman" w:cs="Times New Roman"/>
                      <w:bCs/>
                      <w:szCs w:val="21"/>
                    </w:rPr>
                  </w:pPr>
                  <w:r>
                    <w:rPr>
                      <w:rFonts w:ascii="Times New Roman" w:hAnsi="Times New Roman" w:cs="Times New Roman"/>
                      <w:bCs/>
                      <w:szCs w:val="21"/>
                    </w:rPr>
                    <w:t>100</w:t>
                  </w:r>
                </w:p>
              </w:tc>
              <w:tc>
                <w:tcPr>
                  <w:tcW w:w="2410" w:type="dxa"/>
                </w:tcPr>
                <w:p w14:paraId="09CBA71E">
                  <w:pPr>
                    <w:adjustRightInd w:val="0"/>
                    <w:snapToGrid w:val="0"/>
                    <w:rPr>
                      <w:rFonts w:ascii="Times New Roman" w:hAnsi="Times New Roman" w:cs="Times New Roman"/>
                      <w:bCs/>
                      <w:szCs w:val="21"/>
                    </w:rPr>
                  </w:pPr>
                </w:p>
              </w:tc>
              <w:tc>
                <w:tcPr>
                  <w:tcW w:w="1780" w:type="dxa"/>
                </w:tcPr>
                <w:p w14:paraId="64D6E624">
                  <w:pPr>
                    <w:adjustRightInd w:val="0"/>
                    <w:snapToGrid w:val="0"/>
                    <w:rPr>
                      <w:rFonts w:ascii="Times New Roman" w:hAnsi="Times New Roman" w:cs="Times New Roman"/>
                      <w:bCs/>
                      <w:szCs w:val="21"/>
                    </w:rPr>
                  </w:pPr>
                </w:p>
              </w:tc>
            </w:tr>
            <w:tr w14:paraId="5C087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tcPr>
                <w:p w14:paraId="14C6A276">
                  <w:pPr>
                    <w:adjustRightInd w:val="0"/>
                    <w:snapToGrid w:val="0"/>
                    <w:rPr>
                      <w:rFonts w:ascii="Times New Roman" w:hAnsi="Times New Roman" w:cs="Times New Roman"/>
                      <w:bCs/>
                      <w:szCs w:val="21"/>
                    </w:rPr>
                  </w:pPr>
                  <w:r>
                    <w:rPr>
                      <w:rFonts w:ascii="Times New Roman" w:hAnsi="Times New Roman" w:cs="Times New Roman"/>
                      <w:bCs/>
                      <w:szCs w:val="21"/>
                    </w:rPr>
                    <w:t>合计</w:t>
                  </w:r>
                </w:p>
              </w:tc>
              <w:tc>
                <w:tcPr>
                  <w:tcW w:w="1758" w:type="dxa"/>
                </w:tcPr>
                <w:p w14:paraId="23533633">
                  <w:pPr>
                    <w:adjustRightInd w:val="0"/>
                    <w:snapToGrid w:val="0"/>
                    <w:rPr>
                      <w:rFonts w:ascii="Times New Roman" w:hAnsi="Times New Roman" w:cs="Times New Roman"/>
                      <w:bCs/>
                      <w:szCs w:val="21"/>
                    </w:rPr>
                  </w:pPr>
                  <w:r>
                    <w:rPr>
                      <w:rFonts w:ascii="Times New Roman" w:hAnsi="Times New Roman" w:cs="Times New Roman"/>
                      <w:bCs/>
                      <w:szCs w:val="21"/>
                    </w:rPr>
                    <w:t>300000</w:t>
                  </w:r>
                </w:p>
              </w:tc>
              <w:tc>
                <w:tcPr>
                  <w:tcW w:w="2410" w:type="dxa"/>
                </w:tcPr>
                <w:p w14:paraId="4A53183F">
                  <w:pPr>
                    <w:adjustRightInd w:val="0"/>
                    <w:snapToGrid w:val="0"/>
                    <w:rPr>
                      <w:rFonts w:ascii="Times New Roman" w:hAnsi="Times New Roman" w:cs="Times New Roman"/>
                      <w:bCs/>
                      <w:szCs w:val="21"/>
                    </w:rPr>
                  </w:pPr>
                  <w:r>
                    <w:rPr>
                      <w:rFonts w:ascii="Times New Roman" w:hAnsi="Times New Roman" w:cs="Times New Roman"/>
                      <w:bCs/>
                      <w:szCs w:val="21"/>
                    </w:rPr>
                    <w:t>合计</w:t>
                  </w:r>
                </w:p>
              </w:tc>
              <w:tc>
                <w:tcPr>
                  <w:tcW w:w="1780" w:type="dxa"/>
                </w:tcPr>
                <w:p w14:paraId="70D5FAEE">
                  <w:pPr>
                    <w:adjustRightInd w:val="0"/>
                    <w:snapToGrid w:val="0"/>
                    <w:rPr>
                      <w:rFonts w:ascii="Times New Roman" w:hAnsi="Times New Roman" w:cs="Times New Roman"/>
                      <w:bCs/>
                      <w:szCs w:val="21"/>
                    </w:rPr>
                  </w:pPr>
                  <w:r>
                    <w:rPr>
                      <w:rFonts w:ascii="Times New Roman" w:hAnsi="Times New Roman" w:cs="Times New Roman"/>
                      <w:bCs/>
                      <w:szCs w:val="21"/>
                    </w:rPr>
                    <w:t>300000</w:t>
                  </w:r>
                </w:p>
              </w:tc>
            </w:tr>
          </w:tbl>
          <w:p w14:paraId="2B317F6D">
            <w:pPr>
              <w:adjustRightInd w:val="0"/>
              <w:snapToGrid w:val="0"/>
              <w:spacing w:line="360" w:lineRule="auto"/>
              <w:ind w:firstLine="480" w:firstLineChars="200"/>
              <w:jc w:val="center"/>
              <w:rPr>
                <w:rFonts w:ascii="Times New Roman" w:hAnsi="Times New Roman" w:cs="Times New Roman"/>
                <w:bCs/>
                <w:highlight w:val="yellow"/>
              </w:rPr>
            </w:pPr>
          </w:p>
          <w:p w14:paraId="6C00E5E0">
            <w:pPr>
              <w:adjustRightInd w:val="0"/>
              <w:snapToGrid w:val="0"/>
              <w:rPr>
                <w:rFonts w:ascii="Times New Roman" w:hAnsi="Times New Roman" w:cs="Times New Roman"/>
                <w:b/>
                <w:bCs/>
                <w:color w:val="000000"/>
                <w:szCs w:val="21"/>
              </w:rPr>
            </w:pPr>
            <w:r>
              <w:rPr>
                <w:rFonts w:ascii="Times New Roman" w:hAnsi="Times New Roman" w:cs="Times New Roman"/>
                <w:b/>
              </w:rPr>
              <w:t>4</w:t>
            </w:r>
            <w:r>
              <w:rPr>
                <w:rFonts w:ascii="Times New Roman" w:hAnsi="Times New Roman" w:cs="Times New Roman"/>
                <w:b/>
                <w:bCs/>
                <w:color w:val="000000"/>
                <w:szCs w:val="21"/>
              </w:rPr>
              <w:t>、蒸汽平衡</w:t>
            </w:r>
          </w:p>
          <w:p w14:paraId="297BFD42">
            <w:pPr>
              <w:adjustRightInd w:val="0"/>
              <w:snapToGrid w:val="0"/>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全厂蒸汽平衡情况详见表2-</w:t>
            </w:r>
            <w:r>
              <w:rPr>
                <w:rFonts w:hint="eastAsia" w:ascii="Times New Roman" w:hAnsi="Times New Roman" w:cs="Times New Roman"/>
                <w:color w:val="000000" w:themeColor="text1"/>
                <w14:textFill>
                  <w14:solidFill>
                    <w14:schemeClr w14:val="tx1"/>
                  </w14:solidFill>
                </w14:textFill>
              </w:rPr>
              <w:t>20</w:t>
            </w:r>
            <w:r>
              <w:rPr>
                <w:rFonts w:ascii="Times New Roman" w:hAnsi="Times New Roman" w:cs="Times New Roman"/>
                <w:color w:val="000000" w:themeColor="text1"/>
                <w14:textFill>
                  <w14:solidFill>
                    <w14:schemeClr w14:val="tx1"/>
                  </w14:solidFill>
                </w14:textFill>
              </w:rPr>
              <w:t>、2-2</w:t>
            </w:r>
            <w:r>
              <w:rPr>
                <w:rFonts w:hint="eastAsia" w:ascii="Times New Roman" w:hAnsi="Times New Roman" w:cs="Times New Roman"/>
                <w:color w:val="000000" w:themeColor="text1"/>
                <w14:textFill>
                  <w14:solidFill>
                    <w14:schemeClr w14:val="tx1"/>
                  </w14:solidFill>
                </w14:textFill>
              </w:rPr>
              <w:t>1</w:t>
            </w:r>
            <w:r>
              <w:rPr>
                <w:rFonts w:ascii="Times New Roman" w:hAnsi="Times New Roman" w:cs="Times New Roman"/>
                <w:color w:val="000000" w:themeColor="text1"/>
                <w14:textFill>
                  <w14:solidFill>
                    <w14:schemeClr w14:val="tx1"/>
                  </w14:solidFill>
                </w14:textFill>
              </w:rPr>
              <w:t>。</w:t>
            </w:r>
          </w:p>
          <w:p w14:paraId="30C0B21F">
            <w:pPr>
              <w:adjustRightInd w:val="0"/>
              <w:snapToGrid w:val="0"/>
              <w:spacing w:line="360" w:lineRule="auto"/>
              <w:ind w:firstLine="442" w:firstLineChars="200"/>
              <w:jc w:val="center"/>
              <w:rPr>
                <w:rFonts w:ascii="Times New Roman" w:hAnsi="Times New Roman" w:cs="Times New Roman"/>
                <w:bCs/>
              </w:rPr>
            </w:pPr>
            <w:r>
              <w:rPr>
                <w:rFonts w:ascii="Times New Roman" w:hAnsi="Times New Roman" w:cs="Times New Roman"/>
                <w:b/>
                <w:spacing w:val="-10"/>
                <w:szCs w:val="21"/>
              </w:rPr>
              <w:t>2-</w:t>
            </w:r>
            <w:r>
              <w:rPr>
                <w:rFonts w:hint="eastAsia" w:ascii="Times New Roman" w:hAnsi="Times New Roman" w:cs="Times New Roman"/>
                <w:b/>
                <w:spacing w:val="-10"/>
                <w:szCs w:val="21"/>
              </w:rPr>
              <w:t>20</w:t>
            </w:r>
            <w:r>
              <w:rPr>
                <w:rFonts w:ascii="Times New Roman" w:hAnsi="Times New Roman" w:cs="Times New Roman"/>
                <w:b/>
                <w:spacing w:val="-10"/>
                <w:szCs w:val="21"/>
              </w:rPr>
              <w:t xml:space="preserve">  采暖期蒸汽平衡表</w:t>
            </w:r>
          </w:p>
          <w:tbl>
            <w:tblPr>
              <w:tblStyle w:val="16"/>
              <w:tblW w:w="7066" w:type="dxa"/>
              <w:jc w:val="center"/>
              <w:tblLayout w:type="fixed"/>
              <w:tblCellMar>
                <w:top w:w="0" w:type="dxa"/>
                <w:left w:w="108" w:type="dxa"/>
                <w:bottom w:w="0" w:type="dxa"/>
                <w:right w:w="108" w:type="dxa"/>
              </w:tblCellMar>
            </w:tblPr>
            <w:tblGrid>
              <w:gridCol w:w="1568"/>
              <w:gridCol w:w="1388"/>
              <w:gridCol w:w="2551"/>
              <w:gridCol w:w="1559"/>
            </w:tblGrid>
            <w:tr w14:paraId="62979EED">
              <w:tblPrEx>
                <w:tblCellMar>
                  <w:top w:w="0" w:type="dxa"/>
                  <w:left w:w="108" w:type="dxa"/>
                  <w:bottom w:w="0" w:type="dxa"/>
                  <w:right w:w="108" w:type="dxa"/>
                </w:tblCellMar>
              </w:tblPrEx>
              <w:trPr>
                <w:jc w:val="center"/>
              </w:trPr>
              <w:tc>
                <w:tcPr>
                  <w:tcW w:w="2956" w:type="dxa"/>
                  <w:gridSpan w:val="2"/>
                  <w:tcBorders>
                    <w:top w:val="single" w:color="auto" w:sz="4" w:space="0"/>
                    <w:left w:val="single" w:color="auto" w:sz="4" w:space="0"/>
                    <w:bottom w:val="single" w:color="auto" w:sz="4" w:space="0"/>
                    <w:right w:val="single" w:color="auto" w:sz="4" w:space="0"/>
                  </w:tcBorders>
                  <w:vAlign w:val="center"/>
                </w:tcPr>
                <w:p w14:paraId="5E6EB932">
                  <w:pPr>
                    <w:spacing w:line="240" w:lineRule="exact"/>
                    <w:jc w:val="center"/>
                    <w:rPr>
                      <w:rFonts w:ascii="Times New Roman" w:hAnsi="Times New Roman" w:cs="Times New Roman"/>
                      <w:color w:val="000000" w:themeColor="text1"/>
                      <w:sz w:val="18"/>
                      <w:szCs w:val="18"/>
                      <w14:textFill>
                        <w14:solidFill>
                          <w14:schemeClr w14:val="tx1"/>
                        </w14:solidFill>
                      </w14:textFill>
                    </w:rPr>
                  </w:pPr>
                  <w:bookmarkStart w:id="7" w:name="OLE_LINK37"/>
                  <w:r>
                    <w:rPr>
                      <w:rFonts w:ascii="Times New Roman" w:hAnsi="Times New Roman" w:cs="Times New Roman"/>
                      <w:color w:val="000000" w:themeColor="text1"/>
                      <w:sz w:val="18"/>
                      <w:szCs w:val="18"/>
                      <w14:textFill>
                        <w14:solidFill>
                          <w14:schemeClr w14:val="tx1"/>
                        </w14:solidFill>
                      </w14:textFill>
                    </w:rPr>
                    <w:t>蒸汽来源</w:t>
                  </w:r>
                </w:p>
              </w:tc>
              <w:tc>
                <w:tcPr>
                  <w:tcW w:w="4110" w:type="dxa"/>
                  <w:gridSpan w:val="2"/>
                  <w:tcBorders>
                    <w:top w:val="single" w:color="auto" w:sz="4" w:space="0"/>
                    <w:left w:val="nil"/>
                    <w:bottom w:val="single" w:color="auto" w:sz="4" w:space="0"/>
                    <w:right w:val="single" w:color="auto" w:sz="4" w:space="0"/>
                  </w:tcBorders>
                  <w:vAlign w:val="center"/>
                </w:tcPr>
                <w:p w14:paraId="58C3977E">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蒸汽使用</w:t>
                  </w:r>
                </w:p>
              </w:tc>
            </w:tr>
            <w:tr w14:paraId="165AB2F8">
              <w:tblPrEx>
                <w:tblCellMar>
                  <w:top w:w="0" w:type="dxa"/>
                  <w:left w:w="108" w:type="dxa"/>
                  <w:bottom w:w="0" w:type="dxa"/>
                  <w:right w:w="108" w:type="dxa"/>
                </w:tblCellMar>
              </w:tblPrEx>
              <w:trPr>
                <w:jc w:val="center"/>
              </w:trPr>
              <w:tc>
                <w:tcPr>
                  <w:tcW w:w="1568" w:type="dxa"/>
                  <w:tcBorders>
                    <w:top w:val="nil"/>
                    <w:left w:val="single" w:color="auto" w:sz="4" w:space="0"/>
                    <w:bottom w:val="single" w:color="auto" w:sz="4" w:space="0"/>
                    <w:right w:val="single" w:color="auto" w:sz="4" w:space="0"/>
                  </w:tcBorders>
                  <w:vAlign w:val="center"/>
                </w:tcPr>
                <w:p w14:paraId="6DB8E859">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来源</w:t>
                  </w:r>
                </w:p>
              </w:tc>
              <w:tc>
                <w:tcPr>
                  <w:tcW w:w="1388" w:type="dxa"/>
                  <w:tcBorders>
                    <w:top w:val="nil"/>
                    <w:left w:val="nil"/>
                    <w:bottom w:val="single" w:color="auto" w:sz="4" w:space="0"/>
                    <w:right w:val="single" w:color="auto" w:sz="4" w:space="0"/>
                  </w:tcBorders>
                  <w:vAlign w:val="center"/>
                </w:tcPr>
                <w:p w14:paraId="69B6A101">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数量（t/h）</w:t>
                  </w:r>
                </w:p>
              </w:tc>
              <w:tc>
                <w:tcPr>
                  <w:tcW w:w="2551" w:type="dxa"/>
                  <w:tcBorders>
                    <w:top w:val="nil"/>
                    <w:left w:val="nil"/>
                    <w:bottom w:val="single" w:color="auto" w:sz="4" w:space="0"/>
                    <w:right w:val="single" w:color="auto" w:sz="4" w:space="0"/>
                  </w:tcBorders>
                  <w:vAlign w:val="center"/>
                </w:tcPr>
                <w:p w14:paraId="1E4B9B2D">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装置/单元</w:t>
                  </w:r>
                </w:p>
              </w:tc>
              <w:tc>
                <w:tcPr>
                  <w:tcW w:w="1559" w:type="dxa"/>
                  <w:tcBorders>
                    <w:top w:val="nil"/>
                    <w:left w:val="nil"/>
                    <w:bottom w:val="single" w:color="auto" w:sz="4" w:space="0"/>
                    <w:right w:val="single" w:color="auto" w:sz="4" w:space="0"/>
                  </w:tcBorders>
                  <w:vAlign w:val="center"/>
                </w:tcPr>
                <w:p w14:paraId="558CD1D5">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数量（t/h）</w:t>
                  </w:r>
                </w:p>
              </w:tc>
            </w:tr>
            <w:tr w14:paraId="3725F5C0">
              <w:tblPrEx>
                <w:tblCellMar>
                  <w:top w:w="0" w:type="dxa"/>
                  <w:left w:w="108" w:type="dxa"/>
                  <w:bottom w:w="0" w:type="dxa"/>
                  <w:right w:w="108" w:type="dxa"/>
                </w:tblCellMar>
              </w:tblPrEx>
              <w:trPr>
                <w:jc w:val="center"/>
              </w:trPr>
              <w:tc>
                <w:tcPr>
                  <w:tcW w:w="7066" w:type="dxa"/>
                  <w:gridSpan w:val="4"/>
                  <w:tcBorders>
                    <w:top w:val="single" w:color="auto" w:sz="4" w:space="0"/>
                    <w:left w:val="single" w:color="auto" w:sz="4" w:space="0"/>
                    <w:bottom w:val="single" w:color="auto" w:sz="4" w:space="0"/>
                    <w:right w:val="single" w:color="auto" w:sz="4" w:space="0"/>
                  </w:tcBorders>
                  <w:noWrap/>
                  <w:vAlign w:val="center"/>
                </w:tcPr>
                <w:p w14:paraId="30909EB9">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1.0MPaG蒸汽系统</w:t>
                  </w:r>
                </w:p>
              </w:tc>
            </w:tr>
            <w:tr w14:paraId="2EFCD53B">
              <w:tblPrEx>
                <w:tblCellMar>
                  <w:top w:w="0" w:type="dxa"/>
                  <w:left w:w="108" w:type="dxa"/>
                  <w:bottom w:w="0" w:type="dxa"/>
                  <w:right w:w="108" w:type="dxa"/>
                </w:tblCellMar>
              </w:tblPrEx>
              <w:trPr>
                <w:jc w:val="center"/>
              </w:trPr>
              <w:tc>
                <w:tcPr>
                  <w:tcW w:w="1568" w:type="dxa"/>
                  <w:tcBorders>
                    <w:top w:val="nil"/>
                    <w:left w:val="single" w:color="auto" w:sz="4" w:space="0"/>
                    <w:bottom w:val="single" w:color="auto" w:sz="4" w:space="0"/>
                    <w:right w:val="single" w:color="auto" w:sz="4" w:space="0"/>
                  </w:tcBorders>
                  <w:noWrap/>
                  <w:vAlign w:val="center"/>
                </w:tcPr>
                <w:p w14:paraId="465198B9">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导热油系统副产</w:t>
                  </w:r>
                </w:p>
              </w:tc>
              <w:tc>
                <w:tcPr>
                  <w:tcW w:w="1388" w:type="dxa"/>
                  <w:tcBorders>
                    <w:top w:val="nil"/>
                    <w:left w:val="nil"/>
                    <w:bottom w:val="single" w:color="auto" w:sz="4" w:space="0"/>
                    <w:right w:val="single" w:color="auto" w:sz="4" w:space="0"/>
                  </w:tcBorders>
                  <w:noWrap/>
                  <w:vAlign w:val="center"/>
                </w:tcPr>
                <w:p w14:paraId="435CC01B">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5.0</w:t>
                  </w:r>
                </w:p>
              </w:tc>
              <w:tc>
                <w:tcPr>
                  <w:tcW w:w="2551" w:type="dxa"/>
                  <w:tcBorders>
                    <w:top w:val="nil"/>
                    <w:left w:val="nil"/>
                    <w:bottom w:val="single" w:color="auto" w:sz="4" w:space="0"/>
                    <w:right w:val="single" w:color="auto" w:sz="4" w:space="0"/>
                  </w:tcBorders>
                  <w:vAlign w:val="center"/>
                </w:tcPr>
                <w:p w14:paraId="5842AFE9">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酸性水汽提单元</w:t>
                  </w:r>
                </w:p>
              </w:tc>
              <w:tc>
                <w:tcPr>
                  <w:tcW w:w="1559" w:type="dxa"/>
                  <w:tcBorders>
                    <w:top w:val="nil"/>
                    <w:left w:val="nil"/>
                    <w:bottom w:val="single" w:color="auto" w:sz="4" w:space="0"/>
                    <w:right w:val="single" w:color="auto" w:sz="4" w:space="0"/>
                  </w:tcBorders>
                  <w:vAlign w:val="center"/>
                </w:tcPr>
                <w:p w14:paraId="11637143">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3</w:t>
                  </w:r>
                </w:p>
              </w:tc>
            </w:tr>
            <w:tr w14:paraId="3CE9887D">
              <w:tblPrEx>
                <w:tblCellMar>
                  <w:top w:w="0" w:type="dxa"/>
                  <w:left w:w="108" w:type="dxa"/>
                  <w:bottom w:w="0" w:type="dxa"/>
                  <w:right w:w="108" w:type="dxa"/>
                </w:tblCellMar>
              </w:tblPrEx>
              <w:trPr>
                <w:jc w:val="center"/>
              </w:trPr>
              <w:tc>
                <w:tcPr>
                  <w:tcW w:w="1568" w:type="dxa"/>
                  <w:tcBorders>
                    <w:top w:val="nil"/>
                    <w:left w:val="single" w:color="auto" w:sz="4" w:space="0"/>
                    <w:bottom w:val="single" w:color="auto" w:sz="4" w:space="0"/>
                    <w:right w:val="single" w:color="auto" w:sz="4" w:space="0"/>
                  </w:tcBorders>
                  <w:vAlign w:val="center"/>
                </w:tcPr>
                <w:p w14:paraId="348D139F">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蒸汽锅炉</w:t>
                  </w:r>
                </w:p>
              </w:tc>
              <w:tc>
                <w:tcPr>
                  <w:tcW w:w="1388" w:type="dxa"/>
                  <w:tcBorders>
                    <w:top w:val="nil"/>
                    <w:left w:val="nil"/>
                    <w:bottom w:val="single" w:color="auto" w:sz="4" w:space="0"/>
                    <w:right w:val="single" w:color="auto" w:sz="4" w:space="0"/>
                  </w:tcBorders>
                  <w:vAlign w:val="center"/>
                </w:tcPr>
                <w:p w14:paraId="233696C7">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12.0</w:t>
                  </w:r>
                </w:p>
              </w:tc>
              <w:tc>
                <w:tcPr>
                  <w:tcW w:w="2551" w:type="dxa"/>
                  <w:tcBorders>
                    <w:top w:val="nil"/>
                    <w:left w:val="nil"/>
                    <w:bottom w:val="single" w:color="auto" w:sz="4" w:space="0"/>
                    <w:right w:val="single" w:color="auto" w:sz="4" w:space="0"/>
                  </w:tcBorders>
                  <w:vAlign w:val="center"/>
                </w:tcPr>
                <w:p w14:paraId="004305DF">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1.0MPaG蒸汽减温减压为0.3MPaG蒸汽</w:t>
                  </w:r>
                </w:p>
              </w:tc>
              <w:tc>
                <w:tcPr>
                  <w:tcW w:w="1559" w:type="dxa"/>
                  <w:tcBorders>
                    <w:top w:val="nil"/>
                    <w:left w:val="nil"/>
                    <w:bottom w:val="single" w:color="auto" w:sz="4" w:space="0"/>
                    <w:right w:val="single" w:color="auto" w:sz="4" w:space="0"/>
                  </w:tcBorders>
                  <w:vAlign w:val="center"/>
                </w:tcPr>
                <w:p w14:paraId="2644EA9E">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13.5</w:t>
                  </w:r>
                </w:p>
              </w:tc>
            </w:tr>
            <w:tr w14:paraId="2B71B843">
              <w:tblPrEx>
                <w:tblCellMar>
                  <w:top w:w="0" w:type="dxa"/>
                  <w:left w:w="108" w:type="dxa"/>
                  <w:bottom w:w="0" w:type="dxa"/>
                  <w:right w:w="108" w:type="dxa"/>
                </w:tblCellMar>
              </w:tblPrEx>
              <w:trPr>
                <w:jc w:val="center"/>
              </w:trPr>
              <w:tc>
                <w:tcPr>
                  <w:tcW w:w="1568" w:type="dxa"/>
                  <w:tcBorders>
                    <w:top w:val="nil"/>
                    <w:left w:val="single" w:color="auto" w:sz="4" w:space="0"/>
                    <w:bottom w:val="single" w:color="auto" w:sz="4" w:space="0"/>
                    <w:right w:val="single" w:color="auto" w:sz="4" w:space="0"/>
                  </w:tcBorders>
                  <w:noWrap/>
                  <w:vAlign w:val="center"/>
                </w:tcPr>
                <w:p w14:paraId="66260A82">
                  <w:pPr>
                    <w:spacing w:line="240" w:lineRule="exact"/>
                    <w:jc w:val="center"/>
                    <w:rPr>
                      <w:rFonts w:ascii="Times New Roman" w:hAnsi="Times New Roman" w:cs="Times New Roman"/>
                      <w:color w:val="000000" w:themeColor="text1"/>
                      <w:sz w:val="18"/>
                      <w:szCs w:val="18"/>
                      <w14:textFill>
                        <w14:solidFill>
                          <w14:schemeClr w14:val="tx1"/>
                        </w14:solidFill>
                      </w14:textFill>
                    </w:rPr>
                  </w:pPr>
                </w:p>
              </w:tc>
              <w:tc>
                <w:tcPr>
                  <w:tcW w:w="1388" w:type="dxa"/>
                  <w:tcBorders>
                    <w:top w:val="nil"/>
                    <w:left w:val="nil"/>
                    <w:bottom w:val="single" w:color="auto" w:sz="4" w:space="0"/>
                    <w:right w:val="single" w:color="auto" w:sz="4" w:space="0"/>
                  </w:tcBorders>
                  <w:noWrap/>
                  <w:vAlign w:val="center"/>
                </w:tcPr>
                <w:p w14:paraId="5C6E1B08">
                  <w:pPr>
                    <w:spacing w:line="240" w:lineRule="exact"/>
                    <w:jc w:val="center"/>
                    <w:rPr>
                      <w:rFonts w:ascii="Times New Roman" w:hAnsi="Times New Roman" w:cs="Times New Roman"/>
                      <w:color w:val="000000" w:themeColor="text1"/>
                      <w:sz w:val="18"/>
                      <w:szCs w:val="18"/>
                      <w14:textFill>
                        <w14:solidFill>
                          <w14:schemeClr w14:val="tx1"/>
                        </w14:solidFill>
                      </w14:textFill>
                    </w:rPr>
                  </w:pPr>
                </w:p>
              </w:tc>
              <w:tc>
                <w:tcPr>
                  <w:tcW w:w="2551" w:type="dxa"/>
                  <w:tcBorders>
                    <w:top w:val="nil"/>
                    <w:left w:val="nil"/>
                    <w:bottom w:val="single" w:color="auto" w:sz="4" w:space="0"/>
                    <w:right w:val="single" w:color="auto" w:sz="4" w:space="0"/>
                  </w:tcBorders>
                  <w:vAlign w:val="center"/>
                </w:tcPr>
                <w:p w14:paraId="070FDAC6">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损失</w:t>
                  </w:r>
                </w:p>
              </w:tc>
              <w:tc>
                <w:tcPr>
                  <w:tcW w:w="1559" w:type="dxa"/>
                  <w:tcBorders>
                    <w:top w:val="nil"/>
                    <w:left w:val="nil"/>
                    <w:bottom w:val="single" w:color="auto" w:sz="4" w:space="0"/>
                    <w:right w:val="single" w:color="auto" w:sz="4" w:space="0"/>
                  </w:tcBorders>
                  <w:vAlign w:val="center"/>
                </w:tcPr>
                <w:p w14:paraId="0648A1BE">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0.5</w:t>
                  </w:r>
                </w:p>
              </w:tc>
            </w:tr>
            <w:tr w14:paraId="79C15D12">
              <w:tblPrEx>
                <w:tblCellMar>
                  <w:top w:w="0" w:type="dxa"/>
                  <w:left w:w="108" w:type="dxa"/>
                  <w:bottom w:w="0" w:type="dxa"/>
                  <w:right w:w="108" w:type="dxa"/>
                </w:tblCellMar>
              </w:tblPrEx>
              <w:trPr>
                <w:jc w:val="center"/>
              </w:trPr>
              <w:tc>
                <w:tcPr>
                  <w:tcW w:w="1568" w:type="dxa"/>
                  <w:tcBorders>
                    <w:top w:val="nil"/>
                    <w:left w:val="single" w:color="auto" w:sz="4" w:space="0"/>
                    <w:bottom w:val="single" w:color="auto" w:sz="4" w:space="0"/>
                    <w:right w:val="single" w:color="auto" w:sz="4" w:space="0"/>
                  </w:tcBorders>
                  <w:vAlign w:val="center"/>
                </w:tcPr>
                <w:p w14:paraId="44B6ABB2">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合计</w:t>
                  </w:r>
                </w:p>
              </w:tc>
              <w:tc>
                <w:tcPr>
                  <w:tcW w:w="1388" w:type="dxa"/>
                  <w:tcBorders>
                    <w:top w:val="nil"/>
                    <w:left w:val="nil"/>
                    <w:bottom w:val="single" w:color="auto" w:sz="4" w:space="0"/>
                    <w:right w:val="single" w:color="auto" w:sz="4" w:space="0"/>
                  </w:tcBorders>
                  <w:vAlign w:val="center"/>
                </w:tcPr>
                <w:p w14:paraId="2EE59ED6">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17.0</w:t>
                  </w:r>
                </w:p>
              </w:tc>
              <w:tc>
                <w:tcPr>
                  <w:tcW w:w="2551" w:type="dxa"/>
                  <w:tcBorders>
                    <w:top w:val="nil"/>
                    <w:left w:val="nil"/>
                    <w:bottom w:val="single" w:color="auto" w:sz="4" w:space="0"/>
                    <w:right w:val="single" w:color="auto" w:sz="4" w:space="0"/>
                  </w:tcBorders>
                  <w:vAlign w:val="center"/>
                </w:tcPr>
                <w:p w14:paraId="3A0B430C">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合计</w:t>
                  </w:r>
                </w:p>
              </w:tc>
              <w:tc>
                <w:tcPr>
                  <w:tcW w:w="1559" w:type="dxa"/>
                  <w:tcBorders>
                    <w:top w:val="nil"/>
                    <w:left w:val="nil"/>
                    <w:bottom w:val="single" w:color="auto" w:sz="4" w:space="0"/>
                    <w:right w:val="single" w:color="auto" w:sz="4" w:space="0"/>
                  </w:tcBorders>
                  <w:vAlign w:val="center"/>
                </w:tcPr>
                <w:p w14:paraId="5D17EBE3">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17.0</w:t>
                  </w:r>
                </w:p>
              </w:tc>
            </w:tr>
            <w:tr w14:paraId="00A1A6E9">
              <w:tblPrEx>
                <w:tblCellMar>
                  <w:top w:w="0" w:type="dxa"/>
                  <w:left w:w="108" w:type="dxa"/>
                  <w:bottom w:w="0" w:type="dxa"/>
                  <w:right w:w="108" w:type="dxa"/>
                </w:tblCellMar>
              </w:tblPrEx>
              <w:trPr>
                <w:jc w:val="center"/>
              </w:trPr>
              <w:tc>
                <w:tcPr>
                  <w:tcW w:w="7066" w:type="dxa"/>
                  <w:gridSpan w:val="4"/>
                  <w:tcBorders>
                    <w:top w:val="single" w:color="auto" w:sz="4" w:space="0"/>
                    <w:left w:val="single" w:color="auto" w:sz="4" w:space="0"/>
                    <w:bottom w:val="single" w:color="auto" w:sz="4" w:space="0"/>
                    <w:right w:val="single" w:color="auto" w:sz="4" w:space="0"/>
                  </w:tcBorders>
                  <w:noWrap/>
                  <w:vAlign w:val="center"/>
                </w:tcPr>
                <w:p w14:paraId="0A1C742D">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0.3MPaG蒸汽系统</w:t>
                  </w:r>
                </w:p>
              </w:tc>
            </w:tr>
            <w:tr w14:paraId="688D7D48">
              <w:tblPrEx>
                <w:tblCellMar>
                  <w:top w:w="0" w:type="dxa"/>
                  <w:left w:w="108" w:type="dxa"/>
                  <w:bottom w:w="0" w:type="dxa"/>
                  <w:right w:w="108" w:type="dxa"/>
                </w:tblCellMar>
              </w:tblPrEx>
              <w:trPr>
                <w:jc w:val="center"/>
              </w:trPr>
              <w:tc>
                <w:tcPr>
                  <w:tcW w:w="1568" w:type="dxa"/>
                  <w:tcBorders>
                    <w:top w:val="nil"/>
                    <w:left w:val="single" w:color="auto" w:sz="4" w:space="0"/>
                    <w:bottom w:val="single" w:color="auto" w:sz="4" w:space="0"/>
                    <w:right w:val="single" w:color="auto" w:sz="4" w:space="0"/>
                  </w:tcBorders>
                  <w:vAlign w:val="center"/>
                </w:tcPr>
                <w:p w14:paraId="548CF3D6">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1.0MPaG蒸汽减温减压为0.3MPaG蒸汽</w:t>
                  </w:r>
                </w:p>
              </w:tc>
              <w:tc>
                <w:tcPr>
                  <w:tcW w:w="1388" w:type="dxa"/>
                  <w:tcBorders>
                    <w:top w:val="nil"/>
                    <w:left w:val="nil"/>
                    <w:bottom w:val="single" w:color="auto" w:sz="4" w:space="0"/>
                    <w:right w:val="single" w:color="auto" w:sz="4" w:space="0"/>
                  </w:tcBorders>
                  <w:noWrap/>
                  <w:vAlign w:val="center"/>
                </w:tcPr>
                <w:p w14:paraId="3E73459D">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13.5</w:t>
                  </w:r>
                </w:p>
              </w:tc>
              <w:tc>
                <w:tcPr>
                  <w:tcW w:w="2551" w:type="dxa"/>
                  <w:tcBorders>
                    <w:top w:val="nil"/>
                    <w:left w:val="nil"/>
                    <w:bottom w:val="single" w:color="auto" w:sz="4" w:space="0"/>
                    <w:right w:val="single" w:color="auto" w:sz="4" w:space="0"/>
                  </w:tcBorders>
                  <w:vAlign w:val="center"/>
                </w:tcPr>
                <w:p w14:paraId="67427A6A">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加氢精制&amp;分馏单元</w:t>
                  </w:r>
                </w:p>
              </w:tc>
              <w:tc>
                <w:tcPr>
                  <w:tcW w:w="1559" w:type="dxa"/>
                  <w:tcBorders>
                    <w:top w:val="nil"/>
                    <w:left w:val="nil"/>
                    <w:bottom w:val="single" w:color="auto" w:sz="4" w:space="0"/>
                    <w:right w:val="single" w:color="auto" w:sz="4" w:space="0"/>
                  </w:tcBorders>
                  <w:vAlign w:val="center"/>
                </w:tcPr>
                <w:p w14:paraId="7C5F214D">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0.6</w:t>
                  </w:r>
                </w:p>
              </w:tc>
            </w:tr>
            <w:tr w14:paraId="17237D63">
              <w:tblPrEx>
                <w:tblCellMar>
                  <w:top w:w="0" w:type="dxa"/>
                  <w:left w:w="108" w:type="dxa"/>
                  <w:bottom w:w="0" w:type="dxa"/>
                  <w:right w:w="108" w:type="dxa"/>
                </w:tblCellMar>
              </w:tblPrEx>
              <w:trPr>
                <w:jc w:val="center"/>
              </w:trPr>
              <w:tc>
                <w:tcPr>
                  <w:tcW w:w="1568" w:type="dxa"/>
                  <w:tcBorders>
                    <w:top w:val="nil"/>
                    <w:left w:val="single" w:color="auto" w:sz="4" w:space="0"/>
                    <w:bottom w:val="single" w:color="auto" w:sz="4" w:space="0"/>
                    <w:right w:val="single" w:color="auto" w:sz="4" w:space="0"/>
                  </w:tcBorders>
                  <w:vAlign w:val="center"/>
                </w:tcPr>
                <w:p w14:paraId="170C2C2B">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加氢精制单元副产</w:t>
                  </w:r>
                </w:p>
              </w:tc>
              <w:tc>
                <w:tcPr>
                  <w:tcW w:w="1388" w:type="dxa"/>
                  <w:tcBorders>
                    <w:top w:val="nil"/>
                    <w:left w:val="nil"/>
                    <w:bottom w:val="single" w:color="auto" w:sz="4" w:space="0"/>
                    <w:right w:val="single" w:color="auto" w:sz="4" w:space="0"/>
                  </w:tcBorders>
                  <w:noWrap/>
                  <w:vAlign w:val="center"/>
                </w:tcPr>
                <w:p w14:paraId="49072E82">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1.3</w:t>
                  </w:r>
                </w:p>
              </w:tc>
              <w:tc>
                <w:tcPr>
                  <w:tcW w:w="2551" w:type="dxa"/>
                  <w:tcBorders>
                    <w:top w:val="nil"/>
                    <w:left w:val="nil"/>
                    <w:bottom w:val="single" w:color="auto" w:sz="4" w:space="0"/>
                    <w:right w:val="single" w:color="auto" w:sz="4" w:space="0"/>
                  </w:tcBorders>
                  <w:vAlign w:val="center"/>
                </w:tcPr>
                <w:p w14:paraId="3390169B">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加氢联合装置保温伴热</w:t>
                  </w:r>
                </w:p>
              </w:tc>
              <w:tc>
                <w:tcPr>
                  <w:tcW w:w="1559" w:type="dxa"/>
                  <w:tcBorders>
                    <w:top w:val="nil"/>
                    <w:left w:val="nil"/>
                    <w:bottom w:val="single" w:color="auto" w:sz="4" w:space="0"/>
                    <w:right w:val="single" w:color="auto" w:sz="4" w:space="0"/>
                  </w:tcBorders>
                  <w:vAlign w:val="center"/>
                </w:tcPr>
                <w:p w14:paraId="39C008EF">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3.0</w:t>
                  </w:r>
                </w:p>
              </w:tc>
            </w:tr>
            <w:tr w14:paraId="71195AF5">
              <w:tblPrEx>
                <w:tblCellMar>
                  <w:top w:w="0" w:type="dxa"/>
                  <w:left w:w="108" w:type="dxa"/>
                  <w:bottom w:w="0" w:type="dxa"/>
                  <w:right w:w="108" w:type="dxa"/>
                </w:tblCellMar>
              </w:tblPrEx>
              <w:trPr>
                <w:jc w:val="center"/>
              </w:trPr>
              <w:tc>
                <w:tcPr>
                  <w:tcW w:w="1568" w:type="dxa"/>
                  <w:tcBorders>
                    <w:top w:val="nil"/>
                    <w:left w:val="single" w:color="auto" w:sz="4" w:space="0"/>
                    <w:bottom w:val="single" w:color="auto" w:sz="4" w:space="0"/>
                    <w:right w:val="single" w:color="auto" w:sz="4" w:space="0"/>
                  </w:tcBorders>
                  <w:vAlign w:val="center"/>
                </w:tcPr>
                <w:p w14:paraId="478DFA28">
                  <w:pPr>
                    <w:spacing w:line="240" w:lineRule="exact"/>
                    <w:jc w:val="center"/>
                    <w:rPr>
                      <w:rFonts w:ascii="Times New Roman" w:hAnsi="Times New Roman" w:cs="Times New Roman"/>
                      <w:color w:val="000000" w:themeColor="text1"/>
                      <w:sz w:val="18"/>
                      <w:szCs w:val="18"/>
                      <w14:textFill>
                        <w14:solidFill>
                          <w14:schemeClr w14:val="tx1"/>
                        </w14:solidFill>
                      </w14:textFill>
                    </w:rPr>
                  </w:pPr>
                </w:p>
              </w:tc>
              <w:tc>
                <w:tcPr>
                  <w:tcW w:w="1388" w:type="dxa"/>
                  <w:tcBorders>
                    <w:top w:val="nil"/>
                    <w:left w:val="nil"/>
                    <w:bottom w:val="single" w:color="auto" w:sz="4" w:space="0"/>
                    <w:right w:val="single" w:color="auto" w:sz="4" w:space="0"/>
                  </w:tcBorders>
                  <w:vAlign w:val="center"/>
                </w:tcPr>
                <w:p w14:paraId="2CC2BD67">
                  <w:pPr>
                    <w:spacing w:line="240" w:lineRule="exact"/>
                    <w:jc w:val="center"/>
                    <w:rPr>
                      <w:rFonts w:ascii="Times New Roman" w:hAnsi="Times New Roman" w:cs="Times New Roman"/>
                      <w:color w:val="000000" w:themeColor="text1"/>
                      <w:sz w:val="18"/>
                      <w:szCs w:val="18"/>
                      <w14:textFill>
                        <w14:solidFill>
                          <w14:schemeClr w14:val="tx1"/>
                        </w14:solidFill>
                      </w14:textFill>
                    </w:rPr>
                  </w:pPr>
                </w:p>
              </w:tc>
              <w:tc>
                <w:tcPr>
                  <w:tcW w:w="2551" w:type="dxa"/>
                  <w:tcBorders>
                    <w:top w:val="nil"/>
                    <w:left w:val="nil"/>
                    <w:bottom w:val="single" w:color="auto" w:sz="4" w:space="0"/>
                    <w:right w:val="single" w:color="auto" w:sz="4" w:space="0"/>
                  </w:tcBorders>
                  <w:vAlign w:val="center"/>
                </w:tcPr>
                <w:p w14:paraId="45E8EF56">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污水处理</w:t>
                  </w:r>
                </w:p>
              </w:tc>
              <w:tc>
                <w:tcPr>
                  <w:tcW w:w="1559" w:type="dxa"/>
                  <w:tcBorders>
                    <w:top w:val="nil"/>
                    <w:left w:val="nil"/>
                    <w:bottom w:val="single" w:color="auto" w:sz="4" w:space="0"/>
                    <w:right w:val="single" w:color="auto" w:sz="4" w:space="0"/>
                  </w:tcBorders>
                  <w:vAlign w:val="center"/>
                </w:tcPr>
                <w:p w14:paraId="143284B2">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2.5</w:t>
                  </w:r>
                </w:p>
              </w:tc>
            </w:tr>
            <w:tr w14:paraId="2DFDCCEA">
              <w:tblPrEx>
                <w:tblCellMar>
                  <w:top w:w="0" w:type="dxa"/>
                  <w:left w:w="108" w:type="dxa"/>
                  <w:bottom w:w="0" w:type="dxa"/>
                  <w:right w:w="108" w:type="dxa"/>
                </w:tblCellMar>
              </w:tblPrEx>
              <w:trPr>
                <w:jc w:val="center"/>
              </w:trPr>
              <w:tc>
                <w:tcPr>
                  <w:tcW w:w="1568" w:type="dxa"/>
                  <w:tcBorders>
                    <w:top w:val="nil"/>
                    <w:left w:val="single" w:color="auto" w:sz="4" w:space="0"/>
                    <w:bottom w:val="single" w:color="auto" w:sz="4" w:space="0"/>
                    <w:right w:val="single" w:color="auto" w:sz="4" w:space="0"/>
                  </w:tcBorders>
                  <w:vAlign w:val="center"/>
                </w:tcPr>
                <w:p w14:paraId="74C34EFA">
                  <w:pPr>
                    <w:spacing w:line="240" w:lineRule="exact"/>
                    <w:jc w:val="center"/>
                    <w:rPr>
                      <w:rFonts w:ascii="Times New Roman" w:hAnsi="Times New Roman" w:cs="Times New Roman"/>
                      <w:color w:val="000000" w:themeColor="text1"/>
                      <w:sz w:val="18"/>
                      <w:szCs w:val="18"/>
                      <w14:textFill>
                        <w14:solidFill>
                          <w14:schemeClr w14:val="tx1"/>
                        </w14:solidFill>
                      </w14:textFill>
                    </w:rPr>
                  </w:pPr>
                </w:p>
              </w:tc>
              <w:tc>
                <w:tcPr>
                  <w:tcW w:w="1388" w:type="dxa"/>
                  <w:tcBorders>
                    <w:top w:val="nil"/>
                    <w:left w:val="nil"/>
                    <w:bottom w:val="single" w:color="auto" w:sz="4" w:space="0"/>
                    <w:right w:val="single" w:color="auto" w:sz="4" w:space="0"/>
                  </w:tcBorders>
                  <w:vAlign w:val="center"/>
                </w:tcPr>
                <w:p w14:paraId="03B9D545">
                  <w:pPr>
                    <w:spacing w:line="240" w:lineRule="exact"/>
                    <w:jc w:val="center"/>
                    <w:rPr>
                      <w:rFonts w:ascii="Times New Roman" w:hAnsi="Times New Roman" w:cs="Times New Roman"/>
                      <w:color w:val="000000" w:themeColor="text1"/>
                      <w:sz w:val="18"/>
                      <w:szCs w:val="18"/>
                      <w14:textFill>
                        <w14:solidFill>
                          <w14:schemeClr w14:val="tx1"/>
                        </w14:solidFill>
                      </w14:textFill>
                    </w:rPr>
                  </w:pPr>
                </w:p>
              </w:tc>
              <w:tc>
                <w:tcPr>
                  <w:tcW w:w="2551" w:type="dxa"/>
                  <w:tcBorders>
                    <w:top w:val="nil"/>
                    <w:left w:val="nil"/>
                    <w:bottom w:val="single" w:color="auto" w:sz="4" w:space="0"/>
                    <w:right w:val="single" w:color="auto" w:sz="4" w:space="0"/>
                  </w:tcBorders>
                  <w:vAlign w:val="center"/>
                </w:tcPr>
                <w:p w14:paraId="0B3762B4">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罐区、装卸伴热</w:t>
                  </w:r>
                </w:p>
              </w:tc>
              <w:tc>
                <w:tcPr>
                  <w:tcW w:w="1559" w:type="dxa"/>
                  <w:tcBorders>
                    <w:top w:val="nil"/>
                    <w:left w:val="nil"/>
                    <w:bottom w:val="single" w:color="auto" w:sz="4" w:space="0"/>
                    <w:right w:val="single" w:color="auto" w:sz="4" w:space="0"/>
                  </w:tcBorders>
                  <w:vAlign w:val="center"/>
                </w:tcPr>
                <w:p w14:paraId="66D2546D">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1.5</w:t>
                  </w:r>
                </w:p>
              </w:tc>
            </w:tr>
            <w:tr w14:paraId="3D3899C6">
              <w:tblPrEx>
                <w:tblCellMar>
                  <w:top w:w="0" w:type="dxa"/>
                  <w:left w:w="108" w:type="dxa"/>
                  <w:bottom w:w="0" w:type="dxa"/>
                  <w:right w:w="108" w:type="dxa"/>
                </w:tblCellMar>
              </w:tblPrEx>
              <w:trPr>
                <w:jc w:val="center"/>
              </w:trPr>
              <w:tc>
                <w:tcPr>
                  <w:tcW w:w="1568" w:type="dxa"/>
                  <w:tcBorders>
                    <w:top w:val="nil"/>
                    <w:left w:val="single" w:color="auto" w:sz="4" w:space="0"/>
                    <w:bottom w:val="single" w:color="auto" w:sz="4" w:space="0"/>
                    <w:right w:val="single" w:color="auto" w:sz="4" w:space="0"/>
                  </w:tcBorders>
                  <w:vAlign w:val="center"/>
                </w:tcPr>
                <w:p w14:paraId="7CAAF563">
                  <w:pPr>
                    <w:spacing w:line="240" w:lineRule="exact"/>
                    <w:jc w:val="center"/>
                    <w:rPr>
                      <w:rFonts w:ascii="Times New Roman" w:hAnsi="Times New Roman" w:cs="Times New Roman"/>
                      <w:color w:val="000000" w:themeColor="text1"/>
                      <w:sz w:val="18"/>
                      <w:szCs w:val="18"/>
                      <w14:textFill>
                        <w14:solidFill>
                          <w14:schemeClr w14:val="tx1"/>
                        </w14:solidFill>
                      </w14:textFill>
                    </w:rPr>
                  </w:pPr>
                </w:p>
              </w:tc>
              <w:tc>
                <w:tcPr>
                  <w:tcW w:w="1388" w:type="dxa"/>
                  <w:tcBorders>
                    <w:top w:val="nil"/>
                    <w:left w:val="nil"/>
                    <w:bottom w:val="single" w:color="auto" w:sz="4" w:space="0"/>
                    <w:right w:val="single" w:color="auto" w:sz="4" w:space="0"/>
                  </w:tcBorders>
                  <w:vAlign w:val="center"/>
                </w:tcPr>
                <w:p w14:paraId="4594C2A3">
                  <w:pPr>
                    <w:spacing w:line="240" w:lineRule="exact"/>
                    <w:jc w:val="center"/>
                    <w:rPr>
                      <w:rFonts w:ascii="Times New Roman" w:hAnsi="Times New Roman" w:cs="Times New Roman"/>
                      <w:color w:val="000000" w:themeColor="text1"/>
                      <w:sz w:val="18"/>
                      <w:szCs w:val="18"/>
                      <w14:textFill>
                        <w14:solidFill>
                          <w14:schemeClr w14:val="tx1"/>
                        </w14:solidFill>
                      </w14:textFill>
                    </w:rPr>
                  </w:pPr>
                </w:p>
              </w:tc>
              <w:tc>
                <w:tcPr>
                  <w:tcW w:w="2551" w:type="dxa"/>
                  <w:tcBorders>
                    <w:top w:val="nil"/>
                    <w:left w:val="nil"/>
                    <w:bottom w:val="single" w:color="auto" w:sz="4" w:space="0"/>
                    <w:right w:val="single" w:color="auto" w:sz="4" w:space="0"/>
                  </w:tcBorders>
                  <w:vAlign w:val="center"/>
                </w:tcPr>
                <w:p w14:paraId="76FBC1CD">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全厂外管廊伴热</w:t>
                  </w:r>
                </w:p>
              </w:tc>
              <w:tc>
                <w:tcPr>
                  <w:tcW w:w="1559" w:type="dxa"/>
                  <w:tcBorders>
                    <w:top w:val="nil"/>
                    <w:left w:val="nil"/>
                    <w:bottom w:val="single" w:color="auto" w:sz="4" w:space="0"/>
                    <w:right w:val="single" w:color="auto" w:sz="4" w:space="0"/>
                  </w:tcBorders>
                  <w:vAlign w:val="center"/>
                </w:tcPr>
                <w:p w14:paraId="3346C677">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1.0</w:t>
                  </w:r>
                </w:p>
              </w:tc>
            </w:tr>
            <w:tr w14:paraId="00C716DD">
              <w:tblPrEx>
                <w:tblCellMar>
                  <w:top w:w="0" w:type="dxa"/>
                  <w:left w:w="108" w:type="dxa"/>
                  <w:bottom w:w="0" w:type="dxa"/>
                  <w:right w:w="108" w:type="dxa"/>
                </w:tblCellMar>
              </w:tblPrEx>
              <w:trPr>
                <w:jc w:val="center"/>
              </w:trPr>
              <w:tc>
                <w:tcPr>
                  <w:tcW w:w="1568" w:type="dxa"/>
                  <w:tcBorders>
                    <w:top w:val="nil"/>
                    <w:left w:val="single" w:color="auto" w:sz="4" w:space="0"/>
                    <w:bottom w:val="single" w:color="auto" w:sz="4" w:space="0"/>
                    <w:right w:val="single" w:color="auto" w:sz="4" w:space="0"/>
                  </w:tcBorders>
                  <w:vAlign w:val="center"/>
                </w:tcPr>
                <w:p w14:paraId="3F7012E7">
                  <w:pPr>
                    <w:spacing w:line="240" w:lineRule="exact"/>
                    <w:jc w:val="center"/>
                    <w:rPr>
                      <w:rFonts w:ascii="Times New Roman" w:hAnsi="Times New Roman" w:cs="Times New Roman"/>
                      <w:color w:val="000000" w:themeColor="text1"/>
                      <w:sz w:val="18"/>
                      <w:szCs w:val="18"/>
                      <w14:textFill>
                        <w14:solidFill>
                          <w14:schemeClr w14:val="tx1"/>
                        </w14:solidFill>
                      </w14:textFill>
                    </w:rPr>
                  </w:pPr>
                </w:p>
              </w:tc>
              <w:tc>
                <w:tcPr>
                  <w:tcW w:w="1388" w:type="dxa"/>
                  <w:tcBorders>
                    <w:top w:val="nil"/>
                    <w:left w:val="nil"/>
                    <w:bottom w:val="single" w:color="auto" w:sz="4" w:space="0"/>
                    <w:right w:val="single" w:color="auto" w:sz="4" w:space="0"/>
                  </w:tcBorders>
                  <w:vAlign w:val="center"/>
                </w:tcPr>
                <w:p w14:paraId="4991F6D1">
                  <w:pPr>
                    <w:spacing w:line="240" w:lineRule="exact"/>
                    <w:jc w:val="center"/>
                    <w:rPr>
                      <w:rFonts w:ascii="Times New Roman" w:hAnsi="Times New Roman" w:cs="Times New Roman"/>
                      <w:color w:val="000000" w:themeColor="text1"/>
                      <w:sz w:val="18"/>
                      <w:szCs w:val="18"/>
                      <w14:textFill>
                        <w14:solidFill>
                          <w14:schemeClr w14:val="tx1"/>
                        </w14:solidFill>
                      </w14:textFill>
                    </w:rPr>
                  </w:pPr>
                </w:p>
              </w:tc>
              <w:tc>
                <w:tcPr>
                  <w:tcW w:w="2551" w:type="dxa"/>
                  <w:tcBorders>
                    <w:top w:val="nil"/>
                    <w:left w:val="nil"/>
                    <w:bottom w:val="single" w:color="auto" w:sz="4" w:space="0"/>
                    <w:right w:val="single" w:color="auto" w:sz="4" w:space="0"/>
                  </w:tcBorders>
                  <w:vAlign w:val="center"/>
                </w:tcPr>
                <w:p w14:paraId="7FB69407">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消防水站伴热</w:t>
                  </w:r>
                </w:p>
              </w:tc>
              <w:tc>
                <w:tcPr>
                  <w:tcW w:w="1559" w:type="dxa"/>
                  <w:tcBorders>
                    <w:top w:val="nil"/>
                    <w:left w:val="nil"/>
                    <w:bottom w:val="single" w:color="auto" w:sz="4" w:space="0"/>
                    <w:right w:val="single" w:color="auto" w:sz="4" w:space="0"/>
                  </w:tcBorders>
                  <w:vAlign w:val="center"/>
                </w:tcPr>
                <w:p w14:paraId="1A59C429">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2.0</w:t>
                  </w:r>
                </w:p>
              </w:tc>
            </w:tr>
            <w:tr w14:paraId="26D8E0E9">
              <w:tblPrEx>
                <w:tblCellMar>
                  <w:top w:w="0" w:type="dxa"/>
                  <w:left w:w="108" w:type="dxa"/>
                  <w:bottom w:w="0" w:type="dxa"/>
                  <w:right w:w="108" w:type="dxa"/>
                </w:tblCellMar>
              </w:tblPrEx>
              <w:trPr>
                <w:jc w:val="center"/>
              </w:trPr>
              <w:tc>
                <w:tcPr>
                  <w:tcW w:w="1568" w:type="dxa"/>
                  <w:tcBorders>
                    <w:top w:val="nil"/>
                    <w:left w:val="single" w:color="auto" w:sz="4" w:space="0"/>
                    <w:bottom w:val="single" w:color="auto" w:sz="4" w:space="0"/>
                    <w:right w:val="single" w:color="auto" w:sz="4" w:space="0"/>
                  </w:tcBorders>
                  <w:vAlign w:val="center"/>
                </w:tcPr>
                <w:p w14:paraId="70C4D813">
                  <w:pPr>
                    <w:spacing w:line="240" w:lineRule="exact"/>
                    <w:jc w:val="center"/>
                    <w:rPr>
                      <w:rFonts w:ascii="Times New Roman" w:hAnsi="Times New Roman" w:cs="Times New Roman"/>
                      <w:color w:val="000000" w:themeColor="text1"/>
                      <w:sz w:val="18"/>
                      <w:szCs w:val="18"/>
                      <w14:textFill>
                        <w14:solidFill>
                          <w14:schemeClr w14:val="tx1"/>
                        </w14:solidFill>
                      </w14:textFill>
                    </w:rPr>
                  </w:pPr>
                </w:p>
              </w:tc>
              <w:tc>
                <w:tcPr>
                  <w:tcW w:w="1388" w:type="dxa"/>
                  <w:tcBorders>
                    <w:top w:val="nil"/>
                    <w:left w:val="nil"/>
                    <w:bottom w:val="single" w:color="auto" w:sz="4" w:space="0"/>
                    <w:right w:val="single" w:color="auto" w:sz="4" w:space="0"/>
                  </w:tcBorders>
                  <w:vAlign w:val="center"/>
                </w:tcPr>
                <w:p w14:paraId="4AA24F28">
                  <w:pPr>
                    <w:spacing w:line="240" w:lineRule="exact"/>
                    <w:jc w:val="center"/>
                    <w:rPr>
                      <w:rFonts w:ascii="Times New Roman" w:hAnsi="Times New Roman" w:cs="Times New Roman"/>
                      <w:color w:val="000000" w:themeColor="text1"/>
                      <w:sz w:val="18"/>
                      <w:szCs w:val="18"/>
                      <w14:textFill>
                        <w14:solidFill>
                          <w14:schemeClr w14:val="tx1"/>
                        </w14:solidFill>
                      </w14:textFill>
                    </w:rPr>
                  </w:pPr>
                </w:p>
              </w:tc>
              <w:tc>
                <w:tcPr>
                  <w:tcW w:w="2551" w:type="dxa"/>
                  <w:tcBorders>
                    <w:top w:val="nil"/>
                    <w:left w:val="nil"/>
                    <w:bottom w:val="single" w:color="auto" w:sz="4" w:space="0"/>
                    <w:right w:val="single" w:color="auto" w:sz="4" w:space="0"/>
                  </w:tcBorders>
                  <w:vAlign w:val="center"/>
                </w:tcPr>
                <w:p w14:paraId="4FC39975">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采暖换热</w:t>
                  </w:r>
                </w:p>
              </w:tc>
              <w:tc>
                <w:tcPr>
                  <w:tcW w:w="1559" w:type="dxa"/>
                  <w:tcBorders>
                    <w:top w:val="nil"/>
                    <w:left w:val="nil"/>
                    <w:bottom w:val="single" w:color="auto" w:sz="4" w:space="0"/>
                    <w:right w:val="single" w:color="auto" w:sz="4" w:space="0"/>
                  </w:tcBorders>
                  <w:vAlign w:val="center"/>
                </w:tcPr>
                <w:p w14:paraId="1DE2F4DF">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1.2</w:t>
                  </w:r>
                </w:p>
              </w:tc>
            </w:tr>
            <w:tr w14:paraId="42FFEABE">
              <w:tblPrEx>
                <w:tblCellMar>
                  <w:top w:w="0" w:type="dxa"/>
                  <w:left w:w="108" w:type="dxa"/>
                  <w:bottom w:w="0" w:type="dxa"/>
                  <w:right w:w="108" w:type="dxa"/>
                </w:tblCellMar>
              </w:tblPrEx>
              <w:trPr>
                <w:jc w:val="center"/>
              </w:trPr>
              <w:tc>
                <w:tcPr>
                  <w:tcW w:w="1568" w:type="dxa"/>
                  <w:tcBorders>
                    <w:top w:val="nil"/>
                    <w:left w:val="single" w:color="auto" w:sz="4" w:space="0"/>
                    <w:bottom w:val="single" w:color="auto" w:sz="4" w:space="0"/>
                    <w:right w:val="single" w:color="auto" w:sz="4" w:space="0"/>
                  </w:tcBorders>
                  <w:vAlign w:val="center"/>
                </w:tcPr>
                <w:p w14:paraId="69391293">
                  <w:pPr>
                    <w:spacing w:line="240" w:lineRule="exact"/>
                    <w:jc w:val="center"/>
                    <w:rPr>
                      <w:rFonts w:ascii="Times New Roman" w:hAnsi="Times New Roman" w:cs="Times New Roman"/>
                      <w:color w:val="000000" w:themeColor="text1"/>
                      <w:sz w:val="18"/>
                      <w:szCs w:val="18"/>
                      <w14:textFill>
                        <w14:solidFill>
                          <w14:schemeClr w14:val="tx1"/>
                        </w14:solidFill>
                      </w14:textFill>
                    </w:rPr>
                  </w:pPr>
                </w:p>
              </w:tc>
              <w:tc>
                <w:tcPr>
                  <w:tcW w:w="1388" w:type="dxa"/>
                  <w:tcBorders>
                    <w:top w:val="nil"/>
                    <w:left w:val="nil"/>
                    <w:bottom w:val="single" w:color="auto" w:sz="4" w:space="0"/>
                    <w:right w:val="single" w:color="auto" w:sz="4" w:space="0"/>
                  </w:tcBorders>
                  <w:vAlign w:val="center"/>
                </w:tcPr>
                <w:p w14:paraId="4D8A79A1">
                  <w:pPr>
                    <w:spacing w:line="240" w:lineRule="exact"/>
                    <w:jc w:val="center"/>
                    <w:rPr>
                      <w:rFonts w:ascii="Times New Roman" w:hAnsi="Times New Roman" w:cs="Times New Roman"/>
                      <w:color w:val="000000" w:themeColor="text1"/>
                      <w:sz w:val="18"/>
                      <w:szCs w:val="18"/>
                      <w14:textFill>
                        <w14:solidFill>
                          <w14:schemeClr w14:val="tx1"/>
                        </w14:solidFill>
                      </w14:textFill>
                    </w:rPr>
                  </w:pPr>
                </w:p>
              </w:tc>
              <w:tc>
                <w:tcPr>
                  <w:tcW w:w="2551" w:type="dxa"/>
                  <w:tcBorders>
                    <w:top w:val="nil"/>
                    <w:left w:val="nil"/>
                    <w:bottom w:val="single" w:color="auto" w:sz="4" w:space="0"/>
                    <w:right w:val="single" w:color="auto" w:sz="4" w:space="0"/>
                  </w:tcBorders>
                  <w:vAlign w:val="center"/>
                </w:tcPr>
                <w:p w14:paraId="5468E25D">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锅炉除氧器</w:t>
                  </w:r>
                </w:p>
              </w:tc>
              <w:tc>
                <w:tcPr>
                  <w:tcW w:w="1559" w:type="dxa"/>
                  <w:tcBorders>
                    <w:top w:val="nil"/>
                    <w:left w:val="nil"/>
                    <w:bottom w:val="single" w:color="auto" w:sz="4" w:space="0"/>
                    <w:right w:val="single" w:color="auto" w:sz="4" w:space="0"/>
                  </w:tcBorders>
                  <w:noWrap/>
                  <w:vAlign w:val="center"/>
                </w:tcPr>
                <w:p w14:paraId="56C0F18F">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2.5</w:t>
                  </w:r>
                </w:p>
              </w:tc>
            </w:tr>
            <w:tr w14:paraId="695BB361">
              <w:tblPrEx>
                <w:tblCellMar>
                  <w:top w:w="0" w:type="dxa"/>
                  <w:left w:w="108" w:type="dxa"/>
                  <w:bottom w:w="0" w:type="dxa"/>
                  <w:right w:w="108" w:type="dxa"/>
                </w:tblCellMar>
              </w:tblPrEx>
              <w:trPr>
                <w:jc w:val="center"/>
              </w:trPr>
              <w:tc>
                <w:tcPr>
                  <w:tcW w:w="1568" w:type="dxa"/>
                  <w:tcBorders>
                    <w:top w:val="nil"/>
                    <w:left w:val="single" w:color="auto" w:sz="4" w:space="0"/>
                    <w:bottom w:val="single" w:color="auto" w:sz="4" w:space="0"/>
                    <w:right w:val="single" w:color="auto" w:sz="4" w:space="0"/>
                  </w:tcBorders>
                  <w:vAlign w:val="center"/>
                </w:tcPr>
                <w:p w14:paraId="6EDD5529">
                  <w:pPr>
                    <w:spacing w:line="240" w:lineRule="exact"/>
                    <w:jc w:val="center"/>
                    <w:rPr>
                      <w:rFonts w:ascii="Times New Roman" w:hAnsi="Times New Roman" w:cs="Times New Roman"/>
                      <w:color w:val="000000" w:themeColor="text1"/>
                      <w:sz w:val="18"/>
                      <w:szCs w:val="18"/>
                      <w14:textFill>
                        <w14:solidFill>
                          <w14:schemeClr w14:val="tx1"/>
                        </w14:solidFill>
                      </w14:textFill>
                    </w:rPr>
                  </w:pPr>
                </w:p>
              </w:tc>
              <w:tc>
                <w:tcPr>
                  <w:tcW w:w="1388" w:type="dxa"/>
                  <w:tcBorders>
                    <w:top w:val="nil"/>
                    <w:left w:val="nil"/>
                    <w:bottom w:val="single" w:color="auto" w:sz="4" w:space="0"/>
                    <w:right w:val="single" w:color="auto" w:sz="4" w:space="0"/>
                  </w:tcBorders>
                  <w:vAlign w:val="center"/>
                </w:tcPr>
                <w:p w14:paraId="3C18F371">
                  <w:pPr>
                    <w:spacing w:line="240" w:lineRule="exact"/>
                    <w:jc w:val="center"/>
                    <w:rPr>
                      <w:rFonts w:ascii="Times New Roman" w:hAnsi="Times New Roman" w:cs="Times New Roman"/>
                      <w:color w:val="000000" w:themeColor="text1"/>
                      <w:sz w:val="18"/>
                      <w:szCs w:val="18"/>
                      <w14:textFill>
                        <w14:solidFill>
                          <w14:schemeClr w14:val="tx1"/>
                        </w14:solidFill>
                      </w14:textFill>
                    </w:rPr>
                  </w:pPr>
                </w:p>
              </w:tc>
              <w:tc>
                <w:tcPr>
                  <w:tcW w:w="2551" w:type="dxa"/>
                  <w:tcBorders>
                    <w:top w:val="nil"/>
                    <w:left w:val="nil"/>
                    <w:bottom w:val="single" w:color="auto" w:sz="4" w:space="0"/>
                    <w:right w:val="single" w:color="auto" w:sz="4" w:space="0"/>
                  </w:tcBorders>
                  <w:vAlign w:val="center"/>
                </w:tcPr>
                <w:p w14:paraId="243FFF1C">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损失</w:t>
                  </w:r>
                </w:p>
              </w:tc>
              <w:tc>
                <w:tcPr>
                  <w:tcW w:w="1559" w:type="dxa"/>
                  <w:tcBorders>
                    <w:top w:val="nil"/>
                    <w:left w:val="nil"/>
                    <w:bottom w:val="single" w:color="auto" w:sz="4" w:space="0"/>
                    <w:right w:val="single" w:color="auto" w:sz="4" w:space="0"/>
                  </w:tcBorders>
                  <w:noWrap/>
                  <w:vAlign w:val="center"/>
                </w:tcPr>
                <w:p w14:paraId="462A8C78">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0.5</w:t>
                  </w:r>
                </w:p>
              </w:tc>
            </w:tr>
            <w:tr w14:paraId="4EA7FDB0">
              <w:tblPrEx>
                <w:tblCellMar>
                  <w:top w:w="0" w:type="dxa"/>
                  <w:left w:w="108" w:type="dxa"/>
                  <w:bottom w:w="0" w:type="dxa"/>
                  <w:right w:w="108" w:type="dxa"/>
                </w:tblCellMar>
              </w:tblPrEx>
              <w:trPr>
                <w:jc w:val="center"/>
              </w:trPr>
              <w:tc>
                <w:tcPr>
                  <w:tcW w:w="1568" w:type="dxa"/>
                  <w:tcBorders>
                    <w:top w:val="nil"/>
                    <w:left w:val="single" w:color="auto" w:sz="4" w:space="0"/>
                    <w:bottom w:val="single" w:color="auto" w:sz="4" w:space="0"/>
                    <w:right w:val="single" w:color="auto" w:sz="4" w:space="0"/>
                  </w:tcBorders>
                  <w:vAlign w:val="center"/>
                </w:tcPr>
                <w:p w14:paraId="7DFD7DA1">
                  <w:pPr>
                    <w:spacing w:line="240" w:lineRule="exact"/>
                    <w:jc w:val="center"/>
                    <w:rPr>
                      <w:rFonts w:ascii="Times New Roman" w:hAnsi="Times New Roman" w:cs="Times New Roman"/>
                      <w:color w:val="000000" w:themeColor="text1"/>
                      <w:sz w:val="18"/>
                      <w:szCs w:val="18"/>
                      <w14:textFill>
                        <w14:solidFill>
                          <w14:schemeClr w14:val="tx1"/>
                        </w14:solidFill>
                      </w14:textFill>
                    </w:rPr>
                  </w:pPr>
                  <w:bookmarkStart w:id="8" w:name="OLE_LINK8"/>
                  <w:r>
                    <w:rPr>
                      <w:rFonts w:ascii="Times New Roman" w:hAnsi="Times New Roman" w:cs="Times New Roman"/>
                      <w:color w:val="000000" w:themeColor="text1"/>
                      <w:sz w:val="18"/>
                      <w:szCs w:val="18"/>
                      <w14:textFill>
                        <w14:solidFill>
                          <w14:schemeClr w14:val="tx1"/>
                        </w14:solidFill>
                      </w14:textFill>
                    </w:rPr>
                    <w:t>合计</w:t>
                  </w:r>
                  <w:bookmarkEnd w:id="8"/>
                </w:p>
              </w:tc>
              <w:tc>
                <w:tcPr>
                  <w:tcW w:w="1388" w:type="dxa"/>
                  <w:tcBorders>
                    <w:top w:val="nil"/>
                    <w:left w:val="nil"/>
                    <w:bottom w:val="single" w:color="auto" w:sz="4" w:space="0"/>
                    <w:right w:val="single" w:color="auto" w:sz="4" w:space="0"/>
                  </w:tcBorders>
                  <w:vAlign w:val="center"/>
                </w:tcPr>
                <w:p w14:paraId="00C99130">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14.8</w:t>
                  </w:r>
                </w:p>
              </w:tc>
              <w:tc>
                <w:tcPr>
                  <w:tcW w:w="2551" w:type="dxa"/>
                  <w:tcBorders>
                    <w:top w:val="nil"/>
                    <w:left w:val="nil"/>
                    <w:bottom w:val="single" w:color="auto" w:sz="4" w:space="0"/>
                    <w:right w:val="single" w:color="auto" w:sz="4" w:space="0"/>
                  </w:tcBorders>
                  <w:vAlign w:val="center"/>
                </w:tcPr>
                <w:p w14:paraId="4FD3901D">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合计</w:t>
                  </w:r>
                </w:p>
              </w:tc>
              <w:tc>
                <w:tcPr>
                  <w:tcW w:w="1559" w:type="dxa"/>
                  <w:tcBorders>
                    <w:top w:val="nil"/>
                    <w:left w:val="nil"/>
                    <w:bottom w:val="single" w:color="auto" w:sz="4" w:space="0"/>
                    <w:right w:val="single" w:color="auto" w:sz="4" w:space="0"/>
                  </w:tcBorders>
                  <w:vAlign w:val="center"/>
                </w:tcPr>
                <w:p w14:paraId="024C92CA">
                  <w:pPr>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14.8</w:t>
                  </w:r>
                </w:p>
              </w:tc>
            </w:tr>
            <w:bookmarkEnd w:id="7"/>
          </w:tbl>
          <w:p w14:paraId="5BA6A3C7">
            <w:pPr>
              <w:adjustRightInd w:val="0"/>
              <w:snapToGrid w:val="0"/>
              <w:spacing w:line="360" w:lineRule="auto"/>
              <w:ind w:firstLine="442" w:firstLineChars="200"/>
              <w:jc w:val="center"/>
              <w:rPr>
                <w:rFonts w:ascii="Times New Roman" w:hAnsi="Times New Roman" w:cs="Times New Roman"/>
                <w:bCs/>
              </w:rPr>
            </w:pPr>
            <w:r>
              <w:rPr>
                <w:rFonts w:ascii="Times New Roman" w:hAnsi="Times New Roman" w:cs="Times New Roman"/>
                <w:b/>
                <w:spacing w:val="-10"/>
                <w:szCs w:val="21"/>
              </w:rPr>
              <w:t>2-2</w:t>
            </w:r>
            <w:r>
              <w:rPr>
                <w:rFonts w:hint="eastAsia" w:ascii="Times New Roman" w:hAnsi="Times New Roman" w:cs="Times New Roman"/>
                <w:b/>
                <w:spacing w:val="-10"/>
                <w:szCs w:val="21"/>
              </w:rPr>
              <w:t>1</w:t>
            </w:r>
            <w:r>
              <w:rPr>
                <w:rFonts w:ascii="Times New Roman" w:hAnsi="Times New Roman" w:cs="Times New Roman"/>
                <w:b/>
                <w:spacing w:val="-10"/>
                <w:szCs w:val="21"/>
              </w:rPr>
              <w:t xml:space="preserve">  非采暖期蒸汽平衡表</w:t>
            </w:r>
          </w:p>
          <w:tbl>
            <w:tblPr>
              <w:tblStyle w:val="16"/>
              <w:tblW w:w="6499" w:type="dxa"/>
              <w:jc w:val="center"/>
              <w:tblLayout w:type="fixed"/>
              <w:tblCellMar>
                <w:top w:w="0" w:type="dxa"/>
                <w:left w:w="108" w:type="dxa"/>
                <w:bottom w:w="0" w:type="dxa"/>
                <w:right w:w="108" w:type="dxa"/>
              </w:tblCellMar>
            </w:tblPr>
            <w:tblGrid>
              <w:gridCol w:w="1568"/>
              <w:gridCol w:w="1388"/>
              <w:gridCol w:w="2126"/>
              <w:gridCol w:w="1417"/>
            </w:tblGrid>
            <w:tr w14:paraId="5012DD38">
              <w:tblPrEx>
                <w:tblCellMar>
                  <w:top w:w="0" w:type="dxa"/>
                  <w:left w:w="108" w:type="dxa"/>
                  <w:bottom w:w="0" w:type="dxa"/>
                  <w:right w:w="108" w:type="dxa"/>
                </w:tblCellMar>
              </w:tblPrEx>
              <w:trPr>
                <w:trHeight w:val="284" w:hRule="atLeast"/>
                <w:jc w:val="center"/>
              </w:trPr>
              <w:tc>
                <w:tcPr>
                  <w:tcW w:w="2956" w:type="dxa"/>
                  <w:gridSpan w:val="2"/>
                  <w:tcBorders>
                    <w:top w:val="single" w:color="auto" w:sz="4" w:space="0"/>
                    <w:left w:val="single" w:color="auto" w:sz="4" w:space="0"/>
                    <w:bottom w:val="single" w:color="auto" w:sz="4" w:space="0"/>
                    <w:right w:val="single" w:color="auto" w:sz="4" w:space="0"/>
                  </w:tcBorders>
                  <w:vAlign w:val="center"/>
                </w:tcPr>
                <w:p w14:paraId="3FD81081">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蒸汽来源</w:t>
                  </w:r>
                </w:p>
              </w:tc>
              <w:tc>
                <w:tcPr>
                  <w:tcW w:w="3543" w:type="dxa"/>
                  <w:gridSpan w:val="2"/>
                  <w:tcBorders>
                    <w:top w:val="single" w:color="auto" w:sz="4" w:space="0"/>
                    <w:left w:val="nil"/>
                    <w:bottom w:val="single" w:color="auto" w:sz="4" w:space="0"/>
                    <w:right w:val="single" w:color="auto" w:sz="4" w:space="0"/>
                  </w:tcBorders>
                  <w:vAlign w:val="center"/>
                </w:tcPr>
                <w:p w14:paraId="5EFDF7A8">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蒸汽使用</w:t>
                  </w:r>
                </w:p>
              </w:tc>
            </w:tr>
            <w:tr w14:paraId="40056D16">
              <w:tblPrEx>
                <w:tblCellMar>
                  <w:top w:w="0" w:type="dxa"/>
                  <w:left w:w="108" w:type="dxa"/>
                  <w:bottom w:w="0" w:type="dxa"/>
                  <w:right w:w="108" w:type="dxa"/>
                </w:tblCellMar>
              </w:tblPrEx>
              <w:trPr>
                <w:trHeight w:val="284" w:hRule="atLeast"/>
                <w:jc w:val="center"/>
              </w:trPr>
              <w:tc>
                <w:tcPr>
                  <w:tcW w:w="1568" w:type="dxa"/>
                  <w:tcBorders>
                    <w:top w:val="nil"/>
                    <w:left w:val="single" w:color="auto" w:sz="4" w:space="0"/>
                    <w:bottom w:val="single" w:color="auto" w:sz="4" w:space="0"/>
                    <w:right w:val="single" w:color="auto" w:sz="4" w:space="0"/>
                  </w:tcBorders>
                  <w:vAlign w:val="center"/>
                </w:tcPr>
                <w:p w14:paraId="7EBD8A7A">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来源</w:t>
                  </w:r>
                </w:p>
              </w:tc>
              <w:tc>
                <w:tcPr>
                  <w:tcW w:w="1388" w:type="dxa"/>
                  <w:tcBorders>
                    <w:top w:val="nil"/>
                    <w:left w:val="nil"/>
                    <w:bottom w:val="single" w:color="auto" w:sz="4" w:space="0"/>
                    <w:right w:val="single" w:color="auto" w:sz="4" w:space="0"/>
                  </w:tcBorders>
                  <w:vAlign w:val="center"/>
                </w:tcPr>
                <w:p w14:paraId="4876620E">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数量（t/h）</w:t>
                  </w:r>
                </w:p>
              </w:tc>
              <w:tc>
                <w:tcPr>
                  <w:tcW w:w="2126" w:type="dxa"/>
                  <w:tcBorders>
                    <w:top w:val="nil"/>
                    <w:left w:val="nil"/>
                    <w:bottom w:val="single" w:color="auto" w:sz="4" w:space="0"/>
                    <w:right w:val="single" w:color="auto" w:sz="4" w:space="0"/>
                  </w:tcBorders>
                  <w:vAlign w:val="center"/>
                </w:tcPr>
                <w:p w14:paraId="009C971F">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装置/单元</w:t>
                  </w:r>
                </w:p>
              </w:tc>
              <w:tc>
                <w:tcPr>
                  <w:tcW w:w="1417" w:type="dxa"/>
                  <w:tcBorders>
                    <w:top w:val="nil"/>
                    <w:left w:val="nil"/>
                    <w:bottom w:val="single" w:color="auto" w:sz="4" w:space="0"/>
                    <w:right w:val="single" w:color="auto" w:sz="4" w:space="0"/>
                  </w:tcBorders>
                  <w:vAlign w:val="center"/>
                </w:tcPr>
                <w:p w14:paraId="125E202F">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数量（t/h）</w:t>
                  </w:r>
                </w:p>
              </w:tc>
            </w:tr>
            <w:tr w14:paraId="70225D7A">
              <w:tblPrEx>
                <w:tblCellMar>
                  <w:top w:w="0" w:type="dxa"/>
                  <w:left w:w="108" w:type="dxa"/>
                  <w:bottom w:w="0" w:type="dxa"/>
                  <w:right w:w="108" w:type="dxa"/>
                </w:tblCellMar>
              </w:tblPrEx>
              <w:trPr>
                <w:trHeight w:val="284" w:hRule="atLeast"/>
                <w:jc w:val="center"/>
              </w:trPr>
              <w:tc>
                <w:tcPr>
                  <w:tcW w:w="6499" w:type="dxa"/>
                  <w:gridSpan w:val="4"/>
                  <w:tcBorders>
                    <w:top w:val="single" w:color="auto" w:sz="4" w:space="0"/>
                    <w:left w:val="single" w:color="auto" w:sz="4" w:space="0"/>
                    <w:bottom w:val="single" w:color="auto" w:sz="4" w:space="0"/>
                    <w:right w:val="single" w:color="auto" w:sz="4" w:space="0"/>
                  </w:tcBorders>
                  <w:noWrap/>
                  <w:vAlign w:val="center"/>
                </w:tcPr>
                <w:p w14:paraId="2B36CB4F">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1.0MPaG蒸汽系统</w:t>
                  </w:r>
                </w:p>
              </w:tc>
            </w:tr>
            <w:tr w14:paraId="1A404D68">
              <w:tblPrEx>
                <w:tblCellMar>
                  <w:top w:w="0" w:type="dxa"/>
                  <w:left w:w="108" w:type="dxa"/>
                  <w:bottom w:w="0" w:type="dxa"/>
                  <w:right w:w="108" w:type="dxa"/>
                </w:tblCellMar>
              </w:tblPrEx>
              <w:trPr>
                <w:trHeight w:val="284" w:hRule="atLeast"/>
                <w:jc w:val="center"/>
              </w:trPr>
              <w:tc>
                <w:tcPr>
                  <w:tcW w:w="1568" w:type="dxa"/>
                  <w:tcBorders>
                    <w:top w:val="nil"/>
                    <w:left w:val="single" w:color="auto" w:sz="4" w:space="0"/>
                    <w:bottom w:val="single" w:color="auto" w:sz="4" w:space="0"/>
                    <w:right w:val="single" w:color="auto" w:sz="4" w:space="0"/>
                  </w:tcBorders>
                  <w:noWrap/>
                  <w:vAlign w:val="center"/>
                </w:tcPr>
                <w:p w14:paraId="716911F8">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导热油系统副产</w:t>
                  </w:r>
                </w:p>
              </w:tc>
              <w:tc>
                <w:tcPr>
                  <w:tcW w:w="1388" w:type="dxa"/>
                  <w:tcBorders>
                    <w:top w:val="nil"/>
                    <w:left w:val="nil"/>
                    <w:bottom w:val="single" w:color="auto" w:sz="4" w:space="0"/>
                    <w:right w:val="single" w:color="auto" w:sz="4" w:space="0"/>
                  </w:tcBorders>
                  <w:noWrap/>
                  <w:vAlign w:val="center"/>
                </w:tcPr>
                <w:p w14:paraId="66E352A6">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5.0</w:t>
                  </w:r>
                </w:p>
              </w:tc>
              <w:tc>
                <w:tcPr>
                  <w:tcW w:w="2126" w:type="dxa"/>
                  <w:tcBorders>
                    <w:top w:val="nil"/>
                    <w:left w:val="nil"/>
                    <w:bottom w:val="single" w:color="auto" w:sz="4" w:space="0"/>
                    <w:right w:val="single" w:color="auto" w:sz="4" w:space="0"/>
                  </w:tcBorders>
                  <w:vAlign w:val="center"/>
                </w:tcPr>
                <w:p w14:paraId="39E69860">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酸性水汽提单元</w:t>
                  </w:r>
                </w:p>
              </w:tc>
              <w:tc>
                <w:tcPr>
                  <w:tcW w:w="1417" w:type="dxa"/>
                  <w:tcBorders>
                    <w:top w:val="nil"/>
                    <w:left w:val="nil"/>
                    <w:bottom w:val="single" w:color="auto" w:sz="4" w:space="0"/>
                    <w:right w:val="single" w:color="auto" w:sz="4" w:space="0"/>
                  </w:tcBorders>
                  <w:vAlign w:val="center"/>
                </w:tcPr>
                <w:p w14:paraId="5E706E32">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3</w:t>
                  </w:r>
                </w:p>
              </w:tc>
            </w:tr>
            <w:tr w14:paraId="66A8D0AD">
              <w:tblPrEx>
                <w:tblCellMar>
                  <w:top w:w="0" w:type="dxa"/>
                  <w:left w:w="108" w:type="dxa"/>
                  <w:bottom w:w="0" w:type="dxa"/>
                  <w:right w:w="108" w:type="dxa"/>
                </w:tblCellMar>
              </w:tblPrEx>
              <w:trPr>
                <w:trHeight w:val="284" w:hRule="atLeast"/>
                <w:jc w:val="center"/>
              </w:trPr>
              <w:tc>
                <w:tcPr>
                  <w:tcW w:w="1568" w:type="dxa"/>
                  <w:tcBorders>
                    <w:top w:val="nil"/>
                    <w:left w:val="single" w:color="auto" w:sz="4" w:space="0"/>
                    <w:bottom w:val="single" w:color="auto" w:sz="4" w:space="0"/>
                    <w:right w:val="single" w:color="auto" w:sz="4" w:space="0"/>
                  </w:tcBorders>
                  <w:vAlign w:val="center"/>
                </w:tcPr>
                <w:p w14:paraId="2FE64F12">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蒸汽锅炉</w:t>
                  </w:r>
                </w:p>
              </w:tc>
              <w:tc>
                <w:tcPr>
                  <w:tcW w:w="1388" w:type="dxa"/>
                  <w:tcBorders>
                    <w:top w:val="nil"/>
                    <w:left w:val="nil"/>
                    <w:bottom w:val="single" w:color="auto" w:sz="4" w:space="0"/>
                    <w:right w:val="single" w:color="auto" w:sz="4" w:space="0"/>
                  </w:tcBorders>
                  <w:vAlign w:val="center"/>
                </w:tcPr>
                <w:p w14:paraId="31743989">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0</w:t>
                  </w:r>
                </w:p>
              </w:tc>
              <w:tc>
                <w:tcPr>
                  <w:tcW w:w="2126" w:type="dxa"/>
                  <w:tcBorders>
                    <w:top w:val="nil"/>
                    <w:left w:val="nil"/>
                    <w:bottom w:val="single" w:color="auto" w:sz="4" w:space="0"/>
                    <w:right w:val="single" w:color="auto" w:sz="4" w:space="0"/>
                  </w:tcBorders>
                  <w:vAlign w:val="center"/>
                </w:tcPr>
                <w:p w14:paraId="52D007FF">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1.0MPaG蒸汽减温减压为0.3MPaG蒸汽</w:t>
                  </w:r>
                </w:p>
              </w:tc>
              <w:tc>
                <w:tcPr>
                  <w:tcW w:w="1417" w:type="dxa"/>
                  <w:tcBorders>
                    <w:top w:val="nil"/>
                    <w:left w:val="nil"/>
                    <w:bottom w:val="single" w:color="auto" w:sz="4" w:space="0"/>
                    <w:right w:val="single" w:color="auto" w:sz="4" w:space="0"/>
                  </w:tcBorders>
                  <w:vAlign w:val="center"/>
                </w:tcPr>
                <w:p w14:paraId="11CFA991">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1.8</w:t>
                  </w:r>
                </w:p>
              </w:tc>
            </w:tr>
            <w:tr w14:paraId="790B7432">
              <w:tblPrEx>
                <w:tblCellMar>
                  <w:top w:w="0" w:type="dxa"/>
                  <w:left w:w="108" w:type="dxa"/>
                  <w:bottom w:w="0" w:type="dxa"/>
                  <w:right w:w="108" w:type="dxa"/>
                </w:tblCellMar>
              </w:tblPrEx>
              <w:trPr>
                <w:trHeight w:val="284" w:hRule="atLeast"/>
                <w:jc w:val="center"/>
              </w:trPr>
              <w:tc>
                <w:tcPr>
                  <w:tcW w:w="1568" w:type="dxa"/>
                  <w:tcBorders>
                    <w:top w:val="nil"/>
                    <w:left w:val="single" w:color="auto" w:sz="4" w:space="0"/>
                    <w:bottom w:val="single" w:color="auto" w:sz="4" w:space="0"/>
                    <w:right w:val="single" w:color="auto" w:sz="4" w:space="0"/>
                  </w:tcBorders>
                  <w:noWrap/>
                  <w:vAlign w:val="center"/>
                </w:tcPr>
                <w:p w14:paraId="755A751B">
                  <w:pPr>
                    <w:jc w:val="center"/>
                    <w:rPr>
                      <w:rFonts w:ascii="Times New Roman" w:hAnsi="Times New Roman" w:cs="Times New Roman"/>
                      <w:color w:val="000000" w:themeColor="text1"/>
                      <w:sz w:val="18"/>
                      <w:szCs w:val="18"/>
                      <w14:textFill>
                        <w14:solidFill>
                          <w14:schemeClr w14:val="tx1"/>
                        </w14:solidFill>
                      </w14:textFill>
                    </w:rPr>
                  </w:pPr>
                </w:p>
              </w:tc>
              <w:tc>
                <w:tcPr>
                  <w:tcW w:w="1388" w:type="dxa"/>
                  <w:tcBorders>
                    <w:top w:val="nil"/>
                    <w:left w:val="nil"/>
                    <w:bottom w:val="single" w:color="auto" w:sz="4" w:space="0"/>
                    <w:right w:val="single" w:color="auto" w:sz="4" w:space="0"/>
                  </w:tcBorders>
                  <w:noWrap/>
                  <w:vAlign w:val="center"/>
                </w:tcPr>
                <w:p w14:paraId="2A4B7B1B">
                  <w:pPr>
                    <w:jc w:val="center"/>
                    <w:rPr>
                      <w:rFonts w:ascii="Times New Roman" w:hAnsi="Times New Roman" w:cs="Times New Roman"/>
                      <w:color w:val="000000" w:themeColor="text1"/>
                      <w:sz w:val="18"/>
                      <w:szCs w:val="18"/>
                      <w14:textFill>
                        <w14:solidFill>
                          <w14:schemeClr w14:val="tx1"/>
                        </w14:solidFill>
                      </w14:textFill>
                    </w:rPr>
                  </w:pPr>
                </w:p>
              </w:tc>
              <w:tc>
                <w:tcPr>
                  <w:tcW w:w="2126" w:type="dxa"/>
                  <w:tcBorders>
                    <w:top w:val="nil"/>
                    <w:left w:val="nil"/>
                    <w:bottom w:val="single" w:color="auto" w:sz="4" w:space="0"/>
                    <w:right w:val="single" w:color="auto" w:sz="4" w:space="0"/>
                  </w:tcBorders>
                  <w:vAlign w:val="center"/>
                </w:tcPr>
                <w:p w14:paraId="2CBE7CAC">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损失</w:t>
                  </w:r>
                </w:p>
              </w:tc>
              <w:tc>
                <w:tcPr>
                  <w:tcW w:w="1417" w:type="dxa"/>
                  <w:tcBorders>
                    <w:top w:val="nil"/>
                    <w:left w:val="nil"/>
                    <w:bottom w:val="single" w:color="auto" w:sz="4" w:space="0"/>
                    <w:right w:val="single" w:color="auto" w:sz="4" w:space="0"/>
                  </w:tcBorders>
                  <w:vAlign w:val="center"/>
                </w:tcPr>
                <w:p w14:paraId="22C19F5D">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0.2</w:t>
                  </w:r>
                </w:p>
              </w:tc>
            </w:tr>
            <w:tr w14:paraId="6AD971B4">
              <w:tblPrEx>
                <w:tblCellMar>
                  <w:top w:w="0" w:type="dxa"/>
                  <w:left w:w="108" w:type="dxa"/>
                  <w:bottom w:w="0" w:type="dxa"/>
                  <w:right w:w="108" w:type="dxa"/>
                </w:tblCellMar>
              </w:tblPrEx>
              <w:trPr>
                <w:trHeight w:val="284" w:hRule="atLeast"/>
                <w:jc w:val="center"/>
              </w:trPr>
              <w:tc>
                <w:tcPr>
                  <w:tcW w:w="1568" w:type="dxa"/>
                  <w:tcBorders>
                    <w:top w:val="nil"/>
                    <w:left w:val="single" w:color="auto" w:sz="4" w:space="0"/>
                    <w:bottom w:val="single" w:color="auto" w:sz="4" w:space="0"/>
                    <w:right w:val="single" w:color="auto" w:sz="4" w:space="0"/>
                  </w:tcBorders>
                  <w:vAlign w:val="center"/>
                </w:tcPr>
                <w:p w14:paraId="477591F5">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合计</w:t>
                  </w:r>
                </w:p>
              </w:tc>
              <w:tc>
                <w:tcPr>
                  <w:tcW w:w="1388" w:type="dxa"/>
                  <w:tcBorders>
                    <w:top w:val="nil"/>
                    <w:left w:val="nil"/>
                    <w:bottom w:val="single" w:color="auto" w:sz="4" w:space="0"/>
                    <w:right w:val="single" w:color="auto" w:sz="4" w:space="0"/>
                  </w:tcBorders>
                  <w:vAlign w:val="center"/>
                </w:tcPr>
                <w:p w14:paraId="046D3E26">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5.0</w:t>
                  </w:r>
                </w:p>
              </w:tc>
              <w:tc>
                <w:tcPr>
                  <w:tcW w:w="2126" w:type="dxa"/>
                  <w:tcBorders>
                    <w:top w:val="nil"/>
                    <w:left w:val="nil"/>
                    <w:bottom w:val="single" w:color="auto" w:sz="4" w:space="0"/>
                    <w:right w:val="single" w:color="auto" w:sz="4" w:space="0"/>
                  </w:tcBorders>
                  <w:vAlign w:val="center"/>
                </w:tcPr>
                <w:p w14:paraId="6DF5D89F">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合计</w:t>
                  </w:r>
                </w:p>
              </w:tc>
              <w:tc>
                <w:tcPr>
                  <w:tcW w:w="1417" w:type="dxa"/>
                  <w:tcBorders>
                    <w:top w:val="nil"/>
                    <w:left w:val="nil"/>
                    <w:bottom w:val="single" w:color="auto" w:sz="4" w:space="0"/>
                    <w:right w:val="single" w:color="auto" w:sz="4" w:space="0"/>
                  </w:tcBorders>
                  <w:vAlign w:val="center"/>
                </w:tcPr>
                <w:p w14:paraId="0B843B09">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5.0</w:t>
                  </w:r>
                </w:p>
              </w:tc>
            </w:tr>
            <w:tr w14:paraId="20984B7E">
              <w:tblPrEx>
                <w:tblCellMar>
                  <w:top w:w="0" w:type="dxa"/>
                  <w:left w:w="108" w:type="dxa"/>
                  <w:bottom w:w="0" w:type="dxa"/>
                  <w:right w:w="108" w:type="dxa"/>
                </w:tblCellMar>
              </w:tblPrEx>
              <w:trPr>
                <w:trHeight w:val="284" w:hRule="atLeast"/>
                <w:jc w:val="center"/>
              </w:trPr>
              <w:tc>
                <w:tcPr>
                  <w:tcW w:w="6499" w:type="dxa"/>
                  <w:gridSpan w:val="4"/>
                  <w:tcBorders>
                    <w:top w:val="single" w:color="auto" w:sz="4" w:space="0"/>
                    <w:left w:val="single" w:color="auto" w:sz="4" w:space="0"/>
                    <w:bottom w:val="single" w:color="auto" w:sz="4" w:space="0"/>
                    <w:right w:val="single" w:color="auto" w:sz="4" w:space="0"/>
                  </w:tcBorders>
                  <w:noWrap/>
                  <w:vAlign w:val="center"/>
                </w:tcPr>
                <w:p w14:paraId="32EBF164">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0.3MPaG蒸汽系统</w:t>
                  </w:r>
                </w:p>
              </w:tc>
            </w:tr>
            <w:tr w14:paraId="6742C160">
              <w:tblPrEx>
                <w:tblCellMar>
                  <w:top w:w="0" w:type="dxa"/>
                  <w:left w:w="108" w:type="dxa"/>
                  <w:bottom w:w="0" w:type="dxa"/>
                  <w:right w:w="108" w:type="dxa"/>
                </w:tblCellMar>
              </w:tblPrEx>
              <w:trPr>
                <w:trHeight w:val="284" w:hRule="atLeast"/>
                <w:jc w:val="center"/>
              </w:trPr>
              <w:tc>
                <w:tcPr>
                  <w:tcW w:w="1568" w:type="dxa"/>
                  <w:tcBorders>
                    <w:top w:val="nil"/>
                    <w:left w:val="single" w:color="auto" w:sz="4" w:space="0"/>
                    <w:bottom w:val="single" w:color="auto" w:sz="4" w:space="0"/>
                    <w:right w:val="single" w:color="auto" w:sz="4" w:space="0"/>
                  </w:tcBorders>
                  <w:vAlign w:val="center"/>
                </w:tcPr>
                <w:p w14:paraId="0D94E32A">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1.0MPaG蒸汽减温减压为0.3MPaG蒸汽</w:t>
                  </w:r>
                </w:p>
              </w:tc>
              <w:tc>
                <w:tcPr>
                  <w:tcW w:w="1388" w:type="dxa"/>
                  <w:tcBorders>
                    <w:top w:val="nil"/>
                    <w:left w:val="nil"/>
                    <w:bottom w:val="single" w:color="auto" w:sz="4" w:space="0"/>
                    <w:right w:val="single" w:color="auto" w:sz="4" w:space="0"/>
                  </w:tcBorders>
                  <w:noWrap/>
                  <w:vAlign w:val="center"/>
                </w:tcPr>
                <w:p w14:paraId="23DB7330">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1.8</w:t>
                  </w:r>
                </w:p>
              </w:tc>
              <w:tc>
                <w:tcPr>
                  <w:tcW w:w="2126" w:type="dxa"/>
                  <w:tcBorders>
                    <w:top w:val="nil"/>
                    <w:left w:val="nil"/>
                    <w:bottom w:val="single" w:color="auto" w:sz="4" w:space="0"/>
                    <w:right w:val="single" w:color="auto" w:sz="4" w:space="0"/>
                  </w:tcBorders>
                  <w:vAlign w:val="center"/>
                </w:tcPr>
                <w:p w14:paraId="34DEC35E">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加氢精制&amp;分馏单元</w:t>
                  </w:r>
                </w:p>
              </w:tc>
              <w:tc>
                <w:tcPr>
                  <w:tcW w:w="1417" w:type="dxa"/>
                  <w:tcBorders>
                    <w:top w:val="nil"/>
                    <w:left w:val="nil"/>
                    <w:bottom w:val="single" w:color="auto" w:sz="4" w:space="0"/>
                    <w:right w:val="single" w:color="auto" w:sz="4" w:space="0"/>
                  </w:tcBorders>
                  <w:vAlign w:val="center"/>
                </w:tcPr>
                <w:p w14:paraId="60F9B933">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0.6</w:t>
                  </w:r>
                </w:p>
              </w:tc>
            </w:tr>
            <w:tr w14:paraId="1C6BEA89">
              <w:tblPrEx>
                <w:tblCellMar>
                  <w:top w:w="0" w:type="dxa"/>
                  <w:left w:w="108" w:type="dxa"/>
                  <w:bottom w:w="0" w:type="dxa"/>
                  <w:right w:w="108" w:type="dxa"/>
                </w:tblCellMar>
              </w:tblPrEx>
              <w:trPr>
                <w:trHeight w:val="284" w:hRule="atLeast"/>
                <w:jc w:val="center"/>
              </w:trPr>
              <w:tc>
                <w:tcPr>
                  <w:tcW w:w="1568" w:type="dxa"/>
                  <w:tcBorders>
                    <w:top w:val="nil"/>
                    <w:left w:val="single" w:color="auto" w:sz="4" w:space="0"/>
                    <w:bottom w:val="single" w:color="auto" w:sz="4" w:space="0"/>
                    <w:right w:val="single" w:color="auto" w:sz="4" w:space="0"/>
                  </w:tcBorders>
                  <w:vAlign w:val="center"/>
                </w:tcPr>
                <w:p w14:paraId="070176A4">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加氢精制单元副产</w:t>
                  </w:r>
                </w:p>
              </w:tc>
              <w:tc>
                <w:tcPr>
                  <w:tcW w:w="1388" w:type="dxa"/>
                  <w:tcBorders>
                    <w:top w:val="nil"/>
                    <w:left w:val="nil"/>
                    <w:bottom w:val="single" w:color="auto" w:sz="4" w:space="0"/>
                    <w:right w:val="single" w:color="auto" w:sz="4" w:space="0"/>
                  </w:tcBorders>
                  <w:noWrap/>
                  <w:vAlign w:val="center"/>
                </w:tcPr>
                <w:p w14:paraId="5E31213B">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1.3</w:t>
                  </w:r>
                </w:p>
              </w:tc>
              <w:tc>
                <w:tcPr>
                  <w:tcW w:w="2126" w:type="dxa"/>
                  <w:tcBorders>
                    <w:top w:val="nil"/>
                    <w:left w:val="nil"/>
                    <w:bottom w:val="single" w:color="auto" w:sz="4" w:space="0"/>
                    <w:right w:val="single" w:color="auto" w:sz="4" w:space="0"/>
                  </w:tcBorders>
                  <w:vAlign w:val="center"/>
                </w:tcPr>
                <w:p w14:paraId="1DD4C25B">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加氢联合装置保温伴热</w:t>
                  </w:r>
                </w:p>
              </w:tc>
              <w:tc>
                <w:tcPr>
                  <w:tcW w:w="1417" w:type="dxa"/>
                  <w:tcBorders>
                    <w:top w:val="nil"/>
                    <w:left w:val="nil"/>
                    <w:bottom w:val="single" w:color="auto" w:sz="4" w:space="0"/>
                    <w:right w:val="single" w:color="auto" w:sz="4" w:space="0"/>
                  </w:tcBorders>
                  <w:vAlign w:val="center"/>
                </w:tcPr>
                <w:p w14:paraId="0630E272">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3.0</w:t>
                  </w:r>
                </w:p>
              </w:tc>
            </w:tr>
            <w:tr w14:paraId="053BAA0F">
              <w:tblPrEx>
                <w:tblCellMar>
                  <w:top w:w="0" w:type="dxa"/>
                  <w:left w:w="108" w:type="dxa"/>
                  <w:bottom w:w="0" w:type="dxa"/>
                  <w:right w:w="108" w:type="dxa"/>
                </w:tblCellMar>
              </w:tblPrEx>
              <w:trPr>
                <w:trHeight w:val="284" w:hRule="atLeast"/>
                <w:jc w:val="center"/>
              </w:trPr>
              <w:tc>
                <w:tcPr>
                  <w:tcW w:w="1568" w:type="dxa"/>
                  <w:tcBorders>
                    <w:top w:val="nil"/>
                    <w:left w:val="single" w:color="auto" w:sz="4" w:space="0"/>
                    <w:bottom w:val="single" w:color="auto" w:sz="4" w:space="0"/>
                    <w:right w:val="single" w:color="auto" w:sz="4" w:space="0"/>
                  </w:tcBorders>
                  <w:vAlign w:val="center"/>
                </w:tcPr>
                <w:p w14:paraId="2700BA5C">
                  <w:pPr>
                    <w:jc w:val="center"/>
                    <w:rPr>
                      <w:rFonts w:ascii="Times New Roman" w:hAnsi="Times New Roman" w:cs="Times New Roman"/>
                      <w:color w:val="000000" w:themeColor="text1"/>
                      <w:sz w:val="18"/>
                      <w:szCs w:val="18"/>
                      <w14:textFill>
                        <w14:solidFill>
                          <w14:schemeClr w14:val="tx1"/>
                        </w14:solidFill>
                      </w14:textFill>
                    </w:rPr>
                  </w:pPr>
                </w:p>
              </w:tc>
              <w:tc>
                <w:tcPr>
                  <w:tcW w:w="1388" w:type="dxa"/>
                  <w:tcBorders>
                    <w:top w:val="nil"/>
                    <w:left w:val="nil"/>
                    <w:bottom w:val="single" w:color="auto" w:sz="4" w:space="0"/>
                    <w:right w:val="single" w:color="auto" w:sz="4" w:space="0"/>
                  </w:tcBorders>
                  <w:vAlign w:val="center"/>
                </w:tcPr>
                <w:p w14:paraId="61FA33D6">
                  <w:pPr>
                    <w:jc w:val="center"/>
                    <w:rPr>
                      <w:rFonts w:ascii="Times New Roman" w:hAnsi="Times New Roman" w:cs="Times New Roman"/>
                      <w:color w:val="000000" w:themeColor="text1"/>
                      <w:sz w:val="18"/>
                      <w:szCs w:val="18"/>
                      <w14:textFill>
                        <w14:solidFill>
                          <w14:schemeClr w14:val="tx1"/>
                        </w14:solidFill>
                      </w14:textFill>
                    </w:rPr>
                  </w:pPr>
                </w:p>
              </w:tc>
              <w:tc>
                <w:tcPr>
                  <w:tcW w:w="2126" w:type="dxa"/>
                  <w:tcBorders>
                    <w:top w:val="nil"/>
                    <w:left w:val="nil"/>
                    <w:bottom w:val="single" w:color="auto" w:sz="4" w:space="0"/>
                    <w:right w:val="single" w:color="auto" w:sz="4" w:space="0"/>
                  </w:tcBorders>
                  <w:vAlign w:val="center"/>
                </w:tcPr>
                <w:p w14:paraId="56A37F78">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罐区、装卸伴热</w:t>
                  </w:r>
                </w:p>
              </w:tc>
              <w:tc>
                <w:tcPr>
                  <w:tcW w:w="1417" w:type="dxa"/>
                  <w:tcBorders>
                    <w:top w:val="nil"/>
                    <w:left w:val="nil"/>
                    <w:bottom w:val="single" w:color="auto" w:sz="4" w:space="0"/>
                    <w:right w:val="single" w:color="auto" w:sz="4" w:space="0"/>
                  </w:tcBorders>
                  <w:vAlign w:val="center"/>
                </w:tcPr>
                <w:p w14:paraId="595DF98E">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0.4</w:t>
                  </w:r>
                </w:p>
              </w:tc>
            </w:tr>
            <w:tr w14:paraId="7BBCBD79">
              <w:tblPrEx>
                <w:tblCellMar>
                  <w:top w:w="0" w:type="dxa"/>
                  <w:left w:w="108" w:type="dxa"/>
                  <w:bottom w:w="0" w:type="dxa"/>
                  <w:right w:w="108" w:type="dxa"/>
                </w:tblCellMar>
              </w:tblPrEx>
              <w:trPr>
                <w:trHeight w:val="284" w:hRule="atLeast"/>
                <w:jc w:val="center"/>
              </w:trPr>
              <w:tc>
                <w:tcPr>
                  <w:tcW w:w="1568" w:type="dxa"/>
                  <w:tcBorders>
                    <w:top w:val="nil"/>
                    <w:left w:val="single" w:color="auto" w:sz="4" w:space="0"/>
                    <w:bottom w:val="single" w:color="auto" w:sz="4" w:space="0"/>
                    <w:right w:val="single" w:color="auto" w:sz="4" w:space="0"/>
                  </w:tcBorders>
                  <w:vAlign w:val="center"/>
                </w:tcPr>
                <w:p w14:paraId="5CF7C362">
                  <w:pPr>
                    <w:jc w:val="center"/>
                    <w:rPr>
                      <w:rFonts w:ascii="Times New Roman" w:hAnsi="Times New Roman" w:cs="Times New Roman"/>
                      <w:color w:val="000000" w:themeColor="text1"/>
                      <w:sz w:val="18"/>
                      <w:szCs w:val="18"/>
                      <w14:textFill>
                        <w14:solidFill>
                          <w14:schemeClr w14:val="tx1"/>
                        </w14:solidFill>
                      </w14:textFill>
                    </w:rPr>
                  </w:pPr>
                </w:p>
              </w:tc>
              <w:tc>
                <w:tcPr>
                  <w:tcW w:w="1388" w:type="dxa"/>
                  <w:tcBorders>
                    <w:top w:val="nil"/>
                    <w:left w:val="nil"/>
                    <w:bottom w:val="single" w:color="auto" w:sz="4" w:space="0"/>
                    <w:right w:val="single" w:color="auto" w:sz="4" w:space="0"/>
                  </w:tcBorders>
                  <w:vAlign w:val="center"/>
                </w:tcPr>
                <w:p w14:paraId="280F80D0">
                  <w:pPr>
                    <w:jc w:val="center"/>
                    <w:rPr>
                      <w:rFonts w:ascii="Times New Roman" w:hAnsi="Times New Roman" w:cs="Times New Roman"/>
                      <w:color w:val="000000" w:themeColor="text1"/>
                      <w:sz w:val="18"/>
                      <w:szCs w:val="18"/>
                      <w14:textFill>
                        <w14:solidFill>
                          <w14:schemeClr w14:val="tx1"/>
                        </w14:solidFill>
                      </w14:textFill>
                    </w:rPr>
                  </w:pPr>
                </w:p>
              </w:tc>
              <w:tc>
                <w:tcPr>
                  <w:tcW w:w="2126" w:type="dxa"/>
                  <w:tcBorders>
                    <w:top w:val="nil"/>
                    <w:left w:val="nil"/>
                    <w:bottom w:val="single" w:color="auto" w:sz="4" w:space="0"/>
                    <w:right w:val="single" w:color="auto" w:sz="4" w:space="0"/>
                  </w:tcBorders>
                  <w:vAlign w:val="center"/>
                </w:tcPr>
                <w:p w14:paraId="75CD68DA">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全厂外管廊伴热</w:t>
                  </w:r>
                </w:p>
              </w:tc>
              <w:tc>
                <w:tcPr>
                  <w:tcW w:w="1417" w:type="dxa"/>
                  <w:tcBorders>
                    <w:top w:val="nil"/>
                    <w:left w:val="nil"/>
                    <w:bottom w:val="single" w:color="auto" w:sz="4" w:space="0"/>
                    <w:right w:val="single" w:color="auto" w:sz="4" w:space="0"/>
                  </w:tcBorders>
                  <w:vAlign w:val="center"/>
                </w:tcPr>
                <w:p w14:paraId="643C635C">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0.3</w:t>
                  </w:r>
                </w:p>
              </w:tc>
            </w:tr>
            <w:tr w14:paraId="2C6EDB24">
              <w:tblPrEx>
                <w:tblCellMar>
                  <w:top w:w="0" w:type="dxa"/>
                  <w:left w:w="108" w:type="dxa"/>
                  <w:bottom w:w="0" w:type="dxa"/>
                  <w:right w:w="108" w:type="dxa"/>
                </w:tblCellMar>
              </w:tblPrEx>
              <w:trPr>
                <w:trHeight w:val="284" w:hRule="atLeast"/>
                <w:jc w:val="center"/>
              </w:trPr>
              <w:tc>
                <w:tcPr>
                  <w:tcW w:w="1568" w:type="dxa"/>
                  <w:tcBorders>
                    <w:top w:val="nil"/>
                    <w:left w:val="single" w:color="auto" w:sz="4" w:space="0"/>
                    <w:bottom w:val="single" w:color="auto" w:sz="4" w:space="0"/>
                    <w:right w:val="single" w:color="auto" w:sz="4" w:space="0"/>
                  </w:tcBorders>
                  <w:vAlign w:val="center"/>
                </w:tcPr>
                <w:p w14:paraId="094BC383">
                  <w:pPr>
                    <w:jc w:val="center"/>
                    <w:rPr>
                      <w:rFonts w:ascii="Times New Roman" w:hAnsi="Times New Roman" w:cs="Times New Roman"/>
                      <w:color w:val="000000" w:themeColor="text1"/>
                      <w:sz w:val="18"/>
                      <w:szCs w:val="18"/>
                      <w14:textFill>
                        <w14:solidFill>
                          <w14:schemeClr w14:val="tx1"/>
                        </w14:solidFill>
                      </w14:textFill>
                    </w:rPr>
                  </w:pPr>
                </w:p>
              </w:tc>
              <w:tc>
                <w:tcPr>
                  <w:tcW w:w="1388" w:type="dxa"/>
                  <w:tcBorders>
                    <w:top w:val="nil"/>
                    <w:left w:val="nil"/>
                    <w:bottom w:val="single" w:color="auto" w:sz="4" w:space="0"/>
                    <w:right w:val="single" w:color="auto" w:sz="4" w:space="0"/>
                  </w:tcBorders>
                  <w:vAlign w:val="center"/>
                </w:tcPr>
                <w:p w14:paraId="3A982A45">
                  <w:pPr>
                    <w:jc w:val="center"/>
                    <w:rPr>
                      <w:rFonts w:ascii="Times New Roman" w:hAnsi="Times New Roman" w:cs="Times New Roman"/>
                      <w:color w:val="000000" w:themeColor="text1"/>
                      <w:sz w:val="18"/>
                      <w:szCs w:val="18"/>
                      <w14:textFill>
                        <w14:solidFill>
                          <w14:schemeClr w14:val="tx1"/>
                        </w14:solidFill>
                      </w14:textFill>
                    </w:rPr>
                  </w:pPr>
                </w:p>
              </w:tc>
              <w:tc>
                <w:tcPr>
                  <w:tcW w:w="2126" w:type="dxa"/>
                  <w:tcBorders>
                    <w:top w:val="nil"/>
                    <w:left w:val="nil"/>
                    <w:bottom w:val="single" w:color="auto" w:sz="4" w:space="0"/>
                    <w:right w:val="single" w:color="auto" w:sz="4" w:space="0"/>
                  </w:tcBorders>
                  <w:vAlign w:val="center"/>
                </w:tcPr>
                <w:p w14:paraId="7A9A5CF3">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损失</w:t>
                  </w:r>
                </w:p>
              </w:tc>
              <w:tc>
                <w:tcPr>
                  <w:tcW w:w="1417" w:type="dxa"/>
                  <w:tcBorders>
                    <w:top w:val="nil"/>
                    <w:left w:val="nil"/>
                    <w:bottom w:val="single" w:color="auto" w:sz="4" w:space="0"/>
                    <w:right w:val="single" w:color="auto" w:sz="4" w:space="0"/>
                  </w:tcBorders>
                  <w:noWrap/>
                  <w:vAlign w:val="center"/>
                </w:tcPr>
                <w:p w14:paraId="0EECC5D9">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0.2</w:t>
                  </w:r>
                </w:p>
              </w:tc>
            </w:tr>
            <w:tr w14:paraId="0D868AF4">
              <w:tblPrEx>
                <w:tblCellMar>
                  <w:top w:w="0" w:type="dxa"/>
                  <w:left w:w="108" w:type="dxa"/>
                  <w:bottom w:w="0" w:type="dxa"/>
                  <w:right w:w="108" w:type="dxa"/>
                </w:tblCellMar>
              </w:tblPrEx>
              <w:trPr>
                <w:trHeight w:val="284" w:hRule="atLeast"/>
                <w:jc w:val="center"/>
              </w:trPr>
              <w:tc>
                <w:tcPr>
                  <w:tcW w:w="1568" w:type="dxa"/>
                  <w:tcBorders>
                    <w:top w:val="nil"/>
                    <w:left w:val="single" w:color="auto" w:sz="4" w:space="0"/>
                    <w:bottom w:val="single" w:color="auto" w:sz="4" w:space="0"/>
                    <w:right w:val="single" w:color="auto" w:sz="4" w:space="0"/>
                  </w:tcBorders>
                  <w:vAlign w:val="center"/>
                </w:tcPr>
                <w:p w14:paraId="33D9CE98">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合计</w:t>
                  </w:r>
                </w:p>
              </w:tc>
              <w:tc>
                <w:tcPr>
                  <w:tcW w:w="1388" w:type="dxa"/>
                  <w:tcBorders>
                    <w:top w:val="nil"/>
                    <w:left w:val="nil"/>
                    <w:bottom w:val="single" w:color="auto" w:sz="4" w:space="0"/>
                    <w:right w:val="single" w:color="auto" w:sz="4" w:space="0"/>
                  </w:tcBorders>
                  <w:vAlign w:val="center"/>
                </w:tcPr>
                <w:p w14:paraId="45D760E1">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3.1</w:t>
                  </w:r>
                </w:p>
              </w:tc>
              <w:tc>
                <w:tcPr>
                  <w:tcW w:w="2126" w:type="dxa"/>
                  <w:tcBorders>
                    <w:top w:val="nil"/>
                    <w:left w:val="nil"/>
                    <w:bottom w:val="single" w:color="auto" w:sz="4" w:space="0"/>
                    <w:right w:val="single" w:color="auto" w:sz="4" w:space="0"/>
                  </w:tcBorders>
                  <w:vAlign w:val="center"/>
                </w:tcPr>
                <w:p w14:paraId="72AC7266">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合计</w:t>
                  </w:r>
                </w:p>
              </w:tc>
              <w:tc>
                <w:tcPr>
                  <w:tcW w:w="1417" w:type="dxa"/>
                  <w:tcBorders>
                    <w:top w:val="nil"/>
                    <w:left w:val="nil"/>
                    <w:bottom w:val="single" w:color="auto" w:sz="4" w:space="0"/>
                    <w:right w:val="single" w:color="auto" w:sz="4" w:space="0"/>
                  </w:tcBorders>
                  <w:vAlign w:val="center"/>
                </w:tcPr>
                <w:p w14:paraId="5CADAB03">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3.1</w:t>
                  </w:r>
                </w:p>
              </w:tc>
            </w:tr>
          </w:tbl>
          <w:p w14:paraId="7F4537F0">
            <w:pPr>
              <w:adjustRightInd w:val="0"/>
              <w:snapToGrid w:val="0"/>
              <w:rPr>
                <w:rFonts w:ascii="Times New Roman" w:hAnsi="Times New Roman" w:cs="Times New Roman"/>
                <w:bCs/>
              </w:rPr>
            </w:pPr>
          </w:p>
        </w:tc>
      </w:tr>
      <w:tr w14:paraId="0923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9" w:hRule="atLeast"/>
        </w:trPr>
        <w:tc>
          <w:tcPr>
            <w:tcW w:w="823" w:type="dxa"/>
            <w:vAlign w:val="center"/>
          </w:tcPr>
          <w:p w14:paraId="505D59D5">
            <w:pPr>
              <w:pStyle w:val="13"/>
              <w:adjustRightInd w:val="0"/>
              <w:snapToGrid w:val="0"/>
              <w:spacing w:before="0" w:beforeAutospacing="0" w:after="0" w:afterAutospacing="0"/>
              <w:jc w:val="center"/>
              <w:rPr>
                <w:rFonts w:ascii="Times New Roman" w:hAnsi="Times New Roman"/>
                <w:sz w:val="21"/>
                <w:szCs w:val="21"/>
              </w:rPr>
            </w:pPr>
            <w:r>
              <w:rPr>
                <w:rFonts w:ascii="Times New Roman" w:hAnsi="Times New Roman"/>
                <w:bCs/>
                <w:kern w:val="2"/>
                <w:sz w:val="21"/>
                <w:szCs w:val="21"/>
              </w:rPr>
              <w:t>与项目有关的原有环境污染问题</w:t>
            </w:r>
          </w:p>
        </w:tc>
        <w:tc>
          <w:tcPr>
            <w:tcW w:w="8161" w:type="dxa"/>
          </w:tcPr>
          <w:p w14:paraId="42E3286A">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新疆龙都石油化工有限公司在吉木萨尔县北庭工业园建设20万吨/年劣质苯类物综合利用项目，采用加氢技术将劣质油品进行深加工生产清洁油品，实现循环经济。根据备案证，项目分两期建设。一期建设内容：20万吨/年劣质苯类物加氢联合装置及相关配套公用工程和辅助设施，装置以粗苯、煤基轻烃、重苯等富含芳烃的劣质苯类物为加工原料，配套甲醇制氢装置制得氢气，通过加氢精制主要生产纯苯、甲苯、二甲苯、非芳烃、高沸点芳烃溶剂等化工产品。一期产品方案详见下表：</w:t>
            </w:r>
          </w:p>
          <w:p w14:paraId="227F6EA7">
            <w:pPr>
              <w:adjustRightInd w:val="0"/>
              <w:snapToGrid w:val="0"/>
              <w:spacing w:line="360" w:lineRule="auto"/>
              <w:ind w:firstLine="442" w:firstLineChars="200"/>
              <w:jc w:val="center"/>
              <w:rPr>
                <w:rFonts w:ascii="Times New Roman" w:hAnsi="Times New Roman" w:cs="Times New Roman"/>
                <w:bCs/>
              </w:rPr>
            </w:pPr>
            <w:r>
              <w:rPr>
                <w:rFonts w:ascii="Times New Roman" w:hAnsi="Times New Roman" w:cs="Times New Roman"/>
                <w:b/>
                <w:spacing w:val="-10"/>
                <w:szCs w:val="21"/>
              </w:rPr>
              <w:t>表2-2</w:t>
            </w:r>
            <w:r>
              <w:rPr>
                <w:rFonts w:hint="eastAsia" w:ascii="Times New Roman" w:hAnsi="Times New Roman" w:cs="Times New Roman"/>
                <w:b/>
                <w:spacing w:val="-10"/>
                <w:szCs w:val="21"/>
              </w:rPr>
              <w:t>2</w:t>
            </w:r>
            <w:r>
              <w:rPr>
                <w:rFonts w:ascii="Times New Roman" w:hAnsi="Times New Roman" w:cs="Times New Roman"/>
                <w:b/>
                <w:spacing w:val="-10"/>
                <w:szCs w:val="21"/>
              </w:rPr>
              <w:t xml:space="preserve">  一期产品方案表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1417"/>
              <w:gridCol w:w="709"/>
              <w:gridCol w:w="1134"/>
              <w:gridCol w:w="1218"/>
              <w:gridCol w:w="992"/>
              <w:gridCol w:w="992"/>
              <w:gridCol w:w="992"/>
            </w:tblGrid>
            <w:tr w14:paraId="4B0F7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7FD442D0">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序号</w:t>
                  </w:r>
                </w:p>
              </w:tc>
              <w:tc>
                <w:tcPr>
                  <w:tcW w:w="1417" w:type="dxa"/>
                </w:tcPr>
                <w:p w14:paraId="0D1427CB">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名称</w:t>
                  </w:r>
                </w:p>
              </w:tc>
              <w:tc>
                <w:tcPr>
                  <w:tcW w:w="709" w:type="dxa"/>
                </w:tcPr>
                <w:p w14:paraId="59473E88">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物态</w:t>
                  </w:r>
                </w:p>
              </w:tc>
              <w:tc>
                <w:tcPr>
                  <w:tcW w:w="1134" w:type="dxa"/>
                </w:tcPr>
                <w:p w14:paraId="1D36D28E">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年产量（t）</w:t>
                  </w:r>
                </w:p>
              </w:tc>
              <w:tc>
                <w:tcPr>
                  <w:tcW w:w="1218" w:type="dxa"/>
                </w:tcPr>
                <w:p w14:paraId="5B3861AF">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储存方式</w:t>
                  </w:r>
                </w:p>
              </w:tc>
              <w:tc>
                <w:tcPr>
                  <w:tcW w:w="992" w:type="dxa"/>
                </w:tcPr>
                <w:p w14:paraId="1D085716">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运输方式</w:t>
                  </w:r>
                </w:p>
              </w:tc>
              <w:tc>
                <w:tcPr>
                  <w:tcW w:w="992" w:type="dxa"/>
                </w:tcPr>
                <w:p w14:paraId="640198AB">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主要组分</w:t>
                  </w:r>
                </w:p>
              </w:tc>
              <w:tc>
                <w:tcPr>
                  <w:tcW w:w="992" w:type="dxa"/>
                </w:tcPr>
                <w:p w14:paraId="2C4AC25F">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主要用途</w:t>
                  </w:r>
                </w:p>
              </w:tc>
            </w:tr>
            <w:tr w14:paraId="69765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2CA37B14">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1</w:t>
                  </w:r>
                </w:p>
              </w:tc>
              <w:tc>
                <w:tcPr>
                  <w:tcW w:w="1417" w:type="dxa"/>
                </w:tcPr>
                <w:p w14:paraId="16B581D0">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液化气</w:t>
                  </w:r>
                </w:p>
              </w:tc>
              <w:tc>
                <w:tcPr>
                  <w:tcW w:w="709" w:type="dxa"/>
                </w:tcPr>
                <w:p w14:paraId="4C41D058">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液态</w:t>
                  </w:r>
                </w:p>
              </w:tc>
              <w:tc>
                <w:tcPr>
                  <w:tcW w:w="1134" w:type="dxa"/>
                </w:tcPr>
                <w:p w14:paraId="13E29A43">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1290.4</w:t>
                  </w:r>
                </w:p>
              </w:tc>
              <w:tc>
                <w:tcPr>
                  <w:tcW w:w="1218" w:type="dxa"/>
                </w:tcPr>
                <w:p w14:paraId="7744AB18">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储罐</w:t>
                  </w:r>
                </w:p>
              </w:tc>
              <w:tc>
                <w:tcPr>
                  <w:tcW w:w="992" w:type="dxa"/>
                </w:tcPr>
                <w:p w14:paraId="20649EBF">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汽运</w:t>
                  </w:r>
                </w:p>
              </w:tc>
              <w:tc>
                <w:tcPr>
                  <w:tcW w:w="992" w:type="dxa"/>
                </w:tcPr>
                <w:p w14:paraId="4F2AD5EF">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丙烷、丁烷</w:t>
                  </w:r>
                </w:p>
              </w:tc>
              <w:tc>
                <w:tcPr>
                  <w:tcW w:w="992" w:type="dxa"/>
                </w:tcPr>
                <w:p w14:paraId="395E15C7">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燃料</w:t>
                  </w:r>
                </w:p>
              </w:tc>
            </w:tr>
            <w:tr w14:paraId="43612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7C400E96">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2</w:t>
                  </w:r>
                </w:p>
              </w:tc>
              <w:tc>
                <w:tcPr>
                  <w:tcW w:w="1417" w:type="dxa"/>
                </w:tcPr>
                <w:p w14:paraId="407C914B">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戊烷发泡剂</w:t>
                  </w:r>
                </w:p>
              </w:tc>
              <w:tc>
                <w:tcPr>
                  <w:tcW w:w="709" w:type="dxa"/>
                </w:tcPr>
                <w:p w14:paraId="05DECD61">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液态</w:t>
                  </w:r>
                </w:p>
              </w:tc>
              <w:tc>
                <w:tcPr>
                  <w:tcW w:w="1134" w:type="dxa"/>
                </w:tcPr>
                <w:p w14:paraId="4F79C1A1">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500</w:t>
                  </w:r>
                </w:p>
              </w:tc>
              <w:tc>
                <w:tcPr>
                  <w:tcW w:w="1218" w:type="dxa"/>
                </w:tcPr>
                <w:p w14:paraId="0D060A98">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储罐</w:t>
                  </w:r>
                </w:p>
              </w:tc>
              <w:tc>
                <w:tcPr>
                  <w:tcW w:w="992" w:type="dxa"/>
                </w:tcPr>
                <w:p w14:paraId="3BD1192C">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汽运</w:t>
                  </w:r>
                </w:p>
              </w:tc>
              <w:tc>
                <w:tcPr>
                  <w:tcW w:w="992" w:type="dxa"/>
                </w:tcPr>
                <w:p w14:paraId="5FBF906A">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戊烷</w:t>
                  </w:r>
                </w:p>
              </w:tc>
              <w:tc>
                <w:tcPr>
                  <w:tcW w:w="992" w:type="dxa"/>
                </w:tcPr>
                <w:p w14:paraId="53140DC5">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发泡剂</w:t>
                  </w:r>
                </w:p>
              </w:tc>
            </w:tr>
            <w:tr w14:paraId="20EE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0050CFAE">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3</w:t>
                  </w:r>
                </w:p>
              </w:tc>
              <w:tc>
                <w:tcPr>
                  <w:tcW w:w="1417" w:type="dxa"/>
                </w:tcPr>
                <w:p w14:paraId="373BF531">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高沸点芳烃溶剂1号</w:t>
                  </w:r>
                </w:p>
              </w:tc>
              <w:tc>
                <w:tcPr>
                  <w:tcW w:w="709" w:type="dxa"/>
                </w:tcPr>
                <w:p w14:paraId="123A2E60">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液态</w:t>
                  </w:r>
                </w:p>
              </w:tc>
              <w:tc>
                <w:tcPr>
                  <w:tcW w:w="1134" w:type="dxa"/>
                </w:tcPr>
                <w:p w14:paraId="5D11C502">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27760</w:t>
                  </w:r>
                </w:p>
              </w:tc>
              <w:tc>
                <w:tcPr>
                  <w:tcW w:w="1218" w:type="dxa"/>
                </w:tcPr>
                <w:p w14:paraId="0DBFB70B">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储罐</w:t>
                  </w:r>
                </w:p>
              </w:tc>
              <w:tc>
                <w:tcPr>
                  <w:tcW w:w="992" w:type="dxa"/>
                </w:tcPr>
                <w:p w14:paraId="0EDDE842">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汽运</w:t>
                  </w:r>
                </w:p>
              </w:tc>
              <w:tc>
                <w:tcPr>
                  <w:tcW w:w="992" w:type="dxa"/>
                </w:tcPr>
                <w:p w14:paraId="7223D57C">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烷烃、芳香烃、少部分烯烃</w:t>
                  </w:r>
                </w:p>
              </w:tc>
              <w:tc>
                <w:tcPr>
                  <w:tcW w:w="992" w:type="dxa"/>
                </w:tcPr>
                <w:p w14:paraId="63C1E803">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溶剂油</w:t>
                  </w:r>
                </w:p>
              </w:tc>
            </w:tr>
            <w:tr w14:paraId="60C48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7D6C6DC4">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4</w:t>
                  </w:r>
                </w:p>
              </w:tc>
              <w:tc>
                <w:tcPr>
                  <w:tcW w:w="1417" w:type="dxa"/>
                </w:tcPr>
                <w:p w14:paraId="43BBEE37">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高沸点芳烃溶剂2号</w:t>
                  </w:r>
                </w:p>
              </w:tc>
              <w:tc>
                <w:tcPr>
                  <w:tcW w:w="709" w:type="dxa"/>
                </w:tcPr>
                <w:p w14:paraId="1BAE911E">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液态</w:t>
                  </w:r>
                </w:p>
              </w:tc>
              <w:tc>
                <w:tcPr>
                  <w:tcW w:w="1134" w:type="dxa"/>
                </w:tcPr>
                <w:p w14:paraId="1301FD46">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7524</w:t>
                  </w:r>
                </w:p>
              </w:tc>
              <w:tc>
                <w:tcPr>
                  <w:tcW w:w="1218" w:type="dxa"/>
                </w:tcPr>
                <w:p w14:paraId="4E5E23F2">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储罐</w:t>
                  </w:r>
                </w:p>
              </w:tc>
              <w:tc>
                <w:tcPr>
                  <w:tcW w:w="992" w:type="dxa"/>
                </w:tcPr>
                <w:p w14:paraId="0C95D9A0">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汽运</w:t>
                  </w:r>
                </w:p>
              </w:tc>
              <w:tc>
                <w:tcPr>
                  <w:tcW w:w="992" w:type="dxa"/>
                </w:tcPr>
                <w:p w14:paraId="6BCA9960">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烷烃、芳香烃</w:t>
                  </w:r>
                </w:p>
              </w:tc>
              <w:tc>
                <w:tcPr>
                  <w:tcW w:w="992" w:type="dxa"/>
                </w:tcPr>
                <w:p w14:paraId="566AF84D">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溶剂油</w:t>
                  </w:r>
                </w:p>
              </w:tc>
            </w:tr>
            <w:tr w14:paraId="2844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6EBD15FD">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5</w:t>
                  </w:r>
                </w:p>
              </w:tc>
              <w:tc>
                <w:tcPr>
                  <w:tcW w:w="1417" w:type="dxa"/>
                </w:tcPr>
                <w:p w14:paraId="67017861">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二甲苯</w:t>
                  </w:r>
                </w:p>
              </w:tc>
              <w:tc>
                <w:tcPr>
                  <w:tcW w:w="709" w:type="dxa"/>
                </w:tcPr>
                <w:p w14:paraId="3E74099D">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液态</w:t>
                  </w:r>
                </w:p>
              </w:tc>
              <w:tc>
                <w:tcPr>
                  <w:tcW w:w="1134" w:type="dxa"/>
                </w:tcPr>
                <w:p w14:paraId="04A1A6DA">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7376</w:t>
                  </w:r>
                </w:p>
              </w:tc>
              <w:tc>
                <w:tcPr>
                  <w:tcW w:w="1218" w:type="dxa"/>
                </w:tcPr>
                <w:p w14:paraId="488AB25E">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储罐</w:t>
                  </w:r>
                </w:p>
              </w:tc>
              <w:tc>
                <w:tcPr>
                  <w:tcW w:w="992" w:type="dxa"/>
                </w:tcPr>
                <w:p w14:paraId="0BE98A55">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汽运</w:t>
                  </w:r>
                </w:p>
              </w:tc>
              <w:tc>
                <w:tcPr>
                  <w:tcW w:w="992" w:type="dxa"/>
                </w:tcPr>
                <w:p w14:paraId="196C8B9D">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二甲苯</w:t>
                  </w:r>
                </w:p>
              </w:tc>
              <w:tc>
                <w:tcPr>
                  <w:tcW w:w="992" w:type="dxa"/>
                </w:tcPr>
                <w:p w14:paraId="7434CA5E">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树脂、医药、PTA</w:t>
                  </w:r>
                </w:p>
              </w:tc>
            </w:tr>
            <w:tr w14:paraId="69A0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63CFFD34">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6</w:t>
                  </w:r>
                </w:p>
              </w:tc>
              <w:tc>
                <w:tcPr>
                  <w:tcW w:w="1417" w:type="dxa"/>
                </w:tcPr>
                <w:p w14:paraId="3D3190A7">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加氢尾油</w:t>
                  </w:r>
                </w:p>
              </w:tc>
              <w:tc>
                <w:tcPr>
                  <w:tcW w:w="709" w:type="dxa"/>
                </w:tcPr>
                <w:p w14:paraId="31872B90">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液态</w:t>
                  </w:r>
                </w:p>
              </w:tc>
              <w:tc>
                <w:tcPr>
                  <w:tcW w:w="1134" w:type="dxa"/>
                </w:tcPr>
                <w:p w14:paraId="299F0570">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1200</w:t>
                  </w:r>
                </w:p>
              </w:tc>
              <w:tc>
                <w:tcPr>
                  <w:tcW w:w="1218" w:type="dxa"/>
                </w:tcPr>
                <w:p w14:paraId="54A05029">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储罐</w:t>
                  </w:r>
                </w:p>
              </w:tc>
              <w:tc>
                <w:tcPr>
                  <w:tcW w:w="992" w:type="dxa"/>
                </w:tcPr>
                <w:p w14:paraId="253010C2">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汽运</w:t>
                  </w:r>
                </w:p>
              </w:tc>
              <w:tc>
                <w:tcPr>
                  <w:tcW w:w="992" w:type="dxa"/>
                </w:tcPr>
                <w:p w14:paraId="3FFFB07A">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长链烷烃、少部分芳香烃</w:t>
                  </w:r>
                </w:p>
              </w:tc>
              <w:tc>
                <w:tcPr>
                  <w:tcW w:w="992" w:type="dxa"/>
                </w:tcPr>
                <w:p w14:paraId="4F221588">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润滑油</w:t>
                  </w:r>
                </w:p>
              </w:tc>
            </w:tr>
            <w:tr w14:paraId="2438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5AF4B125">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7</w:t>
                  </w:r>
                </w:p>
              </w:tc>
              <w:tc>
                <w:tcPr>
                  <w:tcW w:w="1417" w:type="dxa"/>
                </w:tcPr>
                <w:p w14:paraId="783CB786">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纯苯</w:t>
                  </w:r>
                </w:p>
              </w:tc>
              <w:tc>
                <w:tcPr>
                  <w:tcW w:w="709" w:type="dxa"/>
                </w:tcPr>
                <w:p w14:paraId="4C597CC6">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液态</w:t>
                  </w:r>
                </w:p>
              </w:tc>
              <w:tc>
                <w:tcPr>
                  <w:tcW w:w="1134" w:type="dxa"/>
                </w:tcPr>
                <w:p w14:paraId="2014A3C1">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109318.4</w:t>
                  </w:r>
                </w:p>
              </w:tc>
              <w:tc>
                <w:tcPr>
                  <w:tcW w:w="1218" w:type="dxa"/>
                </w:tcPr>
                <w:p w14:paraId="52DAE533">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储罐</w:t>
                  </w:r>
                </w:p>
              </w:tc>
              <w:tc>
                <w:tcPr>
                  <w:tcW w:w="992" w:type="dxa"/>
                </w:tcPr>
                <w:p w14:paraId="3297B74F">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汽运</w:t>
                  </w:r>
                </w:p>
              </w:tc>
              <w:tc>
                <w:tcPr>
                  <w:tcW w:w="992" w:type="dxa"/>
                </w:tcPr>
                <w:p w14:paraId="01602D1E">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苯</w:t>
                  </w:r>
                </w:p>
              </w:tc>
              <w:tc>
                <w:tcPr>
                  <w:tcW w:w="992" w:type="dxa"/>
                </w:tcPr>
                <w:p w14:paraId="61AF7C16">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环己酮、苯酐、顺酐</w:t>
                  </w:r>
                </w:p>
              </w:tc>
            </w:tr>
            <w:tr w14:paraId="4289F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1F128505">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8</w:t>
                  </w:r>
                </w:p>
              </w:tc>
              <w:tc>
                <w:tcPr>
                  <w:tcW w:w="1417" w:type="dxa"/>
                </w:tcPr>
                <w:p w14:paraId="2485D753">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甲苯</w:t>
                  </w:r>
                </w:p>
              </w:tc>
              <w:tc>
                <w:tcPr>
                  <w:tcW w:w="709" w:type="dxa"/>
                </w:tcPr>
                <w:p w14:paraId="3DA26212">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液态</w:t>
                  </w:r>
                </w:p>
              </w:tc>
              <w:tc>
                <w:tcPr>
                  <w:tcW w:w="1134" w:type="dxa"/>
                </w:tcPr>
                <w:p w14:paraId="19991AFE">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21754.4</w:t>
                  </w:r>
                </w:p>
              </w:tc>
              <w:tc>
                <w:tcPr>
                  <w:tcW w:w="1218" w:type="dxa"/>
                </w:tcPr>
                <w:p w14:paraId="21AD3C92">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储罐</w:t>
                  </w:r>
                </w:p>
              </w:tc>
              <w:tc>
                <w:tcPr>
                  <w:tcW w:w="992" w:type="dxa"/>
                </w:tcPr>
                <w:p w14:paraId="0DF96CA8">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汽运</w:t>
                  </w:r>
                </w:p>
              </w:tc>
              <w:tc>
                <w:tcPr>
                  <w:tcW w:w="992" w:type="dxa"/>
                </w:tcPr>
                <w:p w14:paraId="34CA24AD">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甲苯</w:t>
                  </w:r>
                </w:p>
              </w:tc>
              <w:tc>
                <w:tcPr>
                  <w:tcW w:w="992" w:type="dxa"/>
                </w:tcPr>
                <w:p w14:paraId="49EDCACD">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医药、己内酰胺、苯</w:t>
                  </w:r>
                </w:p>
              </w:tc>
            </w:tr>
            <w:tr w14:paraId="27C1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4309803E">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9</w:t>
                  </w:r>
                </w:p>
              </w:tc>
              <w:tc>
                <w:tcPr>
                  <w:tcW w:w="1417" w:type="dxa"/>
                </w:tcPr>
                <w:p w14:paraId="5E89960D">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非芳烃</w:t>
                  </w:r>
                </w:p>
              </w:tc>
              <w:tc>
                <w:tcPr>
                  <w:tcW w:w="709" w:type="dxa"/>
                </w:tcPr>
                <w:p w14:paraId="5F4E4E28">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液态</w:t>
                  </w:r>
                </w:p>
              </w:tc>
              <w:tc>
                <w:tcPr>
                  <w:tcW w:w="1134" w:type="dxa"/>
                </w:tcPr>
                <w:p w14:paraId="5A1941C7">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16689.6</w:t>
                  </w:r>
                </w:p>
              </w:tc>
              <w:tc>
                <w:tcPr>
                  <w:tcW w:w="1218" w:type="dxa"/>
                </w:tcPr>
                <w:p w14:paraId="15FD42B1">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储罐</w:t>
                  </w:r>
                </w:p>
              </w:tc>
              <w:tc>
                <w:tcPr>
                  <w:tcW w:w="992" w:type="dxa"/>
                </w:tcPr>
                <w:p w14:paraId="2FF43A26">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汽运</w:t>
                  </w:r>
                </w:p>
              </w:tc>
              <w:tc>
                <w:tcPr>
                  <w:tcW w:w="992" w:type="dxa"/>
                </w:tcPr>
                <w:p w14:paraId="47677FF9">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烷烃</w:t>
                  </w:r>
                </w:p>
              </w:tc>
              <w:tc>
                <w:tcPr>
                  <w:tcW w:w="992" w:type="dxa"/>
                </w:tcPr>
                <w:p w14:paraId="68A547D3">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有机材料</w:t>
                  </w:r>
                </w:p>
              </w:tc>
            </w:tr>
            <w:tr w14:paraId="3C4AC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3F4F2787">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10</w:t>
                  </w:r>
                </w:p>
              </w:tc>
              <w:tc>
                <w:tcPr>
                  <w:tcW w:w="1417" w:type="dxa"/>
                </w:tcPr>
                <w:p w14:paraId="5AAC3F48">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氨水</w:t>
                  </w:r>
                </w:p>
              </w:tc>
              <w:tc>
                <w:tcPr>
                  <w:tcW w:w="709" w:type="dxa"/>
                </w:tcPr>
                <w:p w14:paraId="1D0493CF">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液态</w:t>
                  </w:r>
                </w:p>
              </w:tc>
              <w:tc>
                <w:tcPr>
                  <w:tcW w:w="1134" w:type="dxa"/>
                </w:tcPr>
                <w:p w14:paraId="53A74031">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5384</w:t>
                  </w:r>
                </w:p>
              </w:tc>
              <w:tc>
                <w:tcPr>
                  <w:tcW w:w="1218" w:type="dxa"/>
                </w:tcPr>
                <w:p w14:paraId="52568964">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储罐</w:t>
                  </w:r>
                </w:p>
              </w:tc>
              <w:tc>
                <w:tcPr>
                  <w:tcW w:w="992" w:type="dxa"/>
                </w:tcPr>
                <w:p w14:paraId="5CE1A941">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汽运</w:t>
                  </w:r>
                </w:p>
              </w:tc>
              <w:tc>
                <w:tcPr>
                  <w:tcW w:w="992" w:type="dxa"/>
                </w:tcPr>
                <w:p w14:paraId="5826F9FB">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氨</w:t>
                  </w:r>
                </w:p>
              </w:tc>
              <w:tc>
                <w:tcPr>
                  <w:tcW w:w="992" w:type="dxa"/>
                </w:tcPr>
                <w:p w14:paraId="6A50E414">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助磨剂、化肥</w:t>
                  </w:r>
                </w:p>
              </w:tc>
            </w:tr>
            <w:tr w14:paraId="7A2D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1AF0732D">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11</w:t>
                  </w:r>
                </w:p>
              </w:tc>
              <w:tc>
                <w:tcPr>
                  <w:tcW w:w="1417" w:type="dxa"/>
                </w:tcPr>
                <w:p w14:paraId="157F523A">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硫膏（干基）</w:t>
                  </w:r>
                </w:p>
              </w:tc>
              <w:tc>
                <w:tcPr>
                  <w:tcW w:w="709" w:type="dxa"/>
                </w:tcPr>
                <w:p w14:paraId="50823C7B">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液态</w:t>
                  </w:r>
                </w:p>
              </w:tc>
              <w:tc>
                <w:tcPr>
                  <w:tcW w:w="1134" w:type="dxa"/>
                </w:tcPr>
                <w:p w14:paraId="2F572A7A">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1472</w:t>
                  </w:r>
                </w:p>
              </w:tc>
              <w:tc>
                <w:tcPr>
                  <w:tcW w:w="1218" w:type="dxa"/>
                </w:tcPr>
                <w:p w14:paraId="3E056476">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仓库</w:t>
                  </w:r>
                </w:p>
              </w:tc>
              <w:tc>
                <w:tcPr>
                  <w:tcW w:w="992" w:type="dxa"/>
                </w:tcPr>
                <w:p w14:paraId="6FEBCA0C">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汽运</w:t>
                  </w:r>
                </w:p>
              </w:tc>
              <w:tc>
                <w:tcPr>
                  <w:tcW w:w="992" w:type="dxa"/>
                </w:tcPr>
                <w:p w14:paraId="43B31DA1">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硫磺</w:t>
                  </w:r>
                </w:p>
              </w:tc>
              <w:tc>
                <w:tcPr>
                  <w:tcW w:w="992" w:type="dxa"/>
                </w:tcPr>
                <w:p w14:paraId="49847949">
                  <w:pPr>
                    <w:widowControl w:val="0"/>
                    <w:adjustRightInd w:val="0"/>
                    <w:snapToGrid w:val="0"/>
                    <w:spacing w:line="360" w:lineRule="auto"/>
                    <w:jc w:val="both"/>
                    <w:rPr>
                      <w:rFonts w:ascii="Times New Roman" w:hAnsi="Times New Roman" w:cs="Times New Roman"/>
                      <w:bCs/>
                      <w:sz w:val="21"/>
                      <w:szCs w:val="21"/>
                    </w:rPr>
                  </w:pPr>
                  <w:r>
                    <w:rPr>
                      <w:rFonts w:ascii="Times New Roman" w:hAnsi="Times New Roman" w:cs="Times New Roman"/>
                      <w:color w:val="000000"/>
                      <w:sz w:val="21"/>
                      <w:szCs w:val="21"/>
                    </w:rPr>
                    <w:t>液硫</w:t>
                  </w:r>
                </w:p>
              </w:tc>
            </w:tr>
          </w:tbl>
          <w:p w14:paraId="3A87A8BE">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一期所有产品均计划全部外售，无中间物料供给二期项目作为原料。</w:t>
            </w:r>
          </w:p>
          <w:p w14:paraId="0FC17E3C">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2025年11月，昌吉州生态环境局以《关于新疆龙都石油化工有限公司20万吨/年劣质苯类物综合利用项目（一期工程）环境影响报告书的批复》文件对项目进行了批复。</w:t>
            </w:r>
          </w:p>
          <w:p w14:paraId="07A3C023">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根据现场调查，一期工程主体土建、主要生产及环保设备安装工作已基本完成，现阶段开展配套管网连接、机电系统调试等收尾工作。</w:t>
            </w:r>
            <w:r>
              <w:rPr>
                <w:rFonts w:hint="eastAsia" w:ascii="Times New Roman" w:hAnsi="Times New Roman" w:cs="Times New Roman"/>
                <w:bCs/>
              </w:rPr>
              <w:t>一期工程</w:t>
            </w:r>
            <w:r>
              <w:rPr>
                <w:rFonts w:ascii="Times New Roman" w:hAnsi="Times New Roman" w:cs="Times New Roman"/>
                <w:bCs/>
              </w:rPr>
              <w:t>暂未开展竣工环保自主验收、尚未申领排污许可证、应急预案尚未完成备案</w:t>
            </w:r>
            <w:r>
              <w:rPr>
                <w:rFonts w:hint="eastAsia" w:ascii="Times New Roman" w:hAnsi="Times New Roman" w:cs="Times New Roman"/>
                <w:bCs/>
              </w:rPr>
              <w:t>。</w:t>
            </w:r>
            <w:r>
              <w:rPr>
                <w:rFonts w:ascii="Times New Roman" w:hAnsi="Times New Roman" w:cs="Times New Roman"/>
                <w:bCs/>
              </w:rPr>
              <w:t>按照《建设项目环境保护管理条例》要求，待调试完成、工况稳定后，建设单位组织开展竣工环保自主验收，验收合格后方可正式投入生产</w:t>
            </w:r>
            <w:r>
              <w:rPr>
                <w:rFonts w:hint="eastAsia" w:ascii="Times New Roman" w:hAnsi="Times New Roman" w:cs="Times New Roman"/>
                <w:bCs/>
              </w:rPr>
              <w:t>。</w:t>
            </w:r>
          </w:p>
          <w:p w14:paraId="555F5B2B">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一期尚未正式投产，无实际运行监测数据，无实际排放量。本次列出一期环评批复污染物总量作为管控基数，待一期竣工环保验收监测后，以验收实测核算结果作为现有工程实际排放总量。</w:t>
            </w:r>
          </w:p>
          <w:p w14:paraId="12A6B23E">
            <w:pPr>
              <w:adjustRightInd w:val="0"/>
              <w:snapToGrid w:val="0"/>
              <w:spacing w:line="360" w:lineRule="auto"/>
              <w:ind w:firstLine="442" w:firstLineChars="200"/>
              <w:jc w:val="center"/>
              <w:rPr>
                <w:rFonts w:ascii="Times New Roman" w:hAnsi="Times New Roman" w:cs="Times New Roman"/>
                <w:bCs/>
              </w:rPr>
            </w:pPr>
            <w:r>
              <w:rPr>
                <w:rFonts w:hint="eastAsia" w:ascii="Times New Roman" w:hAnsi="Times New Roman" w:cs="Times New Roman"/>
                <w:b/>
                <w:spacing w:val="-10"/>
                <w:szCs w:val="21"/>
              </w:rPr>
              <w:t xml:space="preserve">表2-23  </w:t>
            </w:r>
            <w:r>
              <w:rPr>
                <w:rFonts w:ascii="Times New Roman" w:hAnsi="Times New Roman" w:cs="Times New Roman"/>
                <w:b/>
                <w:spacing w:val="-10"/>
                <w:szCs w:val="21"/>
              </w:rPr>
              <w:t>一期环评批复污染物总量一览表</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1690"/>
              <w:gridCol w:w="2221"/>
              <w:gridCol w:w="3255"/>
            </w:tblGrid>
            <w:tr w14:paraId="4A92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69" w:type="dxa"/>
                </w:tcPr>
                <w:p w14:paraId="276FA94D">
                  <w:pPr>
                    <w:widowControl w:val="0"/>
                    <w:jc w:val="both"/>
                    <w:rPr>
                      <w:rFonts w:ascii="Times New Roman" w:hAnsi="Times New Roman" w:cs="Times New Roman"/>
                    </w:rPr>
                  </w:pPr>
                  <w:r>
                    <w:rPr>
                      <w:rFonts w:ascii="Times New Roman" w:hAnsi="Times New Roman" w:cs="Times New Roman"/>
                    </w:rPr>
                    <w:t>类别</w:t>
                  </w:r>
                </w:p>
              </w:tc>
              <w:tc>
                <w:tcPr>
                  <w:tcW w:w="1690" w:type="dxa"/>
                </w:tcPr>
                <w:p w14:paraId="01BEAF44">
                  <w:pPr>
                    <w:widowControl w:val="0"/>
                    <w:jc w:val="both"/>
                    <w:rPr>
                      <w:rFonts w:ascii="Times New Roman" w:hAnsi="Times New Roman" w:cs="Times New Roman"/>
                    </w:rPr>
                  </w:pPr>
                  <w:r>
                    <w:rPr>
                      <w:rFonts w:ascii="Times New Roman" w:hAnsi="Times New Roman" w:cs="Times New Roman"/>
                    </w:rPr>
                    <w:t>污染物</w:t>
                  </w:r>
                </w:p>
              </w:tc>
              <w:tc>
                <w:tcPr>
                  <w:tcW w:w="2221" w:type="dxa"/>
                </w:tcPr>
                <w:p w14:paraId="0B567157">
                  <w:pPr>
                    <w:widowControl w:val="0"/>
                    <w:jc w:val="both"/>
                    <w:rPr>
                      <w:rFonts w:ascii="Times New Roman" w:hAnsi="Times New Roman" w:cs="Times New Roman"/>
                    </w:rPr>
                  </w:pPr>
                  <w:r>
                    <w:rPr>
                      <w:rFonts w:ascii="Times New Roman" w:hAnsi="Times New Roman" w:cs="Times New Roman"/>
                    </w:rPr>
                    <w:t>环评批复总量（t/a）</w:t>
                  </w:r>
                </w:p>
              </w:tc>
              <w:tc>
                <w:tcPr>
                  <w:tcW w:w="3255" w:type="dxa"/>
                </w:tcPr>
                <w:p w14:paraId="0E46BB7A">
                  <w:pPr>
                    <w:widowControl w:val="0"/>
                    <w:jc w:val="both"/>
                    <w:rPr>
                      <w:rFonts w:ascii="Times New Roman" w:hAnsi="Times New Roman" w:cs="Times New Roman"/>
                    </w:rPr>
                  </w:pPr>
                  <w:r>
                    <w:rPr>
                      <w:rFonts w:ascii="Times New Roman" w:hAnsi="Times New Roman" w:cs="Times New Roman"/>
                    </w:rPr>
                    <w:t>备注</w:t>
                  </w:r>
                </w:p>
              </w:tc>
            </w:tr>
            <w:tr w14:paraId="5785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Merge w:val="restart"/>
                  <w:vAlign w:val="center"/>
                </w:tcPr>
                <w:p w14:paraId="01152C02">
                  <w:pPr>
                    <w:widowControl w:val="0"/>
                    <w:jc w:val="center"/>
                    <w:rPr>
                      <w:rFonts w:ascii="Times New Roman" w:hAnsi="Times New Roman" w:cs="Times New Roman"/>
                    </w:rPr>
                  </w:pPr>
                  <w:r>
                    <w:rPr>
                      <w:rFonts w:ascii="Times New Roman" w:hAnsi="Times New Roman" w:cs="Times New Roman"/>
                    </w:rPr>
                    <w:t>废气</w:t>
                  </w:r>
                </w:p>
              </w:tc>
              <w:tc>
                <w:tcPr>
                  <w:tcW w:w="1690" w:type="dxa"/>
                </w:tcPr>
                <w:p w14:paraId="2446099E">
                  <w:pPr>
                    <w:widowControl w:val="0"/>
                    <w:jc w:val="both"/>
                    <w:rPr>
                      <w:rFonts w:ascii="Times New Roman" w:hAnsi="Times New Roman" w:cs="Times New Roman"/>
                    </w:rPr>
                  </w:pPr>
                  <w:r>
                    <w:rPr>
                      <w:rFonts w:ascii="Times New Roman" w:hAnsi="Times New Roman" w:cs="Times New Roman"/>
                    </w:rPr>
                    <w:t>挥发性有机物</w:t>
                  </w:r>
                </w:p>
              </w:tc>
              <w:tc>
                <w:tcPr>
                  <w:tcW w:w="2221" w:type="dxa"/>
                </w:tcPr>
                <w:p w14:paraId="2DEBB16A">
                  <w:pPr>
                    <w:widowControl w:val="0"/>
                    <w:jc w:val="both"/>
                    <w:rPr>
                      <w:rFonts w:ascii="Times New Roman" w:hAnsi="Times New Roman" w:cs="Times New Roman"/>
                    </w:rPr>
                  </w:pPr>
                  <w:r>
                    <w:rPr>
                      <w:rFonts w:hint="eastAsia" w:ascii="Times New Roman" w:hAnsi="Times New Roman" w:cs="Times New Roman"/>
                    </w:rPr>
                    <w:t>10.5</w:t>
                  </w:r>
                </w:p>
              </w:tc>
              <w:tc>
                <w:tcPr>
                  <w:tcW w:w="3255" w:type="dxa"/>
                </w:tcPr>
                <w:p w14:paraId="46020BA2">
                  <w:pPr>
                    <w:widowControl w:val="0"/>
                    <w:jc w:val="both"/>
                    <w:rPr>
                      <w:rFonts w:ascii="Times New Roman" w:hAnsi="Times New Roman" w:cs="Times New Roman"/>
                    </w:rPr>
                  </w:pPr>
                  <w:r>
                    <w:rPr>
                      <w:rFonts w:hint="eastAsia" w:ascii="Times New Roman" w:hAnsi="Times New Roman" w:cs="Times New Roman"/>
                    </w:rPr>
                    <w:t>倍量替代量为21t/a</w:t>
                  </w:r>
                </w:p>
              </w:tc>
            </w:tr>
            <w:tr w14:paraId="1E249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Merge w:val="continue"/>
                </w:tcPr>
                <w:p w14:paraId="281F3675">
                  <w:pPr>
                    <w:widowControl w:val="0"/>
                    <w:jc w:val="both"/>
                    <w:rPr>
                      <w:rFonts w:ascii="Times New Roman" w:hAnsi="Times New Roman" w:cs="Times New Roman"/>
                      <w:sz w:val="20"/>
                      <w:szCs w:val="20"/>
                    </w:rPr>
                  </w:pPr>
                </w:p>
              </w:tc>
              <w:tc>
                <w:tcPr>
                  <w:tcW w:w="1690" w:type="dxa"/>
                </w:tcPr>
                <w:p w14:paraId="5078F075">
                  <w:pPr>
                    <w:widowControl w:val="0"/>
                    <w:jc w:val="both"/>
                    <w:rPr>
                      <w:rFonts w:ascii="Times New Roman" w:hAnsi="Times New Roman" w:cs="Times New Roman"/>
                    </w:rPr>
                  </w:pPr>
                  <w:r>
                    <w:rPr>
                      <w:rFonts w:hint="eastAsia" w:ascii="Times New Roman" w:hAnsi="Times New Roman" w:cs="Times New Roman"/>
                    </w:rPr>
                    <w:t>二氧化硫</w:t>
                  </w:r>
                </w:p>
              </w:tc>
              <w:tc>
                <w:tcPr>
                  <w:tcW w:w="2221" w:type="dxa"/>
                </w:tcPr>
                <w:p w14:paraId="4AAD9D0F">
                  <w:pPr>
                    <w:widowControl w:val="0"/>
                    <w:jc w:val="both"/>
                    <w:rPr>
                      <w:rFonts w:ascii="Times New Roman" w:hAnsi="Times New Roman" w:cs="Times New Roman"/>
                    </w:rPr>
                  </w:pPr>
                  <w:r>
                    <w:rPr>
                      <w:rFonts w:hint="eastAsia" w:ascii="Times New Roman" w:hAnsi="Times New Roman" w:cs="Times New Roman"/>
                    </w:rPr>
                    <w:t>2.42</w:t>
                  </w:r>
                </w:p>
              </w:tc>
              <w:tc>
                <w:tcPr>
                  <w:tcW w:w="3255" w:type="dxa"/>
                </w:tcPr>
                <w:p w14:paraId="016F1927">
                  <w:pPr>
                    <w:widowControl w:val="0"/>
                    <w:jc w:val="both"/>
                    <w:rPr>
                      <w:rFonts w:ascii="Times New Roman" w:hAnsi="Times New Roman" w:cs="Times New Roman"/>
                    </w:rPr>
                  </w:pPr>
                  <w:r>
                    <w:rPr>
                      <w:rFonts w:hint="eastAsia" w:ascii="Times New Roman" w:hAnsi="Times New Roman" w:cs="Times New Roman"/>
                    </w:rPr>
                    <w:t>倍量替代量为4.84 t/a</w:t>
                  </w:r>
                </w:p>
              </w:tc>
            </w:tr>
            <w:tr w14:paraId="2D7D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Merge w:val="continue"/>
                </w:tcPr>
                <w:p w14:paraId="7C0EA450">
                  <w:pPr>
                    <w:widowControl w:val="0"/>
                    <w:jc w:val="both"/>
                    <w:rPr>
                      <w:rFonts w:ascii="Times New Roman" w:hAnsi="Times New Roman" w:cs="Times New Roman"/>
                      <w:sz w:val="20"/>
                      <w:szCs w:val="20"/>
                    </w:rPr>
                  </w:pPr>
                </w:p>
              </w:tc>
              <w:tc>
                <w:tcPr>
                  <w:tcW w:w="1690" w:type="dxa"/>
                </w:tcPr>
                <w:p w14:paraId="58C289CF">
                  <w:pPr>
                    <w:widowControl w:val="0"/>
                    <w:jc w:val="both"/>
                    <w:rPr>
                      <w:rFonts w:ascii="Times New Roman" w:hAnsi="Times New Roman" w:cs="Times New Roman"/>
                    </w:rPr>
                  </w:pPr>
                  <w:r>
                    <w:rPr>
                      <w:rFonts w:hint="eastAsia" w:ascii="Times New Roman" w:hAnsi="Times New Roman" w:cs="Times New Roman"/>
                    </w:rPr>
                    <w:t>氮氧化物</w:t>
                  </w:r>
                </w:p>
              </w:tc>
              <w:tc>
                <w:tcPr>
                  <w:tcW w:w="2221" w:type="dxa"/>
                </w:tcPr>
                <w:p w14:paraId="3A2DAC48">
                  <w:pPr>
                    <w:widowControl w:val="0"/>
                    <w:jc w:val="both"/>
                    <w:rPr>
                      <w:rFonts w:ascii="Times New Roman" w:hAnsi="Times New Roman" w:cs="Times New Roman"/>
                    </w:rPr>
                  </w:pPr>
                  <w:r>
                    <w:rPr>
                      <w:rFonts w:hint="eastAsia" w:ascii="Times New Roman" w:hAnsi="Times New Roman" w:cs="Times New Roman"/>
                    </w:rPr>
                    <w:t>54.36</w:t>
                  </w:r>
                </w:p>
              </w:tc>
              <w:tc>
                <w:tcPr>
                  <w:tcW w:w="3255" w:type="dxa"/>
                </w:tcPr>
                <w:p w14:paraId="05371715">
                  <w:pPr>
                    <w:widowControl w:val="0"/>
                    <w:jc w:val="both"/>
                    <w:rPr>
                      <w:rFonts w:ascii="Times New Roman" w:hAnsi="Times New Roman" w:cs="Times New Roman"/>
                    </w:rPr>
                  </w:pPr>
                  <w:r>
                    <w:rPr>
                      <w:rFonts w:hint="eastAsia" w:ascii="Times New Roman" w:hAnsi="Times New Roman" w:cs="Times New Roman"/>
                    </w:rPr>
                    <w:t>倍量替代量为108.72 t/a</w:t>
                  </w:r>
                </w:p>
              </w:tc>
            </w:tr>
            <w:tr w14:paraId="150A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Merge w:val="continue"/>
                </w:tcPr>
                <w:p w14:paraId="3841B61A">
                  <w:pPr>
                    <w:widowControl w:val="0"/>
                    <w:jc w:val="both"/>
                    <w:rPr>
                      <w:rFonts w:ascii="Times New Roman" w:hAnsi="Times New Roman" w:cs="Times New Roman"/>
                      <w:sz w:val="20"/>
                      <w:szCs w:val="20"/>
                    </w:rPr>
                  </w:pPr>
                </w:p>
              </w:tc>
              <w:tc>
                <w:tcPr>
                  <w:tcW w:w="1690" w:type="dxa"/>
                </w:tcPr>
                <w:p w14:paraId="4BF3CB73">
                  <w:pPr>
                    <w:widowControl w:val="0"/>
                    <w:jc w:val="both"/>
                    <w:rPr>
                      <w:rFonts w:ascii="Times New Roman" w:hAnsi="Times New Roman" w:cs="Times New Roman"/>
                    </w:rPr>
                  </w:pPr>
                  <w:r>
                    <w:rPr>
                      <w:rFonts w:hint="eastAsia" w:ascii="Times New Roman" w:hAnsi="Times New Roman" w:cs="Times New Roman"/>
                    </w:rPr>
                    <w:t>颗粒物</w:t>
                  </w:r>
                </w:p>
              </w:tc>
              <w:tc>
                <w:tcPr>
                  <w:tcW w:w="2221" w:type="dxa"/>
                </w:tcPr>
                <w:p w14:paraId="62D0E9F8">
                  <w:pPr>
                    <w:widowControl w:val="0"/>
                    <w:jc w:val="both"/>
                    <w:rPr>
                      <w:rFonts w:ascii="Times New Roman" w:hAnsi="Times New Roman" w:cs="Times New Roman"/>
                    </w:rPr>
                  </w:pPr>
                  <w:r>
                    <w:rPr>
                      <w:rFonts w:hint="eastAsia" w:ascii="Times New Roman" w:hAnsi="Times New Roman" w:cs="Times New Roman"/>
                    </w:rPr>
                    <w:t>9.12</w:t>
                  </w:r>
                </w:p>
              </w:tc>
              <w:tc>
                <w:tcPr>
                  <w:tcW w:w="3255" w:type="dxa"/>
                </w:tcPr>
                <w:p w14:paraId="03ACBE37">
                  <w:pPr>
                    <w:widowControl w:val="0"/>
                    <w:jc w:val="both"/>
                    <w:rPr>
                      <w:rFonts w:ascii="Times New Roman" w:hAnsi="Times New Roman" w:cs="Times New Roman"/>
                    </w:rPr>
                  </w:pPr>
                  <w:r>
                    <w:rPr>
                      <w:rFonts w:hint="eastAsia" w:ascii="Times New Roman" w:hAnsi="Times New Roman" w:cs="Times New Roman"/>
                    </w:rPr>
                    <w:t>倍量替代量为18.24 t/a</w:t>
                  </w:r>
                </w:p>
              </w:tc>
            </w:tr>
          </w:tbl>
          <w:p w14:paraId="73E95F5B">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一期尚未投产，无历史遗留污染，主要识别依托设施设计、建设层面潜在问题，相关措施需在一期竣工环保验收前落实完成，作为二期投运前置条件。</w:t>
            </w:r>
          </w:p>
          <w:p w14:paraId="39D8A1C7">
            <w:pPr>
              <w:adjustRightInd w:val="0"/>
              <w:snapToGrid w:val="0"/>
              <w:spacing w:line="360" w:lineRule="auto"/>
              <w:ind w:firstLine="442" w:firstLineChars="200"/>
              <w:jc w:val="center"/>
              <w:rPr>
                <w:rFonts w:ascii="Times New Roman" w:hAnsi="Times New Roman" w:cs="Times New Roman"/>
                <w:bCs/>
              </w:rPr>
            </w:pPr>
            <w:r>
              <w:rPr>
                <w:rFonts w:hint="eastAsia" w:ascii="Times New Roman" w:hAnsi="Times New Roman" w:cs="Times New Roman"/>
                <w:b/>
                <w:spacing w:val="-10"/>
                <w:szCs w:val="21"/>
              </w:rPr>
              <w:t xml:space="preserve">表2-24  </w:t>
            </w:r>
            <w:r>
              <w:rPr>
                <w:rFonts w:ascii="Times New Roman" w:hAnsi="Times New Roman" w:cs="Times New Roman"/>
                <w:b/>
                <w:spacing w:val="-10"/>
                <w:szCs w:val="21"/>
              </w:rPr>
              <w:t>与本二期项目相关主要环境问题识别及</w:t>
            </w:r>
            <w:r>
              <w:rPr>
                <w:rFonts w:hint="eastAsia" w:ascii="Times New Roman" w:hAnsi="Times New Roman" w:cs="Times New Roman"/>
                <w:b/>
                <w:spacing w:val="-10"/>
                <w:szCs w:val="21"/>
              </w:rPr>
              <w:t>管控措施</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2136"/>
              <w:gridCol w:w="4229"/>
              <w:gridCol w:w="1090"/>
            </w:tblGrid>
            <w:tr w14:paraId="76158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tcPr>
                <w:p w14:paraId="05CA360D">
                  <w:pPr>
                    <w:widowControl w:val="0"/>
                    <w:jc w:val="both"/>
                    <w:rPr>
                      <w:rFonts w:ascii="Times New Roman" w:hAnsi="Times New Roman" w:cs="Times New Roman"/>
                    </w:rPr>
                  </w:pPr>
                  <w:r>
                    <w:rPr>
                      <w:rFonts w:ascii="Times New Roman" w:hAnsi="Times New Roman" w:cs="Times New Roman"/>
                    </w:rPr>
                    <w:t>序号</w:t>
                  </w:r>
                </w:p>
              </w:tc>
              <w:tc>
                <w:tcPr>
                  <w:tcW w:w="2323" w:type="dxa"/>
                </w:tcPr>
                <w:p w14:paraId="39883B22">
                  <w:pPr>
                    <w:widowControl w:val="0"/>
                    <w:jc w:val="both"/>
                    <w:rPr>
                      <w:rFonts w:ascii="Times New Roman" w:hAnsi="Times New Roman" w:cs="Times New Roman"/>
                    </w:rPr>
                  </w:pPr>
                  <w:r>
                    <w:rPr>
                      <w:rFonts w:ascii="Times New Roman" w:hAnsi="Times New Roman" w:cs="Times New Roman"/>
                    </w:rPr>
                    <w:t>识别主要环境问题</w:t>
                  </w:r>
                </w:p>
              </w:tc>
              <w:tc>
                <w:tcPr>
                  <w:tcW w:w="4622" w:type="dxa"/>
                </w:tcPr>
                <w:p w14:paraId="3A5159D9">
                  <w:pPr>
                    <w:widowControl w:val="0"/>
                    <w:jc w:val="both"/>
                    <w:rPr>
                      <w:rFonts w:ascii="Times New Roman" w:hAnsi="Times New Roman" w:cs="Times New Roman"/>
                    </w:rPr>
                  </w:pPr>
                  <w:r>
                    <w:rPr>
                      <w:rFonts w:ascii="Times New Roman" w:hAnsi="Times New Roman" w:cs="Times New Roman"/>
                    </w:rPr>
                    <w:t>管控措施</w:t>
                  </w:r>
                </w:p>
              </w:tc>
              <w:tc>
                <w:tcPr>
                  <w:tcW w:w="1174" w:type="dxa"/>
                </w:tcPr>
                <w:p w14:paraId="5DF0B325">
                  <w:pPr>
                    <w:widowControl w:val="0"/>
                    <w:jc w:val="both"/>
                    <w:rPr>
                      <w:rFonts w:ascii="Times New Roman" w:hAnsi="Times New Roman" w:cs="Times New Roman"/>
                    </w:rPr>
                  </w:pPr>
                  <w:r>
                    <w:rPr>
                      <w:rFonts w:ascii="Times New Roman" w:hAnsi="Times New Roman" w:cs="Times New Roman"/>
                    </w:rPr>
                    <w:t>完成时限</w:t>
                  </w:r>
                </w:p>
              </w:tc>
            </w:tr>
            <w:tr w14:paraId="7BB3B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tcPr>
                <w:p w14:paraId="31DEB5B0">
                  <w:pPr>
                    <w:widowControl w:val="0"/>
                    <w:jc w:val="both"/>
                    <w:rPr>
                      <w:rFonts w:ascii="Times New Roman" w:hAnsi="Times New Roman" w:cs="Times New Roman"/>
                    </w:rPr>
                  </w:pPr>
                  <w:r>
                    <w:rPr>
                      <w:rFonts w:ascii="Times New Roman" w:hAnsi="Times New Roman" w:cs="Times New Roman"/>
                    </w:rPr>
                    <w:t>1</w:t>
                  </w:r>
                </w:p>
              </w:tc>
              <w:tc>
                <w:tcPr>
                  <w:tcW w:w="2323" w:type="dxa"/>
                </w:tcPr>
                <w:p w14:paraId="47ECECB1">
                  <w:pPr>
                    <w:widowControl w:val="0"/>
                    <w:jc w:val="both"/>
                    <w:rPr>
                      <w:rFonts w:ascii="Times New Roman" w:hAnsi="Times New Roman" w:cs="Times New Roman"/>
                    </w:rPr>
                  </w:pPr>
                  <w:r>
                    <w:rPr>
                      <w:rFonts w:ascii="Times New Roman" w:hAnsi="Times New Roman" w:cs="Times New Roman"/>
                    </w:rPr>
                    <w:t>一期油气回收装置、污水处理站、危废暂存间、事故水池虽然设计考虑一定富余负荷，但尚未完成实际工况验证，能否稳定接纳二期新增污染物有待调试验证</w:t>
                  </w:r>
                </w:p>
              </w:tc>
              <w:tc>
                <w:tcPr>
                  <w:tcW w:w="4622" w:type="dxa"/>
                </w:tcPr>
                <w:p w14:paraId="5AD79A14">
                  <w:pPr>
                    <w:widowControl w:val="0"/>
                    <w:jc w:val="both"/>
                    <w:rPr>
                      <w:rFonts w:ascii="Times New Roman" w:hAnsi="Times New Roman" w:cs="Times New Roman"/>
                    </w:rPr>
                  </w:pPr>
                  <w:r>
                    <w:rPr>
                      <w:rFonts w:ascii="Times New Roman" w:hAnsi="Times New Roman" w:cs="Times New Roman"/>
                    </w:rPr>
                    <w:t>1）一期调试阶段，对油气回收装置处理效率、污水站处理能力、事故水池有效容积开展校核；</w:t>
                  </w:r>
                </w:p>
                <w:p w14:paraId="6CE2F538">
                  <w:pPr>
                    <w:widowControl w:val="0"/>
                    <w:jc w:val="both"/>
                    <w:rPr>
                      <w:rFonts w:ascii="Times New Roman" w:hAnsi="Times New Roman" w:cs="Times New Roman"/>
                    </w:rPr>
                  </w:pPr>
                  <w:r>
                    <w:rPr>
                      <w:rFonts w:ascii="Times New Roman" w:hAnsi="Times New Roman" w:cs="Times New Roman"/>
                    </w:rPr>
                    <w:t>2）核算叠加二期负荷后的富余能力，确保叠加后不超出设施设计处理规模；</w:t>
                  </w:r>
                </w:p>
                <w:p w14:paraId="75822CCF">
                  <w:pPr>
                    <w:widowControl w:val="0"/>
                    <w:jc w:val="both"/>
                    <w:rPr>
                      <w:rFonts w:ascii="Times New Roman" w:hAnsi="Times New Roman" w:cs="Times New Roman"/>
                    </w:rPr>
                  </w:pPr>
                  <w:r>
                    <w:rPr>
                      <w:rFonts w:ascii="Times New Roman" w:hAnsi="Times New Roman" w:cs="Times New Roman"/>
                    </w:rPr>
                    <w:t>3）完善管网连通，确保二期废气、废水、事故废水可顺利接入一期设施；</w:t>
                  </w:r>
                </w:p>
                <w:p w14:paraId="67410E47">
                  <w:pPr>
                    <w:widowControl w:val="0"/>
                    <w:jc w:val="both"/>
                    <w:rPr>
                      <w:rFonts w:ascii="Times New Roman" w:hAnsi="Times New Roman" w:cs="Times New Roman"/>
                    </w:rPr>
                  </w:pPr>
                  <w:r>
                    <w:rPr>
                      <w:rFonts w:ascii="Times New Roman" w:hAnsi="Times New Roman" w:cs="Times New Roman"/>
                    </w:rPr>
                    <w:t>4）负荷校核报告作为一期竣工环保验收支撑材料。</w:t>
                  </w:r>
                </w:p>
              </w:tc>
              <w:tc>
                <w:tcPr>
                  <w:tcW w:w="1174" w:type="dxa"/>
                </w:tcPr>
                <w:p w14:paraId="45CD9AAD">
                  <w:pPr>
                    <w:widowControl w:val="0"/>
                    <w:jc w:val="both"/>
                    <w:rPr>
                      <w:rFonts w:ascii="Times New Roman" w:hAnsi="Times New Roman" w:cs="Times New Roman"/>
                    </w:rPr>
                  </w:pPr>
                  <w:r>
                    <w:rPr>
                      <w:rFonts w:ascii="Times New Roman" w:hAnsi="Times New Roman" w:cs="Times New Roman"/>
                    </w:rPr>
                    <w:t>一期竣工环保验收前完成，二期投产前必须落实</w:t>
                  </w:r>
                </w:p>
              </w:tc>
            </w:tr>
            <w:tr w14:paraId="04EEF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tcPr>
                <w:p w14:paraId="37F4F2CB">
                  <w:pPr>
                    <w:widowControl w:val="0"/>
                    <w:jc w:val="both"/>
                    <w:rPr>
                      <w:rFonts w:ascii="Times New Roman" w:hAnsi="Times New Roman" w:cs="Times New Roman"/>
                    </w:rPr>
                  </w:pPr>
                  <w:r>
                    <w:rPr>
                      <w:rFonts w:ascii="Times New Roman" w:hAnsi="Times New Roman" w:cs="Times New Roman"/>
                    </w:rPr>
                    <w:t>2</w:t>
                  </w:r>
                </w:p>
              </w:tc>
              <w:tc>
                <w:tcPr>
                  <w:tcW w:w="2323" w:type="dxa"/>
                </w:tcPr>
                <w:p w14:paraId="4B1320E6">
                  <w:pPr>
                    <w:widowControl w:val="0"/>
                    <w:jc w:val="both"/>
                    <w:rPr>
                      <w:rFonts w:ascii="Times New Roman" w:hAnsi="Times New Roman" w:cs="Times New Roman"/>
                    </w:rPr>
                  </w:pPr>
                  <w:r>
                    <w:rPr>
                      <w:rFonts w:ascii="Times New Roman" w:hAnsi="Times New Roman" w:cs="Times New Roman"/>
                    </w:rPr>
                    <w:t>一期 LDAR 泄漏检测、在线监测、台账管理等环保管理体系尚未正式建立，绩效 A 级管控措施尚未落地</w:t>
                  </w:r>
                </w:p>
              </w:tc>
              <w:tc>
                <w:tcPr>
                  <w:tcW w:w="4622" w:type="dxa"/>
                </w:tcPr>
                <w:p w14:paraId="37E1F883">
                  <w:pPr>
                    <w:widowControl w:val="0"/>
                    <w:jc w:val="both"/>
                    <w:rPr>
                      <w:rFonts w:ascii="Times New Roman" w:hAnsi="Times New Roman" w:cs="Times New Roman"/>
                    </w:rPr>
                  </w:pPr>
                  <w:r>
                    <w:rPr>
                      <w:rFonts w:ascii="Times New Roman" w:hAnsi="Times New Roman" w:cs="Times New Roman"/>
                    </w:rPr>
                    <w:t>建立全厂动静密封点台账；落实LDAR检测计划；VOCs在线监测；完善废气、废水、危废全套环保台账，满足绩效A级环境管理要求。</w:t>
                  </w:r>
                </w:p>
              </w:tc>
              <w:tc>
                <w:tcPr>
                  <w:tcW w:w="1174" w:type="dxa"/>
                </w:tcPr>
                <w:p w14:paraId="73079513">
                  <w:pPr>
                    <w:widowControl w:val="0"/>
                    <w:jc w:val="both"/>
                    <w:rPr>
                      <w:rFonts w:ascii="Times New Roman" w:hAnsi="Times New Roman" w:cs="Times New Roman"/>
                    </w:rPr>
                  </w:pPr>
                  <w:r>
                    <w:rPr>
                      <w:rFonts w:ascii="Times New Roman" w:hAnsi="Times New Roman" w:cs="Times New Roman"/>
                    </w:rPr>
                    <w:t>一期投产前完成</w:t>
                  </w:r>
                </w:p>
              </w:tc>
            </w:tr>
            <w:tr w14:paraId="634B3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tcPr>
                <w:p w14:paraId="5DBE9DD6">
                  <w:pPr>
                    <w:widowControl w:val="0"/>
                    <w:jc w:val="both"/>
                    <w:rPr>
                      <w:rFonts w:ascii="Times New Roman" w:hAnsi="Times New Roman" w:cs="Times New Roman"/>
                    </w:rPr>
                  </w:pPr>
                  <w:r>
                    <w:rPr>
                      <w:rFonts w:ascii="Times New Roman" w:hAnsi="Times New Roman" w:cs="Times New Roman"/>
                    </w:rPr>
                    <w:t>3</w:t>
                  </w:r>
                </w:p>
              </w:tc>
              <w:tc>
                <w:tcPr>
                  <w:tcW w:w="2323" w:type="dxa"/>
                </w:tcPr>
                <w:p w14:paraId="74B9F135">
                  <w:pPr>
                    <w:widowControl w:val="0"/>
                    <w:jc w:val="both"/>
                    <w:rPr>
                      <w:rFonts w:ascii="Times New Roman" w:hAnsi="Times New Roman" w:cs="Times New Roman"/>
                    </w:rPr>
                  </w:pPr>
                  <w:r>
                    <w:rPr>
                      <w:rFonts w:ascii="Times New Roman" w:hAnsi="Times New Roman" w:cs="Times New Roman"/>
                    </w:rPr>
                    <w:t>罐区、污水收集沟、危废暂存间、事故池等防渗工程尚未开展防渗完整性检测</w:t>
                  </w:r>
                </w:p>
              </w:tc>
              <w:tc>
                <w:tcPr>
                  <w:tcW w:w="4622" w:type="dxa"/>
                </w:tcPr>
                <w:p w14:paraId="1C676F9F">
                  <w:pPr>
                    <w:widowControl w:val="0"/>
                    <w:jc w:val="both"/>
                    <w:rPr>
                      <w:rFonts w:ascii="Times New Roman" w:hAnsi="Times New Roman" w:cs="Times New Roman"/>
                    </w:rPr>
                  </w:pPr>
                  <w:r>
                    <w:rPr>
                      <w:rFonts w:ascii="Times New Roman" w:hAnsi="Times New Roman" w:cs="Times New Roman"/>
                    </w:rPr>
                    <w:t>开展防渗层完整性检测，渗透系数满足设计要求；完善罐区检漏、导排设施；留存检测报告，作为一期竣工环保验收支撑材料。</w:t>
                  </w:r>
                </w:p>
              </w:tc>
              <w:tc>
                <w:tcPr>
                  <w:tcW w:w="1174" w:type="dxa"/>
                </w:tcPr>
                <w:p w14:paraId="4731F9DB">
                  <w:pPr>
                    <w:widowControl w:val="0"/>
                    <w:jc w:val="both"/>
                    <w:rPr>
                      <w:rFonts w:ascii="Times New Roman" w:hAnsi="Times New Roman" w:cs="Times New Roman"/>
                    </w:rPr>
                  </w:pPr>
                  <w:r>
                    <w:rPr>
                      <w:rFonts w:ascii="Times New Roman" w:hAnsi="Times New Roman" w:cs="Times New Roman"/>
                    </w:rPr>
                    <w:t>一期竣工环保验收前完成</w:t>
                  </w:r>
                </w:p>
              </w:tc>
            </w:tr>
            <w:tr w14:paraId="02E8A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5" w:type="dxa"/>
                </w:tcPr>
                <w:p w14:paraId="56AD7DA1">
                  <w:pPr>
                    <w:widowControl w:val="0"/>
                    <w:jc w:val="both"/>
                    <w:rPr>
                      <w:rFonts w:ascii="Times New Roman" w:hAnsi="Times New Roman" w:cs="Times New Roman"/>
                    </w:rPr>
                  </w:pPr>
                  <w:r>
                    <w:rPr>
                      <w:rFonts w:ascii="Times New Roman" w:hAnsi="Times New Roman" w:cs="Times New Roman"/>
                    </w:rPr>
                    <w:t>4</w:t>
                  </w:r>
                </w:p>
              </w:tc>
              <w:tc>
                <w:tcPr>
                  <w:tcW w:w="2323" w:type="dxa"/>
                </w:tcPr>
                <w:p w14:paraId="58B95C5C">
                  <w:pPr>
                    <w:widowControl w:val="0"/>
                    <w:jc w:val="both"/>
                    <w:rPr>
                      <w:rFonts w:ascii="Times New Roman" w:hAnsi="Times New Roman" w:cs="Times New Roman"/>
                    </w:rPr>
                  </w:pPr>
                  <w:r>
                    <w:rPr>
                      <w:rFonts w:ascii="Times New Roman" w:hAnsi="Times New Roman" w:cs="Times New Roman"/>
                    </w:rPr>
                    <w:t>突发环境事件应急预案尚未备案，应急物资、应急演练尚未落实</w:t>
                  </w:r>
                </w:p>
              </w:tc>
              <w:tc>
                <w:tcPr>
                  <w:tcW w:w="4622" w:type="dxa"/>
                </w:tcPr>
                <w:p w14:paraId="5A190B37">
                  <w:pPr>
                    <w:widowControl w:val="0"/>
                    <w:jc w:val="both"/>
                    <w:rPr>
                      <w:rFonts w:ascii="Times New Roman" w:hAnsi="Times New Roman" w:cs="Times New Roman"/>
                    </w:rPr>
                  </w:pPr>
                  <w:r>
                    <w:rPr>
                      <w:rFonts w:ascii="Times New Roman" w:hAnsi="Times New Roman" w:cs="Times New Roman"/>
                    </w:rPr>
                    <w:t>完成应急预案编制、评审、备案；配齐应急物资；组织应急演练；完善事故水收集切换、连通流程。</w:t>
                  </w:r>
                </w:p>
              </w:tc>
              <w:tc>
                <w:tcPr>
                  <w:tcW w:w="1174" w:type="dxa"/>
                </w:tcPr>
                <w:p w14:paraId="0DD01600">
                  <w:pPr>
                    <w:widowControl w:val="0"/>
                    <w:jc w:val="both"/>
                    <w:rPr>
                      <w:rFonts w:ascii="Times New Roman" w:hAnsi="Times New Roman" w:cs="Times New Roman"/>
                    </w:rPr>
                  </w:pPr>
                  <w:r>
                    <w:rPr>
                      <w:rFonts w:ascii="Times New Roman" w:hAnsi="Times New Roman" w:cs="Times New Roman"/>
                    </w:rPr>
                    <w:t>一期投产前完成</w:t>
                  </w:r>
                </w:p>
              </w:tc>
            </w:tr>
            <w:tr w14:paraId="3F569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dxa"/>
                </w:tcPr>
                <w:p w14:paraId="32B6F4F6">
                  <w:pPr>
                    <w:widowControl w:val="0"/>
                    <w:jc w:val="both"/>
                    <w:rPr>
                      <w:rFonts w:ascii="Times New Roman" w:hAnsi="Times New Roman" w:cs="Times New Roman"/>
                    </w:rPr>
                  </w:pPr>
                  <w:r>
                    <w:rPr>
                      <w:rFonts w:ascii="Times New Roman" w:hAnsi="Times New Roman" w:cs="Times New Roman"/>
                    </w:rPr>
                    <w:t>5</w:t>
                  </w:r>
                </w:p>
              </w:tc>
              <w:tc>
                <w:tcPr>
                  <w:tcW w:w="2323" w:type="dxa"/>
                </w:tcPr>
                <w:p w14:paraId="2FE04B7A">
                  <w:pPr>
                    <w:widowControl w:val="0"/>
                    <w:jc w:val="both"/>
                    <w:rPr>
                      <w:rFonts w:ascii="Times New Roman" w:hAnsi="Times New Roman" w:cs="Times New Roman"/>
                    </w:rPr>
                  </w:pPr>
                  <w:r>
                    <w:rPr>
                      <w:rFonts w:ascii="Times New Roman" w:hAnsi="Times New Roman" w:cs="Times New Roman"/>
                    </w:rPr>
                    <w:t>一期危废暂存间尚未开展实际运行管理，分区存放、标识、围堰、泄漏收集有待实际落实</w:t>
                  </w:r>
                </w:p>
              </w:tc>
              <w:tc>
                <w:tcPr>
                  <w:tcW w:w="4622" w:type="dxa"/>
                </w:tcPr>
                <w:p w14:paraId="4ABC4416">
                  <w:pPr>
                    <w:widowControl w:val="0"/>
                    <w:jc w:val="both"/>
                    <w:rPr>
                      <w:rFonts w:ascii="Times New Roman" w:hAnsi="Times New Roman" w:cs="Times New Roman"/>
                    </w:rPr>
                  </w:pPr>
                  <w:r>
                    <w:rPr>
                      <w:rFonts w:ascii="Times New Roman" w:hAnsi="Times New Roman" w:cs="Times New Roman"/>
                    </w:rPr>
                    <w:t>按照GB18597</w:t>
                  </w:r>
                  <w:r>
                    <w:rPr>
                      <w:rFonts w:ascii="Times New Roman" w:hAnsi="Times New Roman" w:cs="Times New Roman"/>
                    </w:rPr>
                    <w:noBreakHyphen/>
                  </w:r>
                  <w:r>
                    <w:rPr>
                      <w:rFonts w:ascii="Times New Roman" w:hAnsi="Times New Roman" w:cs="Times New Roman"/>
                    </w:rPr>
                    <w:t>2023规范完善危废分区、标识、泄漏应急物资；建立危废出入库电子+纸质台账；保证有足够库容接纳二期新增危废。</w:t>
                  </w:r>
                </w:p>
              </w:tc>
              <w:tc>
                <w:tcPr>
                  <w:tcW w:w="1174" w:type="dxa"/>
                </w:tcPr>
                <w:p w14:paraId="338CE5BF">
                  <w:pPr>
                    <w:widowControl w:val="0"/>
                    <w:jc w:val="both"/>
                    <w:rPr>
                      <w:rFonts w:ascii="Times New Roman" w:hAnsi="Times New Roman" w:cs="Times New Roman"/>
                    </w:rPr>
                  </w:pPr>
                  <w:r>
                    <w:rPr>
                      <w:rFonts w:ascii="Times New Roman" w:hAnsi="Times New Roman" w:cs="Times New Roman"/>
                    </w:rPr>
                    <w:t>一期投产前落实到位</w:t>
                  </w:r>
                </w:p>
              </w:tc>
            </w:tr>
          </w:tbl>
          <w:p w14:paraId="3785AABA">
            <w:pPr>
              <w:adjustRightInd w:val="0"/>
              <w:snapToGrid w:val="0"/>
              <w:spacing w:line="360" w:lineRule="auto"/>
              <w:ind w:firstLine="480" w:firstLineChars="200"/>
              <w:rPr>
                <w:rFonts w:ascii="Times New Roman" w:hAnsi="Times New Roman" w:cs="Times New Roman"/>
                <w:bCs/>
              </w:rPr>
            </w:pPr>
            <w:r>
              <w:rPr>
                <w:rFonts w:ascii="Times New Roman" w:hAnsi="Times New Roman" w:cs="Times New Roman"/>
                <w:bCs/>
              </w:rPr>
              <w:t>评价要求，一期工程须按期完成竣工环保验收，各项环保设施稳定达标运行后，二期工程方可投入生产，保障二期依托的废气治理、供热等设施有效投运。</w:t>
            </w:r>
          </w:p>
          <w:p w14:paraId="284C108E">
            <w:pPr>
              <w:adjustRightInd w:val="0"/>
              <w:snapToGrid w:val="0"/>
              <w:spacing w:line="360" w:lineRule="auto"/>
              <w:ind w:firstLine="480" w:firstLineChars="200"/>
              <w:rPr>
                <w:rFonts w:ascii="Times New Roman" w:hAnsi="Times New Roman" w:cs="Times New Roman"/>
                <w:bCs/>
                <w:szCs w:val="21"/>
              </w:rPr>
            </w:pPr>
            <w:r>
              <w:rPr>
                <w:rFonts w:ascii="Times New Roman" w:hAnsi="Times New Roman" w:cs="Times New Roman"/>
                <w:bCs/>
              </w:rPr>
              <w:t>二期工程为本次评价的60万吨/年成品油调配项目，以外购的MTBE、异辛烷、轻质石脑油、混合芳烃、轻质燃料油、煤基柴油等为原料，通过物理调和生产车用柴油及车用汽油。一期与二期项目仅依托厂区公用工程，工艺路线相互独立；一期产品全部外售，无物料可作为二期项目原料，二期项目所需原料均为市场外购。两个项目仅共享厂区内供热、油气回收治理等公用及环保工程，生产工艺、原料、产品、生产系统不存在上下游物料关系，除此之外无其他生产关联。</w:t>
            </w:r>
          </w:p>
        </w:tc>
      </w:tr>
    </w:tbl>
    <w:p w14:paraId="3F3D1EF3">
      <w:pPr>
        <w:pStyle w:val="13"/>
        <w:jc w:val="center"/>
        <w:rPr>
          <w:rFonts w:hint="eastAsia" w:ascii="黑体" w:hAnsi="黑体" w:eastAsia="黑体"/>
          <w:snapToGrid w:val="0"/>
          <w:sz w:val="36"/>
          <w:szCs w:val="36"/>
        </w:rPr>
        <w:sectPr>
          <w:pgSz w:w="11906" w:h="16838"/>
          <w:pgMar w:top="1701" w:right="1531" w:bottom="1701" w:left="1531" w:header="851" w:footer="851" w:gutter="0"/>
          <w:cols w:space="720" w:num="1"/>
          <w:docGrid w:linePitch="312" w:charSpace="0"/>
        </w:sectPr>
      </w:pPr>
    </w:p>
    <w:p w14:paraId="26D9148A">
      <w:pPr>
        <w:pStyle w:val="13"/>
        <w:jc w:val="center"/>
        <w:outlineLvl w:val="0"/>
        <w:rPr>
          <w:rFonts w:hint="eastAsia" w:ascii="黑体" w:hAnsi="黑体" w:eastAsia="黑体"/>
          <w:snapToGrid w:val="0"/>
          <w:sz w:val="30"/>
          <w:szCs w:val="30"/>
        </w:rPr>
      </w:pPr>
      <w:r>
        <w:rPr>
          <w:rFonts w:hint="eastAsia" w:ascii="黑体" w:hAnsi="黑体" w:eastAsia="黑体"/>
          <w:snapToGrid w:val="0"/>
          <w:sz w:val="30"/>
          <w:szCs w:val="30"/>
        </w:rPr>
        <w:t>三、区域环境质量现状、环境保护目标及评价标准</w:t>
      </w:r>
    </w:p>
    <w:tbl>
      <w:tblPr>
        <w:tblStyle w:val="16"/>
        <w:tblW w:w="89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6294F3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800" w:type="dxa"/>
            <w:vAlign w:val="center"/>
          </w:tcPr>
          <w:p w14:paraId="70F5B7D0">
            <w:pPr>
              <w:adjustRightInd w:val="0"/>
              <w:snapToGrid w:val="0"/>
              <w:jc w:val="center"/>
              <w:rPr>
                <w:rFonts w:ascii="Times New Roman" w:hAnsi="Times New Roman" w:cs="Times New Roman"/>
                <w:szCs w:val="21"/>
              </w:rPr>
            </w:pPr>
            <w:r>
              <w:rPr>
                <w:rFonts w:ascii="Times New Roman" w:hAnsi="Times New Roman" w:cs="Times New Roman"/>
                <w:szCs w:val="21"/>
              </w:rPr>
              <w:t>区域</w:t>
            </w:r>
          </w:p>
          <w:p w14:paraId="1D99A3EC">
            <w:pPr>
              <w:adjustRightInd w:val="0"/>
              <w:snapToGrid w:val="0"/>
              <w:jc w:val="center"/>
              <w:rPr>
                <w:rFonts w:ascii="Times New Roman" w:hAnsi="Times New Roman" w:cs="Times New Roman"/>
                <w:szCs w:val="21"/>
              </w:rPr>
            </w:pPr>
            <w:r>
              <w:rPr>
                <w:rFonts w:ascii="Times New Roman" w:hAnsi="Times New Roman" w:cs="Times New Roman"/>
                <w:szCs w:val="21"/>
              </w:rPr>
              <w:t>环境</w:t>
            </w:r>
          </w:p>
          <w:p w14:paraId="2A3243DE">
            <w:pPr>
              <w:adjustRightInd w:val="0"/>
              <w:snapToGrid w:val="0"/>
              <w:jc w:val="center"/>
              <w:rPr>
                <w:rFonts w:ascii="Times New Roman" w:hAnsi="Times New Roman" w:cs="Times New Roman"/>
                <w:szCs w:val="21"/>
              </w:rPr>
            </w:pPr>
            <w:r>
              <w:rPr>
                <w:rFonts w:ascii="Times New Roman" w:hAnsi="Times New Roman" w:cs="Times New Roman"/>
                <w:szCs w:val="21"/>
              </w:rPr>
              <w:t>质量</w:t>
            </w:r>
          </w:p>
          <w:p w14:paraId="656258CA">
            <w:pPr>
              <w:adjustRightInd w:val="0"/>
              <w:snapToGrid w:val="0"/>
              <w:jc w:val="center"/>
              <w:rPr>
                <w:rFonts w:ascii="Times New Roman" w:hAnsi="Times New Roman" w:cs="Times New Roman"/>
                <w:szCs w:val="21"/>
              </w:rPr>
            </w:pPr>
            <w:r>
              <w:rPr>
                <w:rFonts w:ascii="Times New Roman" w:hAnsi="Times New Roman" w:cs="Times New Roman"/>
                <w:szCs w:val="21"/>
              </w:rPr>
              <w:t>现状</w:t>
            </w:r>
          </w:p>
        </w:tc>
        <w:tc>
          <w:tcPr>
            <w:tcW w:w="8190" w:type="dxa"/>
            <w:vAlign w:val="center"/>
          </w:tcPr>
          <w:p w14:paraId="08F51F9E">
            <w:pPr>
              <w:pStyle w:val="42"/>
              <w:ind w:firstLine="0" w:firstLineChars="0"/>
              <w:rPr>
                <w:b/>
                <w:bCs/>
                <w:color w:val="000000"/>
              </w:rPr>
            </w:pPr>
            <w:r>
              <w:rPr>
                <w:b/>
                <w:bCs/>
                <w:color w:val="000000"/>
              </w:rPr>
              <w:t>1、大气环境质量现状评价</w:t>
            </w:r>
          </w:p>
          <w:p w14:paraId="3ECAA8E5">
            <w:pPr>
              <w:adjustRightInd w:val="0"/>
              <w:snapToGrid w:val="0"/>
              <w:spacing w:line="360" w:lineRule="auto"/>
              <w:rPr>
                <w:rFonts w:ascii="Times New Roman" w:hAnsi="Times New Roman" w:cs="Times New Roman"/>
                <w:b/>
                <w:bCs/>
                <w:color w:val="000000"/>
                <w:szCs w:val="21"/>
              </w:rPr>
            </w:pPr>
            <w:r>
              <w:rPr>
                <w:rFonts w:ascii="Times New Roman" w:hAnsi="Times New Roman" w:cs="Times New Roman"/>
                <w:b/>
                <w:bCs/>
                <w:color w:val="000000"/>
                <w:szCs w:val="21"/>
              </w:rPr>
              <w:t>1.1基本污染物</w:t>
            </w:r>
          </w:p>
          <w:p w14:paraId="7FBE3161">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（1）数据来源</w:t>
            </w:r>
          </w:p>
          <w:p w14:paraId="3E794E6C">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根据《环境影响评价技术导则 大气环境》（H.J2.2-2018），对于基本污染物环境质量现状数据，项目所在区域达标判定优先采用国家或地方生态环境主管部门公开发布的评价基准年环境质量公告或环境质量报告中的数据或结论。</w:t>
            </w:r>
          </w:p>
          <w:p w14:paraId="4EC26C8F">
            <w:pPr>
              <w:adjustRightInd w:val="0"/>
              <w:snapToGrid w:val="0"/>
              <w:spacing w:line="360" w:lineRule="auto"/>
              <w:ind w:firstLine="480" w:firstLineChars="200"/>
              <w:rPr>
                <w:rFonts w:ascii="Times New Roman" w:hAnsi="Times New Roman" w:cs="Times New Roman"/>
                <w:color w:val="000000"/>
                <w:szCs w:val="21"/>
              </w:rPr>
            </w:pPr>
            <w:r>
              <w:rPr>
                <w:rFonts w:ascii="Times New Roman" w:hAnsi="Times New Roman" w:cs="Times New Roman"/>
                <w:color w:val="000000"/>
                <w:szCs w:val="21"/>
              </w:rPr>
              <w:t>根据《环境影响评价技术导则 大气环境》（HJ2.2-2018）对环境质量现状数据的要求，本次评价选择距本项目40km的吉木萨尔县环境监测站2024年的空气质量逐日监测数据，作为本项目环境空气现状评价基本污染物SO</w:t>
            </w:r>
            <w:r>
              <w:rPr>
                <w:rFonts w:ascii="Times New Roman" w:hAnsi="Times New Roman" w:cs="Times New Roman"/>
                <w:color w:val="000000"/>
                <w:szCs w:val="21"/>
                <w:vertAlign w:val="subscript"/>
              </w:rPr>
              <w:t>2</w:t>
            </w:r>
            <w:r>
              <w:rPr>
                <w:rFonts w:ascii="Times New Roman" w:hAnsi="Times New Roman" w:cs="Times New Roman"/>
                <w:color w:val="000000"/>
                <w:szCs w:val="21"/>
              </w:rPr>
              <w:t>、NO</w:t>
            </w:r>
            <w:r>
              <w:rPr>
                <w:rFonts w:ascii="Times New Roman" w:hAnsi="Times New Roman" w:cs="Times New Roman"/>
                <w:color w:val="000000"/>
                <w:szCs w:val="21"/>
                <w:vertAlign w:val="subscript"/>
              </w:rPr>
              <w:t>2</w:t>
            </w:r>
            <w:r>
              <w:rPr>
                <w:rFonts w:ascii="Times New Roman" w:hAnsi="Times New Roman" w:cs="Times New Roman"/>
                <w:color w:val="000000"/>
                <w:szCs w:val="21"/>
              </w:rPr>
              <w:t>、PM</w:t>
            </w:r>
            <w:r>
              <w:rPr>
                <w:rFonts w:ascii="Times New Roman" w:hAnsi="Times New Roman" w:cs="Times New Roman"/>
                <w:color w:val="000000"/>
                <w:szCs w:val="21"/>
                <w:vertAlign w:val="subscript"/>
              </w:rPr>
              <w:t>10</w:t>
            </w:r>
            <w:r>
              <w:rPr>
                <w:rFonts w:ascii="Times New Roman" w:hAnsi="Times New Roman" w:cs="Times New Roman"/>
                <w:color w:val="000000"/>
                <w:szCs w:val="21"/>
              </w:rPr>
              <w:t>、PM</w:t>
            </w:r>
            <w:r>
              <w:rPr>
                <w:rFonts w:ascii="Times New Roman" w:hAnsi="Times New Roman" w:cs="Times New Roman"/>
                <w:color w:val="000000"/>
                <w:szCs w:val="21"/>
                <w:vertAlign w:val="subscript"/>
              </w:rPr>
              <w:t>2.5</w:t>
            </w:r>
            <w:r>
              <w:rPr>
                <w:rFonts w:ascii="Times New Roman" w:hAnsi="Times New Roman" w:cs="Times New Roman"/>
                <w:color w:val="000000"/>
                <w:szCs w:val="21"/>
              </w:rPr>
              <w:t>、CO和O</w:t>
            </w:r>
            <w:r>
              <w:rPr>
                <w:rFonts w:ascii="Times New Roman" w:hAnsi="Times New Roman" w:cs="Times New Roman"/>
                <w:color w:val="000000"/>
                <w:szCs w:val="21"/>
                <w:vertAlign w:val="subscript"/>
              </w:rPr>
              <w:t>3</w:t>
            </w:r>
            <w:r>
              <w:rPr>
                <w:rFonts w:ascii="Times New Roman" w:hAnsi="Times New Roman" w:cs="Times New Roman"/>
                <w:color w:val="000000"/>
                <w:szCs w:val="21"/>
              </w:rPr>
              <w:t>的数据来源。</w:t>
            </w:r>
          </w:p>
          <w:p w14:paraId="13CB964C">
            <w:pPr>
              <w:adjustRightInd w:val="0"/>
              <w:snapToGrid w:val="0"/>
              <w:spacing w:line="360" w:lineRule="auto"/>
              <w:rPr>
                <w:rFonts w:ascii="Times New Roman" w:hAnsi="Times New Roman" w:cs="Times New Roman"/>
              </w:rPr>
            </w:pPr>
            <w:r>
              <w:rPr>
                <w:rFonts w:ascii="Times New Roman" w:hAnsi="Times New Roman" w:cs="Times New Roman"/>
              </w:rPr>
              <w:t>（2）评价标准</w:t>
            </w:r>
          </w:p>
          <w:p w14:paraId="0451AE1D">
            <w:pPr>
              <w:adjustRightInd w:val="0"/>
              <w:snapToGrid w:val="0"/>
              <w:spacing w:line="360" w:lineRule="auto"/>
              <w:ind w:firstLine="480" w:firstLineChars="200"/>
              <w:rPr>
                <w:rFonts w:ascii="Times New Roman" w:hAnsi="Times New Roman" w:cs="Times New Roman"/>
                <w:color w:val="000000"/>
              </w:rPr>
            </w:pPr>
            <w:r>
              <w:rPr>
                <w:rFonts w:ascii="Times New Roman" w:hAnsi="Times New Roman" w:cs="Times New Roman"/>
              </w:rPr>
              <w:t>根据环境空气质量功能区划分规定，本次评价基本污染物为</w:t>
            </w:r>
            <w:r>
              <w:rPr>
                <w:rFonts w:ascii="Times New Roman" w:hAnsi="Times New Roman" w:cs="Times New Roman"/>
                <w:color w:val="000000"/>
              </w:rPr>
              <w:t>SO</w:t>
            </w:r>
            <w:r>
              <w:rPr>
                <w:rFonts w:ascii="Times New Roman" w:hAnsi="Times New Roman" w:cs="Times New Roman"/>
                <w:color w:val="000000"/>
                <w:vertAlign w:val="subscript"/>
              </w:rPr>
              <w:t>2</w:t>
            </w:r>
            <w:r>
              <w:rPr>
                <w:rFonts w:ascii="Times New Roman" w:hAnsi="Times New Roman" w:cs="Times New Roman"/>
                <w:color w:val="000000"/>
              </w:rPr>
              <w:t>、NO</w:t>
            </w:r>
            <w:r>
              <w:rPr>
                <w:rFonts w:ascii="Times New Roman" w:hAnsi="Times New Roman" w:cs="Times New Roman"/>
                <w:color w:val="000000"/>
                <w:vertAlign w:val="subscript"/>
              </w:rPr>
              <w:t>2</w:t>
            </w:r>
            <w:r>
              <w:rPr>
                <w:rFonts w:ascii="Times New Roman" w:hAnsi="Times New Roman" w:cs="Times New Roman"/>
                <w:color w:val="000000"/>
              </w:rPr>
              <w:t>、PM</w:t>
            </w:r>
            <w:r>
              <w:rPr>
                <w:rFonts w:ascii="Times New Roman" w:hAnsi="Times New Roman" w:cs="Times New Roman"/>
                <w:color w:val="000000"/>
                <w:vertAlign w:val="subscript"/>
              </w:rPr>
              <w:t>10</w:t>
            </w:r>
            <w:r>
              <w:rPr>
                <w:rFonts w:ascii="Times New Roman" w:hAnsi="Times New Roman" w:cs="Times New Roman"/>
                <w:color w:val="000000"/>
              </w:rPr>
              <w:t>、PM</w:t>
            </w:r>
            <w:r>
              <w:rPr>
                <w:rFonts w:ascii="Times New Roman" w:hAnsi="Times New Roman" w:cs="Times New Roman"/>
                <w:color w:val="000000"/>
                <w:vertAlign w:val="subscript"/>
              </w:rPr>
              <w:t>2.5</w:t>
            </w:r>
            <w:r>
              <w:rPr>
                <w:rFonts w:ascii="Times New Roman" w:hAnsi="Times New Roman" w:cs="Times New Roman"/>
                <w:color w:val="000000"/>
              </w:rPr>
              <w:t>、CO、O</w:t>
            </w:r>
            <w:r>
              <w:rPr>
                <w:rFonts w:ascii="Times New Roman" w:hAnsi="Times New Roman" w:cs="Times New Roman"/>
                <w:color w:val="000000"/>
                <w:vertAlign w:val="subscript"/>
              </w:rPr>
              <w:t>3</w:t>
            </w:r>
            <w:r>
              <w:rPr>
                <w:rFonts w:ascii="Times New Roman" w:hAnsi="Times New Roman" w:cs="Times New Roman"/>
                <w:color w:val="000000"/>
              </w:rPr>
              <w:t>执行《环境空气质量标准》（GB3095-2026）中的过渡阶段二级标准。</w:t>
            </w:r>
          </w:p>
          <w:p w14:paraId="4C915378">
            <w:pPr>
              <w:adjustRightInd w:val="0"/>
              <w:snapToGrid w:val="0"/>
              <w:spacing w:line="360" w:lineRule="auto"/>
              <w:rPr>
                <w:rFonts w:ascii="Times New Roman" w:hAnsi="Times New Roman" w:cs="Times New Roman"/>
              </w:rPr>
            </w:pPr>
            <w:r>
              <w:rPr>
                <w:rFonts w:ascii="Times New Roman" w:hAnsi="Times New Roman" w:cs="Times New Roman"/>
              </w:rPr>
              <w:t>（3）评价方法</w:t>
            </w:r>
          </w:p>
          <w:p w14:paraId="7E3C00A0">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按照《环境空气质量评价技术规范（试行）》（HJ663-2026）中各评价项目的年评价指标进行评价。年评价指标中的年均浓度和相应百分位数24h平均或8h平均质量浓度满足《环境空气质量标准》（GB3095-2026）中过渡阶段二级浓度限值要求的即为达标。对于超标的污染物，计算其超标倍数和超标率。</w:t>
            </w:r>
          </w:p>
          <w:p w14:paraId="5EF0F8C1">
            <w:pPr>
              <w:adjustRightInd w:val="0"/>
              <w:snapToGrid w:val="0"/>
              <w:spacing w:line="360" w:lineRule="auto"/>
              <w:rPr>
                <w:rFonts w:ascii="Times New Roman" w:hAnsi="Times New Roman" w:cs="Times New Roman"/>
              </w:rPr>
            </w:pPr>
            <w:r>
              <w:rPr>
                <w:rFonts w:ascii="Times New Roman" w:hAnsi="Times New Roman" w:cs="Times New Roman"/>
              </w:rPr>
              <w:t>（4）项目所在区域空气质量达标区的判定</w:t>
            </w:r>
          </w:p>
          <w:p w14:paraId="5D83DD0D">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区域环境空气质量现状评价结果见表3-1。</w:t>
            </w:r>
          </w:p>
          <w:p w14:paraId="26C42CDE">
            <w:pPr>
              <w:adjustRightInd w:val="0"/>
              <w:snapToGrid w:val="0"/>
              <w:ind w:firstLine="442" w:firstLineChars="200"/>
              <w:jc w:val="center"/>
              <w:rPr>
                <w:rFonts w:ascii="Times New Roman" w:hAnsi="Times New Roman" w:cs="Times New Roman"/>
                <w:szCs w:val="21"/>
              </w:rPr>
            </w:pPr>
            <w:r>
              <w:rPr>
                <w:rFonts w:ascii="Times New Roman" w:hAnsi="Times New Roman" w:cs="Times New Roman"/>
                <w:b/>
                <w:spacing w:val="-10"/>
                <w:szCs w:val="21"/>
              </w:rPr>
              <w:t>表3-1  环境空气质量现状评价表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5"/>
              <w:gridCol w:w="2187"/>
              <w:gridCol w:w="1327"/>
              <w:gridCol w:w="1327"/>
              <w:gridCol w:w="1158"/>
              <w:gridCol w:w="1260"/>
            </w:tblGrid>
            <w:tr w14:paraId="375CD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443" w:type="pct"/>
                  <w:tcMar>
                    <w:top w:w="15" w:type="dxa"/>
                    <w:left w:w="15" w:type="dxa"/>
                    <w:right w:w="15" w:type="dxa"/>
                  </w:tcMar>
                  <w:vAlign w:val="center"/>
                </w:tcPr>
                <w:p w14:paraId="1FC86378">
                  <w:pPr>
                    <w:jc w:val="center"/>
                    <w:rPr>
                      <w:rFonts w:ascii="Times New Roman" w:hAnsi="Times New Roman" w:cs="Times New Roman"/>
                      <w:szCs w:val="21"/>
                    </w:rPr>
                  </w:pPr>
                  <w:r>
                    <w:rPr>
                      <w:rFonts w:ascii="Times New Roman" w:hAnsi="Times New Roman" w:cs="Times New Roman"/>
                      <w:szCs w:val="21"/>
                    </w:rPr>
                    <w:t>污染物</w:t>
                  </w:r>
                </w:p>
              </w:tc>
              <w:tc>
                <w:tcPr>
                  <w:tcW w:w="1373" w:type="pct"/>
                  <w:tcMar>
                    <w:top w:w="15" w:type="dxa"/>
                    <w:left w:w="15" w:type="dxa"/>
                    <w:right w:w="15" w:type="dxa"/>
                  </w:tcMar>
                  <w:vAlign w:val="center"/>
                </w:tcPr>
                <w:p w14:paraId="659CC34A">
                  <w:pPr>
                    <w:jc w:val="center"/>
                    <w:rPr>
                      <w:rFonts w:ascii="Times New Roman" w:hAnsi="Times New Roman" w:cs="Times New Roman"/>
                      <w:szCs w:val="21"/>
                    </w:rPr>
                  </w:pPr>
                  <w:r>
                    <w:rPr>
                      <w:rFonts w:ascii="Times New Roman" w:hAnsi="Times New Roman" w:cs="Times New Roman"/>
                      <w:szCs w:val="21"/>
                    </w:rPr>
                    <w:t>年评价指标</w:t>
                  </w:r>
                </w:p>
              </w:tc>
              <w:tc>
                <w:tcPr>
                  <w:tcW w:w="833" w:type="pct"/>
                  <w:tcMar>
                    <w:top w:w="15" w:type="dxa"/>
                    <w:left w:w="15" w:type="dxa"/>
                    <w:right w:w="15" w:type="dxa"/>
                  </w:tcMar>
                  <w:vAlign w:val="center"/>
                </w:tcPr>
                <w:p w14:paraId="49FCDFC6">
                  <w:pPr>
                    <w:jc w:val="center"/>
                    <w:rPr>
                      <w:rFonts w:ascii="Times New Roman" w:hAnsi="Times New Roman" w:cs="Times New Roman"/>
                      <w:szCs w:val="21"/>
                    </w:rPr>
                  </w:pPr>
                  <w:r>
                    <w:rPr>
                      <w:rFonts w:ascii="Times New Roman" w:hAnsi="Times New Roman" w:cs="Times New Roman"/>
                      <w:szCs w:val="21"/>
                    </w:rPr>
                    <w:t>评价标准（µg/m³）</w:t>
                  </w:r>
                </w:p>
              </w:tc>
              <w:tc>
                <w:tcPr>
                  <w:tcW w:w="833" w:type="pct"/>
                  <w:tcMar>
                    <w:top w:w="15" w:type="dxa"/>
                    <w:left w:w="15" w:type="dxa"/>
                    <w:right w:w="15" w:type="dxa"/>
                  </w:tcMar>
                  <w:vAlign w:val="center"/>
                </w:tcPr>
                <w:p w14:paraId="05218C5F">
                  <w:pPr>
                    <w:jc w:val="center"/>
                    <w:rPr>
                      <w:rFonts w:ascii="Times New Roman" w:hAnsi="Times New Roman" w:cs="Times New Roman"/>
                      <w:szCs w:val="21"/>
                    </w:rPr>
                  </w:pPr>
                  <w:r>
                    <w:rPr>
                      <w:rFonts w:ascii="Times New Roman" w:hAnsi="Times New Roman" w:cs="Times New Roman"/>
                      <w:szCs w:val="21"/>
                    </w:rPr>
                    <w:t>现状浓度（µg/m³）</w:t>
                  </w:r>
                </w:p>
              </w:tc>
              <w:tc>
                <w:tcPr>
                  <w:tcW w:w="727" w:type="pct"/>
                  <w:tcMar>
                    <w:top w:w="15" w:type="dxa"/>
                    <w:left w:w="15" w:type="dxa"/>
                    <w:right w:w="15" w:type="dxa"/>
                  </w:tcMar>
                  <w:vAlign w:val="center"/>
                </w:tcPr>
                <w:p w14:paraId="7312B907">
                  <w:pPr>
                    <w:jc w:val="center"/>
                    <w:rPr>
                      <w:rFonts w:ascii="Times New Roman" w:hAnsi="Times New Roman" w:cs="Times New Roman"/>
                      <w:szCs w:val="21"/>
                    </w:rPr>
                  </w:pPr>
                  <w:r>
                    <w:rPr>
                      <w:rFonts w:ascii="Times New Roman" w:hAnsi="Times New Roman" w:cs="Times New Roman"/>
                      <w:szCs w:val="21"/>
                    </w:rPr>
                    <w:t>占标率%</w:t>
                  </w:r>
                </w:p>
              </w:tc>
              <w:tc>
                <w:tcPr>
                  <w:tcW w:w="791" w:type="pct"/>
                  <w:tcMar>
                    <w:top w:w="15" w:type="dxa"/>
                    <w:left w:w="15" w:type="dxa"/>
                    <w:right w:w="15" w:type="dxa"/>
                  </w:tcMar>
                  <w:vAlign w:val="center"/>
                </w:tcPr>
                <w:p w14:paraId="30513B4D">
                  <w:pPr>
                    <w:jc w:val="center"/>
                    <w:rPr>
                      <w:rFonts w:ascii="Times New Roman" w:hAnsi="Times New Roman" w:cs="Times New Roman"/>
                      <w:szCs w:val="21"/>
                    </w:rPr>
                  </w:pPr>
                  <w:r>
                    <w:rPr>
                      <w:rFonts w:ascii="Times New Roman" w:hAnsi="Times New Roman" w:cs="Times New Roman"/>
                      <w:szCs w:val="21"/>
                    </w:rPr>
                    <w:t>达标情况</w:t>
                  </w:r>
                </w:p>
              </w:tc>
            </w:tr>
            <w:tr w14:paraId="5120C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43" w:type="pct"/>
                  <w:vMerge w:val="restart"/>
                  <w:tcMar>
                    <w:top w:w="15" w:type="dxa"/>
                    <w:left w:w="15" w:type="dxa"/>
                    <w:right w:w="15" w:type="dxa"/>
                  </w:tcMar>
                  <w:vAlign w:val="center"/>
                </w:tcPr>
                <w:p w14:paraId="00077C1E">
                  <w:pPr>
                    <w:jc w:val="center"/>
                    <w:rPr>
                      <w:rFonts w:ascii="Times New Roman" w:hAnsi="Times New Roman" w:cs="Times New Roman"/>
                      <w:szCs w:val="21"/>
                    </w:rPr>
                  </w:pPr>
                  <w:r>
                    <w:rPr>
                      <w:rFonts w:ascii="Times New Roman" w:hAnsi="Times New Roman" w:cs="Times New Roman"/>
                      <w:szCs w:val="21"/>
                    </w:rPr>
                    <w:t>SO</w:t>
                  </w:r>
                  <w:r>
                    <w:rPr>
                      <w:rFonts w:ascii="Times New Roman" w:hAnsi="Times New Roman" w:cs="Times New Roman"/>
                      <w:szCs w:val="21"/>
                      <w:vertAlign w:val="subscript"/>
                    </w:rPr>
                    <w:t>2</w:t>
                  </w:r>
                </w:p>
              </w:tc>
              <w:tc>
                <w:tcPr>
                  <w:tcW w:w="1373" w:type="pct"/>
                  <w:tcMar>
                    <w:top w:w="15" w:type="dxa"/>
                    <w:left w:w="15" w:type="dxa"/>
                    <w:right w:w="15" w:type="dxa"/>
                  </w:tcMar>
                  <w:vAlign w:val="center"/>
                </w:tcPr>
                <w:p w14:paraId="3A3134C9">
                  <w:pPr>
                    <w:jc w:val="center"/>
                    <w:rPr>
                      <w:rFonts w:ascii="Times New Roman" w:hAnsi="Times New Roman" w:cs="Times New Roman"/>
                      <w:szCs w:val="21"/>
                    </w:rPr>
                  </w:pPr>
                  <w:r>
                    <w:rPr>
                      <w:rFonts w:ascii="Times New Roman" w:hAnsi="Times New Roman" w:cs="Times New Roman"/>
                      <w:szCs w:val="21"/>
                    </w:rPr>
                    <w:t>年平均质量浓度</w:t>
                  </w:r>
                </w:p>
              </w:tc>
              <w:tc>
                <w:tcPr>
                  <w:tcW w:w="833" w:type="pct"/>
                  <w:tcMar>
                    <w:top w:w="15" w:type="dxa"/>
                    <w:left w:w="15" w:type="dxa"/>
                    <w:right w:w="15" w:type="dxa"/>
                  </w:tcMar>
                  <w:vAlign w:val="center"/>
                </w:tcPr>
                <w:p w14:paraId="0CC2CB1B">
                  <w:pPr>
                    <w:jc w:val="center"/>
                    <w:rPr>
                      <w:rFonts w:ascii="Times New Roman" w:hAnsi="Times New Roman" w:cs="Times New Roman"/>
                      <w:szCs w:val="21"/>
                    </w:rPr>
                  </w:pPr>
                  <w:r>
                    <w:rPr>
                      <w:rFonts w:ascii="Times New Roman" w:hAnsi="Times New Roman" w:cs="Times New Roman"/>
                      <w:szCs w:val="21"/>
                    </w:rPr>
                    <w:t>60</w:t>
                  </w:r>
                </w:p>
              </w:tc>
              <w:tc>
                <w:tcPr>
                  <w:tcW w:w="833" w:type="pct"/>
                  <w:tcMar>
                    <w:top w:w="15" w:type="dxa"/>
                    <w:left w:w="15" w:type="dxa"/>
                    <w:right w:w="15" w:type="dxa"/>
                  </w:tcMar>
                  <w:vAlign w:val="center"/>
                </w:tcPr>
                <w:p w14:paraId="27F681E2">
                  <w:pPr>
                    <w:jc w:val="center"/>
                    <w:rPr>
                      <w:rFonts w:ascii="Times New Roman" w:hAnsi="Times New Roman" w:cs="Times New Roman"/>
                      <w:szCs w:val="21"/>
                    </w:rPr>
                  </w:pPr>
                  <w:r>
                    <w:rPr>
                      <w:rFonts w:ascii="Times New Roman" w:hAnsi="Times New Roman" w:cs="Times New Roman"/>
                      <w:szCs w:val="21"/>
                    </w:rPr>
                    <w:t>5</w:t>
                  </w:r>
                </w:p>
              </w:tc>
              <w:tc>
                <w:tcPr>
                  <w:tcW w:w="727" w:type="pct"/>
                  <w:tcMar>
                    <w:top w:w="15" w:type="dxa"/>
                    <w:left w:w="15" w:type="dxa"/>
                    <w:right w:w="15" w:type="dxa"/>
                  </w:tcMar>
                  <w:vAlign w:val="center"/>
                </w:tcPr>
                <w:p w14:paraId="36E181FC">
                  <w:pPr>
                    <w:jc w:val="center"/>
                    <w:rPr>
                      <w:rFonts w:ascii="Times New Roman" w:hAnsi="Times New Roman" w:cs="Times New Roman"/>
                      <w:szCs w:val="21"/>
                    </w:rPr>
                  </w:pPr>
                  <w:r>
                    <w:rPr>
                      <w:rFonts w:ascii="Times New Roman" w:hAnsi="Times New Roman" w:cs="Times New Roman"/>
                      <w:szCs w:val="21"/>
                    </w:rPr>
                    <w:t>8</w:t>
                  </w:r>
                </w:p>
              </w:tc>
              <w:tc>
                <w:tcPr>
                  <w:tcW w:w="791" w:type="pct"/>
                  <w:tcMar>
                    <w:top w:w="15" w:type="dxa"/>
                    <w:left w:w="15" w:type="dxa"/>
                    <w:right w:w="15" w:type="dxa"/>
                  </w:tcMar>
                  <w:vAlign w:val="center"/>
                </w:tcPr>
                <w:p w14:paraId="044473F2">
                  <w:pPr>
                    <w:jc w:val="center"/>
                    <w:rPr>
                      <w:rFonts w:ascii="Times New Roman" w:hAnsi="Times New Roman" w:cs="Times New Roman"/>
                      <w:szCs w:val="21"/>
                    </w:rPr>
                  </w:pPr>
                  <w:r>
                    <w:rPr>
                      <w:rFonts w:ascii="Times New Roman" w:hAnsi="Times New Roman" w:cs="Times New Roman"/>
                      <w:szCs w:val="21"/>
                    </w:rPr>
                    <w:t>达标</w:t>
                  </w:r>
                </w:p>
              </w:tc>
            </w:tr>
            <w:tr w14:paraId="4BD6C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43" w:type="pct"/>
                  <w:vMerge w:val="continue"/>
                  <w:tcMar>
                    <w:top w:w="15" w:type="dxa"/>
                    <w:left w:w="15" w:type="dxa"/>
                    <w:right w:w="15" w:type="dxa"/>
                  </w:tcMar>
                  <w:vAlign w:val="center"/>
                </w:tcPr>
                <w:p w14:paraId="71292901">
                  <w:pPr>
                    <w:jc w:val="center"/>
                    <w:rPr>
                      <w:rFonts w:ascii="Times New Roman" w:hAnsi="Times New Roman" w:cs="Times New Roman"/>
                      <w:szCs w:val="21"/>
                    </w:rPr>
                  </w:pPr>
                </w:p>
              </w:tc>
              <w:tc>
                <w:tcPr>
                  <w:tcW w:w="1373" w:type="pct"/>
                  <w:tcMar>
                    <w:top w:w="15" w:type="dxa"/>
                    <w:left w:w="15" w:type="dxa"/>
                    <w:right w:w="15" w:type="dxa"/>
                  </w:tcMar>
                  <w:vAlign w:val="center"/>
                </w:tcPr>
                <w:p w14:paraId="53170618">
                  <w:pPr>
                    <w:jc w:val="center"/>
                    <w:rPr>
                      <w:rFonts w:ascii="Times New Roman" w:hAnsi="Times New Roman" w:cs="Times New Roman"/>
                      <w:szCs w:val="21"/>
                    </w:rPr>
                  </w:pPr>
                  <w:r>
                    <w:rPr>
                      <w:rFonts w:ascii="Times New Roman" w:hAnsi="Times New Roman" w:cs="Times New Roman"/>
                      <w:szCs w:val="21"/>
                    </w:rPr>
                    <w:t>24小时平均第98百分位数</w:t>
                  </w:r>
                </w:p>
              </w:tc>
              <w:tc>
                <w:tcPr>
                  <w:tcW w:w="833" w:type="pct"/>
                  <w:tcMar>
                    <w:top w:w="15" w:type="dxa"/>
                    <w:left w:w="15" w:type="dxa"/>
                    <w:right w:w="15" w:type="dxa"/>
                  </w:tcMar>
                  <w:vAlign w:val="center"/>
                </w:tcPr>
                <w:p w14:paraId="3551B4F0">
                  <w:pPr>
                    <w:jc w:val="center"/>
                    <w:rPr>
                      <w:rFonts w:ascii="Times New Roman" w:hAnsi="Times New Roman" w:cs="Times New Roman"/>
                      <w:szCs w:val="21"/>
                    </w:rPr>
                  </w:pPr>
                  <w:r>
                    <w:rPr>
                      <w:rFonts w:ascii="Times New Roman" w:hAnsi="Times New Roman" w:cs="Times New Roman"/>
                      <w:szCs w:val="21"/>
                    </w:rPr>
                    <w:t>150</w:t>
                  </w:r>
                </w:p>
              </w:tc>
              <w:tc>
                <w:tcPr>
                  <w:tcW w:w="833" w:type="pct"/>
                  <w:tcMar>
                    <w:top w:w="15" w:type="dxa"/>
                    <w:left w:w="15" w:type="dxa"/>
                    <w:right w:w="15" w:type="dxa"/>
                  </w:tcMar>
                  <w:vAlign w:val="center"/>
                </w:tcPr>
                <w:p w14:paraId="1A973C72">
                  <w:pPr>
                    <w:jc w:val="center"/>
                    <w:rPr>
                      <w:rFonts w:ascii="Times New Roman" w:hAnsi="Times New Roman" w:cs="Times New Roman"/>
                      <w:szCs w:val="21"/>
                    </w:rPr>
                  </w:pPr>
                  <w:r>
                    <w:rPr>
                      <w:rFonts w:ascii="Times New Roman" w:hAnsi="Times New Roman" w:cs="Times New Roman"/>
                      <w:szCs w:val="21"/>
                    </w:rPr>
                    <w:t>10</w:t>
                  </w:r>
                </w:p>
              </w:tc>
              <w:tc>
                <w:tcPr>
                  <w:tcW w:w="727" w:type="pct"/>
                  <w:tcMar>
                    <w:top w:w="15" w:type="dxa"/>
                    <w:left w:w="15" w:type="dxa"/>
                    <w:right w:w="15" w:type="dxa"/>
                  </w:tcMar>
                  <w:vAlign w:val="center"/>
                </w:tcPr>
                <w:p w14:paraId="36F6B26A">
                  <w:pPr>
                    <w:jc w:val="center"/>
                    <w:rPr>
                      <w:rFonts w:ascii="Times New Roman" w:hAnsi="Times New Roman" w:cs="Times New Roman"/>
                      <w:szCs w:val="21"/>
                    </w:rPr>
                  </w:pPr>
                  <w:r>
                    <w:rPr>
                      <w:rFonts w:ascii="Times New Roman" w:hAnsi="Times New Roman" w:cs="Times New Roman"/>
                      <w:szCs w:val="21"/>
                    </w:rPr>
                    <w:t>7</w:t>
                  </w:r>
                </w:p>
              </w:tc>
              <w:tc>
                <w:tcPr>
                  <w:tcW w:w="791" w:type="pct"/>
                  <w:tcMar>
                    <w:top w:w="15" w:type="dxa"/>
                    <w:left w:w="15" w:type="dxa"/>
                    <w:right w:w="15" w:type="dxa"/>
                  </w:tcMar>
                  <w:vAlign w:val="center"/>
                </w:tcPr>
                <w:p w14:paraId="31274D8C">
                  <w:pPr>
                    <w:jc w:val="center"/>
                    <w:rPr>
                      <w:rFonts w:ascii="Times New Roman" w:hAnsi="Times New Roman" w:cs="Times New Roman"/>
                      <w:szCs w:val="21"/>
                    </w:rPr>
                  </w:pPr>
                  <w:r>
                    <w:rPr>
                      <w:rFonts w:ascii="Times New Roman" w:hAnsi="Times New Roman" w:cs="Times New Roman"/>
                      <w:szCs w:val="21"/>
                    </w:rPr>
                    <w:t>达标</w:t>
                  </w:r>
                </w:p>
              </w:tc>
            </w:tr>
            <w:tr w14:paraId="7201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43" w:type="pct"/>
                  <w:vMerge w:val="restart"/>
                  <w:tcMar>
                    <w:top w:w="15" w:type="dxa"/>
                    <w:left w:w="15" w:type="dxa"/>
                    <w:right w:w="15" w:type="dxa"/>
                  </w:tcMar>
                  <w:vAlign w:val="center"/>
                </w:tcPr>
                <w:p w14:paraId="08AFB3F2">
                  <w:pPr>
                    <w:jc w:val="center"/>
                    <w:rPr>
                      <w:rFonts w:ascii="Times New Roman" w:hAnsi="Times New Roman" w:cs="Times New Roman"/>
                      <w:szCs w:val="21"/>
                    </w:rPr>
                  </w:pPr>
                  <w:r>
                    <w:rPr>
                      <w:rFonts w:ascii="Times New Roman" w:hAnsi="Times New Roman" w:cs="Times New Roman"/>
                      <w:szCs w:val="21"/>
                    </w:rPr>
                    <w:t>NO</w:t>
                  </w:r>
                  <w:r>
                    <w:rPr>
                      <w:rFonts w:ascii="Times New Roman" w:hAnsi="Times New Roman" w:cs="Times New Roman"/>
                      <w:szCs w:val="21"/>
                      <w:vertAlign w:val="subscript"/>
                    </w:rPr>
                    <w:t>2</w:t>
                  </w:r>
                </w:p>
              </w:tc>
              <w:tc>
                <w:tcPr>
                  <w:tcW w:w="1373" w:type="pct"/>
                  <w:tcMar>
                    <w:top w:w="15" w:type="dxa"/>
                    <w:left w:w="15" w:type="dxa"/>
                    <w:right w:w="15" w:type="dxa"/>
                  </w:tcMar>
                  <w:vAlign w:val="center"/>
                </w:tcPr>
                <w:p w14:paraId="57971039">
                  <w:pPr>
                    <w:jc w:val="center"/>
                    <w:rPr>
                      <w:rFonts w:ascii="Times New Roman" w:hAnsi="Times New Roman" w:cs="Times New Roman"/>
                      <w:szCs w:val="21"/>
                    </w:rPr>
                  </w:pPr>
                  <w:r>
                    <w:rPr>
                      <w:rFonts w:ascii="Times New Roman" w:hAnsi="Times New Roman" w:cs="Times New Roman"/>
                      <w:szCs w:val="21"/>
                    </w:rPr>
                    <w:t>年平均质量浓度</w:t>
                  </w:r>
                </w:p>
              </w:tc>
              <w:tc>
                <w:tcPr>
                  <w:tcW w:w="833" w:type="pct"/>
                  <w:tcMar>
                    <w:top w:w="15" w:type="dxa"/>
                    <w:left w:w="15" w:type="dxa"/>
                    <w:right w:w="15" w:type="dxa"/>
                  </w:tcMar>
                  <w:vAlign w:val="center"/>
                </w:tcPr>
                <w:p w14:paraId="59563538">
                  <w:pPr>
                    <w:jc w:val="center"/>
                    <w:rPr>
                      <w:rFonts w:ascii="Times New Roman" w:hAnsi="Times New Roman" w:cs="Times New Roman"/>
                      <w:szCs w:val="21"/>
                    </w:rPr>
                  </w:pPr>
                  <w:r>
                    <w:rPr>
                      <w:rFonts w:ascii="Times New Roman" w:hAnsi="Times New Roman" w:cs="Times New Roman"/>
                      <w:szCs w:val="21"/>
                    </w:rPr>
                    <w:t>40</w:t>
                  </w:r>
                </w:p>
              </w:tc>
              <w:tc>
                <w:tcPr>
                  <w:tcW w:w="833" w:type="pct"/>
                  <w:tcMar>
                    <w:top w:w="15" w:type="dxa"/>
                    <w:left w:w="15" w:type="dxa"/>
                    <w:right w:w="15" w:type="dxa"/>
                  </w:tcMar>
                  <w:vAlign w:val="center"/>
                </w:tcPr>
                <w:p w14:paraId="5B448F5E">
                  <w:pPr>
                    <w:jc w:val="center"/>
                    <w:rPr>
                      <w:rFonts w:ascii="Times New Roman" w:hAnsi="Times New Roman" w:cs="Times New Roman"/>
                      <w:szCs w:val="21"/>
                    </w:rPr>
                  </w:pPr>
                  <w:r>
                    <w:rPr>
                      <w:rFonts w:ascii="Times New Roman" w:hAnsi="Times New Roman" w:cs="Times New Roman"/>
                      <w:szCs w:val="21"/>
                    </w:rPr>
                    <w:t>18</w:t>
                  </w:r>
                </w:p>
              </w:tc>
              <w:tc>
                <w:tcPr>
                  <w:tcW w:w="727" w:type="pct"/>
                  <w:tcMar>
                    <w:top w:w="15" w:type="dxa"/>
                    <w:left w:w="15" w:type="dxa"/>
                    <w:right w:w="15" w:type="dxa"/>
                  </w:tcMar>
                  <w:vAlign w:val="center"/>
                </w:tcPr>
                <w:p w14:paraId="703CE3CF">
                  <w:pPr>
                    <w:jc w:val="center"/>
                    <w:rPr>
                      <w:rFonts w:ascii="Times New Roman" w:hAnsi="Times New Roman" w:cs="Times New Roman"/>
                      <w:szCs w:val="21"/>
                    </w:rPr>
                  </w:pPr>
                  <w:r>
                    <w:rPr>
                      <w:rFonts w:ascii="Times New Roman" w:hAnsi="Times New Roman" w:cs="Times New Roman"/>
                      <w:szCs w:val="21"/>
                    </w:rPr>
                    <w:t>45</w:t>
                  </w:r>
                </w:p>
              </w:tc>
              <w:tc>
                <w:tcPr>
                  <w:tcW w:w="791" w:type="pct"/>
                  <w:tcMar>
                    <w:top w:w="15" w:type="dxa"/>
                    <w:left w:w="15" w:type="dxa"/>
                    <w:right w:w="15" w:type="dxa"/>
                  </w:tcMar>
                  <w:vAlign w:val="center"/>
                </w:tcPr>
                <w:p w14:paraId="6AFC7428">
                  <w:pPr>
                    <w:jc w:val="center"/>
                    <w:rPr>
                      <w:rFonts w:ascii="Times New Roman" w:hAnsi="Times New Roman" w:cs="Times New Roman"/>
                      <w:szCs w:val="21"/>
                    </w:rPr>
                  </w:pPr>
                  <w:r>
                    <w:rPr>
                      <w:rFonts w:ascii="Times New Roman" w:hAnsi="Times New Roman" w:cs="Times New Roman"/>
                      <w:szCs w:val="21"/>
                    </w:rPr>
                    <w:t>达标</w:t>
                  </w:r>
                </w:p>
              </w:tc>
            </w:tr>
            <w:tr w14:paraId="0F3AD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43" w:type="pct"/>
                  <w:vMerge w:val="continue"/>
                  <w:tcMar>
                    <w:top w:w="15" w:type="dxa"/>
                    <w:left w:w="15" w:type="dxa"/>
                    <w:right w:w="15" w:type="dxa"/>
                  </w:tcMar>
                  <w:vAlign w:val="center"/>
                </w:tcPr>
                <w:p w14:paraId="2F84A4B8">
                  <w:pPr>
                    <w:jc w:val="center"/>
                    <w:rPr>
                      <w:rFonts w:ascii="Times New Roman" w:hAnsi="Times New Roman" w:cs="Times New Roman"/>
                      <w:szCs w:val="21"/>
                    </w:rPr>
                  </w:pPr>
                </w:p>
              </w:tc>
              <w:tc>
                <w:tcPr>
                  <w:tcW w:w="1373" w:type="pct"/>
                  <w:tcMar>
                    <w:top w:w="15" w:type="dxa"/>
                    <w:left w:w="15" w:type="dxa"/>
                    <w:right w:w="15" w:type="dxa"/>
                  </w:tcMar>
                  <w:vAlign w:val="center"/>
                </w:tcPr>
                <w:p w14:paraId="0EAFF526">
                  <w:pPr>
                    <w:jc w:val="center"/>
                    <w:rPr>
                      <w:rFonts w:ascii="Times New Roman" w:hAnsi="Times New Roman" w:cs="Times New Roman"/>
                      <w:szCs w:val="21"/>
                    </w:rPr>
                  </w:pPr>
                  <w:r>
                    <w:rPr>
                      <w:rFonts w:ascii="Times New Roman" w:hAnsi="Times New Roman" w:cs="Times New Roman"/>
                      <w:szCs w:val="21"/>
                    </w:rPr>
                    <w:t>24小时平均第98百分位数</w:t>
                  </w:r>
                </w:p>
              </w:tc>
              <w:tc>
                <w:tcPr>
                  <w:tcW w:w="833" w:type="pct"/>
                  <w:tcMar>
                    <w:top w:w="15" w:type="dxa"/>
                    <w:left w:w="15" w:type="dxa"/>
                    <w:right w:w="15" w:type="dxa"/>
                  </w:tcMar>
                  <w:vAlign w:val="center"/>
                </w:tcPr>
                <w:p w14:paraId="0F5C5F2A">
                  <w:pPr>
                    <w:jc w:val="center"/>
                    <w:rPr>
                      <w:rFonts w:ascii="Times New Roman" w:hAnsi="Times New Roman" w:cs="Times New Roman"/>
                      <w:szCs w:val="21"/>
                    </w:rPr>
                  </w:pPr>
                  <w:r>
                    <w:rPr>
                      <w:rFonts w:ascii="Times New Roman" w:hAnsi="Times New Roman" w:cs="Times New Roman"/>
                      <w:szCs w:val="21"/>
                    </w:rPr>
                    <w:t>80</w:t>
                  </w:r>
                </w:p>
              </w:tc>
              <w:tc>
                <w:tcPr>
                  <w:tcW w:w="833" w:type="pct"/>
                  <w:tcMar>
                    <w:top w:w="15" w:type="dxa"/>
                    <w:left w:w="15" w:type="dxa"/>
                    <w:right w:w="15" w:type="dxa"/>
                  </w:tcMar>
                  <w:vAlign w:val="center"/>
                </w:tcPr>
                <w:p w14:paraId="65BB961D">
                  <w:pPr>
                    <w:jc w:val="center"/>
                    <w:rPr>
                      <w:rFonts w:ascii="Times New Roman" w:hAnsi="Times New Roman" w:cs="Times New Roman"/>
                      <w:szCs w:val="21"/>
                    </w:rPr>
                  </w:pPr>
                  <w:r>
                    <w:rPr>
                      <w:rFonts w:ascii="Times New Roman" w:hAnsi="Times New Roman" w:cs="Times New Roman"/>
                      <w:szCs w:val="21"/>
                    </w:rPr>
                    <w:t>48.7</w:t>
                  </w:r>
                </w:p>
              </w:tc>
              <w:tc>
                <w:tcPr>
                  <w:tcW w:w="727" w:type="pct"/>
                  <w:tcMar>
                    <w:top w:w="15" w:type="dxa"/>
                    <w:left w:w="15" w:type="dxa"/>
                    <w:right w:w="15" w:type="dxa"/>
                  </w:tcMar>
                  <w:vAlign w:val="center"/>
                </w:tcPr>
                <w:p w14:paraId="687AB7CA">
                  <w:pPr>
                    <w:jc w:val="center"/>
                    <w:rPr>
                      <w:rFonts w:ascii="Times New Roman" w:hAnsi="Times New Roman" w:cs="Times New Roman"/>
                      <w:szCs w:val="21"/>
                    </w:rPr>
                  </w:pPr>
                  <w:r>
                    <w:rPr>
                      <w:rFonts w:ascii="Times New Roman" w:hAnsi="Times New Roman" w:cs="Times New Roman"/>
                      <w:szCs w:val="21"/>
                    </w:rPr>
                    <w:t>61</w:t>
                  </w:r>
                </w:p>
              </w:tc>
              <w:tc>
                <w:tcPr>
                  <w:tcW w:w="791" w:type="pct"/>
                  <w:tcMar>
                    <w:top w:w="15" w:type="dxa"/>
                    <w:left w:w="15" w:type="dxa"/>
                    <w:right w:w="15" w:type="dxa"/>
                  </w:tcMar>
                  <w:vAlign w:val="center"/>
                </w:tcPr>
                <w:p w14:paraId="46E9B7BE">
                  <w:pPr>
                    <w:jc w:val="center"/>
                    <w:rPr>
                      <w:rFonts w:ascii="Times New Roman" w:hAnsi="Times New Roman" w:cs="Times New Roman"/>
                      <w:szCs w:val="21"/>
                    </w:rPr>
                  </w:pPr>
                  <w:r>
                    <w:rPr>
                      <w:rFonts w:ascii="Times New Roman" w:hAnsi="Times New Roman" w:cs="Times New Roman"/>
                      <w:szCs w:val="21"/>
                    </w:rPr>
                    <w:t>达标</w:t>
                  </w:r>
                </w:p>
              </w:tc>
            </w:tr>
            <w:tr w14:paraId="24DF8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43" w:type="pct"/>
                  <w:vMerge w:val="restart"/>
                  <w:tcMar>
                    <w:top w:w="15" w:type="dxa"/>
                    <w:left w:w="15" w:type="dxa"/>
                    <w:right w:w="15" w:type="dxa"/>
                  </w:tcMar>
                  <w:vAlign w:val="center"/>
                </w:tcPr>
                <w:p w14:paraId="6000B18C">
                  <w:pPr>
                    <w:jc w:val="center"/>
                    <w:rPr>
                      <w:rFonts w:ascii="Times New Roman" w:hAnsi="Times New Roman" w:cs="Times New Roman"/>
                      <w:szCs w:val="21"/>
                    </w:rPr>
                  </w:pPr>
                  <w:r>
                    <w:rPr>
                      <w:rFonts w:ascii="Times New Roman" w:hAnsi="Times New Roman" w:cs="Times New Roman"/>
                      <w:szCs w:val="21"/>
                    </w:rPr>
                    <w:t>PM</w:t>
                  </w:r>
                  <w:r>
                    <w:rPr>
                      <w:rFonts w:ascii="Times New Roman" w:hAnsi="Times New Roman" w:cs="Times New Roman"/>
                      <w:szCs w:val="21"/>
                      <w:vertAlign w:val="subscript"/>
                    </w:rPr>
                    <w:t>10</w:t>
                  </w:r>
                </w:p>
              </w:tc>
              <w:tc>
                <w:tcPr>
                  <w:tcW w:w="1373" w:type="pct"/>
                  <w:tcMar>
                    <w:top w:w="15" w:type="dxa"/>
                    <w:left w:w="15" w:type="dxa"/>
                    <w:right w:w="15" w:type="dxa"/>
                  </w:tcMar>
                  <w:vAlign w:val="center"/>
                </w:tcPr>
                <w:p w14:paraId="15A8369B">
                  <w:pPr>
                    <w:jc w:val="center"/>
                    <w:rPr>
                      <w:rFonts w:ascii="Times New Roman" w:hAnsi="Times New Roman" w:cs="Times New Roman"/>
                      <w:szCs w:val="21"/>
                    </w:rPr>
                  </w:pPr>
                  <w:r>
                    <w:rPr>
                      <w:rFonts w:ascii="Times New Roman" w:hAnsi="Times New Roman" w:cs="Times New Roman"/>
                      <w:szCs w:val="21"/>
                    </w:rPr>
                    <w:t>年平均质量浓度</w:t>
                  </w:r>
                </w:p>
              </w:tc>
              <w:tc>
                <w:tcPr>
                  <w:tcW w:w="833" w:type="pct"/>
                  <w:tcMar>
                    <w:top w:w="15" w:type="dxa"/>
                    <w:left w:w="15" w:type="dxa"/>
                    <w:right w:w="15" w:type="dxa"/>
                  </w:tcMar>
                  <w:vAlign w:val="center"/>
                </w:tcPr>
                <w:p w14:paraId="71439D9D">
                  <w:pPr>
                    <w:jc w:val="center"/>
                    <w:rPr>
                      <w:rFonts w:ascii="Times New Roman" w:hAnsi="Times New Roman" w:cs="Times New Roman"/>
                      <w:szCs w:val="21"/>
                    </w:rPr>
                  </w:pPr>
                  <w:r>
                    <w:rPr>
                      <w:rFonts w:ascii="Times New Roman" w:hAnsi="Times New Roman" w:cs="Times New Roman"/>
                      <w:szCs w:val="21"/>
                    </w:rPr>
                    <w:t>60</w:t>
                  </w:r>
                </w:p>
              </w:tc>
              <w:tc>
                <w:tcPr>
                  <w:tcW w:w="833" w:type="pct"/>
                  <w:tcMar>
                    <w:top w:w="15" w:type="dxa"/>
                    <w:left w:w="15" w:type="dxa"/>
                    <w:right w:w="15" w:type="dxa"/>
                  </w:tcMar>
                  <w:vAlign w:val="center"/>
                </w:tcPr>
                <w:p w14:paraId="4A0290E9">
                  <w:pPr>
                    <w:jc w:val="center"/>
                    <w:rPr>
                      <w:rFonts w:ascii="Times New Roman" w:hAnsi="Times New Roman" w:cs="Times New Roman"/>
                      <w:szCs w:val="21"/>
                    </w:rPr>
                  </w:pPr>
                  <w:r>
                    <w:rPr>
                      <w:rFonts w:ascii="Times New Roman" w:hAnsi="Times New Roman" w:cs="Times New Roman"/>
                      <w:szCs w:val="21"/>
                    </w:rPr>
                    <w:t>49</w:t>
                  </w:r>
                </w:p>
              </w:tc>
              <w:tc>
                <w:tcPr>
                  <w:tcW w:w="727" w:type="pct"/>
                  <w:tcMar>
                    <w:top w:w="15" w:type="dxa"/>
                    <w:left w:w="15" w:type="dxa"/>
                    <w:right w:w="15" w:type="dxa"/>
                  </w:tcMar>
                  <w:vAlign w:val="center"/>
                </w:tcPr>
                <w:p w14:paraId="5F7E24AB">
                  <w:pPr>
                    <w:jc w:val="center"/>
                    <w:rPr>
                      <w:rFonts w:ascii="Times New Roman" w:hAnsi="Times New Roman" w:cs="Times New Roman"/>
                      <w:szCs w:val="21"/>
                    </w:rPr>
                  </w:pPr>
                  <w:r>
                    <w:rPr>
                      <w:rFonts w:ascii="Times New Roman" w:hAnsi="Times New Roman" w:cs="Times New Roman"/>
                      <w:szCs w:val="21"/>
                    </w:rPr>
                    <w:t>82</w:t>
                  </w:r>
                </w:p>
              </w:tc>
              <w:tc>
                <w:tcPr>
                  <w:tcW w:w="791" w:type="pct"/>
                  <w:tcMar>
                    <w:top w:w="15" w:type="dxa"/>
                    <w:left w:w="15" w:type="dxa"/>
                    <w:right w:w="15" w:type="dxa"/>
                  </w:tcMar>
                  <w:vAlign w:val="center"/>
                </w:tcPr>
                <w:p w14:paraId="05518ECA">
                  <w:pPr>
                    <w:jc w:val="center"/>
                    <w:rPr>
                      <w:rFonts w:ascii="Times New Roman" w:hAnsi="Times New Roman" w:cs="Times New Roman"/>
                      <w:szCs w:val="21"/>
                    </w:rPr>
                  </w:pPr>
                  <w:r>
                    <w:rPr>
                      <w:rFonts w:ascii="Times New Roman" w:hAnsi="Times New Roman" w:cs="Times New Roman"/>
                      <w:szCs w:val="21"/>
                    </w:rPr>
                    <w:t>不达标</w:t>
                  </w:r>
                </w:p>
              </w:tc>
            </w:tr>
            <w:tr w14:paraId="46A0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43" w:type="pct"/>
                  <w:vMerge w:val="continue"/>
                  <w:tcMar>
                    <w:top w:w="15" w:type="dxa"/>
                    <w:left w:w="15" w:type="dxa"/>
                    <w:right w:w="15" w:type="dxa"/>
                  </w:tcMar>
                  <w:vAlign w:val="center"/>
                </w:tcPr>
                <w:p w14:paraId="2E3C2DD2">
                  <w:pPr>
                    <w:jc w:val="center"/>
                    <w:rPr>
                      <w:rFonts w:ascii="Times New Roman" w:hAnsi="Times New Roman" w:cs="Times New Roman"/>
                      <w:szCs w:val="21"/>
                    </w:rPr>
                  </w:pPr>
                </w:p>
              </w:tc>
              <w:tc>
                <w:tcPr>
                  <w:tcW w:w="1373" w:type="pct"/>
                  <w:tcMar>
                    <w:top w:w="15" w:type="dxa"/>
                    <w:left w:w="15" w:type="dxa"/>
                    <w:right w:w="15" w:type="dxa"/>
                  </w:tcMar>
                  <w:vAlign w:val="center"/>
                </w:tcPr>
                <w:p w14:paraId="55B6A3A2">
                  <w:pPr>
                    <w:jc w:val="center"/>
                    <w:rPr>
                      <w:rFonts w:ascii="Times New Roman" w:hAnsi="Times New Roman" w:cs="Times New Roman"/>
                      <w:szCs w:val="21"/>
                    </w:rPr>
                  </w:pPr>
                  <w:r>
                    <w:rPr>
                      <w:rFonts w:ascii="Times New Roman" w:hAnsi="Times New Roman" w:cs="Times New Roman"/>
                      <w:szCs w:val="21"/>
                    </w:rPr>
                    <w:t>24小时平均第95百分位数</w:t>
                  </w:r>
                </w:p>
              </w:tc>
              <w:tc>
                <w:tcPr>
                  <w:tcW w:w="833" w:type="pct"/>
                  <w:tcMar>
                    <w:top w:w="15" w:type="dxa"/>
                    <w:left w:w="15" w:type="dxa"/>
                    <w:right w:w="15" w:type="dxa"/>
                  </w:tcMar>
                  <w:vAlign w:val="center"/>
                </w:tcPr>
                <w:p w14:paraId="5AB06F97">
                  <w:pPr>
                    <w:jc w:val="center"/>
                    <w:rPr>
                      <w:rFonts w:ascii="Times New Roman" w:hAnsi="Times New Roman" w:cs="Times New Roman"/>
                      <w:szCs w:val="21"/>
                    </w:rPr>
                  </w:pPr>
                  <w:r>
                    <w:rPr>
                      <w:rFonts w:ascii="Times New Roman" w:hAnsi="Times New Roman" w:cs="Times New Roman"/>
                      <w:szCs w:val="21"/>
                    </w:rPr>
                    <w:t>120</w:t>
                  </w:r>
                </w:p>
              </w:tc>
              <w:tc>
                <w:tcPr>
                  <w:tcW w:w="833" w:type="pct"/>
                  <w:tcMar>
                    <w:top w:w="15" w:type="dxa"/>
                    <w:left w:w="15" w:type="dxa"/>
                    <w:right w:w="15" w:type="dxa"/>
                  </w:tcMar>
                  <w:vAlign w:val="center"/>
                </w:tcPr>
                <w:p w14:paraId="3DB5E9B8">
                  <w:pPr>
                    <w:jc w:val="center"/>
                    <w:rPr>
                      <w:rFonts w:ascii="Times New Roman" w:hAnsi="Times New Roman" w:cs="Times New Roman"/>
                      <w:szCs w:val="21"/>
                    </w:rPr>
                  </w:pPr>
                  <w:r>
                    <w:rPr>
                      <w:rFonts w:ascii="Times New Roman" w:hAnsi="Times New Roman" w:cs="Times New Roman"/>
                      <w:szCs w:val="21"/>
                    </w:rPr>
                    <w:t>147</w:t>
                  </w:r>
                </w:p>
              </w:tc>
              <w:tc>
                <w:tcPr>
                  <w:tcW w:w="727" w:type="pct"/>
                  <w:tcMar>
                    <w:top w:w="15" w:type="dxa"/>
                    <w:left w:w="15" w:type="dxa"/>
                    <w:right w:w="15" w:type="dxa"/>
                  </w:tcMar>
                  <w:vAlign w:val="center"/>
                </w:tcPr>
                <w:p w14:paraId="06D406F9">
                  <w:pPr>
                    <w:jc w:val="center"/>
                    <w:rPr>
                      <w:rFonts w:ascii="Times New Roman" w:hAnsi="Times New Roman" w:cs="Times New Roman"/>
                      <w:szCs w:val="21"/>
                    </w:rPr>
                  </w:pPr>
                  <w:r>
                    <w:rPr>
                      <w:rFonts w:ascii="Times New Roman" w:hAnsi="Times New Roman" w:cs="Times New Roman"/>
                      <w:szCs w:val="21"/>
                    </w:rPr>
                    <w:t>123</w:t>
                  </w:r>
                </w:p>
              </w:tc>
              <w:tc>
                <w:tcPr>
                  <w:tcW w:w="791" w:type="pct"/>
                  <w:tcMar>
                    <w:top w:w="15" w:type="dxa"/>
                    <w:left w:w="15" w:type="dxa"/>
                    <w:right w:w="15" w:type="dxa"/>
                  </w:tcMar>
                  <w:vAlign w:val="center"/>
                </w:tcPr>
                <w:p w14:paraId="0F1C2ABE">
                  <w:pPr>
                    <w:jc w:val="center"/>
                    <w:rPr>
                      <w:rFonts w:ascii="Times New Roman" w:hAnsi="Times New Roman" w:cs="Times New Roman"/>
                      <w:szCs w:val="21"/>
                    </w:rPr>
                  </w:pPr>
                  <w:r>
                    <w:rPr>
                      <w:rFonts w:ascii="Times New Roman" w:hAnsi="Times New Roman" w:cs="Times New Roman"/>
                      <w:szCs w:val="21"/>
                    </w:rPr>
                    <w:t>达标</w:t>
                  </w:r>
                </w:p>
              </w:tc>
            </w:tr>
            <w:tr w14:paraId="3FB57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43" w:type="pct"/>
                  <w:vMerge w:val="restart"/>
                  <w:tcMar>
                    <w:top w:w="15" w:type="dxa"/>
                    <w:left w:w="15" w:type="dxa"/>
                    <w:right w:w="15" w:type="dxa"/>
                  </w:tcMar>
                  <w:vAlign w:val="center"/>
                </w:tcPr>
                <w:p w14:paraId="15BE7F07">
                  <w:pPr>
                    <w:jc w:val="center"/>
                    <w:rPr>
                      <w:rFonts w:ascii="Times New Roman" w:hAnsi="Times New Roman" w:cs="Times New Roman"/>
                      <w:szCs w:val="21"/>
                    </w:rPr>
                  </w:pPr>
                  <w:r>
                    <w:rPr>
                      <w:rFonts w:ascii="Times New Roman" w:hAnsi="Times New Roman" w:cs="Times New Roman"/>
                      <w:szCs w:val="21"/>
                    </w:rPr>
                    <w:t>PM</w:t>
                  </w:r>
                  <w:r>
                    <w:rPr>
                      <w:rFonts w:ascii="Times New Roman" w:hAnsi="Times New Roman" w:cs="Times New Roman"/>
                      <w:szCs w:val="21"/>
                      <w:vertAlign w:val="subscript"/>
                    </w:rPr>
                    <w:t>2.5</w:t>
                  </w:r>
                </w:p>
              </w:tc>
              <w:tc>
                <w:tcPr>
                  <w:tcW w:w="1373" w:type="pct"/>
                  <w:tcMar>
                    <w:top w:w="15" w:type="dxa"/>
                    <w:left w:w="15" w:type="dxa"/>
                    <w:right w:w="15" w:type="dxa"/>
                  </w:tcMar>
                  <w:vAlign w:val="center"/>
                </w:tcPr>
                <w:p w14:paraId="481BD9CD">
                  <w:pPr>
                    <w:jc w:val="center"/>
                    <w:rPr>
                      <w:rFonts w:ascii="Times New Roman" w:hAnsi="Times New Roman" w:cs="Times New Roman"/>
                      <w:szCs w:val="21"/>
                    </w:rPr>
                  </w:pPr>
                  <w:r>
                    <w:rPr>
                      <w:rFonts w:ascii="Times New Roman" w:hAnsi="Times New Roman" w:cs="Times New Roman"/>
                      <w:szCs w:val="21"/>
                    </w:rPr>
                    <w:t>年平均质量浓度</w:t>
                  </w:r>
                </w:p>
              </w:tc>
              <w:tc>
                <w:tcPr>
                  <w:tcW w:w="833" w:type="pct"/>
                  <w:tcMar>
                    <w:top w:w="15" w:type="dxa"/>
                    <w:left w:w="15" w:type="dxa"/>
                    <w:right w:w="15" w:type="dxa"/>
                  </w:tcMar>
                  <w:vAlign w:val="center"/>
                </w:tcPr>
                <w:p w14:paraId="6F7F7865">
                  <w:pPr>
                    <w:jc w:val="center"/>
                    <w:rPr>
                      <w:rFonts w:ascii="Times New Roman" w:hAnsi="Times New Roman" w:cs="Times New Roman"/>
                      <w:szCs w:val="21"/>
                    </w:rPr>
                  </w:pPr>
                  <w:r>
                    <w:rPr>
                      <w:rFonts w:ascii="Times New Roman" w:hAnsi="Times New Roman" w:cs="Times New Roman"/>
                      <w:szCs w:val="21"/>
                    </w:rPr>
                    <w:t>30</w:t>
                  </w:r>
                </w:p>
              </w:tc>
              <w:tc>
                <w:tcPr>
                  <w:tcW w:w="833" w:type="pct"/>
                  <w:tcMar>
                    <w:top w:w="15" w:type="dxa"/>
                    <w:left w:w="15" w:type="dxa"/>
                    <w:right w:w="15" w:type="dxa"/>
                  </w:tcMar>
                  <w:vAlign w:val="center"/>
                </w:tcPr>
                <w:p w14:paraId="083A9C40">
                  <w:pPr>
                    <w:jc w:val="center"/>
                    <w:rPr>
                      <w:rFonts w:ascii="Times New Roman" w:hAnsi="Times New Roman" w:cs="Times New Roman"/>
                      <w:szCs w:val="21"/>
                    </w:rPr>
                  </w:pPr>
                  <w:r>
                    <w:rPr>
                      <w:rFonts w:ascii="Times New Roman" w:hAnsi="Times New Roman" w:cs="Times New Roman"/>
                      <w:szCs w:val="21"/>
                    </w:rPr>
                    <w:t>28</w:t>
                  </w:r>
                </w:p>
              </w:tc>
              <w:tc>
                <w:tcPr>
                  <w:tcW w:w="727" w:type="pct"/>
                  <w:tcMar>
                    <w:top w:w="15" w:type="dxa"/>
                    <w:left w:w="15" w:type="dxa"/>
                    <w:right w:w="15" w:type="dxa"/>
                  </w:tcMar>
                  <w:vAlign w:val="center"/>
                </w:tcPr>
                <w:p w14:paraId="4B8909E8">
                  <w:pPr>
                    <w:jc w:val="center"/>
                    <w:rPr>
                      <w:rFonts w:ascii="Times New Roman" w:hAnsi="Times New Roman" w:cs="Times New Roman"/>
                      <w:szCs w:val="21"/>
                    </w:rPr>
                  </w:pPr>
                  <w:r>
                    <w:rPr>
                      <w:rFonts w:ascii="Times New Roman" w:hAnsi="Times New Roman" w:cs="Times New Roman"/>
                      <w:szCs w:val="21"/>
                    </w:rPr>
                    <w:t>93</w:t>
                  </w:r>
                </w:p>
              </w:tc>
              <w:tc>
                <w:tcPr>
                  <w:tcW w:w="791" w:type="pct"/>
                  <w:tcMar>
                    <w:top w:w="15" w:type="dxa"/>
                    <w:left w:w="15" w:type="dxa"/>
                    <w:right w:w="15" w:type="dxa"/>
                  </w:tcMar>
                  <w:vAlign w:val="center"/>
                </w:tcPr>
                <w:p w14:paraId="634DEE22">
                  <w:pPr>
                    <w:jc w:val="center"/>
                    <w:rPr>
                      <w:rFonts w:ascii="Times New Roman" w:hAnsi="Times New Roman" w:cs="Times New Roman"/>
                      <w:szCs w:val="21"/>
                    </w:rPr>
                  </w:pPr>
                  <w:r>
                    <w:rPr>
                      <w:rFonts w:ascii="Times New Roman" w:hAnsi="Times New Roman" w:cs="Times New Roman"/>
                      <w:szCs w:val="21"/>
                    </w:rPr>
                    <w:t>不达标</w:t>
                  </w:r>
                </w:p>
              </w:tc>
            </w:tr>
            <w:tr w14:paraId="4DC7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43" w:type="pct"/>
                  <w:vMerge w:val="continue"/>
                  <w:tcMar>
                    <w:top w:w="15" w:type="dxa"/>
                    <w:left w:w="15" w:type="dxa"/>
                    <w:right w:w="15" w:type="dxa"/>
                  </w:tcMar>
                  <w:vAlign w:val="center"/>
                </w:tcPr>
                <w:p w14:paraId="30399124">
                  <w:pPr>
                    <w:jc w:val="center"/>
                    <w:rPr>
                      <w:rFonts w:ascii="Times New Roman" w:hAnsi="Times New Roman" w:cs="Times New Roman"/>
                      <w:szCs w:val="21"/>
                    </w:rPr>
                  </w:pPr>
                </w:p>
              </w:tc>
              <w:tc>
                <w:tcPr>
                  <w:tcW w:w="1373" w:type="pct"/>
                  <w:tcMar>
                    <w:top w:w="15" w:type="dxa"/>
                    <w:left w:w="15" w:type="dxa"/>
                    <w:right w:w="15" w:type="dxa"/>
                  </w:tcMar>
                  <w:vAlign w:val="center"/>
                </w:tcPr>
                <w:p w14:paraId="2B81F104">
                  <w:pPr>
                    <w:jc w:val="center"/>
                    <w:rPr>
                      <w:rFonts w:ascii="Times New Roman" w:hAnsi="Times New Roman" w:cs="Times New Roman"/>
                      <w:szCs w:val="21"/>
                    </w:rPr>
                  </w:pPr>
                  <w:r>
                    <w:rPr>
                      <w:rFonts w:ascii="Times New Roman" w:hAnsi="Times New Roman" w:cs="Times New Roman"/>
                      <w:szCs w:val="21"/>
                    </w:rPr>
                    <w:t>24小时平均第95百分位数</w:t>
                  </w:r>
                </w:p>
              </w:tc>
              <w:tc>
                <w:tcPr>
                  <w:tcW w:w="833" w:type="pct"/>
                  <w:tcMar>
                    <w:top w:w="15" w:type="dxa"/>
                    <w:left w:w="15" w:type="dxa"/>
                    <w:right w:w="15" w:type="dxa"/>
                  </w:tcMar>
                  <w:vAlign w:val="center"/>
                </w:tcPr>
                <w:p w14:paraId="3307DF40">
                  <w:pPr>
                    <w:jc w:val="center"/>
                    <w:rPr>
                      <w:rFonts w:ascii="Times New Roman" w:hAnsi="Times New Roman" w:cs="Times New Roman"/>
                      <w:szCs w:val="21"/>
                    </w:rPr>
                  </w:pPr>
                  <w:r>
                    <w:rPr>
                      <w:rFonts w:ascii="Times New Roman" w:hAnsi="Times New Roman" w:cs="Times New Roman"/>
                      <w:szCs w:val="21"/>
                    </w:rPr>
                    <w:t>60</w:t>
                  </w:r>
                </w:p>
              </w:tc>
              <w:tc>
                <w:tcPr>
                  <w:tcW w:w="833" w:type="pct"/>
                  <w:tcMar>
                    <w:top w:w="15" w:type="dxa"/>
                    <w:left w:w="15" w:type="dxa"/>
                    <w:right w:w="15" w:type="dxa"/>
                  </w:tcMar>
                  <w:vAlign w:val="center"/>
                </w:tcPr>
                <w:p w14:paraId="500C67F3">
                  <w:pPr>
                    <w:jc w:val="center"/>
                    <w:rPr>
                      <w:rFonts w:ascii="Times New Roman" w:hAnsi="Times New Roman" w:cs="Times New Roman"/>
                      <w:szCs w:val="21"/>
                    </w:rPr>
                  </w:pPr>
                  <w:r>
                    <w:rPr>
                      <w:rFonts w:ascii="Times New Roman" w:hAnsi="Times New Roman" w:cs="Times New Roman"/>
                      <w:szCs w:val="21"/>
                    </w:rPr>
                    <w:t>96.25</w:t>
                  </w:r>
                </w:p>
              </w:tc>
              <w:tc>
                <w:tcPr>
                  <w:tcW w:w="727" w:type="pct"/>
                  <w:tcMar>
                    <w:top w:w="15" w:type="dxa"/>
                    <w:left w:w="15" w:type="dxa"/>
                    <w:right w:w="15" w:type="dxa"/>
                  </w:tcMar>
                  <w:vAlign w:val="center"/>
                </w:tcPr>
                <w:p w14:paraId="06FCBCFB">
                  <w:pPr>
                    <w:jc w:val="center"/>
                    <w:rPr>
                      <w:rFonts w:ascii="Times New Roman" w:hAnsi="Times New Roman" w:cs="Times New Roman"/>
                      <w:szCs w:val="21"/>
                    </w:rPr>
                  </w:pPr>
                  <w:r>
                    <w:rPr>
                      <w:rFonts w:ascii="Times New Roman" w:hAnsi="Times New Roman" w:cs="Times New Roman"/>
                      <w:szCs w:val="21"/>
                    </w:rPr>
                    <w:t>160</w:t>
                  </w:r>
                </w:p>
              </w:tc>
              <w:tc>
                <w:tcPr>
                  <w:tcW w:w="791" w:type="pct"/>
                  <w:tcMar>
                    <w:top w:w="15" w:type="dxa"/>
                    <w:left w:w="15" w:type="dxa"/>
                    <w:right w:w="15" w:type="dxa"/>
                  </w:tcMar>
                  <w:vAlign w:val="center"/>
                </w:tcPr>
                <w:p w14:paraId="28EAABA6">
                  <w:pPr>
                    <w:jc w:val="center"/>
                    <w:rPr>
                      <w:rFonts w:ascii="Times New Roman" w:hAnsi="Times New Roman" w:cs="Times New Roman"/>
                      <w:szCs w:val="21"/>
                    </w:rPr>
                  </w:pPr>
                  <w:r>
                    <w:rPr>
                      <w:rFonts w:ascii="Times New Roman" w:hAnsi="Times New Roman" w:cs="Times New Roman"/>
                      <w:szCs w:val="21"/>
                    </w:rPr>
                    <w:t>达标</w:t>
                  </w:r>
                </w:p>
              </w:tc>
            </w:tr>
            <w:tr w14:paraId="0EDAA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43" w:type="pct"/>
                  <w:tcMar>
                    <w:top w:w="15" w:type="dxa"/>
                    <w:left w:w="15" w:type="dxa"/>
                    <w:right w:w="15" w:type="dxa"/>
                  </w:tcMar>
                  <w:vAlign w:val="center"/>
                </w:tcPr>
                <w:p w14:paraId="01CC0CB4">
                  <w:pPr>
                    <w:jc w:val="center"/>
                    <w:rPr>
                      <w:rFonts w:ascii="Times New Roman" w:hAnsi="Times New Roman" w:cs="Times New Roman"/>
                      <w:szCs w:val="21"/>
                    </w:rPr>
                  </w:pPr>
                  <w:r>
                    <w:rPr>
                      <w:rFonts w:ascii="Times New Roman" w:hAnsi="Times New Roman" w:cs="Times New Roman"/>
                      <w:szCs w:val="21"/>
                    </w:rPr>
                    <w:t>CO</w:t>
                  </w:r>
                </w:p>
              </w:tc>
              <w:tc>
                <w:tcPr>
                  <w:tcW w:w="1373" w:type="pct"/>
                  <w:tcMar>
                    <w:top w:w="15" w:type="dxa"/>
                    <w:left w:w="15" w:type="dxa"/>
                    <w:right w:w="15" w:type="dxa"/>
                  </w:tcMar>
                  <w:vAlign w:val="center"/>
                </w:tcPr>
                <w:p w14:paraId="0C0FFB75">
                  <w:pPr>
                    <w:jc w:val="center"/>
                    <w:rPr>
                      <w:rFonts w:ascii="Times New Roman" w:hAnsi="Times New Roman" w:cs="Times New Roman"/>
                      <w:szCs w:val="21"/>
                    </w:rPr>
                  </w:pPr>
                  <w:r>
                    <w:rPr>
                      <w:rFonts w:ascii="Times New Roman" w:hAnsi="Times New Roman" w:cs="Times New Roman"/>
                      <w:szCs w:val="21"/>
                    </w:rPr>
                    <w:t>24小时平均第95百分位数</w:t>
                  </w:r>
                </w:p>
              </w:tc>
              <w:tc>
                <w:tcPr>
                  <w:tcW w:w="833" w:type="pct"/>
                  <w:tcMar>
                    <w:top w:w="15" w:type="dxa"/>
                    <w:left w:w="15" w:type="dxa"/>
                    <w:right w:w="15" w:type="dxa"/>
                  </w:tcMar>
                  <w:vAlign w:val="center"/>
                </w:tcPr>
                <w:p w14:paraId="5C2E7578">
                  <w:pPr>
                    <w:jc w:val="center"/>
                    <w:rPr>
                      <w:rFonts w:ascii="Times New Roman" w:hAnsi="Times New Roman" w:cs="Times New Roman"/>
                      <w:szCs w:val="21"/>
                    </w:rPr>
                  </w:pPr>
                  <w:r>
                    <w:rPr>
                      <w:rFonts w:ascii="Times New Roman" w:hAnsi="Times New Roman" w:cs="Times New Roman"/>
                      <w:szCs w:val="21"/>
                    </w:rPr>
                    <w:t>4000</w:t>
                  </w:r>
                </w:p>
              </w:tc>
              <w:tc>
                <w:tcPr>
                  <w:tcW w:w="833" w:type="pct"/>
                  <w:tcMar>
                    <w:top w:w="15" w:type="dxa"/>
                    <w:left w:w="15" w:type="dxa"/>
                    <w:right w:w="15" w:type="dxa"/>
                  </w:tcMar>
                  <w:vAlign w:val="center"/>
                </w:tcPr>
                <w:p w14:paraId="7D5D75BD">
                  <w:pPr>
                    <w:jc w:val="center"/>
                    <w:rPr>
                      <w:rFonts w:ascii="Times New Roman" w:hAnsi="Times New Roman" w:cs="Times New Roman"/>
                      <w:szCs w:val="21"/>
                    </w:rPr>
                  </w:pPr>
                  <w:r>
                    <w:rPr>
                      <w:rFonts w:ascii="Times New Roman" w:hAnsi="Times New Roman" w:cs="Times New Roman"/>
                      <w:szCs w:val="21"/>
                    </w:rPr>
                    <w:t>1800</w:t>
                  </w:r>
                </w:p>
              </w:tc>
              <w:tc>
                <w:tcPr>
                  <w:tcW w:w="727" w:type="pct"/>
                  <w:tcMar>
                    <w:top w:w="15" w:type="dxa"/>
                    <w:left w:w="15" w:type="dxa"/>
                    <w:right w:w="15" w:type="dxa"/>
                  </w:tcMar>
                  <w:vAlign w:val="center"/>
                </w:tcPr>
                <w:p w14:paraId="057ADFEE">
                  <w:pPr>
                    <w:jc w:val="center"/>
                    <w:rPr>
                      <w:rFonts w:ascii="Times New Roman" w:hAnsi="Times New Roman" w:cs="Times New Roman"/>
                      <w:szCs w:val="21"/>
                    </w:rPr>
                  </w:pPr>
                  <w:r>
                    <w:rPr>
                      <w:rFonts w:ascii="Times New Roman" w:hAnsi="Times New Roman" w:cs="Times New Roman"/>
                      <w:szCs w:val="21"/>
                    </w:rPr>
                    <w:t>45</w:t>
                  </w:r>
                </w:p>
              </w:tc>
              <w:tc>
                <w:tcPr>
                  <w:tcW w:w="791" w:type="pct"/>
                  <w:tcMar>
                    <w:top w:w="15" w:type="dxa"/>
                    <w:left w:w="15" w:type="dxa"/>
                    <w:right w:w="15" w:type="dxa"/>
                  </w:tcMar>
                  <w:vAlign w:val="center"/>
                </w:tcPr>
                <w:p w14:paraId="55ED6222">
                  <w:pPr>
                    <w:jc w:val="center"/>
                    <w:rPr>
                      <w:rFonts w:ascii="Times New Roman" w:hAnsi="Times New Roman" w:cs="Times New Roman"/>
                      <w:szCs w:val="21"/>
                    </w:rPr>
                  </w:pPr>
                  <w:r>
                    <w:rPr>
                      <w:rFonts w:ascii="Times New Roman" w:hAnsi="Times New Roman" w:cs="Times New Roman"/>
                      <w:szCs w:val="21"/>
                    </w:rPr>
                    <w:t>达标</w:t>
                  </w:r>
                </w:p>
              </w:tc>
            </w:tr>
            <w:tr w14:paraId="0B5D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43" w:type="pct"/>
                  <w:tcMar>
                    <w:top w:w="15" w:type="dxa"/>
                    <w:left w:w="15" w:type="dxa"/>
                    <w:right w:w="15" w:type="dxa"/>
                  </w:tcMar>
                  <w:vAlign w:val="center"/>
                </w:tcPr>
                <w:p w14:paraId="753D778F">
                  <w:pPr>
                    <w:jc w:val="center"/>
                    <w:rPr>
                      <w:rFonts w:ascii="Times New Roman" w:hAnsi="Times New Roman" w:cs="Times New Roman"/>
                      <w:szCs w:val="21"/>
                    </w:rPr>
                  </w:pPr>
                  <w:r>
                    <w:rPr>
                      <w:rFonts w:ascii="Times New Roman" w:hAnsi="Times New Roman" w:cs="Times New Roman"/>
                      <w:szCs w:val="21"/>
                    </w:rPr>
                    <w:t>O</w:t>
                  </w:r>
                  <w:r>
                    <w:rPr>
                      <w:rFonts w:ascii="Times New Roman" w:hAnsi="Times New Roman" w:cs="Times New Roman"/>
                      <w:szCs w:val="21"/>
                      <w:vertAlign w:val="subscript"/>
                    </w:rPr>
                    <w:t>3</w:t>
                  </w:r>
                </w:p>
              </w:tc>
              <w:tc>
                <w:tcPr>
                  <w:tcW w:w="1373" w:type="pct"/>
                  <w:tcMar>
                    <w:top w:w="15" w:type="dxa"/>
                    <w:left w:w="15" w:type="dxa"/>
                    <w:right w:w="15" w:type="dxa"/>
                  </w:tcMar>
                  <w:vAlign w:val="center"/>
                </w:tcPr>
                <w:p w14:paraId="5220A388">
                  <w:pPr>
                    <w:jc w:val="center"/>
                    <w:rPr>
                      <w:rFonts w:ascii="Times New Roman" w:hAnsi="Times New Roman" w:cs="Times New Roman"/>
                      <w:szCs w:val="21"/>
                    </w:rPr>
                  </w:pPr>
                  <w:r>
                    <w:rPr>
                      <w:rFonts w:ascii="Times New Roman" w:hAnsi="Times New Roman" w:cs="Times New Roman"/>
                      <w:szCs w:val="21"/>
                    </w:rPr>
                    <w:t>24小时最大8小时滑动平均值的第90百分位数</w:t>
                  </w:r>
                </w:p>
              </w:tc>
              <w:tc>
                <w:tcPr>
                  <w:tcW w:w="833" w:type="pct"/>
                  <w:tcMar>
                    <w:top w:w="15" w:type="dxa"/>
                    <w:left w:w="15" w:type="dxa"/>
                    <w:right w:w="15" w:type="dxa"/>
                  </w:tcMar>
                  <w:vAlign w:val="center"/>
                </w:tcPr>
                <w:p w14:paraId="492E788A">
                  <w:pPr>
                    <w:jc w:val="center"/>
                    <w:rPr>
                      <w:rFonts w:ascii="Times New Roman" w:hAnsi="Times New Roman" w:cs="Times New Roman"/>
                      <w:szCs w:val="21"/>
                    </w:rPr>
                  </w:pPr>
                  <w:r>
                    <w:rPr>
                      <w:rFonts w:ascii="Times New Roman" w:hAnsi="Times New Roman" w:cs="Times New Roman"/>
                      <w:szCs w:val="21"/>
                    </w:rPr>
                    <w:t>160</w:t>
                  </w:r>
                </w:p>
              </w:tc>
              <w:tc>
                <w:tcPr>
                  <w:tcW w:w="833" w:type="pct"/>
                  <w:tcMar>
                    <w:top w:w="15" w:type="dxa"/>
                    <w:left w:w="15" w:type="dxa"/>
                    <w:right w:w="15" w:type="dxa"/>
                  </w:tcMar>
                  <w:vAlign w:val="center"/>
                </w:tcPr>
                <w:p w14:paraId="16D321B3">
                  <w:pPr>
                    <w:jc w:val="center"/>
                    <w:rPr>
                      <w:rFonts w:ascii="Times New Roman" w:hAnsi="Times New Roman" w:cs="Times New Roman"/>
                      <w:szCs w:val="21"/>
                    </w:rPr>
                  </w:pPr>
                  <w:r>
                    <w:rPr>
                      <w:rFonts w:ascii="Times New Roman" w:hAnsi="Times New Roman" w:cs="Times New Roman"/>
                      <w:szCs w:val="21"/>
                    </w:rPr>
                    <w:t>126</w:t>
                  </w:r>
                </w:p>
              </w:tc>
              <w:tc>
                <w:tcPr>
                  <w:tcW w:w="727" w:type="pct"/>
                  <w:tcMar>
                    <w:top w:w="15" w:type="dxa"/>
                    <w:left w:w="15" w:type="dxa"/>
                    <w:right w:w="15" w:type="dxa"/>
                  </w:tcMar>
                  <w:vAlign w:val="center"/>
                </w:tcPr>
                <w:p w14:paraId="3CC08228">
                  <w:pPr>
                    <w:jc w:val="center"/>
                    <w:rPr>
                      <w:rFonts w:ascii="Times New Roman" w:hAnsi="Times New Roman" w:cs="Times New Roman"/>
                      <w:szCs w:val="21"/>
                    </w:rPr>
                  </w:pPr>
                  <w:r>
                    <w:rPr>
                      <w:rFonts w:ascii="Times New Roman" w:hAnsi="Times New Roman" w:cs="Times New Roman"/>
                      <w:szCs w:val="21"/>
                    </w:rPr>
                    <w:t>79</w:t>
                  </w:r>
                </w:p>
              </w:tc>
              <w:tc>
                <w:tcPr>
                  <w:tcW w:w="791" w:type="pct"/>
                  <w:tcMar>
                    <w:top w:w="15" w:type="dxa"/>
                    <w:left w:w="15" w:type="dxa"/>
                    <w:right w:w="15" w:type="dxa"/>
                  </w:tcMar>
                  <w:vAlign w:val="center"/>
                </w:tcPr>
                <w:p w14:paraId="404DFFDD">
                  <w:pPr>
                    <w:jc w:val="center"/>
                    <w:rPr>
                      <w:rFonts w:ascii="Times New Roman" w:hAnsi="Times New Roman" w:cs="Times New Roman"/>
                      <w:szCs w:val="21"/>
                    </w:rPr>
                  </w:pPr>
                  <w:r>
                    <w:rPr>
                      <w:rFonts w:ascii="Times New Roman" w:hAnsi="Times New Roman" w:cs="Times New Roman"/>
                      <w:szCs w:val="21"/>
                    </w:rPr>
                    <w:t>达标</w:t>
                  </w:r>
                </w:p>
              </w:tc>
            </w:tr>
          </w:tbl>
          <w:p w14:paraId="20A1F179">
            <w:pPr>
              <w:ind w:firstLine="200"/>
              <w:rPr>
                <w:rFonts w:ascii="Times New Roman" w:hAnsi="Times New Roman" w:cs="Times New Roman"/>
                <w:sz w:val="18"/>
              </w:rPr>
            </w:pPr>
          </w:p>
          <w:p w14:paraId="3A25B690">
            <w:pPr>
              <w:pStyle w:val="42"/>
              <w:ind w:firstLine="480"/>
            </w:pPr>
            <w:r>
              <w:rPr>
                <w:color w:val="000000"/>
                <w:szCs w:val="32"/>
              </w:rPr>
              <w:t>项目所在区域SO</w:t>
            </w:r>
            <w:r>
              <w:rPr>
                <w:color w:val="000000"/>
                <w:szCs w:val="32"/>
                <w:vertAlign w:val="subscript"/>
              </w:rPr>
              <w:t>2</w:t>
            </w:r>
            <w:r>
              <w:rPr>
                <w:color w:val="000000"/>
                <w:szCs w:val="32"/>
              </w:rPr>
              <w:t>、NO</w:t>
            </w:r>
            <w:r>
              <w:rPr>
                <w:color w:val="000000"/>
                <w:szCs w:val="32"/>
                <w:vertAlign w:val="subscript"/>
              </w:rPr>
              <w:t>2</w:t>
            </w:r>
            <w:r>
              <w:rPr>
                <w:color w:val="000000"/>
                <w:szCs w:val="32"/>
              </w:rPr>
              <w:t>、CO及O</w:t>
            </w:r>
            <w:r>
              <w:rPr>
                <w:color w:val="000000"/>
                <w:szCs w:val="32"/>
                <w:vertAlign w:val="subscript"/>
              </w:rPr>
              <w:t>3</w:t>
            </w:r>
            <w:r>
              <w:rPr>
                <w:color w:val="000000"/>
                <w:szCs w:val="32"/>
              </w:rPr>
              <w:t>日平均浓度均满足《环境空气质量标准》（GB3095-2026）的过渡阶段浓度限值的二级标准要求；PM</w:t>
            </w:r>
            <w:r>
              <w:rPr>
                <w:color w:val="000000"/>
                <w:szCs w:val="32"/>
                <w:vertAlign w:val="subscript"/>
              </w:rPr>
              <w:t>10</w:t>
            </w:r>
            <w:r>
              <w:rPr>
                <w:color w:val="000000"/>
                <w:szCs w:val="32"/>
              </w:rPr>
              <w:t>、PM</w:t>
            </w:r>
            <w:r>
              <w:rPr>
                <w:color w:val="000000"/>
                <w:szCs w:val="32"/>
                <w:vertAlign w:val="subscript"/>
              </w:rPr>
              <w:t>2.5</w:t>
            </w:r>
            <w:r>
              <w:rPr>
                <w:color w:val="000000"/>
                <w:szCs w:val="32"/>
              </w:rPr>
              <w:t>日均浓度超过《环境空气质量标准》（GB3095-2026）的过渡阶段浓度限值的二级标准要求，PM</w:t>
            </w:r>
            <w:r>
              <w:rPr>
                <w:color w:val="000000"/>
                <w:szCs w:val="32"/>
                <w:vertAlign w:val="subscript"/>
              </w:rPr>
              <w:t>10</w:t>
            </w:r>
            <w:r>
              <w:rPr>
                <w:color w:val="000000"/>
                <w:szCs w:val="32"/>
              </w:rPr>
              <w:t>、</w:t>
            </w:r>
            <w:r>
              <w:t>PM</w:t>
            </w:r>
            <w:r>
              <w:rPr>
                <w:vertAlign w:val="subscript"/>
              </w:rPr>
              <w:t>2.5</w:t>
            </w:r>
            <w:r>
              <w:t>年均值均达到《环境空气质量标准》（GB3095-2026）的过渡阶段浓度限值的二级标准要求，规划区所在区域为非达标区域。</w:t>
            </w:r>
          </w:p>
          <w:p w14:paraId="35086D9F">
            <w:pPr>
              <w:adjustRightInd w:val="0"/>
              <w:snapToGrid w:val="0"/>
              <w:rPr>
                <w:rFonts w:ascii="Times New Roman" w:hAnsi="Times New Roman" w:cs="Times New Roman"/>
                <w:b/>
                <w:bCs/>
                <w:color w:val="000000"/>
                <w:szCs w:val="32"/>
              </w:rPr>
            </w:pPr>
            <w:r>
              <w:rPr>
                <w:rFonts w:ascii="Times New Roman" w:hAnsi="Times New Roman" w:cs="Times New Roman"/>
                <w:b/>
                <w:bCs/>
              </w:rPr>
              <w:t>2、</w:t>
            </w:r>
            <w:r>
              <w:rPr>
                <w:rFonts w:ascii="Times New Roman" w:hAnsi="Times New Roman" w:cs="Times New Roman"/>
                <w:b/>
                <w:bCs/>
                <w:color w:val="000000"/>
                <w:szCs w:val="32"/>
              </w:rPr>
              <w:t>水环境质量现状调查与评价</w:t>
            </w:r>
          </w:p>
          <w:p w14:paraId="2032A41A">
            <w:pPr>
              <w:adjustRightInd w:val="0"/>
              <w:snapToGrid w:val="0"/>
              <w:rPr>
                <w:rFonts w:ascii="Times New Roman" w:hAnsi="Times New Roman" w:cs="Times New Roman"/>
                <w:b/>
                <w:bCs/>
                <w:color w:val="000000"/>
                <w:szCs w:val="32"/>
              </w:rPr>
            </w:pPr>
            <w:r>
              <w:rPr>
                <w:rFonts w:ascii="Times New Roman" w:hAnsi="Times New Roman" w:cs="Times New Roman"/>
                <w:b/>
                <w:bCs/>
                <w:color w:val="000000"/>
                <w:szCs w:val="32"/>
              </w:rPr>
              <w:t>2.1地表水</w:t>
            </w:r>
          </w:p>
          <w:p w14:paraId="526A6FD1">
            <w:pPr>
              <w:pStyle w:val="42"/>
              <w:ind w:firstLine="480"/>
              <w:rPr>
                <w:color w:val="000000"/>
              </w:rPr>
            </w:pPr>
            <w:r>
              <w:rPr>
                <w:color w:val="000000"/>
              </w:rPr>
              <w:t>本项目厂址位于吉木萨尔县北庭工业园区，厂址东南侧11.0km处为二工河。本项目废水不外排，不与地表水体发生水力联系，因此，本次环评不进行地表水环境现状调查与评价。</w:t>
            </w:r>
          </w:p>
          <w:p w14:paraId="5342D445">
            <w:pPr>
              <w:adjustRightInd w:val="0"/>
              <w:snapToGrid w:val="0"/>
              <w:rPr>
                <w:rFonts w:ascii="Times New Roman" w:hAnsi="Times New Roman" w:cs="Times New Roman"/>
                <w:b/>
                <w:bCs/>
                <w:color w:val="000000"/>
                <w:szCs w:val="32"/>
              </w:rPr>
            </w:pPr>
            <w:r>
              <w:rPr>
                <w:rFonts w:ascii="Times New Roman" w:hAnsi="Times New Roman" w:cs="Times New Roman"/>
                <w:b/>
                <w:bCs/>
                <w:color w:val="000000"/>
                <w:szCs w:val="32"/>
              </w:rPr>
              <w:t>2.2地下水</w:t>
            </w:r>
          </w:p>
          <w:p w14:paraId="06552090">
            <w:pPr>
              <w:pStyle w:val="42"/>
              <w:ind w:firstLine="480"/>
              <w:rPr>
                <w:color w:val="000000"/>
              </w:rPr>
            </w:pPr>
            <w:r>
              <w:rPr>
                <w:color w:val="000000"/>
              </w:rPr>
              <w:t>项目不开采地下水，项目场地进行重点防渗，对地下水环境影响不大；厂界外500米范围内没有地下水集中式饮用水水源和热水、矿泉水、温泉等特殊地下水资源。综合分析，本项目不开展地下水环境质量现状调查。</w:t>
            </w:r>
          </w:p>
          <w:p w14:paraId="75C79380">
            <w:pPr>
              <w:pStyle w:val="46"/>
            </w:pPr>
            <w:r>
              <w:t>3、声环境现状调查与评价</w:t>
            </w:r>
          </w:p>
          <w:p w14:paraId="679CB409">
            <w:pPr>
              <w:pStyle w:val="42"/>
              <w:ind w:firstLine="480"/>
            </w:pPr>
            <w:r>
              <w:rPr>
                <w:color w:val="000000"/>
              </w:rPr>
              <w:t>项目厂界外50m范围内没有声环境保护目标，因此本项目不开展声环境质量现状调查。</w:t>
            </w:r>
          </w:p>
          <w:p w14:paraId="01B3BA7B">
            <w:pPr>
              <w:adjustRightInd w:val="0"/>
              <w:snapToGrid w:val="0"/>
              <w:jc w:val="center"/>
              <w:rPr>
                <w:rFonts w:ascii="Times New Roman" w:hAnsi="Times New Roman" w:cs="Times New Roman"/>
                <w:b/>
                <w:bCs/>
                <w:szCs w:val="21"/>
              </w:rPr>
            </w:pPr>
          </w:p>
          <w:p w14:paraId="6705A1CD">
            <w:pPr>
              <w:adjustRightInd w:val="0"/>
              <w:snapToGrid w:val="0"/>
              <w:spacing w:line="360" w:lineRule="auto"/>
              <w:rPr>
                <w:rFonts w:ascii="Times New Roman" w:hAnsi="Times New Roman" w:cs="Times New Roman"/>
                <w:b/>
                <w:bCs/>
                <w:color w:val="000000"/>
              </w:rPr>
            </w:pPr>
            <w:r>
              <w:rPr>
                <w:rFonts w:ascii="Times New Roman" w:hAnsi="Times New Roman" w:cs="Times New Roman"/>
                <w:b/>
                <w:bCs/>
              </w:rPr>
              <w:t>4、</w:t>
            </w:r>
            <w:r>
              <w:rPr>
                <w:rFonts w:ascii="Times New Roman" w:hAnsi="Times New Roman" w:cs="Times New Roman"/>
                <w:b/>
                <w:bCs/>
                <w:color w:val="000000"/>
                <w:szCs w:val="32"/>
              </w:rPr>
              <w:t>土壤现状调查与评价</w:t>
            </w:r>
          </w:p>
          <w:p w14:paraId="5A00615F">
            <w:pPr>
              <w:pStyle w:val="42"/>
              <w:ind w:firstLine="480"/>
              <w:rPr>
                <w:color w:val="000000"/>
              </w:rPr>
            </w:pPr>
            <w:r>
              <w:rPr>
                <w:color w:val="000000"/>
              </w:rPr>
              <w:t>根据《建设项目环境影响报告表编制技术指南（污染影响类）（试行）》，原则上不开展土壤环境质量现状调查。项目罐区及装卸区将进行重点防渗处理，无裸露地表。正常情况下不存在土壤污染途径，因此本报告不开展土壤环境现状调查。</w:t>
            </w:r>
          </w:p>
          <w:p w14:paraId="5BA4524D">
            <w:pPr>
              <w:adjustRightInd w:val="0"/>
              <w:snapToGrid w:val="0"/>
              <w:spacing w:line="360" w:lineRule="auto"/>
              <w:rPr>
                <w:rFonts w:ascii="Times New Roman" w:hAnsi="Times New Roman" w:cs="Times New Roman"/>
                <w:b/>
                <w:bCs/>
                <w:color w:val="000000"/>
                <w:szCs w:val="32"/>
              </w:rPr>
            </w:pPr>
            <w:r>
              <w:rPr>
                <w:rFonts w:ascii="Times New Roman" w:hAnsi="Times New Roman" w:cs="Times New Roman"/>
                <w:b/>
                <w:bCs/>
              </w:rPr>
              <w:t>5、</w:t>
            </w:r>
            <w:r>
              <w:rPr>
                <w:rFonts w:ascii="Times New Roman" w:hAnsi="Times New Roman" w:cs="Times New Roman"/>
                <w:b/>
                <w:bCs/>
                <w:color w:val="000000"/>
                <w:szCs w:val="32"/>
              </w:rPr>
              <w:t>生态环境现状调查与评价</w:t>
            </w:r>
          </w:p>
          <w:p w14:paraId="05AFA613">
            <w:pPr>
              <w:pStyle w:val="42"/>
              <w:ind w:firstLine="480"/>
              <w:rPr>
                <w:color w:val="000000"/>
              </w:rPr>
            </w:pPr>
            <w:r>
              <w:rPr>
                <w:color w:val="000000"/>
              </w:rPr>
              <w:t>项目位于龙都化工厂内，不涉及新增用地，周边无珍稀濒危保护物种，植被种类、组成结构较为简单，不涉及自然保护区、森林公园、风景名胜区、珍稀濒危动植物保护区等敏感区域，没有生态环境保护目标，根据要求可不进行生态现状调查。</w:t>
            </w:r>
          </w:p>
          <w:p w14:paraId="7E8F82AC">
            <w:pPr>
              <w:adjustRightInd w:val="0"/>
              <w:snapToGrid w:val="0"/>
              <w:rPr>
                <w:rFonts w:ascii="Times New Roman" w:hAnsi="Times New Roman" w:cs="Times New Roman"/>
                <w:szCs w:val="21"/>
              </w:rPr>
            </w:pPr>
          </w:p>
        </w:tc>
      </w:tr>
      <w:tr w14:paraId="48A57B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800" w:type="dxa"/>
            <w:vAlign w:val="center"/>
          </w:tcPr>
          <w:p w14:paraId="07540831">
            <w:pPr>
              <w:adjustRightInd w:val="0"/>
              <w:snapToGrid w:val="0"/>
              <w:jc w:val="center"/>
              <w:rPr>
                <w:rFonts w:ascii="Times New Roman" w:hAnsi="Times New Roman" w:cs="Times New Roman"/>
                <w:szCs w:val="21"/>
              </w:rPr>
            </w:pPr>
            <w:r>
              <w:rPr>
                <w:rFonts w:ascii="Times New Roman" w:hAnsi="Times New Roman" w:cs="Times New Roman"/>
                <w:szCs w:val="21"/>
              </w:rPr>
              <w:t>环境</w:t>
            </w:r>
          </w:p>
          <w:p w14:paraId="3DCAEDF5">
            <w:pPr>
              <w:adjustRightInd w:val="0"/>
              <w:snapToGrid w:val="0"/>
              <w:jc w:val="center"/>
              <w:rPr>
                <w:rFonts w:ascii="Times New Roman" w:hAnsi="Times New Roman" w:cs="Times New Roman"/>
                <w:szCs w:val="21"/>
              </w:rPr>
            </w:pPr>
            <w:r>
              <w:rPr>
                <w:rFonts w:ascii="Times New Roman" w:hAnsi="Times New Roman" w:cs="Times New Roman"/>
                <w:szCs w:val="21"/>
              </w:rPr>
              <w:t>保护</w:t>
            </w:r>
          </w:p>
          <w:p w14:paraId="2D17A5A6">
            <w:pPr>
              <w:adjustRightInd w:val="0"/>
              <w:snapToGrid w:val="0"/>
              <w:jc w:val="center"/>
              <w:rPr>
                <w:rFonts w:ascii="Times New Roman" w:hAnsi="Times New Roman" w:cs="Times New Roman"/>
                <w:szCs w:val="21"/>
              </w:rPr>
            </w:pPr>
            <w:r>
              <w:rPr>
                <w:rFonts w:ascii="Times New Roman" w:hAnsi="Times New Roman" w:cs="Times New Roman"/>
                <w:szCs w:val="21"/>
              </w:rPr>
              <w:t>目标</w:t>
            </w:r>
          </w:p>
        </w:tc>
        <w:tc>
          <w:tcPr>
            <w:tcW w:w="8190" w:type="dxa"/>
            <w:vAlign w:val="center"/>
          </w:tcPr>
          <w:p w14:paraId="3F2CAA4C">
            <w:pPr>
              <w:pStyle w:val="42"/>
              <w:ind w:firstLine="480"/>
              <w:rPr>
                <w:color w:val="000000"/>
              </w:rPr>
            </w:pPr>
            <w:r>
              <w:rPr>
                <w:color w:val="000000"/>
              </w:rPr>
              <w:t>1、环境空气保护目标</w:t>
            </w:r>
          </w:p>
          <w:p w14:paraId="766266E0">
            <w:pPr>
              <w:pStyle w:val="42"/>
              <w:ind w:firstLine="480"/>
              <w:rPr>
                <w:color w:val="000000"/>
              </w:rPr>
            </w:pPr>
            <w:r>
              <w:rPr>
                <w:color w:val="000000"/>
              </w:rPr>
              <w:t>项目厂界外500米范围内无自然保护区、风景名胜区、居住区、文化区和农村地区中人群较集中的区域等保护目标。</w:t>
            </w:r>
          </w:p>
          <w:p w14:paraId="3811A114">
            <w:pPr>
              <w:pStyle w:val="42"/>
              <w:ind w:firstLine="480"/>
              <w:rPr>
                <w:color w:val="000000"/>
              </w:rPr>
            </w:pPr>
            <w:r>
              <w:rPr>
                <w:color w:val="000000"/>
              </w:rPr>
              <w:t>2、声环境保护目标</w:t>
            </w:r>
          </w:p>
          <w:p w14:paraId="175D3FEE">
            <w:pPr>
              <w:pStyle w:val="42"/>
              <w:ind w:firstLine="480"/>
              <w:rPr>
                <w:color w:val="000000"/>
              </w:rPr>
            </w:pPr>
            <w:r>
              <w:rPr>
                <w:color w:val="000000"/>
              </w:rPr>
              <w:t>本项目边界向外50m范围内没有环境敏感点。</w:t>
            </w:r>
          </w:p>
          <w:p w14:paraId="6F6A41C2">
            <w:pPr>
              <w:pStyle w:val="42"/>
              <w:ind w:firstLine="480"/>
              <w:rPr>
                <w:color w:val="000000"/>
              </w:rPr>
            </w:pPr>
            <w:r>
              <w:rPr>
                <w:color w:val="000000"/>
              </w:rPr>
              <w:t>3、地下水环境保护目标</w:t>
            </w:r>
          </w:p>
          <w:p w14:paraId="22494630">
            <w:pPr>
              <w:pStyle w:val="42"/>
              <w:ind w:firstLine="480"/>
              <w:rPr>
                <w:color w:val="000000"/>
              </w:rPr>
            </w:pPr>
            <w:r>
              <w:rPr>
                <w:color w:val="000000"/>
              </w:rPr>
              <w:t>本项目厂界外500米范围内没有地下水集中式饮用水水源和热水、矿泉水、温泉等特殊地下水资源。</w:t>
            </w:r>
          </w:p>
          <w:p w14:paraId="70165263">
            <w:pPr>
              <w:pStyle w:val="42"/>
              <w:ind w:firstLine="480"/>
              <w:rPr>
                <w:color w:val="000000"/>
              </w:rPr>
            </w:pPr>
            <w:r>
              <w:rPr>
                <w:color w:val="000000"/>
              </w:rPr>
              <w:t>4、生态环境保护目标</w:t>
            </w:r>
          </w:p>
          <w:p w14:paraId="66000B7D">
            <w:pPr>
              <w:pStyle w:val="42"/>
              <w:ind w:firstLine="480"/>
              <w:rPr>
                <w:color w:val="000000"/>
              </w:rPr>
            </w:pPr>
            <w:r>
              <w:rPr>
                <w:color w:val="000000"/>
              </w:rPr>
              <w:t>本项目用地范围内不含生态环境保护目标。</w:t>
            </w:r>
          </w:p>
          <w:p w14:paraId="2AE9065A">
            <w:pPr>
              <w:adjustRightInd w:val="0"/>
              <w:snapToGrid w:val="0"/>
              <w:rPr>
                <w:rFonts w:ascii="Times New Roman" w:hAnsi="Times New Roman" w:cs="Times New Roman"/>
                <w:szCs w:val="21"/>
              </w:rPr>
            </w:pPr>
          </w:p>
        </w:tc>
      </w:tr>
      <w:tr w14:paraId="478349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4" w:hRule="atLeast"/>
          <w:jc w:val="center"/>
        </w:trPr>
        <w:tc>
          <w:tcPr>
            <w:tcW w:w="800" w:type="dxa"/>
            <w:tcMar>
              <w:left w:w="28" w:type="dxa"/>
              <w:right w:w="28" w:type="dxa"/>
            </w:tcMar>
            <w:vAlign w:val="center"/>
          </w:tcPr>
          <w:p w14:paraId="0F871CB5">
            <w:pPr>
              <w:adjustRightInd w:val="0"/>
              <w:snapToGrid w:val="0"/>
              <w:jc w:val="center"/>
              <w:rPr>
                <w:rFonts w:ascii="Times New Roman" w:hAnsi="Times New Roman" w:cs="Times New Roman"/>
                <w:szCs w:val="21"/>
              </w:rPr>
            </w:pPr>
            <w:r>
              <w:rPr>
                <w:rFonts w:ascii="Times New Roman" w:hAnsi="Times New Roman" w:cs="Times New Roman"/>
                <w:szCs w:val="21"/>
              </w:rPr>
              <w:t>污染</w:t>
            </w:r>
          </w:p>
          <w:p w14:paraId="4D64F257">
            <w:pPr>
              <w:adjustRightInd w:val="0"/>
              <w:snapToGrid w:val="0"/>
              <w:jc w:val="center"/>
              <w:rPr>
                <w:rFonts w:ascii="Times New Roman" w:hAnsi="Times New Roman" w:cs="Times New Roman"/>
                <w:szCs w:val="21"/>
              </w:rPr>
            </w:pPr>
            <w:r>
              <w:rPr>
                <w:rFonts w:ascii="Times New Roman" w:hAnsi="Times New Roman" w:cs="Times New Roman"/>
                <w:szCs w:val="21"/>
              </w:rPr>
              <w:t>物排</w:t>
            </w:r>
          </w:p>
          <w:p w14:paraId="34B1E25A">
            <w:pPr>
              <w:adjustRightInd w:val="0"/>
              <w:snapToGrid w:val="0"/>
              <w:jc w:val="center"/>
              <w:rPr>
                <w:rFonts w:ascii="Times New Roman" w:hAnsi="Times New Roman" w:cs="Times New Roman"/>
                <w:szCs w:val="21"/>
              </w:rPr>
            </w:pPr>
            <w:r>
              <w:rPr>
                <w:rFonts w:ascii="Times New Roman" w:hAnsi="Times New Roman" w:cs="Times New Roman"/>
                <w:szCs w:val="21"/>
              </w:rPr>
              <w:t>放控</w:t>
            </w:r>
          </w:p>
          <w:p w14:paraId="27455C01">
            <w:pPr>
              <w:adjustRightInd w:val="0"/>
              <w:snapToGrid w:val="0"/>
              <w:jc w:val="center"/>
              <w:rPr>
                <w:rFonts w:ascii="Times New Roman" w:hAnsi="Times New Roman" w:cs="Times New Roman"/>
                <w:szCs w:val="21"/>
              </w:rPr>
            </w:pPr>
            <w:r>
              <w:rPr>
                <w:rFonts w:ascii="Times New Roman" w:hAnsi="Times New Roman" w:cs="Times New Roman"/>
                <w:szCs w:val="21"/>
              </w:rPr>
              <w:t>制标</w:t>
            </w:r>
          </w:p>
          <w:p w14:paraId="2AE76CE1">
            <w:pPr>
              <w:adjustRightInd w:val="0"/>
              <w:snapToGrid w:val="0"/>
              <w:jc w:val="center"/>
              <w:rPr>
                <w:rFonts w:ascii="Times New Roman" w:hAnsi="Times New Roman" w:cs="Times New Roman"/>
                <w:szCs w:val="21"/>
              </w:rPr>
            </w:pPr>
            <w:r>
              <w:rPr>
                <w:rFonts w:ascii="Times New Roman" w:hAnsi="Times New Roman" w:cs="Times New Roman"/>
                <w:szCs w:val="21"/>
              </w:rPr>
              <w:t>准</w:t>
            </w:r>
          </w:p>
        </w:tc>
        <w:tc>
          <w:tcPr>
            <w:tcW w:w="8190" w:type="dxa"/>
            <w:vAlign w:val="center"/>
          </w:tcPr>
          <w:p w14:paraId="0B48B767">
            <w:pPr>
              <w:adjustRightInd w:val="0"/>
              <w:snapToGrid w:val="0"/>
              <w:rPr>
                <w:rFonts w:ascii="Times New Roman" w:hAnsi="Times New Roman" w:cs="Times New Roman"/>
                <w:b/>
                <w:bCs/>
                <w:szCs w:val="21"/>
              </w:rPr>
            </w:pPr>
            <w:r>
              <w:rPr>
                <w:rFonts w:ascii="Times New Roman" w:hAnsi="Times New Roman" w:cs="Times New Roman"/>
                <w:b/>
                <w:bCs/>
              </w:rPr>
              <w:t>1、废气</w:t>
            </w:r>
          </w:p>
          <w:p w14:paraId="7FB09EB7">
            <w:pPr>
              <w:pStyle w:val="42"/>
              <w:ind w:firstLine="480"/>
              <w:rPr>
                <w:color w:val="000000"/>
              </w:rPr>
            </w:pPr>
            <w:r>
              <w:rPr>
                <w:color w:val="000000"/>
              </w:rPr>
              <w:t>本项目废气污染物排放标准如下：</w:t>
            </w:r>
          </w:p>
          <w:p w14:paraId="35C5CA71">
            <w:pPr>
              <w:pStyle w:val="42"/>
              <w:ind w:firstLine="480"/>
              <w:rPr>
                <w:color w:val="000000"/>
              </w:rPr>
            </w:pPr>
            <w:r>
              <w:rPr>
                <w:color w:val="000000"/>
              </w:rPr>
              <w:t>（1）罐区有组织废气</w:t>
            </w:r>
          </w:p>
          <w:p w14:paraId="7FF4238B">
            <w:pPr>
              <w:pStyle w:val="42"/>
              <w:ind w:firstLine="480"/>
              <w:rPr>
                <w:color w:val="000000"/>
              </w:rPr>
            </w:pPr>
            <w:r>
              <w:rPr>
                <w:color w:val="000000"/>
              </w:rPr>
              <w:t>本项目罐区、装卸区产生的油气依托一期油气回收装置集中收集处理；罐区、装卸区废气中非甲烷总烃、苯、甲苯、二甲苯污染物排放标准延续执行一期工程环评确定标准，即非甲烷总烃执行《石油化学工业污染物排放标准》（GB31571-2015，含2024年修改单）表5大气污染物特别排放限值</w:t>
            </w:r>
            <w:r>
              <w:rPr>
                <w:rFonts w:hint="eastAsia"/>
                <w:color w:val="000000"/>
              </w:rPr>
              <w:t>，</w:t>
            </w:r>
            <w:r>
              <w:rPr>
                <w:rFonts w:hint="eastAsia"/>
                <w:color w:val="000000" w:themeColor="text1"/>
                <w14:textFill>
                  <w14:solidFill>
                    <w14:schemeClr w14:val="tx1"/>
                  </w14:solidFill>
                </w14:textFill>
              </w:rPr>
              <w:t>同时排放浓度需满足《重污染天气重点行业应急减排措施制定技术指南（</w:t>
            </w:r>
            <w:r>
              <w:rPr>
                <w:color w:val="000000" w:themeColor="text1"/>
                <w14:textFill>
                  <w14:solidFill>
                    <w14:schemeClr w14:val="tx1"/>
                  </w14:solidFill>
                </w14:textFill>
              </w:rPr>
              <w:t>2020</w:t>
            </w:r>
            <w:r>
              <w:rPr>
                <w:rFonts w:hint="eastAsia"/>
                <w:color w:val="000000" w:themeColor="text1"/>
                <w14:textFill>
                  <w14:solidFill>
                    <w14:schemeClr w14:val="tx1"/>
                  </w14:solidFill>
                </w14:textFill>
              </w:rPr>
              <w:t>年修订版）》炼油与石油化工行业</w:t>
            </w:r>
            <w:r>
              <w:rPr>
                <w:color w:val="000000" w:themeColor="text1"/>
                <w14:textFill>
                  <w14:solidFill>
                    <w14:schemeClr w14:val="tx1"/>
                  </w14:solidFill>
                </w14:textFill>
              </w:rPr>
              <w:t>A</w:t>
            </w:r>
            <w:r>
              <w:rPr>
                <w:rFonts w:hint="eastAsia"/>
                <w:color w:val="000000" w:themeColor="text1"/>
                <w14:textFill>
                  <w14:solidFill>
                    <w14:schemeClr w14:val="tx1"/>
                  </w14:solidFill>
                </w14:textFill>
              </w:rPr>
              <w:t>级企业相关控制要求</w:t>
            </w:r>
            <w:r>
              <w:rPr>
                <w:color w:val="000000"/>
              </w:rPr>
              <w:t>；苯、甲苯、二甲苯《石油化学工业污染物排放标准》（GB31571-2015，含2024年修改单）表6大气污染物排放限值。</w:t>
            </w:r>
          </w:p>
          <w:p w14:paraId="6C33DBB8">
            <w:pPr>
              <w:pStyle w:val="42"/>
              <w:ind w:firstLine="480"/>
              <w:rPr>
                <w:color w:val="000000"/>
              </w:rPr>
            </w:pPr>
            <w:r>
              <w:rPr>
                <w:color w:val="000000"/>
              </w:rPr>
              <w:t>（2）无组织排放</w:t>
            </w:r>
          </w:p>
          <w:p w14:paraId="1C810580">
            <w:pPr>
              <w:pStyle w:val="42"/>
              <w:ind w:firstLine="480"/>
              <w:rPr>
                <w:color w:val="000000"/>
              </w:rPr>
            </w:pPr>
            <w:r>
              <w:rPr>
                <w:color w:val="000000"/>
              </w:rPr>
              <w:t>厂界NMHC、苯、甲苯、二甲苯等无组织排放标准延续执行一期工程环评确定标准，《石油化学工业污染物排放标准》（GB3157</w:t>
            </w:r>
            <w:r>
              <w:rPr>
                <w:rFonts w:hint="eastAsia"/>
                <w:color w:val="000000"/>
              </w:rPr>
              <w:t>1</w:t>
            </w:r>
            <w:r>
              <w:rPr>
                <w:color w:val="000000"/>
              </w:rPr>
              <w:t>-2015，含2024年修改单）表7企业边界大气污染物浓度限值</w:t>
            </w:r>
            <w:r>
              <w:rPr>
                <w:rFonts w:hint="eastAsia"/>
                <w:color w:val="000000"/>
              </w:rPr>
              <w:t>；罐区</w:t>
            </w:r>
            <w:r>
              <w:rPr>
                <w:color w:val="000000"/>
              </w:rPr>
              <w:t>NMHC、苯、甲苯、二甲苯等</w:t>
            </w:r>
            <w:r>
              <w:rPr>
                <w:rFonts w:hint="eastAsia"/>
                <w:color w:val="000000"/>
              </w:rPr>
              <w:t>有组织</w:t>
            </w:r>
            <w:r>
              <w:rPr>
                <w:color w:val="000000"/>
              </w:rPr>
              <w:t>排放标准</w:t>
            </w:r>
            <w:r>
              <w:rPr>
                <w:rFonts w:hint="eastAsia"/>
                <w:color w:val="000000"/>
              </w:rPr>
              <w:t>执行</w:t>
            </w:r>
            <w:r>
              <w:rPr>
                <w:color w:val="000000"/>
              </w:rPr>
              <w:t>《石油化学工业污染物排放标准》</w:t>
            </w:r>
            <w:r>
              <w:rPr>
                <w:rFonts w:hint="eastAsia"/>
                <w:color w:val="000000"/>
              </w:rPr>
              <w:t>表6排放限值</w:t>
            </w:r>
            <w:r>
              <w:rPr>
                <w:color w:val="000000"/>
              </w:rPr>
              <w:t>；厂区内VOC</w:t>
            </w:r>
            <w:r>
              <w:rPr>
                <w:color w:val="000000"/>
                <w:vertAlign w:val="subscript"/>
              </w:rPr>
              <w:t>S</w:t>
            </w:r>
            <w:r>
              <w:rPr>
                <w:color w:val="000000"/>
              </w:rPr>
              <w:t>无组织排放执行《挥发性有机物无组织排放控制标准》（GB37822-2019）附录A表A.1特别排放限值。</w:t>
            </w:r>
          </w:p>
          <w:p w14:paraId="1CBCC975">
            <w:pPr>
              <w:pStyle w:val="42"/>
              <w:ind w:firstLine="480"/>
              <w:rPr>
                <w:bCs/>
                <w:color w:val="000000"/>
              </w:rPr>
            </w:pPr>
            <w:r>
              <w:rPr>
                <w:bCs/>
                <w:color w:val="000000"/>
              </w:rPr>
              <w:t>综上所述，项目大气污染物排放标准限值见表3-2。</w:t>
            </w:r>
          </w:p>
          <w:p w14:paraId="42C2CEA0">
            <w:pPr>
              <w:adjustRightInd w:val="0"/>
              <w:snapToGrid w:val="0"/>
              <w:ind w:firstLine="442" w:firstLineChars="200"/>
              <w:jc w:val="center"/>
              <w:rPr>
                <w:rFonts w:ascii="Times New Roman" w:hAnsi="Times New Roman" w:cs="Times New Roman"/>
                <w:b/>
                <w:color w:val="000000"/>
                <w:szCs w:val="18"/>
              </w:rPr>
            </w:pPr>
            <w:r>
              <w:rPr>
                <w:rFonts w:ascii="Times New Roman" w:hAnsi="Times New Roman" w:cs="Times New Roman"/>
                <w:b/>
                <w:spacing w:val="-10"/>
                <w:szCs w:val="21"/>
              </w:rPr>
              <w:t>表3-2  大气污染物排放标准限值</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1"/>
              <w:gridCol w:w="1592"/>
              <w:gridCol w:w="1592"/>
              <w:gridCol w:w="1592"/>
              <w:gridCol w:w="1592"/>
            </w:tblGrid>
            <w:tr w14:paraId="3BE1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1" w:type="dxa"/>
                  <w:vAlign w:val="center"/>
                </w:tcPr>
                <w:p w14:paraId="11894BB3">
                  <w:pPr>
                    <w:pStyle w:val="42"/>
                    <w:ind w:firstLine="0" w:firstLineChars="0"/>
                    <w:jc w:val="center"/>
                    <w:rPr>
                      <w:color w:val="000000"/>
                      <w:sz w:val="21"/>
                    </w:rPr>
                  </w:pPr>
                  <w:r>
                    <w:rPr>
                      <w:color w:val="000000"/>
                      <w:sz w:val="21"/>
                    </w:rPr>
                    <w:t>污染源</w:t>
                  </w:r>
                </w:p>
              </w:tc>
              <w:tc>
                <w:tcPr>
                  <w:tcW w:w="1592" w:type="dxa"/>
                  <w:vAlign w:val="center"/>
                </w:tcPr>
                <w:p w14:paraId="5B29BC5C">
                  <w:pPr>
                    <w:pStyle w:val="42"/>
                    <w:ind w:firstLine="0" w:firstLineChars="0"/>
                    <w:jc w:val="center"/>
                    <w:rPr>
                      <w:color w:val="000000"/>
                      <w:sz w:val="21"/>
                    </w:rPr>
                  </w:pPr>
                  <w:r>
                    <w:rPr>
                      <w:color w:val="000000"/>
                      <w:sz w:val="21"/>
                    </w:rPr>
                    <w:t>污染物</w:t>
                  </w:r>
                </w:p>
              </w:tc>
              <w:tc>
                <w:tcPr>
                  <w:tcW w:w="1592" w:type="dxa"/>
                  <w:vAlign w:val="center"/>
                </w:tcPr>
                <w:p w14:paraId="6B2C0750">
                  <w:pPr>
                    <w:pStyle w:val="42"/>
                    <w:ind w:firstLine="0" w:firstLineChars="0"/>
                    <w:jc w:val="center"/>
                    <w:rPr>
                      <w:color w:val="000000"/>
                      <w:sz w:val="21"/>
                    </w:rPr>
                  </w:pPr>
                  <w:r>
                    <w:rPr>
                      <w:sz w:val="21"/>
                    </w:rPr>
                    <w:t>最高允许排放浓度（mg/m</w:t>
                  </w:r>
                  <w:r>
                    <w:rPr>
                      <w:sz w:val="21"/>
                      <w:vertAlign w:val="superscript"/>
                    </w:rPr>
                    <w:t>3</w:t>
                  </w:r>
                  <w:r>
                    <w:rPr>
                      <w:sz w:val="21"/>
                    </w:rPr>
                    <w:t>）</w:t>
                  </w:r>
                </w:p>
              </w:tc>
              <w:tc>
                <w:tcPr>
                  <w:tcW w:w="1592" w:type="dxa"/>
                  <w:vAlign w:val="center"/>
                </w:tcPr>
                <w:p w14:paraId="13216580">
                  <w:pPr>
                    <w:pStyle w:val="42"/>
                    <w:ind w:firstLine="0" w:firstLineChars="0"/>
                    <w:jc w:val="center"/>
                    <w:rPr>
                      <w:color w:val="000000"/>
                      <w:sz w:val="21"/>
                    </w:rPr>
                  </w:pPr>
                  <w:r>
                    <w:rPr>
                      <w:sz w:val="21"/>
                    </w:rPr>
                    <w:t>排放速率（kg/h）</w:t>
                  </w:r>
                </w:p>
              </w:tc>
              <w:tc>
                <w:tcPr>
                  <w:tcW w:w="1592" w:type="dxa"/>
                  <w:vAlign w:val="center"/>
                </w:tcPr>
                <w:p w14:paraId="033FA676">
                  <w:pPr>
                    <w:pStyle w:val="42"/>
                    <w:ind w:firstLine="0" w:firstLineChars="0"/>
                    <w:jc w:val="center"/>
                    <w:rPr>
                      <w:color w:val="000000"/>
                      <w:sz w:val="21"/>
                    </w:rPr>
                  </w:pPr>
                  <w:r>
                    <w:rPr>
                      <w:color w:val="000000"/>
                      <w:sz w:val="21"/>
                    </w:rPr>
                    <w:t>标准</w:t>
                  </w:r>
                </w:p>
              </w:tc>
            </w:tr>
            <w:tr w14:paraId="72504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1" w:type="dxa"/>
                  <w:vMerge w:val="restart"/>
                  <w:vAlign w:val="center"/>
                </w:tcPr>
                <w:p w14:paraId="5C4B10BC">
                  <w:pPr>
                    <w:pStyle w:val="42"/>
                    <w:ind w:firstLine="0" w:firstLineChars="0"/>
                    <w:jc w:val="center"/>
                    <w:rPr>
                      <w:color w:val="000000"/>
                      <w:sz w:val="21"/>
                    </w:rPr>
                  </w:pPr>
                  <w:r>
                    <w:rPr>
                      <w:sz w:val="21"/>
                    </w:rPr>
                    <w:t>罐区、装卸区</w:t>
                  </w:r>
                </w:p>
              </w:tc>
              <w:tc>
                <w:tcPr>
                  <w:tcW w:w="1592" w:type="dxa"/>
                  <w:vAlign w:val="center"/>
                </w:tcPr>
                <w:p w14:paraId="46CDF635">
                  <w:pPr>
                    <w:pStyle w:val="42"/>
                    <w:ind w:firstLine="0" w:firstLineChars="0"/>
                    <w:jc w:val="center"/>
                    <w:rPr>
                      <w:color w:val="000000"/>
                      <w:sz w:val="21"/>
                    </w:rPr>
                  </w:pPr>
                  <w:r>
                    <w:rPr>
                      <w:sz w:val="21"/>
                    </w:rPr>
                    <w:t>NMHC</w:t>
                  </w:r>
                </w:p>
              </w:tc>
              <w:tc>
                <w:tcPr>
                  <w:tcW w:w="1592" w:type="dxa"/>
                  <w:vAlign w:val="center"/>
                </w:tcPr>
                <w:p w14:paraId="666B1708">
                  <w:pPr>
                    <w:pStyle w:val="42"/>
                    <w:ind w:firstLine="420"/>
                    <w:jc w:val="center"/>
                    <w:rPr>
                      <w:color w:val="000000"/>
                      <w:sz w:val="21"/>
                    </w:rPr>
                  </w:pPr>
                  <w:r>
                    <w:rPr>
                      <w:color w:val="000000"/>
                      <w:sz w:val="21"/>
                    </w:rPr>
                    <w:t>去除效率≥97%；且 NMHC≤60 mg/m³（A级，非燃烧法）</w:t>
                  </w:r>
                </w:p>
              </w:tc>
              <w:tc>
                <w:tcPr>
                  <w:tcW w:w="1592" w:type="dxa"/>
                  <w:vAlign w:val="center"/>
                </w:tcPr>
                <w:p w14:paraId="355F8E8F">
                  <w:pPr>
                    <w:pStyle w:val="42"/>
                    <w:ind w:firstLine="0" w:firstLineChars="0"/>
                    <w:jc w:val="center"/>
                    <w:rPr>
                      <w:color w:val="000000"/>
                      <w:sz w:val="21"/>
                    </w:rPr>
                  </w:pPr>
                  <w:r>
                    <w:rPr>
                      <w:rFonts w:hint="eastAsia"/>
                      <w:sz w:val="21"/>
                    </w:rPr>
                    <w:t>/</w:t>
                  </w:r>
                </w:p>
              </w:tc>
              <w:tc>
                <w:tcPr>
                  <w:tcW w:w="1592" w:type="dxa"/>
                  <w:vMerge w:val="restart"/>
                  <w:vAlign w:val="center"/>
                </w:tcPr>
                <w:p w14:paraId="1DC0C6BB">
                  <w:pPr>
                    <w:pStyle w:val="51"/>
                    <w:rPr>
                      <w:sz w:val="21"/>
                      <w:szCs w:val="21"/>
                    </w:rPr>
                  </w:pPr>
                  <w:r>
                    <w:rPr>
                      <w:sz w:val="21"/>
                      <w:szCs w:val="21"/>
                    </w:rPr>
                    <w:t>《石油化学工业污染物排放标准》（GB31571-2015，含2024年修改单）</w:t>
                  </w:r>
                </w:p>
                <w:p w14:paraId="2DECD912">
                  <w:pPr>
                    <w:pStyle w:val="51"/>
                    <w:rPr>
                      <w:sz w:val="21"/>
                      <w:szCs w:val="21"/>
                    </w:rPr>
                  </w:pPr>
                  <w:r>
                    <w:rPr>
                      <w:sz w:val="21"/>
                      <w:szCs w:val="21"/>
                    </w:rPr>
                    <w:t>非甲烷总烃排放浓度需满足《重污染天气重点行业应急减排措施制定技术指南（2020年修订版）》炼油与石油化工行业A级企业相关控制要求。</w:t>
                  </w:r>
                </w:p>
              </w:tc>
            </w:tr>
            <w:tr w14:paraId="15B56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1" w:type="dxa"/>
                  <w:vMerge w:val="continue"/>
                  <w:vAlign w:val="center"/>
                </w:tcPr>
                <w:p w14:paraId="12A08B19">
                  <w:pPr>
                    <w:pStyle w:val="42"/>
                    <w:ind w:firstLine="0" w:firstLineChars="0"/>
                    <w:jc w:val="center"/>
                    <w:rPr>
                      <w:sz w:val="21"/>
                    </w:rPr>
                  </w:pPr>
                </w:p>
              </w:tc>
              <w:tc>
                <w:tcPr>
                  <w:tcW w:w="1592" w:type="dxa"/>
                  <w:vAlign w:val="center"/>
                </w:tcPr>
                <w:p w14:paraId="3405062A">
                  <w:pPr>
                    <w:pStyle w:val="42"/>
                    <w:ind w:firstLine="0" w:firstLineChars="0"/>
                    <w:jc w:val="center"/>
                    <w:rPr>
                      <w:sz w:val="21"/>
                    </w:rPr>
                  </w:pPr>
                  <w:r>
                    <w:rPr>
                      <w:sz w:val="21"/>
                    </w:rPr>
                    <w:t>苯</w:t>
                  </w:r>
                </w:p>
              </w:tc>
              <w:tc>
                <w:tcPr>
                  <w:tcW w:w="1592" w:type="dxa"/>
                  <w:vAlign w:val="center"/>
                </w:tcPr>
                <w:p w14:paraId="3FCA490F">
                  <w:pPr>
                    <w:pStyle w:val="42"/>
                    <w:ind w:firstLine="0" w:firstLineChars="0"/>
                    <w:jc w:val="center"/>
                    <w:rPr>
                      <w:sz w:val="21"/>
                    </w:rPr>
                  </w:pPr>
                  <w:r>
                    <w:rPr>
                      <w:sz w:val="21"/>
                    </w:rPr>
                    <w:t>4</w:t>
                  </w:r>
                </w:p>
              </w:tc>
              <w:tc>
                <w:tcPr>
                  <w:tcW w:w="1592" w:type="dxa"/>
                  <w:vAlign w:val="center"/>
                </w:tcPr>
                <w:p w14:paraId="4E618915">
                  <w:pPr>
                    <w:pStyle w:val="42"/>
                    <w:ind w:firstLine="0" w:firstLineChars="0"/>
                    <w:jc w:val="center"/>
                    <w:rPr>
                      <w:sz w:val="21"/>
                    </w:rPr>
                  </w:pPr>
                  <w:r>
                    <w:rPr>
                      <w:sz w:val="21"/>
                    </w:rPr>
                    <w:t>/</w:t>
                  </w:r>
                </w:p>
              </w:tc>
              <w:tc>
                <w:tcPr>
                  <w:tcW w:w="1592" w:type="dxa"/>
                  <w:vMerge w:val="continue"/>
                  <w:vAlign w:val="center"/>
                </w:tcPr>
                <w:p w14:paraId="0ED4D328">
                  <w:pPr>
                    <w:pStyle w:val="51"/>
                    <w:rPr>
                      <w:sz w:val="21"/>
                      <w:szCs w:val="21"/>
                    </w:rPr>
                  </w:pPr>
                </w:p>
              </w:tc>
            </w:tr>
            <w:tr w14:paraId="0D5B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1" w:type="dxa"/>
                  <w:vMerge w:val="continue"/>
                  <w:vAlign w:val="center"/>
                </w:tcPr>
                <w:p w14:paraId="577B7128">
                  <w:pPr>
                    <w:pStyle w:val="42"/>
                    <w:ind w:firstLine="0" w:firstLineChars="0"/>
                    <w:jc w:val="center"/>
                    <w:rPr>
                      <w:sz w:val="21"/>
                    </w:rPr>
                  </w:pPr>
                </w:p>
              </w:tc>
              <w:tc>
                <w:tcPr>
                  <w:tcW w:w="1592" w:type="dxa"/>
                  <w:vAlign w:val="center"/>
                </w:tcPr>
                <w:p w14:paraId="35B0E230">
                  <w:pPr>
                    <w:pStyle w:val="42"/>
                    <w:ind w:firstLine="0" w:firstLineChars="0"/>
                    <w:jc w:val="center"/>
                    <w:rPr>
                      <w:sz w:val="21"/>
                    </w:rPr>
                  </w:pPr>
                  <w:r>
                    <w:rPr>
                      <w:sz w:val="21"/>
                    </w:rPr>
                    <w:t>甲苯</w:t>
                  </w:r>
                </w:p>
              </w:tc>
              <w:tc>
                <w:tcPr>
                  <w:tcW w:w="1592" w:type="dxa"/>
                  <w:vAlign w:val="center"/>
                </w:tcPr>
                <w:p w14:paraId="5DE214B7">
                  <w:pPr>
                    <w:pStyle w:val="42"/>
                    <w:ind w:firstLine="0" w:firstLineChars="0"/>
                    <w:jc w:val="center"/>
                    <w:rPr>
                      <w:sz w:val="21"/>
                    </w:rPr>
                  </w:pPr>
                  <w:r>
                    <w:rPr>
                      <w:sz w:val="21"/>
                    </w:rPr>
                    <w:t>15</w:t>
                  </w:r>
                </w:p>
              </w:tc>
              <w:tc>
                <w:tcPr>
                  <w:tcW w:w="1592" w:type="dxa"/>
                  <w:vAlign w:val="center"/>
                </w:tcPr>
                <w:p w14:paraId="4541A30C">
                  <w:pPr>
                    <w:pStyle w:val="42"/>
                    <w:ind w:firstLine="0" w:firstLineChars="0"/>
                    <w:jc w:val="center"/>
                    <w:rPr>
                      <w:sz w:val="21"/>
                    </w:rPr>
                  </w:pPr>
                  <w:r>
                    <w:rPr>
                      <w:sz w:val="21"/>
                    </w:rPr>
                    <w:t>/</w:t>
                  </w:r>
                </w:p>
              </w:tc>
              <w:tc>
                <w:tcPr>
                  <w:tcW w:w="1592" w:type="dxa"/>
                  <w:vMerge w:val="continue"/>
                  <w:vAlign w:val="center"/>
                </w:tcPr>
                <w:p w14:paraId="0218D2CA">
                  <w:pPr>
                    <w:pStyle w:val="51"/>
                    <w:rPr>
                      <w:sz w:val="21"/>
                      <w:szCs w:val="21"/>
                    </w:rPr>
                  </w:pPr>
                </w:p>
              </w:tc>
            </w:tr>
            <w:tr w14:paraId="08C0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91" w:type="dxa"/>
                  <w:vMerge w:val="continue"/>
                  <w:vAlign w:val="center"/>
                </w:tcPr>
                <w:p w14:paraId="281C7190">
                  <w:pPr>
                    <w:pStyle w:val="42"/>
                    <w:ind w:firstLine="0" w:firstLineChars="0"/>
                    <w:jc w:val="center"/>
                    <w:rPr>
                      <w:sz w:val="21"/>
                    </w:rPr>
                  </w:pPr>
                </w:p>
              </w:tc>
              <w:tc>
                <w:tcPr>
                  <w:tcW w:w="1592" w:type="dxa"/>
                  <w:vAlign w:val="center"/>
                </w:tcPr>
                <w:p w14:paraId="663D5FE0">
                  <w:pPr>
                    <w:pStyle w:val="42"/>
                    <w:ind w:firstLine="0" w:firstLineChars="0"/>
                    <w:jc w:val="center"/>
                    <w:rPr>
                      <w:sz w:val="21"/>
                    </w:rPr>
                  </w:pPr>
                  <w:r>
                    <w:rPr>
                      <w:sz w:val="21"/>
                    </w:rPr>
                    <w:t>二甲苯</w:t>
                  </w:r>
                </w:p>
              </w:tc>
              <w:tc>
                <w:tcPr>
                  <w:tcW w:w="1592" w:type="dxa"/>
                  <w:vAlign w:val="center"/>
                </w:tcPr>
                <w:p w14:paraId="5B9407EA">
                  <w:pPr>
                    <w:pStyle w:val="42"/>
                    <w:ind w:firstLine="0" w:firstLineChars="0"/>
                    <w:jc w:val="center"/>
                    <w:rPr>
                      <w:sz w:val="21"/>
                    </w:rPr>
                  </w:pPr>
                  <w:r>
                    <w:rPr>
                      <w:sz w:val="21"/>
                    </w:rPr>
                    <w:t>20</w:t>
                  </w:r>
                </w:p>
              </w:tc>
              <w:tc>
                <w:tcPr>
                  <w:tcW w:w="1592" w:type="dxa"/>
                  <w:vAlign w:val="center"/>
                </w:tcPr>
                <w:p w14:paraId="5900794B">
                  <w:pPr>
                    <w:pStyle w:val="42"/>
                    <w:ind w:firstLine="0" w:firstLineChars="0"/>
                    <w:jc w:val="center"/>
                    <w:rPr>
                      <w:sz w:val="21"/>
                    </w:rPr>
                  </w:pPr>
                  <w:r>
                    <w:rPr>
                      <w:sz w:val="21"/>
                    </w:rPr>
                    <w:t>/</w:t>
                  </w:r>
                </w:p>
              </w:tc>
              <w:tc>
                <w:tcPr>
                  <w:tcW w:w="1592" w:type="dxa"/>
                  <w:vMerge w:val="continue"/>
                  <w:vAlign w:val="center"/>
                </w:tcPr>
                <w:p w14:paraId="023A118F">
                  <w:pPr>
                    <w:pStyle w:val="51"/>
                    <w:rPr>
                      <w:sz w:val="21"/>
                      <w:szCs w:val="21"/>
                    </w:rPr>
                  </w:pPr>
                </w:p>
              </w:tc>
            </w:tr>
            <w:tr w14:paraId="2FE1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1" w:type="dxa"/>
                  <w:vMerge w:val="restart"/>
                  <w:vAlign w:val="center"/>
                </w:tcPr>
                <w:p w14:paraId="6DAB5B83">
                  <w:pPr>
                    <w:pStyle w:val="42"/>
                    <w:ind w:firstLine="0" w:firstLineChars="0"/>
                    <w:jc w:val="center"/>
                    <w:rPr>
                      <w:color w:val="000000"/>
                      <w:sz w:val="21"/>
                    </w:rPr>
                  </w:pPr>
                  <w:r>
                    <w:rPr>
                      <w:color w:val="000000"/>
                      <w:sz w:val="21"/>
                    </w:rPr>
                    <w:t>厂界</w:t>
                  </w:r>
                </w:p>
              </w:tc>
              <w:tc>
                <w:tcPr>
                  <w:tcW w:w="1592" w:type="dxa"/>
                  <w:vAlign w:val="center"/>
                </w:tcPr>
                <w:p w14:paraId="61E2967E">
                  <w:pPr>
                    <w:pStyle w:val="42"/>
                    <w:ind w:firstLine="0" w:firstLineChars="0"/>
                    <w:jc w:val="center"/>
                    <w:rPr>
                      <w:color w:val="000000"/>
                      <w:sz w:val="21"/>
                    </w:rPr>
                  </w:pPr>
                  <w:r>
                    <w:rPr>
                      <w:sz w:val="21"/>
                    </w:rPr>
                    <w:t>NMHC</w:t>
                  </w:r>
                </w:p>
              </w:tc>
              <w:tc>
                <w:tcPr>
                  <w:tcW w:w="1592" w:type="dxa"/>
                  <w:vAlign w:val="center"/>
                </w:tcPr>
                <w:p w14:paraId="4CB43AD0">
                  <w:pPr>
                    <w:pStyle w:val="42"/>
                    <w:ind w:firstLine="0" w:firstLineChars="0"/>
                    <w:jc w:val="center"/>
                    <w:rPr>
                      <w:color w:val="000000"/>
                      <w:sz w:val="21"/>
                    </w:rPr>
                  </w:pPr>
                  <w:r>
                    <w:rPr>
                      <w:sz w:val="21"/>
                    </w:rPr>
                    <w:t>4.0</w:t>
                  </w:r>
                </w:p>
              </w:tc>
              <w:tc>
                <w:tcPr>
                  <w:tcW w:w="1592" w:type="dxa"/>
                  <w:vAlign w:val="center"/>
                </w:tcPr>
                <w:p w14:paraId="39410BA3">
                  <w:pPr>
                    <w:pStyle w:val="42"/>
                    <w:ind w:firstLine="0" w:firstLineChars="0"/>
                    <w:jc w:val="center"/>
                    <w:rPr>
                      <w:color w:val="000000"/>
                      <w:sz w:val="21"/>
                    </w:rPr>
                  </w:pPr>
                  <w:r>
                    <w:rPr>
                      <w:sz w:val="21"/>
                    </w:rPr>
                    <w:t>/</w:t>
                  </w:r>
                </w:p>
              </w:tc>
              <w:tc>
                <w:tcPr>
                  <w:tcW w:w="1592" w:type="dxa"/>
                  <w:vMerge w:val="restart"/>
                  <w:vAlign w:val="center"/>
                </w:tcPr>
                <w:p w14:paraId="0F685066">
                  <w:pPr>
                    <w:pStyle w:val="42"/>
                    <w:ind w:firstLine="0" w:firstLineChars="0"/>
                    <w:jc w:val="center"/>
                    <w:rPr>
                      <w:color w:val="000000"/>
                      <w:sz w:val="21"/>
                    </w:rPr>
                  </w:pPr>
                  <w:r>
                    <w:rPr>
                      <w:sz w:val="21"/>
                    </w:rPr>
                    <w:t>《石油化学工业污染物排放标准》（GB31571-2015，含2024年修改单）表7企业边界大气污染物浓度限值</w:t>
                  </w:r>
                </w:p>
              </w:tc>
            </w:tr>
            <w:tr w14:paraId="3963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1" w:type="dxa"/>
                  <w:vMerge w:val="continue"/>
                  <w:vAlign w:val="center"/>
                </w:tcPr>
                <w:p w14:paraId="3A9527D5">
                  <w:pPr>
                    <w:pStyle w:val="42"/>
                    <w:ind w:firstLine="0" w:firstLineChars="0"/>
                    <w:jc w:val="center"/>
                    <w:rPr>
                      <w:color w:val="000000"/>
                      <w:sz w:val="21"/>
                    </w:rPr>
                  </w:pPr>
                </w:p>
              </w:tc>
              <w:tc>
                <w:tcPr>
                  <w:tcW w:w="1592" w:type="dxa"/>
                  <w:vAlign w:val="center"/>
                </w:tcPr>
                <w:p w14:paraId="0725D7F2">
                  <w:pPr>
                    <w:pStyle w:val="42"/>
                    <w:ind w:firstLine="0" w:firstLineChars="0"/>
                    <w:jc w:val="center"/>
                    <w:rPr>
                      <w:sz w:val="21"/>
                    </w:rPr>
                  </w:pPr>
                  <w:r>
                    <w:rPr>
                      <w:sz w:val="21"/>
                    </w:rPr>
                    <w:t>苯</w:t>
                  </w:r>
                </w:p>
              </w:tc>
              <w:tc>
                <w:tcPr>
                  <w:tcW w:w="1592" w:type="dxa"/>
                  <w:vAlign w:val="center"/>
                </w:tcPr>
                <w:p w14:paraId="51DA0FEB">
                  <w:pPr>
                    <w:pStyle w:val="42"/>
                    <w:ind w:firstLine="0" w:firstLineChars="0"/>
                    <w:jc w:val="center"/>
                    <w:rPr>
                      <w:sz w:val="21"/>
                    </w:rPr>
                  </w:pPr>
                  <w:r>
                    <w:rPr>
                      <w:sz w:val="21"/>
                    </w:rPr>
                    <w:t>0.4</w:t>
                  </w:r>
                </w:p>
              </w:tc>
              <w:tc>
                <w:tcPr>
                  <w:tcW w:w="1592" w:type="dxa"/>
                  <w:vAlign w:val="center"/>
                </w:tcPr>
                <w:p w14:paraId="35A17C45">
                  <w:pPr>
                    <w:pStyle w:val="42"/>
                    <w:ind w:firstLine="0" w:firstLineChars="0"/>
                    <w:jc w:val="center"/>
                    <w:rPr>
                      <w:sz w:val="21"/>
                    </w:rPr>
                  </w:pPr>
                  <w:r>
                    <w:rPr>
                      <w:sz w:val="21"/>
                    </w:rPr>
                    <w:t>/</w:t>
                  </w:r>
                </w:p>
              </w:tc>
              <w:tc>
                <w:tcPr>
                  <w:tcW w:w="1592" w:type="dxa"/>
                  <w:vMerge w:val="continue"/>
                  <w:vAlign w:val="center"/>
                </w:tcPr>
                <w:p w14:paraId="0F292B00">
                  <w:pPr>
                    <w:pStyle w:val="42"/>
                    <w:ind w:firstLine="0" w:firstLineChars="0"/>
                    <w:jc w:val="center"/>
                    <w:rPr>
                      <w:sz w:val="21"/>
                    </w:rPr>
                  </w:pPr>
                </w:p>
              </w:tc>
            </w:tr>
            <w:tr w14:paraId="0FCE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1" w:type="dxa"/>
                  <w:vMerge w:val="continue"/>
                  <w:vAlign w:val="center"/>
                </w:tcPr>
                <w:p w14:paraId="5A7B53D0">
                  <w:pPr>
                    <w:pStyle w:val="42"/>
                    <w:ind w:firstLine="0" w:firstLineChars="0"/>
                    <w:jc w:val="center"/>
                    <w:rPr>
                      <w:color w:val="000000"/>
                      <w:sz w:val="21"/>
                    </w:rPr>
                  </w:pPr>
                </w:p>
              </w:tc>
              <w:tc>
                <w:tcPr>
                  <w:tcW w:w="1592" w:type="dxa"/>
                  <w:vAlign w:val="center"/>
                </w:tcPr>
                <w:p w14:paraId="484B48A6">
                  <w:pPr>
                    <w:pStyle w:val="42"/>
                    <w:ind w:firstLine="0" w:firstLineChars="0"/>
                    <w:jc w:val="center"/>
                    <w:rPr>
                      <w:sz w:val="21"/>
                    </w:rPr>
                  </w:pPr>
                  <w:r>
                    <w:rPr>
                      <w:sz w:val="21"/>
                    </w:rPr>
                    <w:t>甲苯</w:t>
                  </w:r>
                </w:p>
              </w:tc>
              <w:tc>
                <w:tcPr>
                  <w:tcW w:w="1592" w:type="dxa"/>
                  <w:vAlign w:val="center"/>
                </w:tcPr>
                <w:p w14:paraId="0B2EEC56">
                  <w:pPr>
                    <w:pStyle w:val="42"/>
                    <w:ind w:firstLine="0" w:firstLineChars="0"/>
                    <w:jc w:val="center"/>
                    <w:rPr>
                      <w:sz w:val="21"/>
                    </w:rPr>
                  </w:pPr>
                  <w:r>
                    <w:rPr>
                      <w:sz w:val="21"/>
                    </w:rPr>
                    <w:t>0.8</w:t>
                  </w:r>
                </w:p>
              </w:tc>
              <w:tc>
                <w:tcPr>
                  <w:tcW w:w="1592" w:type="dxa"/>
                  <w:vAlign w:val="center"/>
                </w:tcPr>
                <w:p w14:paraId="222D6587">
                  <w:pPr>
                    <w:pStyle w:val="42"/>
                    <w:ind w:firstLine="0" w:firstLineChars="0"/>
                    <w:jc w:val="center"/>
                    <w:rPr>
                      <w:sz w:val="21"/>
                    </w:rPr>
                  </w:pPr>
                  <w:r>
                    <w:rPr>
                      <w:sz w:val="21"/>
                    </w:rPr>
                    <w:t>/</w:t>
                  </w:r>
                </w:p>
              </w:tc>
              <w:tc>
                <w:tcPr>
                  <w:tcW w:w="1592" w:type="dxa"/>
                  <w:vMerge w:val="continue"/>
                  <w:vAlign w:val="center"/>
                </w:tcPr>
                <w:p w14:paraId="429CAE0E">
                  <w:pPr>
                    <w:pStyle w:val="42"/>
                    <w:ind w:firstLine="0" w:firstLineChars="0"/>
                    <w:jc w:val="center"/>
                    <w:rPr>
                      <w:sz w:val="21"/>
                    </w:rPr>
                  </w:pPr>
                </w:p>
              </w:tc>
            </w:tr>
            <w:tr w14:paraId="1DFCF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1" w:type="dxa"/>
                  <w:vMerge w:val="continue"/>
                  <w:vAlign w:val="center"/>
                </w:tcPr>
                <w:p w14:paraId="732A3C16">
                  <w:pPr>
                    <w:pStyle w:val="42"/>
                    <w:ind w:firstLine="0" w:firstLineChars="0"/>
                    <w:jc w:val="center"/>
                    <w:rPr>
                      <w:color w:val="000000"/>
                      <w:sz w:val="21"/>
                    </w:rPr>
                  </w:pPr>
                </w:p>
              </w:tc>
              <w:tc>
                <w:tcPr>
                  <w:tcW w:w="1592" w:type="dxa"/>
                  <w:vAlign w:val="center"/>
                </w:tcPr>
                <w:p w14:paraId="36500889">
                  <w:pPr>
                    <w:pStyle w:val="42"/>
                    <w:ind w:firstLine="0" w:firstLineChars="0"/>
                    <w:jc w:val="center"/>
                    <w:rPr>
                      <w:sz w:val="21"/>
                    </w:rPr>
                  </w:pPr>
                  <w:r>
                    <w:rPr>
                      <w:sz w:val="21"/>
                    </w:rPr>
                    <w:t>二甲苯</w:t>
                  </w:r>
                </w:p>
              </w:tc>
              <w:tc>
                <w:tcPr>
                  <w:tcW w:w="1592" w:type="dxa"/>
                  <w:vAlign w:val="center"/>
                </w:tcPr>
                <w:p w14:paraId="37644304">
                  <w:pPr>
                    <w:pStyle w:val="42"/>
                    <w:ind w:firstLine="0" w:firstLineChars="0"/>
                    <w:jc w:val="center"/>
                    <w:rPr>
                      <w:sz w:val="21"/>
                    </w:rPr>
                  </w:pPr>
                  <w:r>
                    <w:rPr>
                      <w:sz w:val="21"/>
                    </w:rPr>
                    <w:t>0.8</w:t>
                  </w:r>
                </w:p>
              </w:tc>
              <w:tc>
                <w:tcPr>
                  <w:tcW w:w="1592" w:type="dxa"/>
                  <w:vAlign w:val="center"/>
                </w:tcPr>
                <w:p w14:paraId="1C6BC2BA">
                  <w:pPr>
                    <w:pStyle w:val="42"/>
                    <w:ind w:firstLine="0" w:firstLineChars="0"/>
                    <w:jc w:val="center"/>
                    <w:rPr>
                      <w:sz w:val="21"/>
                    </w:rPr>
                  </w:pPr>
                  <w:r>
                    <w:rPr>
                      <w:sz w:val="21"/>
                    </w:rPr>
                    <w:t>/</w:t>
                  </w:r>
                </w:p>
              </w:tc>
              <w:tc>
                <w:tcPr>
                  <w:tcW w:w="1592" w:type="dxa"/>
                  <w:vMerge w:val="continue"/>
                  <w:vAlign w:val="center"/>
                </w:tcPr>
                <w:p w14:paraId="6D1A1DFA">
                  <w:pPr>
                    <w:pStyle w:val="42"/>
                    <w:ind w:firstLine="0" w:firstLineChars="0"/>
                    <w:jc w:val="center"/>
                    <w:rPr>
                      <w:sz w:val="21"/>
                    </w:rPr>
                  </w:pPr>
                </w:p>
              </w:tc>
            </w:tr>
            <w:tr w14:paraId="573E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1" w:type="dxa"/>
                  <w:vMerge w:val="restart"/>
                  <w:vAlign w:val="center"/>
                </w:tcPr>
                <w:p w14:paraId="30AD1351">
                  <w:pPr>
                    <w:pStyle w:val="42"/>
                    <w:ind w:firstLine="0" w:firstLineChars="0"/>
                    <w:jc w:val="center"/>
                    <w:rPr>
                      <w:color w:val="000000"/>
                      <w:sz w:val="21"/>
                    </w:rPr>
                  </w:pPr>
                  <w:r>
                    <w:rPr>
                      <w:color w:val="000000"/>
                      <w:sz w:val="21"/>
                    </w:rPr>
                    <w:t>厂内</w:t>
                  </w:r>
                </w:p>
              </w:tc>
              <w:tc>
                <w:tcPr>
                  <w:tcW w:w="1592" w:type="dxa"/>
                  <w:vMerge w:val="restart"/>
                  <w:vAlign w:val="center"/>
                </w:tcPr>
                <w:p w14:paraId="7ACACE28">
                  <w:pPr>
                    <w:pStyle w:val="42"/>
                    <w:ind w:firstLine="0" w:firstLineChars="0"/>
                    <w:jc w:val="center"/>
                    <w:rPr>
                      <w:color w:val="000000"/>
                      <w:sz w:val="21"/>
                    </w:rPr>
                  </w:pPr>
                  <w:r>
                    <w:rPr>
                      <w:sz w:val="21"/>
                    </w:rPr>
                    <w:t>VOC</w:t>
                  </w:r>
                  <w:r>
                    <w:rPr>
                      <w:sz w:val="21"/>
                      <w:vertAlign w:val="subscript"/>
                    </w:rPr>
                    <w:t>S</w:t>
                  </w:r>
                </w:p>
              </w:tc>
              <w:tc>
                <w:tcPr>
                  <w:tcW w:w="1592" w:type="dxa"/>
                  <w:vAlign w:val="center"/>
                </w:tcPr>
                <w:p w14:paraId="5153DC86">
                  <w:pPr>
                    <w:pStyle w:val="42"/>
                    <w:ind w:firstLine="0" w:firstLineChars="0"/>
                    <w:jc w:val="center"/>
                    <w:rPr>
                      <w:color w:val="000000"/>
                      <w:sz w:val="21"/>
                    </w:rPr>
                  </w:pPr>
                  <w:r>
                    <w:rPr>
                      <w:sz w:val="21"/>
                    </w:rPr>
                    <w:t>6（监控点处1h平均浓度）</w:t>
                  </w:r>
                </w:p>
              </w:tc>
              <w:tc>
                <w:tcPr>
                  <w:tcW w:w="1592" w:type="dxa"/>
                  <w:vAlign w:val="center"/>
                </w:tcPr>
                <w:p w14:paraId="193FF499">
                  <w:pPr>
                    <w:pStyle w:val="42"/>
                    <w:ind w:firstLine="0" w:firstLineChars="0"/>
                    <w:jc w:val="center"/>
                    <w:rPr>
                      <w:color w:val="000000"/>
                      <w:sz w:val="21"/>
                    </w:rPr>
                  </w:pPr>
                  <w:r>
                    <w:rPr>
                      <w:sz w:val="21"/>
                    </w:rPr>
                    <w:t>/</w:t>
                  </w:r>
                </w:p>
              </w:tc>
              <w:tc>
                <w:tcPr>
                  <w:tcW w:w="1592" w:type="dxa"/>
                  <w:vMerge w:val="restart"/>
                  <w:vAlign w:val="center"/>
                </w:tcPr>
                <w:p w14:paraId="459744FC">
                  <w:pPr>
                    <w:pStyle w:val="42"/>
                    <w:ind w:firstLine="0" w:firstLineChars="0"/>
                    <w:jc w:val="center"/>
                    <w:rPr>
                      <w:color w:val="000000"/>
                      <w:sz w:val="21"/>
                    </w:rPr>
                  </w:pPr>
                  <w:r>
                    <w:rPr>
                      <w:sz w:val="21"/>
                    </w:rPr>
                    <w:t>《挥发性有机物无组织排放控制标准》（GB37822-2019）附录A表A.1特别排放限值</w:t>
                  </w:r>
                </w:p>
              </w:tc>
            </w:tr>
            <w:tr w14:paraId="3DA59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1" w:type="dxa"/>
                  <w:vMerge w:val="continue"/>
                  <w:vAlign w:val="center"/>
                </w:tcPr>
                <w:p w14:paraId="0A806EC4">
                  <w:pPr>
                    <w:pStyle w:val="42"/>
                    <w:ind w:firstLine="0" w:firstLineChars="0"/>
                    <w:jc w:val="center"/>
                    <w:rPr>
                      <w:color w:val="000000"/>
                      <w:sz w:val="21"/>
                    </w:rPr>
                  </w:pPr>
                </w:p>
              </w:tc>
              <w:tc>
                <w:tcPr>
                  <w:tcW w:w="1592" w:type="dxa"/>
                  <w:vMerge w:val="continue"/>
                  <w:vAlign w:val="center"/>
                </w:tcPr>
                <w:p w14:paraId="7C25FCB0">
                  <w:pPr>
                    <w:pStyle w:val="42"/>
                    <w:ind w:firstLine="0" w:firstLineChars="0"/>
                    <w:jc w:val="center"/>
                    <w:rPr>
                      <w:color w:val="000000"/>
                      <w:sz w:val="21"/>
                    </w:rPr>
                  </w:pPr>
                </w:p>
              </w:tc>
              <w:tc>
                <w:tcPr>
                  <w:tcW w:w="1592" w:type="dxa"/>
                  <w:vAlign w:val="center"/>
                </w:tcPr>
                <w:p w14:paraId="585BE193">
                  <w:pPr>
                    <w:pStyle w:val="42"/>
                    <w:ind w:firstLine="0" w:firstLineChars="0"/>
                    <w:jc w:val="center"/>
                    <w:rPr>
                      <w:color w:val="000000"/>
                      <w:sz w:val="21"/>
                    </w:rPr>
                  </w:pPr>
                  <w:r>
                    <w:rPr>
                      <w:sz w:val="21"/>
                    </w:rPr>
                    <w:t>20（监控点处任意一次浓度值）</w:t>
                  </w:r>
                </w:p>
              </w:tc>
              <w:tc>
                <w:tcPr>
                  <w:tcW w:w="1592" w:type="dxa"/>
                  <w:vAlign w:val="center"/>
                </w:tcPr>
                <w:p w14:paraId="57E9A522">
                  <w:pPr>
                    <w:pStyle w:val="42"/>
                    <w:ind w:firstLine="0" w:firstLineChars="0"/>
                    <w:jc w:val="center"/>
                    <w:rPr>
                      <w:color w:val="000000"/>
                      <w:sz w:val="21"/>
                    </w:rPr>
                  </w:pPr>
                  <w:r>
                    <w:rPr>
                      <w:sz w:val="21"/>
                    </w:rPr>
                    <w:t>/</w:t>
                  </w:r>
                </w:p>
              </w:tc>
              <w:tc>
                <w:tcPr>
                  <w:tcW w:w="1592" w:type="dxa"/>
                  <w:vMerge w:val="continue"/>
                  <w:vAlign w:val="center"/>
                </w:tcPr>
                <w:p w14:paraId="3970F64C">
                  <w:pPr>
                    <w:pStyle w:val="42"/>
                    <w:ind w:firstLine="0" w:firstLineChars="0"/>
                    <w:jc w:val="center"/>
                    <w:rPr>
                      <w:color w:val="000000"/>
                      <w:sz w:val="21"/>
                    </w:rPr>
                  </w:pPr>
                </w:p>
              </w:tc>
            </w:tr>
          </w:tbl>
          <w:p w14:paraId="15E49578">
            <w:pPr>
              <w:pStyle w:val="42"/>
              <w:ind w:firstLine="480"/>
              <w:rPr>
                <w:color w:val="000000"/>
              </w:rPr>
            </w:pPr>
          </w:p>
          <w:p w14:paraId="1B7B1FC2">
            <w:pPr>
              <w:pStyle w:val="42"/>
              <w:ind w:firstLine="0" w:firstLineChars="0"/>
              <w:rPr>
                <w:b/>
                <w:bCs/>
                <w:color w:val="000000"/>
              </w:rPr>
            </w:pPr>
            <w:r>
              <w:rPr>
                <w:b/>
                <w:bCs/>
                <w:color w:val="000000"/>
              </w:rPr>
              <w:t>2、噪声</w:t>
            </w:r>
          </w:p>
          <w:p w14:paraId="5D7E031B">
            <w:pPr>
              <w:pStyle w:val="42"/>
              <w:ind w:firstLine="480"/>
              <w:rPr>
                <w:color w:val="000000"/>
              </w:rPr>
            </w:pPr>
            <w:r>
              <w:rPr>
                <w:color w:val="000000"/>
              </w:rPr>
              <w:t>厂界噪声标准采用《工业企业厂界环境噪声排放标准》（GB12348-2008）中的3类标准：昼间65dB（A），夜间55dB（A），其值见表3-3。</w:t>
            </w:r>
          </w:p>
          <w:p w14:paraId="464A1466">
            <w:pPr>
              <w:adjustRightInd w:val="0"/>
              <w:snapToGrid w:val="0"/>
              <w:ind w:firstLine="442" w:firstLineChars="200"/>
              <w:jc w:val="center"/>
              <w:rPr>
                <w:rFonts w:ascii="Times New Roman" w:hAnsi="Times New Roman" w:cs="Times New Roman"/>
                <w:color w:val="000000"/>
                <w:szCs w:val="21"/>
              </w:rPr>
            </w:pPr>
            <w:r>
              <w:rPr>
                <w:rFonts w:ascii="Times New Roman" w:hAnsi="Times New Roman" w:cs="Times New Roman"/>
                <w:b/>
                <w:spacing w:val="-10"/>
                <w:szCs w:val="21"/>
              </w:rPr>
              <w:t>表3-3  工业企业厂界环境噪声排放标准</w:t>
            </w:r>
          </w:p>
          <w:tbl>
            <w:tblPr>
              <w:tblStyle w:val="16"/>
              <w:tblW w:w="6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66"/>
              <w:gridCol w:w="2552"/>
              <w:gridCol w:w="2227"/>
            </w:tblGrid>
            <w:tr w14:paraId="744D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2066" w:type="dxa"/>
                  <w:tcBorders>
                    <w:top w:val="single" w:color="auto" w:sz="4" w:space="0"/>
                    <w:left w:val="single" w:color="auto" w:sz="4" w:space="0"/>
                    <w:bottom w:val="single" w:color="auto" w:sz="4" w:space="0"/>
                    <w:right w:val="single" w:color="auto" w:sz="4" w:space="0"/>
                  </w:tcBorders>
                  <w:vAlign w:val="center"/>
                </w:tcPr>
                <w:p w14:paraId="22FD74FB">
                  <w:pPr>
                    <w:pStyle w:val="51"/>
                    <w:rPr>
                      <w:sz w:val="21"/>
                      <w:szCs w:val="21"/>
                    </w:rPr>
                  </w:pPr>
                  <w:r>
                    <w:rPr>
                      <w:sz w:val="21"/>
                      <w:szCs w:val="21"/>
                    </w:rPr>
                    <w:t>时段</w:t>
                  </w:r>
                </w:p>
              </w:tc>
              <w:tc>
                <w:tcPr>
                  <w:tcW w:w="2552" w:type="dxa"/>
                  <w:tcBorders>
                    <w:top w:val="single" w:color="auto" w:sz="4" w:space="0"/>
                    <w:left w:val="single" w:color="auto" w:sz="4" w:space="0"/>
                    <w:bottom w:val="single" w:color="auto" w:sz="4" w:space="0"/>
                    <w:right w:val="single" w:color="auto" w:sz="4" w:space="0"/>
                  </w:tcBorders>
                  <w:vAlign w:val="center"/>
                </w:tcPr>
                <w:p w14:paraId="707D988C">
                  <w:pPr>
                    <w:pStyle w:val="51"/>
                    <w:rPr>
                      <w:sz w:val="21"/>
                      <w:szCs w:val="21"/>
                    </w:rPr>
                  </w:pPr>
                  <w:r>
                    <w:rPr>
                      <w:sz w:val="21"/>
                      <w:szCs w:val="21"/>
                    </w:rPr>
                    <w:t>昼间</w:t>
                  </w:r>
                </w:p>
              </w:tc>
              <w:tc>
                <w:tcPr>
                  <w:tcW w:w="2227" w:type="dxa"/>
                  <w:tcBorders>
                    <w:top w:val="single" w:color="auto" w:sz="4" w:space="0"/>
                    <w:left w:val="single" w:color="auto" w:sz="4" w:space="0"/>
                    <w:bottom w:val="single" w:color="auto" w:sz="4" w:space="0"/>
                    <w:right w:val="single" w:color="auto" w:sz="4" w:space="0"/>
                  </w:tcBorders>
                  <w:vAlign w:val="center"/>
                </w:tcPr>
                <w:p w14:paraId="1D522B1F">
                  <w:pPr>
                    <w:pStyle w:val="51"/>
                    <w:rPr>
                      <w:sz w:val="21"/>
                      <w:szCs w:val="21"/>
                    </w:rPr>
                  </w:pPr>
                  <w:r>
                    <w:rPr>
                      <w:sz w:val="21"/>
                      <w:szCs w:val="21"/>
                    </w:rPr>
                    <w:t>夜间</w:t>
                  </w:r>
                </w:p>
              </w:tc>
            </w:tr>
            <w:tr w14:paraId="311E1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2066" w:type="dxa"/>
                  <w:tcBorders>
                    <w:top w:val="single" w:color="auto" w:sz="4" w:space="0"/>
                    <w:left w:val="single" w:color="auto" w:sz="4" w:space="0"/>
                    <w:bottom w:val="single" w:color="auto" w:sz="4" w:space="0"/>
                    <w:right w:val="single" w:color="auto" w:sz="4" w:space="0"/>
                  </w:tcBorders>
                  <w:vAlign w:val="center"/>
                </w:tcPr>
                <w:p w14:paraId="4ADC7BE5">
                  <w:pPr>
                    <w:pStyle w:val="51"/>
                    <w:rPr>
                      <w:sz w:val="21"/>
                      <w:szCs w:val="21"/>
                    </w:rPr>
                  </w:pPr>
                  <w:r>
                    <w:rPr>
                      <w:sz w:val="21"/>
                      <w:szCs w:val="21"/>
                    </w:rPr>
                    <w:t>标准dB(A)</w:t>
                  </w:r>
                </w:p>
              </w:tc>
              <w:tc>
                <w:tcPr>
                  <w:tcW w:w="2552" w:type="dxa"/>
                  <w:tcBorders>
                    <w:top w:val="single" w:color="auto" w:sz="4" w:space="0"/>
                    <w:left w:val="single" w:color="auto" w:sz="4" w:space="0"/>
                    <w:bottom w:val="single" w:color="auto" w:sz="4" w:space="0"/>
                    <w:right w:val="single" w:color="auto" w:sz="4" w:space="0"/>
                  </w:tcBorders>
                  <w:vAlign w:val="center"/>
                </w:tcPr>
                <w:p w14:paraId="0789EF50">
                  <w:pPr>
                    <w:pStyle w:val="51"/>
                    <w:rPr>
                      <w:sz w:val="21"/>
                      <w:szCs w:val="21"/>
                    </w:rPr>
                  </w:pPr>
                  <w:r>
                    <w:rPr>
                      <w:sz w:val="21"/>
                      <w:szCs w:val="21"/>
                    </w:rPr>
                    <w:t>65</w:t>
                  </w:r>
                </w:p>
              </w:tc>
              <w:tc>
                <w:tcPr>
                  <w:tcW w:w="2227" w:type="dxa"/>
                  <w:tcBorders>
                    <w:top w:val="single" w:color="auto" w:sz="4" w:space="0"/>
                    <w:left w:val="single" w:color="auto" w:sz="4" w:space="0"/>
                    <w:bottom w:val="single" w:color="auto" w:sz="4" w:space="0"/>
                    <w:right w:val="single" w:color="auto" w:sz="4" w:space="0"/>
                  </w:tcBorders>
                  <w:vAlign w:val="center"/>
                </w:tcPr>
                <w:p w14:paraId="51AE91D9">
                  <w:pPr>
                    <w:pStyle w:val="51"/>
                    <w:rPr>
                      <w:sz w:val="21"/>
                      <w:szCs w:val="21"/>
                    </w:rPr>
                  </w:pPr>
                  <w:r>
                    <w:rPr>
                      <w:sz w:val="21"/>
                      <w:szCs w:val="21"/>
                    </w:rPr>
                    <w:t>55</w:t>
                  </w:r>
                </w:p>
              </w:tc>
            </w:tr>
          </w:tbl>
          <w:p w14:paraId="6B75B757">
            <w:pPr>
              <w:pStyle w:val="42"/>
              <w:ind w:firstLine="480"/>
              <w:rPr>
                <w:color w:val="000000"/>
              </w:rPr>
            </w:pPr>
          </w:p>
          <w:p w14:paraId="0DD484CF">
            <w:pPr>
              <w:pStyle w:val="42"/>
              <w:ind w:firstLine="480"/>
              <w:rPr>
                <w:color w:val="000000"/>
              </w:rPr>
            </w:pPr>
            <w:r>
              <w:rPr>
                <w:color w:val="000000"/>
              </w:rPr>
              <w:t>施工期执行《建筑施工噪声排放标准》（GB12523-2025），具体见表3-4。</w:t>
            </w:r>
          </w:p>
          <w:p w14:paraId="0BA38470">
            <w:pPr>
              <w:adjustRightInd w:val="0"/>
              <w:snapToGrid w:val="0"/>
              <w:ind w:firstLine="442" w:firstLineChars="200"/>
              <w:jc w:val="center"/>
              <w:rPr>
                <w:rFonts w:ascii="Times New Roman" w:hAnsi="Times New Roman" w:cs="Times New Roman"/>
                <w:b/>
                <w:spacing w:val="-10"/>
                <w:szCs w:val="21"/>
              </w:rPr>
            </w:pPr>
            <w:r>
              <w:rPr>
                <w:rFonts w:ascii="Times New Roman" w:hAnsi="Times New Roman" w:cs="Times New Roman"/>
                <w:b/>
                <w:spacing w:val="-10"/>
                <w:szCs w:val="21"/>
              </w:rPr>
              <w:t>表3-4  建筑施工噪声排放标准</w:t>
            </w:r>
          </w:p>
          <w:tbl>
            <w:tblPr>
              <w:tblStyle w:val="16"/>
              <w:tblW w:w="0" w:type="auto"/>
              <w:tblInd w:w="3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25"/>
              <w:gridCol w:w="2665"/>
              <w:gridCol w:w="2693"/>
            </w:tblGrid>
            <w:tr w14:paraId="2A0E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025" w:type="dxa"/>
                  <w:tcBorders>
                    <w:top w:val="single" w:color="auto" w:sz="4" w:space="0"/>
                    <w:left w:val="single" w:color="auto" w:sz="4" w:space="0"/>
                    <w:bottom w:val="single" w:color="auto" w:sz="4" w:space="0"/>
                    <w:right w:val="single" w:color="auto" w:sz="4" w:space="0"/>
                  </w:tcBorders>
                  <w:vAlign w:val="center"/>
                </w:tcPr>
                <w:p w14:paraId="1B1C7CC1">
                  <w:pPr>
                    <w:pStyle w:val="51"/>
                    <w:rPr>
                      <w:sz w:val="21"/>
                      <w:szCs w:val="21"/>
                    </w:rPr>
                  </w:pPr>
                  <w:r>
                    <w:rPr>
                      <w:sz w:val="21"/>
                      <w:szCs w:val="21"/>
                    </w:rPr>
                    <w:t>时段</w:t>
                  </w:r>
                </w:p>
              </w:tc>
              <w:tc>
                <w:tcPr>
                  <w:tcW w:w="2665" w:type="dxa"/>
                  <w:tcBorders>
                    <w:top w:val="single" w:color="auto" w:sz="4" w:space="0"/>
                    <w:left w:val="single" w:color="auto" w:sz="4" w:space="0"/>
                    <w:bottom w:val="single" w:color="auto" w:sz="4" w:space="0"/>
                    <w:right w:val="single" w:color="auto" w:sz="4" w:space="0"/>
                  </w:tcBorders>
                  <w:vAlign w:val="center"/>
                </w:tcPr>
                <w:p w14:paraId="2EEAB734">
                  <w:pPr>
                    <w:pStyle w:val="51"/>
                    <w:rPr>
                      <w:sz w:val="21"/>
                      <w:szCs w:val="21"/>
                    </w:rPr>
                  </w:pPr>
                  <w:r>
                    <w:rPr>
                      <w:sz w:val="21"/>
                      <w:szCs w:val="21"/>
                    </w:rPr>
                    <w:t>昼间</w:t>
                  </w:r>
                </w:p>
              </w:tc>
              <w:tc>
                <w:tcPr>
                  <w:tcW w:w="2693" w:type="dxa"/>
                  <w:tcBorders>
                    <w:top w:val="single" w:color="auto" w:sz="4" w:space="0"/>
                    <w:left w:val="single" w:color="auto" w:sz="4" w:space="0"/>
                    <w:bottom w:val="single" w:color="auto" w:sz="4" w:space="0"/>
                    <w:right w:val="single" w:color="auto" w:sz="4" w:space="0"/>
                  </w:tcBorders>
                  <w:vAlign w:val="center"/>
                </w:tcPr>
                <w:p w14:paraId="7D831D7A">
                  <w:pPr>
                    <w:pStyle w:val="51"/>
                    <w:rPr>
                      <w:sz w:val="21"/>
                      <w:szCs w:val="21"/>
                    </w:rPr>
                  </w:pPr>
                  <w:r>
                    <w:rPr>
                      <w:sz w:val="21"/>
                      <w:szCs w:val="21"/>
                    </w:rPr>
                    <w:t>夜间</w:t>
                  </w:r>
                </w:p>
              </w:tc>
            </w:tr>
            <w:tr w14:paraId="6B2B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025" w:type="dxa"/>
                  <w:tcBorders>
                    <w:top w:val="single" w:color="auto" w:sz="4" w:space="0"/>
                    <w:left w:val="single" w:color="auto" w:sz="4" w:space="0"/>
                    <w:bottom w:val="single" w:color="auto" w:sz="4" w:space="0"/>
                    <w:right w:val="single" w:color="auto" w:sz="4" w:space="0"/>
                  </w:tcBorders>
                  <w:vAlign w:val="center"/>
                </w:tcPr>
                <w:p w14:paraId="177A1CFB">
                  <w:pPr>
                    <w:pStyle w:val="51"/>
                    <w:rPr>
                      <w:sz w:val="21"/>
                      <w:szCs w:val="21"/>
                    </w:rPr>
                  </w:pPr>
                  <w:r>
                    <w:rPr>
                      <w:sz w:val="21"/>
                      <w:szCs w:val="21"/>
                    </w:rPr>
                    <w:t>标准dB(A)</w:t>
                  </w:r>
                </w:p>
              </w:tc>
              <w:tc>
                <w:tcPr>
                  <w:tcW w:w="2665" w:type="dxa"/>
                  <w:tcBorders>
                    <w:top w:val="single" w:color="auto" w:sz="4" w:space="0"/>
                    <w:left w:val="single" w:color="auto" w:sz="4" w:space="0"/>
                    <w:bottom w:val="single" w:color="auto" w:sz="4" w:space="0"/>
                    <w:right w:val="single" w:color="auto" w:sz="4" w:space="0"/>
                  </w:tcBorders>
                  <w:vAlign w:val="center"/>
                </w:tcPr>
                <w:p w14:paraId="42B68C2B">
                  <w:pPr>
                    <w:pStyle w:val="51"/>
                    <w:rPr>
                      <w:sz w:val="21"/>
                      <w:szCs w:val="21"/>
                    </w:rPr>
                  </w:pPr>
                  <w:r>
                    <w:rPr>
                      <w:sz w:val="21"/>
                      <w:szCs w:val="21"/>
                    </w:rPr>
                    <w:t>70</w:t>
                  </w:r>
                </w:p>
              </w:tc>
              <w:tc>
                <w:tcPr>
                  <w:tcW w:w="2693" w:type="dxa"/>
                  <w:tcBorders>
                    <w:top w:val="single" w:color="auto" w:sz="4" w:space="0"/>
                    <w:left w:val="single" w:color="auto" w:sz="4" w:space="0"/>
                    <w:bottom w:val="single" w:color="auto" w:sz="4" w:space="0"/>
                    <w:right w:val="single" w:color="auto" w:sz="4" w:space="0"/>
                  </w:tcBorders>
                  <w:vAlign w:val="center"/>
                </w:tcPr>
                <w:p w14:paraId="702C364B">
                  <w:pPr>
                    <w:pStyle w:val="51"/>
                    <w:rPr>
                      <w:sz w:val="21"/>
                      <w:szCs w:val="21"/>
                    </w:rPr>
                  </w:pPr>
                  <w:r>
                    <w:rPr>
                      <w:sz w:val="21"/>
                      <w:szCs w:val="21"/>
                    </w:rPr>
                    <w:t>55</w:t>
                  </w:r>
                </w:p>
              </w:tc>
            </w:tr>
          </w:tbl>
          <w:p w14:paraId="1E077407">
            <w:pPr>
              <w:pStyle w:val="42"/>
              <w:ind w:firstLine="480"/>
              <w:rPr>
                <w:color w:val="000000"/>
              </w:rPr>
            </w:pPr>
          </w:p>
          <w:p w14:paraId="1EC209AC">
            <w:pPr>
              <w:pStyle w:val="42"/>
              <w:ind w:firstLine="0" w:firstLineChars="0"/>
              <w:rPr>
                <w:b/>
                <w:bCs/>
                <w:color w:val="000000"/>
              </w:rPr>
            </w:pPr>
            <w:r>
              <w:rPr>
                <w:b/>
                <w:bCs/>
                <w:color w:val="000000"/>
              </w:rPr>
              <w:t>3、固废</w:t>
            </w:r>
          </w:p>
          <w:p w14:paraId="67681387">
            <w:pPr>
              <w:pStyle w:val="42"/>
              <w:ind w:firstLine="480"/>
              <w:rPr>
                <w:color w:val="000000"/>
              </w:rPr>
            </w:pPr>
            <w:r>
              <w:rPr>
                <w:color w:val="000000"/>
              </w:rPr>
              <w:t>危险废物执行《危险废物贮存污染控制标准》（GB18597-2023）。</w:t>
            </w:r>
          </w:p>
          <w:p w14:paraId="75AEA1D4">
            <w:pPr>
              <w:pStyle w:val="42"/>
              <w:ind w:firstLine="480"/>
            </w:pPr>
          </w:p>
        </w:tc>
      </w:tr>
      <w:tr w14:paraId="7C3251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800" w:type="dxa"/>
            <w:vAlign w:val="center"/>
          </w:tcPr>
          <w:p w14:paraId="12B579D5">
            <w:pPr>
              <w:adjustRightInd w:val="0"/>
              <w:snapToGrid w:val="0"/>
              <w:jc w:val="center"/>
              <w:rPr>
                <w:rFonts w:ascii="Times New Roman" w:hAnsi="Times New Roman" w:cs="Times New Roman"/>
                <w:szCs w:val="21"/>
              </w:rPr>
            </w:pPr>
            <w:r>
              <w:rPr>
                <w:rFonts w:ascii="Times New Roman" w:hAnsi="Times New Roman" w:cs="Times New Roman"/>
                <w:szCs w:val="21"/>
              </w:rPr>
              <w:t>总量</w:t>
            </w:r>
          </w:p>
          <w:p w14:paraId="570F8BFC">
            <w:pPr>
              <w:adjustRightInd w:val="0"/>
              <w:snapToGrid w:val="0"/>
              <w:jc w:val="center"/>
              <w:rPr>
                <w:rFonts w:ascii="Times New Roman" w:hAnsi="Times New Roman" w:cs="Times New Roman"/>
                <w:szCs w:val="21"/>
              </w:rPr>
            </w:pPr>
            <w:r>
              <w:rPr>
                <w:rFonts w:ascii="Times New Roman" w:hAnsi="Times New Roman" w:cs="Times New Roman"/>
                <w:szCs w:val="21"/>
              </w:rPr>
              <w:t>控制</w:t>
            </w:r>
          </w:p>
          <w:p w14:paraId="0A7A37D0">
            <w:pPr>
              <w:adjustRightInd w:val="0"/>
              <w:snapToGrid w:val="0"/>
              <w:jc w:val="center"/>
              <w:rPr>
                <w:rFonts w:ascii="Times New Roman" w:hAnsi="Times New Roman" w:cs="Times New Roman"/>
                <w:szCs w:val="21"/>
              </w:rPr>
            </w:pPr>
            <w:r>
              <w:rPr>
                <w:rFonts w:ascii="Times New Roman" w:hAnsi="Times New Roman" w:cs="Times New Roman"/>
                <w:szCs w:val="21"/>
              </w:rPr>
              <w:t>指标</w:t>
            </w:r>
          </w:p>
        </w:tc>
        <w:tc>
          <w:tcPr>
            <w:tcW w:w="8190" w:type="dxa"/>
            <w:vAlign w:val="center"/>
          </w:tcPr>
          <w:p w14:paraId="76398403">
            <w:pPr>
              <w:adjustRightInd w:val="0"/>
              <w:snapToGrid w:val="0"/>
              <w:ind w:firstLine="480" w:firstLineChars="200"/>
              <w:rPr>
                <w:rFonts w:ascii="Times New Roman" w:hAnsi="Times New Roman" w:cs="Times New Roman"/>
                <w:szCs w:val="32"/>
              </w:rPr>
            </w:pPr>
            <w:r>
              <w:rPr>
                <w:rFonts w:ascii="Times New Roman" w:hAnsi="Times New Roman" w:cs="Times New Roman"/>
                <w:szCs w:val="32"/>
              </w:rPr>
              <w:t>根据《排污许可证申请与核发技术规范石化工业》（HJ 853-2017）5.2 许可排放限值：对于大气污染物，有组织排放源主要排放口应明确各污染物许可排放浓度和颗粒物、二氧化硫、氮氧化物、挥发性有机物年许可排放量；无组织排放源明确企业边界许可排放浓度和设备与管线组件、有机液体储存、有机液体装载挥发性有机物年许可排放量。</w:t>
            </w:r>
          </w:p>
          <w:p w14:paraId="4F39C776">
            <w:pPr>
              <w:adjustRightInd w:val="0"/>
              <w:snapToGrid w:val="0"/>
              <w:ind w:firstLine="480" w:firstLineChars="200"/>
              <w:rPr>
                <w:rFonts w:ascii="Times New Roman" w:hAnsi="Times New Roman" w:cs="Times New Roman"/>
                <w:szCs w:val="32"/>
              </w:rPr>
            </w:pPr>
            <w:r>
              <w:rPr>
                <w:rFonts w:ascii="Times New Roman" w:hAnsi="Times New Roman" w:cs="Times New Roman"/>
                <w:szCs w:val="32"/>
              </w:rPr>
              <w:t>根据项目内容分析，本次环评申请废气污染物排放总量如下：</w:t>
            </w:r>
          </w:p>
          <w:p w14:paraId="035D0356">
            <w:pPr>
              <w:adjustRightInd w:val="0"/>
              <w:snapToGrid w:val="0"/>
              <w:ind w:firstLine="480" w:firstLineChars="200"/>
              <w:rPr>
                <w:rFonts w:ascii="Times New Roman" w:hAnsi="Times New Roman" w:cs="Times New Roman"/>
                <w:szCs w:val="32"/>
              </w:rPr>
            </w:pPr>
            <w:r>
              <w:rPr>
                <w:rFonts w:ascii="Times New Roman" w:hAnsi="Times New Roman" w:cs="Times New Roman"/>
                <w:szCs w:val="32"/>
              </w:rPr>
              <w:t>挥发性有机物：13.92</w:t>
            </w:r>
            <w:r>
              <w:rPr>
                <w:rFonts w:hint="eastAsia" w:ascii="Times New Roman" w:hAnsi="Times New Roman" w:cs="Times New Roman"/>
                <w:szCs w:val="32"/>
              </w:rPr>
              <w:t>1</w:t>
            </w:r>
            <w:r>
              <w:rPr>
                <w:rFonts w:ascii="Times New Roman" w:hAnsi="Times New Roman" w:cs="Times New Roman"/>
                <w:szCs w:val="32"/>
              </w:rPr>
              <w:t>t/a（其中无组织0.207t/a，有组织13.72t/a）。</w:t>
            </w:r>
          </w:p>
          <w:p w14:paraId="5880AAC9">
            <w:pPr>
              <w:adjustRightInd w:val="0"/>
              <w:snapToGrid w:val="0"/>
              <w:ind w:firstLine="480" w:firstLineChars="200"/>
              <w:rPr>
                <w:rFonts w:ascii="Times New Roman" w:hAnsi="Times New Roman" w:cs="Times New Roman"/>
                <w:szCs w:val="32"/>
              </w:rPr>
            </w:pPr>
            <w:r>
              <w:rPr>
                <w:rFonts w:hint="eastAsia" w:ascii="Times New Roman" w:hAnsi="Times New Roman" w:cs="Times New Roman"/>
                <w:szCs w:val="32"/>
              </w:rPr>
              <w:t>本项目位于未达标区，</w:t>
            </w:r>
            <w:r>
              <w:rPr>
                <w:rFonts w:hint="eastAsia"/>
              </w:rPr>
              <w:t>挥发性有机物总量指标应实行倍量替代，倍量替代后</w:t>
            </w:r>
            <w:r>
              <w:rPr>
                <w:rFonts w:ascii="Times New Roman" w:hAnsi="Times New Roman" w:cs="Times New Roman"/>
                <w:szCs w:val="32"/>
              </w:rPr>
              <w:t>挥发性有机物</w:t>
            </w:r>
            <w:r>
              <w:rPr>
                <w:rFonts w:hint="eastAsia" w:ascii="Times New Roman" w:hAnsi="Times New Roman" w:cs="Times New Roman"/>
                <w:szCs w:val="32"/>
              </w:rPr>
              <w:t>总量为27.44。</w:t>
            </w:r>
          </w:p>
          <w:p w14:paraId="0DBBE44F">
            <w:pPr>
              <w:adjustRightInd w:val="0"/>
              <w:snapToGrid w:val="0"/>
              <w:ind w:firstLine="480" w:firstLineChars="200"/>
              <w:rPr>
                <w:rFonts w:ascii="Times New Roman" w:hAnsi="Times New Roman" w:cs="Times New Roman"/>
                <w:szCs w:val="21"/>
              </w:rPr>
            </w:pPr>
          </w:p>
        </w:tc>
      </w:tr>
    </w:tbl>
    <w:p w14:paraId="3170CBBF">
      <w:pPr>
        <w:pStyle w:val="13"/>
        <w:jc w:val="center"/>
        <w:outlineLvl w:val="0"/>
        <w:rPr>
          <w:rFonts w:hint="eastAsia" w:ascii="黑体" w:hAnsi="黑体" w:eastAsia="黑体"/>
          <w:snapToGrid w:val="0"/>
          <w:sz w:val="30"/>
          <w:szCs w:val="30"/>
        </w:rPr>
      </w:pPr>
      <w:r>
        <w:rPr>
          <w:rFonts w:ascii="黑体" w:hAnsi="黑体" w:eastAsia="黑体"/>
          <w:snapToGrid w:val="0"/>
          <w:sz w:val="36"/>
          <w:szCs w:val="36"/>
        </w:rPr>
        <w:br w:type="page"/>
      </w:r>
      <w:r>
        <w:rPr>
          <w:rFonts w:hint="eastAsia" w:ascii="黑体" w:hAnsi="黑体" w:eastAsia="黑体"/>
          <w:snapToGrid w:val="0"/>
          <w:sz w:val="30"/>
          <w:szCs w:val="30"/>
        </w:rPr>
        <w:t>四、主要环境影响和保护措施</w:t>
      </w:r>
    </w:p>
    <w:tbl>
      <w:tblPr>
        <w:tblStyle w:val="1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179ACB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746" w:type="dxa"/>
            <w:tcMar>
              <w:left w:w="28" w:type="dxa"/>
              <w:right w:w="28" w:type="dxa"/>
            </w:tcMar>
            <w:vAlign w:val="center"/>
          </w:tcPr>
          <w:p w14:paraId="4F4539B9">
            <w:pPr>
              <w:pStyle w:val="13"/>
              <w:adjustRightInd w:val="0"/>
              <w:snapToGrid w:val="0"/>
              <w:spacing w:before="0" w:beforeAutospacing="0" w:after="0" w:afterAutospacing="0"/>
              <w:jc w:val="center"/>
              <w:rPr>
                <w:rFonts w:ascii="Times New Roman" w:hAnsi="Times New Roman"/>
                <w:kern w:val="2"/>
                <w:sz w:val="21"/>
                <w:szCs w:val="21"/>
              </w:rPr>
            </w:pPr>
            <w:r>
              <w:rPr>
                <w:rFonts w:ascii="Times New Roman" w:hAnsi="Times New Roman"/>
                <w:kern w:val="2"/>
                <w:sz w:val="21"/>
                <w:szCs w:val="21"/>
              </w:rPr>
              <w:t>施工</w:t>
            </w:r>
          </w:p>
          <w:p w14:paraId="2DC45828">
            <w:pPr>
              <w:pStyle w:val="13"/>
              <w:adjustRightInd w:val="0"/>
              <w:snapToGrid w:val="0"/>
              <w:spacing w:before="0" w:beforeAutospacing="0" w:after="0" w:afterAutospacing="0"/>
              <w:jc w:val="center"/>
              <w:rPr>
                <w:rFonts w:ascii="Times New Roman" w:hAnsi="Times New Roman"/>
                <w:kern w:val="2"/>
                <w:sz w:val="21"/>
                <w:szCs w:val="21"/>
              </w:rPr>
            </w:pPr>
            <w:r>
              <w:rPr>
                <w:rFonts w:ascii="Times New Roman" w:hAnsi="Times New Roman"/>
                <w:kern w:val="2"/>
                <w:sz w:val="21"/>
                <w:szCs w:val="21"/>
              </w:rPr>
              <w:t>期环</w:t>
            </w:r>
          </w:p>
          <w:p w14:paraId="6076CA39">
            <w:pPr>
              <w:pStyle w:val="13"/>
              <w:adjustRightInd w:val="0"/>
              <w:snapToGrid w:val="0"/>
              <w:spacing w:before="0" w:beforeAutospacing="0" w:after="0" w:afterAutospacing="0"/>
              <w:jc w:val="center"/>
              <w:rPr>
                <w:rFonts w:ascii="Times New Roman" w:hAnsi="Times New Roman"/>
                <w:kern w:val="2"/>
                <w:sz w:val="21"/>
                <w:szCs w:val="21"/>
              </w:rPr>
            </w:pPr>
            <w:r>
              <w:rPr>
                <w:rFonts w:ascii="Times New Roman" w:hAnsi="Times New Roman"/>
                <w:kern w:val="2"/>
                <w:sz w:val="21"/>
                <w:szCs w:val="21"/>
              </w:rPr>
              <w:t>境保</w:t>
            </w:r>
          </w:p>
          <w:p w14:paraId="4838E8CA">
            <w:pPr>
              <w:pStyle w:val="13"/>
              <w:adjustRightInd w:val="0"/>
              <w:snapToGrid w:val="0"/>
              <w:spacing w:before="0" w:beforeAutospacing="0" w:after="0" w:afterAutospacing="0"/>
              <w:jc w:val="center"/>
              <w:rPr>
                <w:rFonts w:ascii="Times New Roman" w:hAnsi="Times New Roman"/>
                <w:kern w:val="2"/>
                <w:sz w:val="21"/>
                <w:szCs w:val="21"/>
              </w:rPr>
            </w:pPr>
            <w:r>
              <w:rPr>
                <w:rFonts w:ascii="Times New Roman" w:hAnsi="Times New Roman"/>
                <w:kern w:val="2"/>
                <w:sz w:val="21"/>
                <w:szCs w:val="21"/>
              </w:rPr>
              <w:t>护措</w:t>
            </w:r>
          </w:p>
          <w:p w14:paraId="4A475F6E">
            <w:pPr>
              <w:pStyle w:val="13"/>
              <w:adjustRightInd w:val="0"/>
              <w:snapToGrid w:val="0"/>
              <w:spacing w:before="0" w:beforeAutospacing="0" w:after="0" w:afterAutospacing="0"/>
              <w:jc w:val="center"/>
              <w:rPr>
                <w:rFonts w:ascii="Times New Roman" w:hAnsi="Times New Roman"/>
                <w:bCs/>
                <w:kern w:val="2"/>
                <w:sz w:val="21"/>
                <w:szCs w:val="21"/>
              </w:rPr>
            </w:pPr>
            <w:r>
              <w:rPr>
                <w:rFonts w:ascii="Times New Roman" w:hAnsi="Times New Roman"/>
                <w:kern w:val="2"/>
                <w:sz w:val="21"/>
                <w:szCs w:val="21"/>
              </w:rPr>
              <w:t>施</w:t>
            </w:r>
          </w:p>
        </w:tc>
        <w:tc>
          <w:tcPr>
            <w:tcW w:w="8162" w:type="dxa"/>
            <w:vAlign w:val="center"/>
          </w:tcPr>
          <w:p w14:paraId="6AD50E0F">
            <w:pPr>
              <w:pStyle w:val="60"/>
              <w:rPr>
                <w:color w:val="000000"/>
              </w:rPr>
            </w:pPr>
            <w:r>
              <w:rPr>
                <w:color w:val="000000"/>
              </w:rPr>
              <w:t>建设项目施工期间，将产生生活污水、生活垃圾、扬尘、运输车辆的尾气和噪声等污染物。项目建设计划工期为16个月，工程建设完成后，施工对环境的影响即可消除。</w:t>
            </w:r>
          </w:p>
          <w:p w14:paraId="2F24D4D5">
            <w:pPr>
              <w:pStyle w:val="46"/>
            </w:pPr>
            <w:r>
              <w:t>1、施工期大气污染环境保护措施</w:t>
            </w:r>
          </w:p>
          <w:p w14:paraId="3305A900">
            <w:pPr>
              <w:pStyle w:val="60"/>
              <w:rPr>
                <w:color w:val="000000"/>
              </w:rPr>
            </w:pPr>
            <w:bookmarkStart w:id="9" w:name="_Hlk129615870"/>
            <w:r>
              <w:rPr>
                <w:color w:val="000000"/>
              </w:rPr>
              <w:t>本项目施工内容以新建储罐罐区、配套管网及附属建构筑物为主，施工期大气污染源主要包括：土石方开挖、场地平整、物料堆存、运输车辆产生的施工扬尘；施工机械设备燃油排放废气；储罐罐体防腐、防锈喷涂作业产生挥发性有机废气（VOCs）。</w:t>
            </w:r>
          </w:p>
          <w:p w14:paraId="7B31329F">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扬尘是项目施工期间影响环境空气的主要污染物，来源于多项粉尘无组织源：建筑场地的平整清理，土方挖掘填埋，物料堆存，建筑材料的装卸、搬运、使用，以及运料车辆的出入等，都易产生扬尘污染。施工扬尘的大小随施工季节、施工管理等不同差别甚大，影响范围可达150～300m。</w:t>
            </w:r>
          </w:p>
          <w:p w14:paraId="49773294">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打桩机、铺路机等动力装置一般采用柴油作为燃料，燃油烟气直接在场地内无组织排放，主要污染物包括HC、SO</w:t>
            </w:r>
            <w:r>
              <w:rPr>
                <w:rFonts w:ascii="Times New Roman" w:hAnsi="Times New Roman" w:cs="Times New Roman"/>
                <w:color w:val="000000"/>
                <w:vertAlign w:val="subscript"/>
              </w:rPr>
              <w:t>2</w:t>
            </w:r>
            <w:r>
              <w:rPr>
                <w:rFonts w:ascii="Times New Roman" w:hAnsi="Times New Roman" w:cs="Times New Roman"/>
                <w:color w:val="000000"/>
              </w:rPr>
              <w:t>、NO</w:t>
            </w:r>
            <w:r>
              <w:rPr>
                <w:rFonts w:ascii="Times New Roman" w:hAnsi="Times New Roman" w:cs="Times New Roman"/>
                <w:color w:val="000000"/>
                <w:vertAlign w:val="subscript"/>
              </w:rPr>
              <w:t>2</w:t>
            </w:r>
            <w:r>
              <w:rPr>
                <w:rFonts w:ascii="Times New Roman" w:hAnsi="Times New Roman" w:cs="Times New Roman"/>
                <w:color w:val="000000"/>
              </w:rPr>
              <w:t>、碳烟。根据《环境保护实用数据手册》，尾气排口各污染物排放浓度为HC＜1800mg/m</w:t>
            </w:r>
            <w:r>
              <w:rPr>
                <w:rFonts w:ascii="Times New Roman" w:hAnsi="Times New Roman" w:cs="Times New Roman"/>
                <w:color w:val="000000"/>
                <w:vertAlign w:val="superscript"/>
              </w:rPr>
              <w:t>3</w:t>
            </w:r>
            <w:r>
              <w:rPr>
                <w:rFonts w:ascii="Times New Roman" w:hAnsi="Times New Roman" w:cs="Times New Roman"/>
                <w:color w:val="000000"/>
              </w:rPr>
              <w:t>、SO</w:t>
            </w:r>
            <w:r>
              <w:rPr>
                <w:rFonts w:ascii="Times New Roman" w:hAnsi="Times New Roman" w:cs="Times New Roman"/>
                <w:color w:val="000000"/>
                <w:vertAlign w:val="subscript"/>
              </w:rPr>
              <w:t>2</w:t>
            </w:r>
            <w:r>
              <w:rPr>
                <w:rFonts w:ascii="Times New Roman" w:hAnsi="Times New Roman" w:cs="Times New Roman"/>
                <w:color w:val="000000"/>
              </w:rPr>
              <w:t>＜270mg/m</w:t>
            </w:r>
            <w:r>
              <w:rPr>
                <w:rFonts w:ascii="Times New Roman" w:hAnsi="Times New Roman" w:cs="Times New Roman"/>
                <w:color w:val="000000"/>
                <w:vertAlign w:val="superscript"/>
              </w:rPr>
              <w:t>3</w:t>
            </w:r>
            <w:r>
              <w:rPr>
                <w:rFonts w:ascii="Times New Roman" w:hAnsi="Times New Roman" w:cs="Times New Roman"/>
                <w:color w:val="000000"/>
              </w:rPr>
              <w:t>、NO</w:t>
            </w:r>
            <w:r>
              <w:rPr>
                <w:rFonts w:ascii="Times New Roman" w:hAnsi="Times New Roman" w:cs="Times New Roman"/>
                <w:color w:val="000000"/>
                <w:vertAlign w:val="subscript"/>
              </w:rPr>
              <w:t>2</w:t>
            </w:r>
            <w:r>
              <w:rPr>
                <w:rFonts w:ascii="Times New Roman" w:hAnsi="Times New Roman" w:cs="Times New Roman"/>
                <w:color w:val="000000"/>
              </w:rPr>
              <w:t>＜2500mg/m</w:t>
            </w:r>
            <w:r>
              <w:rPr>
                <w:rFonts w:ascii="Times New Roman" w:hAnsi="Times New Roman" w:cs="Times New Roman"/>
                <w:color w:val="000000"/>
                <w:vertAlign w:val="superscript"/>
              </w:rPr>
              <w:t>3</w:t>
            </w:r>
            <w:r>
              <w:rPr>
                <w:rFonts w:ascii="Times New Roman" w:hAnsi="Times New Roman" w:cs="Times New Roman"/>
                <w:color w:val="000000"/>
              </w:rPr>
              <w:t>、碳烟＜250mg/m</w:t>
            </w:r>
            <w:r>
              <w:rPr>
                <w:rFonts w:ascii="Times New Roman" w:hAnsi="Times New Roman" w:cs="Times New Roman"/>
                <w:color w:val="000000"/>
                <w:vertAlign w:val="superscript"/>
              </w:rPr>
              <w:t>3</w:t>
            </w:r>
            <w:r>
              <w:rPr>
                <w:rFonts w:ascii="Times New Roman" w:hAnsi="Times New Roman" w:cs="Times New Roman"/>
                <w:color w:val="000000"/>
              </w:rPr>
              <w:t>。</w:t>
            </w:r>
            <w:bookmarkEnd w:id="9"/>
          </w:p>
          <w:p w14:paraId="788ADD4A">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储罐施工阶段需开展罐体内外壁除锈、防腐涂料喷涂作业，喷涂、涂料晾干过程会释放挥发性有机废气（VOCs），属于施工期特征大气污染物，若管控不当易形成无组织逸散污染。</w:t>
            </w:r>
          </w:p>
          <w:p w14:paraId="0822539C">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为有效防治本项目施工可能产生的环境空气污染，结合《新疆维吾尔自治区大气污染防治条例》，建议采取以下防治措施：</w:t>
            </w:r>
          </w:p>
          <w:p w14:paraId="6DC9D7CB">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（1）建设工程开工前，按照标准在施工现场周边设置围挡，并对围挡进行维护。</w:t>
            </w:r>
          </w:p>
          <w:p w14:paraId="1585C4D9">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（2）在施工现场出入口公示施工现场负责人、环保监督员、扬尘污染主要控制措施、举报电话等信息。</w:t>
            </w:r>
          </w:p>
          <w:p w14:paraId="099D3DD4">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3）对施工现场内主要道路和物料堆放场地进行硬化、对其他裸露场地进行覆盖或者临时绿化，对土方进行集中堆放，并采取覆盖或者密闭等措施。本项目储罐基础开挖产生土石方单独分区堆放，严格落实防尘管控，土石方平衡另行专题核算，做到挖填平衡，减少土方外运量。</w:t>
            </w:r>
          </w:p>
          <w:p w14:paraId="34560790">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（4）建筑材料的防尘管理措施：施工过程中使用水泥、石灰、砂石、钢筋、铺装材料等易产生扬尘的建筑材料，应采取下列措施之一：</w:t>
            </w:r>
            <w:r>
              <w:rPr>
                <w:rFonts w:ascii="Cambria Math" w:hAnsi="Cambria Math" w:cs="Cambria Math"/>
                <w:color w:val="000000"/>
              </w:rPr>
              <w:t>①</w:t>
            </w:r>
            <w:r>
              <w:rPr>
                <w:rFonts w:ascii="Times New Roman" w:hAnsi="Times New Roman" w:cs="Times New Roman"/>
                <w:color w:val="000000"/>
              </w:rPr>
              <w:t>密闭存储；</w:t>
            </w:r>
            <w:r>
              <w:rPr>
                <w:rFonts w:ascii="Cambria Math" w:hAnsi="Cambria Math" w:cs="Cambria Math"/>
                <w:color w:val="000000"/>
              </w:rPr>
              <w:t>②</w:t>
            </w:r>
            <w:r>
              <w:rPr>
                <w:rFonts w:ascii="Times New Roman" w:hAnsi="Times New Roman" w:cs="Times New Roman"/>
                <w:color w:val="000000"/>
              </w:rPr>
              <w:t>设置围挡或堆砌围墙；</w:t>
            </w:r>
            <w:r>
              <w:rPr>
                <w:rFonts w:ascii="Cambria Math" w:hAnsi="Cambria Math" w:cs="Cambria Math"/>
                <w:color w:val="000000"/>
              </w:rPr>
              <w:t>③</w:t>
            </w:r>
            <w:r>
              <w:rPr>
                <w:rFonts w:ascii="Times New Roman" w:hAnsi="Times New Roman" w:cs="Times New Roman"/>
                <w:color w:val="000000"/>
              </w:rPr>
              <w:t>采用防尘布苫盖；</w:t>
            </w:r>
            <w:r>
              <w:rPr>
                <w:rFonts w:ascii="Cambria Math" w:hAnsi="Cambria Math" w:cs="Cambria Math"/>
                <w:color w:val="000000"/>
              </w:rPr>
              <w:t>④</w:t>
            </w:r>
            <w:r>
              <w:rPr>
                <w:rFonts w:ascii="Times New Roman" w:hAnsi="Times New Roman" w:cs="Times New Roman"/>
                <w:color w:val="000000"/>
              </w:rPr>
              <w:t>其他有效的防尘措施。</w:t>
            </w:r>
          </w:p>
          <w:p w14:paraId="3B1F43E6">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（5）建筑垃圾的防尘管理措施：施工工程中产生的弃土、弃料及其他建筑垃圾，应及时清运。若在工地内堆置超过一周的，则应采取下列措施之一：</w:t>
            </w:r>
            <w:r>
              <w:rPr>
                <w:rFonts w:ascii="Cambria Math" w:hAnsi="Cambria Math" w:cs="Cambria Math"/>
                <w:color w:val="000000"/>
              </w:rPr>
              <w:t>①</w:t>
            </w:r>
            <w:r>
              <w:rPr>
                <w:rFonts w:ascii="Times New Roman" w:hAnsi="Times New Roman" w:cs="Times New Roman"/>
                <w:color w:val="000000"/>
              </w:rPr>
              <w:t>覆盖防尘布、防尘网；</w:t>
            </w:r>
            <w:r>
              <w:rPr>
                <w:rFonts w:ascii="Cambria Math" w:hAnsi="Cambria Math" w:cs="Cambria Math"/>
                <w:color w:val="000000"/>
              </w:rPr>
              <w:t>②</w:t>
            </w:r>
            <w:r>
              <w:rPr>
                <w:rFonts w:ascii="Times New Roman" w:hAnsi="Times New Roman" w:cs="Times New Roman"/>
                <w:color w:val="000000"/>
              </w:rPr>
              <w:t>定期喷洒抑尘剂；</w:t>
            </w:r>
            <w:r>
              <w:rPr>
                <w:rFonts w:ascii="Cambria Math" w:hAnsi="Cambria Math" w:cs="Cambria Math"/>
                <w:color w:val="000000"/>
              </w:rPr>
              <w:t>③</w:t>
            </w:r>
            <w:r>
              <w:rPr>
                <w:rFonts w:ascii="Times New Roman" w:hAnsi="Times New Roman" w:cs="Times New Roman"/>
                <w:color w:val="000000"/>
              </w:rPr>
              <w:t>定期喷水压尘；</w:t>
            </w:r>
            <w:r>
              <w:rPr>
                <w:rFonts w:ascii="Cambria Math" w:hAnsi="Cambria Math" w:cs="Cambria Math"/>
                <w:color w:val="000000"/>
              </w:rPr>
              <w:t>④</w:t>
            </w:r>
            <w:r>
              <w:rPr>
                <w:rFonts w:ascii="Times New Roman" w:hAnsi="Times New Roman" w:cs="Times New Roman"/>
                <w:color w:val="000000"/>
              </w:rPr>
              <w:t>其他有效的防尘措施。</w:t>
            </w:r>
          </w:p>
          <w:p w14:paraId="6BA4D720">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6）进出工地的物料、渣土、垃圾运输车辆的防尘措施：进出工地的物料、渣土、垃圾运输车辆，应尽可能采用密闭车斗，并保证物料不遗撒外漏。若无密闭车斗，物料、垃圾、渣土的装载高度不得超过车辆槽帮上沿，车斗应用苫布遮盖严实。苫布边缘至少要遮住槽帮上沿以下15cm，保证物料、渣土、垃圾等不露出。</w:t>
            </w:r>
          </w:p>
          <w:p w14:paraId="58008011">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（7）施工工地道路积尘清理措施：可采用吸尘或水冲洗的方法清洁施工工地道路积尘，不得在未实施洒水等抑尘措施情况下进行直接清扫。</w:t>
            </w:r>
          </w:p>
          <w:p w14:paraId="258368A7">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（8）对于工地内裸露地面，应采取下列防尘措施之一：</w:t>
            </w:r>
            <w:r>
              <w:rPr>
                <w:rFonts w:ascii="Cambria Math" w:hAnsi="Cambria Math" w:cs="Cambria Math"/>
                <w:color w:val="000000"/>
              </w:rPr>
              <w:t>①</w:t>
            </w:r>
            <w:r>
              <w:rPr>
                <w:rFonts w:ascii="Times New Roman" w:hAnsi="Times New Roman" w:cs="Times New Roman"/>
                <w:color w:val="000000"/>
              </w:rPr>
              <w:t>覆盖防尘布或防尘网；</w:t>
            </w:r>
            <w:r>
              <w:rPr>
                <w:rFonts w:ascii="Cambria Math" w:hAnsi="Cambria Math" w:cs="Cambria Math"/>
                <w:color w:val="000000"/>
              </w:rPr>
              <w:t>②</w:t>
            </w:r>
            <w:r>
              <w:rPr>
                <w:rFonts w:ascii="Times New Roman" w:hAnsi="Times New Roman" w:cs="Times New Roman"/>
                <w:color w:val="000000"/>
              </w:rPr>
              <w:t>铺设细石或其他功能相当的材料；</w:t>
            </w:r>
            <w:r>
              <w:rPr>
                <w:rFonts w:ascii="Cambria Math" w:hAnsi="Cambria Math" w:cs="Cambria Math"/>
                <w:color w:val="000000"/>
              </w:rPr>
              <w:t>③</w:t>
            </w:r>
            <w:r>
              <w:rPr>
                <w:rFonts w:ascii="Times New Roman" w:hAnsi="Times New Roman" w:cs="Times New Roman"/>
                <w:color w:val="000000"/>
              </w:rPr>
              <w:t>做好绿化工作；</w:t>
            </w:r>
            <w:r>
              <w:rPr>
                <w:rFonts w:ascii="Cambria Math" w:hAnsi="Cambria Math" w:cs="Cambria Math"/>
                <w:color w:val="000000"/>
              </w:rPr>
              <w:t>④</w:t>
            </w:r>
            <w:r>
              <w:rPr>
                <w:rFonts w:ascii="Times New Roman" w:hAnsi="Times New Roman" w:cs="Times New Roman"/>
                <w:color w:val="000000"/>
              </w:rPr>
              <w:t>定时定量洒水；</w:t>
            </w:r>
            <w:r>
              <w:rPr>
                <w:rFonts w:ascii="Cambria Math" w:hAnsi="Cambria Math" w:cs="Cambria Math"/>
                <w:color w:val="000000"/>
              </w:rPr>
              <w:t>⑤</w:t>
            </w:r>
            <w:r>
              <w:rPr>
                <w:rFonts w:ascii="Times New Roman" w:hAnsi="Times New Roman" w:cs="Times New Roman"/>
                <w:color w:val="000000"/>
              </w:rPr>
              <w:t>其他有效的防尘措施。</w:t>
            </w:r>
          </w:p>
          <w:p w14:paraId="42D40370">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9）混凝土的防尘措施：施工期间需使用混凝土时，可使用预拌商品混凝土，不得现场露天搅拌混凝土、消化石灰及拌石灰土等。应尽量采用石材、木制等成品或半成品，实施装配式施工，减少因石材，木制品切割所造成的扬尘污染。</w:t>
            </w:r>
          </w:p>
          <w:p w14:paraId="22715289">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（10）工地应设专职人员负责扬尘控制措施的实施和监督。由专人负责逸散性材料、垃圾、渣土、裸地等密闭、覆盖、洒水作业以及车辆清洗作业等，并记录扬尘控制措施的实施情况。</w:t>
            </w:r>
          </w:p>
          <w:p w14:paraId="60322518">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（11）储罐防腐喷涂VOCs专项管控措施</w:t>
            </w:r>
          </w:p>
          <w:p w14:paraId="7EC5EC19">
            <w:pPr>
              <w:spacing w:line="360" w:lineRule="auto"/>
              <w:ind w:firstLine="480" w:firstLineChars="200"/>
              <w:rPr>
                <w:rFonts w:ascii="Times New Roman" w:hAnsi="Times New Roman" w:cs="Times New Roman"/>
                <w:color w:val="000000"/>
              </w:rPr>
            </w:pPr>
            <w:r>
              <w:rPr>
                <w:rFonts w:ascii="Cambria Math" w:hAnsi="Cambria Math" w:cs="Cambria Math"/>
                <w:color w:val="000000"/>
              </w:rPr>
              <w:t>①</w:t>
            </w:r>
            <w:r>
              <w:rPr>
                <w:rFonts w:ascii="Times New Roman" w:hAnsi="Times New Roman" w:cs="Times New Roman"/>
                <w:color w:val="000000"/>
              </w:rPr>
              <w:t>优先选用低VOCs含量防腐涂料，禁止使用高挥发性溶剂型涂料；涂料集中存放，密闭保存，减少溶剂挥发。</w:t>
            </w:r>
          </w:p>
          <w:p w14:paraId="09FF67E2">
            <w:pPr>
              <w:spacing w:line="360" w:lineRule="auto"/>
              <w:ind w:firstLine="480" w:firstLineChars="200"/>
              <w:rPr>
                <w:rFonts w:ascii="Times New Roman" w:hAnsi="Times New Roman" w:cs="Times New Roman"/>
                <w:color w:val="000000"/>
              </w:rPr>
            </w:pPr>
            <w:r>
              <w:rPr>
                <w:rFonts w:ascii="Cambria Math" w:hAnsi="Cambria Math" w:cs="Cambria Math"/>
                <w:color w:val="000000"/>
              </w:rPr>
              <w:t>②</w:t>
            </w:r>
            <w:r>
              <w:rPr>
                <w:rFonts w:ascii="Times New Roman" w:hAnsi="Times New Roman" w:cs="Times New Roman"/>
                <w:color w:val="000000"/>
              </w:rPr>
              <w:t>储罐喷涂作业尽量采取围挡封闭施工，划定专门喷涂作业区域；避开大风时段开展喷涂施工。</w:t>
            </w:r>
          </w:p>
          <w:p w14:paraId="2640F2B0">
            <w:pPr>
              <w:spacing w:line="360" w:lineRule="auto"/>
              <w:ind w:firstLine="480" w:firstLineChars="200"/>
              <w:rPr>
                <w:rFonts w:ascii="Times New Roman" w:hAnsi="Times New Roman" w:cs="Times New Roman"/>
                <w:color w:val="000000"/>
              </w:rPr>
            </w:pPr>
            <w:r>
              <w:rPr>
                <w:rFonts w:ascii="Cambria Math" w:hAnsi="Cambria Math" w:cs="Cambria Math"/>
                <w:color w:val="000000"/>
              </w:rPr>
              <w:t>③</w:t>
            </w:r>
            <w:r>
              <w:rPr>
                <w:rFonts w:ascii="Times New Roman" w:hAnsi="Times New Roman" w:cs="Times New Roman"/>
                <w:color w:val="000000"/>
              </w:rPr>
              <w:t>喷涂、晾干工序同步采取局部负压集气、移动式废气吸附装置处理 VOCs，减少有机废气无组织逸散。</w:t>
            </w:r>
          </w:p>
          <w:p w14:paraId="24AB1C83">
            <w:pPr>
              <w:spacing w:line="360" w:lineRule="auto"/>
              <w:ind w:firstLine="480" w:firstLineChars="200"/>
              <w:rPr>
                <w:rFonts w:ascii="Times New Roman" w:hAnsi="Times New Roman" w:cs="Times New Roman"/>
                <w:color w:val="000000"/>
              </w:rPr>
            </w:pPr>
            <w:r>
              <w:rPr>
                <w:rFonts w:ascii="Cambria Math" w:hAnsi="Cambria Math" w:cs="Cambria Math"/>
                <w:color w:val="000000"/>
              </w:rPr>
              <w:t>④</w:t>
            </w:r>
            <w:r>
              <w:rPr>
                <w:rFonts w:ascii="Times New Roman" w:hAnsi="Times New Roman" w:cs="Times New Roman"/>
                <w:color w:val="000000"/>
              </w:rPr>
              <w:t>废弃涂料桶、废漆渣、沾染涂料的抹布分类收集，作为危险废物规范暂存，交由有资质单位处置；禁止随意丢弃。</w:t>
            </w:r>
          </w:p>
          <w:p w14:paraId="1034980F">
            <w:pPr>
              <w:spacing w:line="360" w:lineRule="auto"/>
              <w:ind w:firstLine="480" w:firstLineChars="200"/>
              <w:rPr>
                <w:rFonts w:ascii="Times New Roman" w:hAnsi="Times New Roman" w:cs="Times New Roman"/>
                <w:color w:val="000000"/>
              </w:rPr>
            </w:pPr>
            <w:r>
              <w:rPr>
                <w:rFonts w:ascii="Cambria Math" w:hAnsi="Cambria Math" w:cs="Cambria Math"/>
                <w:color w:val="000000"/>
              </w:rPr>
              <w:t>⑤</w:t>
            </w:r>
            <w:r>
              <w:rPr>
                <w:rFonts w:ascii="Times New Roman" w:hAnsi="Times New Roman" w:cs="Times New Roman"/>
                <w:color w:val="000000"/>
              </w:rPr>
              <w:t>加强施工人员环保培训，规范喷涂操作，杜绝大面积露天喷涂。</w:t>
            </w:r>
          </w:p>
          <w:p w14:paraId="6D4CDC7B">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综上所述，在采取相应措施并严格按照本评价要求进行施工的前提下，本项目施工大气污染物对周围大气环境影响不大，且随施工结束而消除。</w:t>
            </w:r>
          </w:p>
          <w:p w14:paraId="7CDC3C9E">
            <w:pPr>
              <w:pStyle w:val="46"/>
            </w:pPr>
            <w:r>
              <w:t>2、施工期水环境保护措施</w:t>
            </w:r>
          </w:p>
          <w:p w14:paraId="75CB9A1B">
            <w:pPr>
              <w:pStyle w:val="62"/>
              <w:ind w:firstLine="480"/>
              <w:rPr>
                <w:color w:val="000000"/>
              </w:rPr>
            </w:pPr>
            <w:bookmarkStart w:id="10" w:name="_Hlk129615900"/>
            <w:r>
              <w:rPr>
                <w:color w:val="000000"/>
              </w:rPr>
              <w:t>施工期的废污水主要来自施工生活区的生活污水、少量施工废水等。主要污染因子为BOD</w:t>
            </w:r>
            <w:r>
              <w:rPr>
                <w:color w:val="000000"/>
                <w:vertAlign w:val="subscript"/>
              </w:rPr>
              <w:t>5</w:t>
            </w:r>
            <w:r>
              <w:rPr>
                <w:color w:val="000000"/>
              </w:rPr>
              <w:t>、SS、COD、氨氮。</w:t>
            </w:r>
          </w:p>
          <w:p w14:paraId="7B601580">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（1）生活污水</w:t>
            </w:r>
          </w:p>
          <w:p w14:paraId="2AA79DDE">
            <w:pPr>
              <w:pStyle w:val="62"/>
              <w:ind w:firstLine="480"/>
              <w:rPr>
                <w:color w:val="000000"/>
              </w:rPr>
            </w:pPr>
            <w:r>
              <w:rPr>
                <w:color w:val="000000"/>
              </w:rPr>
              <w:t>生活污水发生系数按40L/d人，施工人员按100人计，则生活污水日产生量为4.0m</w:t>
            </w:r>
            <w:r>
              <w:rPr>
                <w:color w:val="000000"/>
                <w:vertAlign w:val="superscript"/>
              </w:rPr>
              <w:t>3</w:t>
            </w:r>
            <w:r>
              <w:rPr>
                <w:color w:val="000000"/>
              </w:rPr>
              <w:t>，主要污染因子BOD</w:t>
            </w:r>
            <w:r>
              <w:rPr>
                <w:color w:val="000000"/>
                <w:vertAlign w:val="subscript"/>
              </w:rPr>
              <w:t>5</w:t>
            </w:r>
            <w:r>
              <w:rPr>
                <w:color w:val="000000"/>
              </w:rPr>
              <w:t>约200mg/L，COD约400mg/L，SS在200mg/L左右，氨氮约35mg/L。施工生活区依托一期工程，生活污水经化粪池处理后排至园区污水处理厂处理。</w:t>
            </w:r>
          </w:p>
          <w:p w14:paraId="7A637C08">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（2）施工废水</w:t>
            </w:r>
          </w:p>
          <w:p w14:paraId="38F9F7F1">
            <w:pPr>
              <w:pStyle w:val="62"/>
              <w:ind w:firstLine="480"/>
              <w:rPr>
                <w:color w:val="000000"/>
              </w:rPr>
            </w:pPr>
            <w:r>
              <w:rPr>
                <w:color w:val="000000"/>
              </w:rPr>
              <w:t>施工过程中产生的生产废水主要为浇灌混凝土、冲洗模板等产生的废水，其产生量较小，经沉淀处理后回用于施工作业。</w:t>
            </w:r>
          </w:p>
          <w:p w14:paraId="280E65F9">
            <w:pPr>
              <w:pStyle w:val="62"/>
              <w:ind w:firstLine="480"/>
              <w:rPr>
                <w:color w:val="000000"/>
              </w:rPr>
            </w:pPr>
            <w:r>
              <w:rPr>
                <w:color w:val="000000"/>
              </w:rPr>
              <w:t>施工期间的废污水应集中收集，避免各类废污水随意乱排，污染附近环境。</w:t>
            </w:r>
            <w:bookmarkEnd w:id="10"/>
          </w:p>
          <w:p w14:paraId="4B6ABC93">
            <w:pPr>
              <w:pStyle w:val="46"/>
            </w:pPr>
            <w:r>
              <w:t>3、施工期噪声环境保护措施</w:t>
            </w:r>
          </w:p>
          <w:p w14:paraId="58D1394E">
            <w:pPr>
              <w:spacing w:line="360" w:lineRule="auto"/>
              <w:ind w:firstLine="480" w:firstLineChars="200"/>
              <w:rPr>
                <w:rFonts w:ascii="Times New Roman" w:hAnsi="Times New Roman" w:cs="Times New Roman"/>
                <w:color w:val="000000"/>
              </w:rPr>
            </w:pPr>
            <w:bookmarkStart w:id="11" w:name="_Hlk129615949"/>
            <w:r>
              <w:rPr>
                <w:rFonts w:ascii="Times New Roman" w:hAnsi="Times New Roman" w:cs="Times New Roman"/>
                <w:color w:val="000000"/>
              </w:rPr>
              <w:t>本项目施工期主要噪声源为：场地平整和地基开挖阶段采用挖掘机、推土机等；主体浇筑阶段主要有安装和拆卸模板时的打击声，搅拌机、捣振棒等产生的机械噪声；各个阶段均有运输车辆产生的交通噪声；另外还有突发性、冲击性、不连续性的敲打撞击噪声。</w:t>
            </w:r>
          </w:p>
          <w:p w14:paraId="37924AA7">
            <w:pPr>
              <w:spacing w:line="360" w:lineRule="auto"/>
              <w:ind w:firstLine="480" w:firstLineChars="200"/>
              <w:rPr>
                <w:rFonts w:ascii="Times New Roman" w:hAnsi="Times New Roman" w:cs="Times New Roman"/>
                <w:color w:val="000000" w:themeColor="text1"/>
                <w14:textFill>
                  <w14:solidFill>
                    <w14:schemeClr w14:val="tx1"/>
                  </w14:solidFill>
                </w14:textFill>
              </w:rPr>
            </w:pPr>
            <w:bookmarkStart w:id="12" w:name="_Toc169579462"/>
            <w:r>
              <w:rPr>
                <w:rFonts w:ascii="Times New Roman" w:hAnsi="Times New Roman" w:cs="Times New Roman"/>
                <w:color w:val="000000" w:themeColor="text1"/>
                <w14:textFill>
                  <w14:solidFill>
                    <w14:schemeClr w14:val="tx1"/>
                  </w14:solidFill>
                </w14:textFill>
              </w:rPr>
              <w:t>（1）噪声源源强</w:t>
            </w:r>
            <w:bookmarkEnd w:id="12"/>
          </w:p>
          <w:p w14:paraId="0246AB82">
            <w:pPr>
              <w:spacing w:line="360" w:lineRule="auto"/>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施工中的噪声主要来源于施工机械设备，大多为不连续性噪声。施工中的主要设备噪声见表4-1。</w:t>
            </w:r>
          </w:p>
          <w:p w14:paraId="6C2E4E99">
            <w:pPr>
              <w:adjustRightInd w:val="0"/>
              <w:snapToGrid w:val="0"/>
              <w:ind w:firstLine="442" w:firstLineChars="200"/>
              <w:jc w:val="center"/>
              <w:rPr>
                <w:rFonts w:ascii="Times New Roman" w:hAnsi="Times New Roman" w:eastAsia="黑体" w:cs="Times New Roman"/>
                <w:b/>
                <w:color w:val="000000" w:themeColor="text1"/>
                <w14:textFill>
                  <w14:solidFill>
                    <w14:schemeClr w14:val="tx1"/>
                  </w14:solidFill>
                </w14:textFill>
              </w:rPr>
            </w:pPr>
            <w:r>
              <w:rPr>
                <w:rFonts w:ascii="Times New Roman" w:hAnsi="Times New Roman" w:cs="Times New Roman"/>
                <w:b/>
                <w:spacing w:val="-10"/>
                <w:szCs w:val="21"/>
              </w:rPr>
              <w:t>表4-1    施工期主要设备噪声源强</w:t>
            </w:r>
          </w:p>
          <w:tbl>
            <w:tblPr>
              <w:tblStyle w:val="16"/>
              <w:tblW w:w="7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4"/>
              <w:gridCol w:w="2384"/>
              <w:gridCol w:w="2712"/>
            </w:tblGrid>
            <w:tr w14:paraId="0026A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2294" w:type="dxa"/>
                  <w:vAlign w:val="center"/>
                </w:tcPr>
                <w:p w14:paraId="478A4283">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设备名称</w:t>
                  </w:r>
                </w:p>
              </w:tc>
              <w:tc>
                <w:tcPr>
                  <w:tcW w:w="2384" w:type="dxa"/>
                  <w:vAlign w:val="center"/>
                </w:tcPr>
                <w:p w14:paraId="1E2680F8">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源强dB（A）</w:t>
                  </w:r>
                </w:p>
              </w:tc>
              <w:tc>
                <w:tcPr>
                  <w:tcW w:w="2712" w:type="dxa"/>
                  <w:vAlign w:val="center"/>
                </w:tcPr>
                <w:p w14:paraId="462E7AB7">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备注</w:t>
                  </w:r>
                </w:p>
              </w:tc>
            </w:tr>
            <w:tr w14:paraId="13C7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2294" w:type="dxa"/>
                  <w:vAlign w:val="center"/>
                </w:tcPr>
                <w:p w14:paraId="663DB5F9">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汽车吊</w:t>
                  </w:r>
                </w:p>
              </w:tc>
              <w:tc>
                <w:tcPr>
                  <w:tcW w:w="2384" w:type="dxa"/>
                  <w:vAlign w:val="center"/>
                </w:tcPr>
                <w:p w14:paraId="687AFE54">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90</w:t>
                  </w:r>
                </w:p>
              </w:tc>
              <w:tc>
                <w:tcPr>
                  <w:tcW w:w="2712" w:type="dxa"/>
                  <w:vAlign w:val="center"/>
                </w:tcPr>
                <w:p w14:paraId="517BC1D1">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4m处</w:t>
                  </w:r>
                </w:p>
              </w:tc>
            </w:tr>
            <w:tr w14:paraId="78C69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2294" w:type="dxa"/>
                  <w:vAlign w:val="center"/>
                </w:tcPr>
                <w:p w14:paraId="62923298">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翻斗车</w:t>
                  </w:r>
                </w:p>
              </w:tc>
              <w:tc>
                <w:tcPr>
                  <w:tcW w:w="2384" w:type="dxa"/>
                  <w:vAlign w:val="center"/>
                </w:tcPr>
                <w:p w14:paraId="1DABD267">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86-90</w:t>
                  </w:r>
                </w:p>
              </w:tc>
              <w:tc>
                <w:tcPr>
                  <w:tcW w:w="2712" w:type="dxa"/>
                  <w:vAlign w:val="center"/>
                </w:tcPr>
                <w:p w14:paraId="63B38372">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1m处</w:t>
                  </w:r>
                </w:p>
              </w:tc>
            </w:tr>
            <w:tr w14:paraId="13E24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2294" w:type="dxa"/>
                  <w:vAlign w:val="center"/>
                </w:tcPr>
                <w:p w14:paraId="75BF9EC3">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电焊机</w:t>
                  </w:r>
                </w:p>
              </w:tc>
              <w:tc>
                <w:tcPr>
                  <w:tcW w:w="2384" w:type="dxa"/>
                  <w:vAlign w:val="center"/>
                </w:tcPr>
                <w:p w14:paraId="533A9141">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90</w:t>
                  </w:r>
                </w:p>
              </w:tc>
              <w:tc>
                <w:tcPr>
                  <w:tcW w:w="2712" w:type="dxa"/>
                  <w:vAlign w:val="center"/>
                </w:tcPr>
                <w:p w14:paraId="08E3528B">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1m处</w:t>
                  </w:r>
                </w:p>
              </w:tc>
            </w:tr>
            <w:tr w14:paraId="23F8A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2294" w:type="dxa"/>
                  <w:vAlign w:val="center"/>
                </w:tcPr>
                <w:p w14:paraId="6C10B365">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推土机</w:t>
                  </w:r>
                </w:p>
              </w:tc>
              <w:tc>
                <w:tcPr>
                  <w:tcW w:w="2384" w:type="dxa"/>
                  <w:vAlign w:val="center"/>
                </w:tcPr>
                <w:p w14:paraId="57BF17FC">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82-90</w:t>
                  </w:r>
                </w:p>
              </w:tc>
              <w:tc>
                <w:tcPr>
                  <w:tcW w:w="2712" w:type="dxa"/>
                  <w:vAlign w:val="center"/>
                </w:tcPr>
                <w:p w14:paraId="590806C5">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1m处</w:t>
                  </w:r>
                </w:p>
              </w:tc>
            </w:tr>
            <w:tr w14:paraId="6721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2294" w:type="dxa"/>
                  <w:vAlign w:val="center"/>
                </w:tcPr>
                <w:p w14:paraId="1524149D">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混凝土振捣棒</w:t>
                  </w:r>
                </w:p>
              </w:tc>
              <w:tc>
                <w:tcPr>
                  <w:tcW w:w="2384" w:type="dxa"/>
                  <w:vAlign w:val="center"/>
                </w:tcPr>
                <w:p w14:paraId="24379478">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100</w:t>
                  </w:r>
                </w:p>
              </w:tc>
              <w:tc>
                <w:tcPr>
                  <w:tcW w:w="2712" w:type="dxa"/>
                  <w:vAlign w:val="center"/>
                </w:tcPr>
                <w:p w14:paraId="03477360">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1m处</w:t>
                  </w:r>
                </w:p>
              </w:tc>
            </w:tr>
            <w:tr w14:paraId="0748B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2294" w:type="dxa"/>
                  <w:vAlign w:val="center"/>
                </w:tcPr>
                <w:p w14:paraId="1669D793">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木工机械</w:t>
                  </w:r>
                </w:p>
              </w:tc>
              <w:tc>
                <w:tcPr>
                  <w:tcW w:w="2384" w:type="dxa"/>
                  <w:vAlign w:val="center"/>
                </w:tcPr>
                <w:p w14:paraId="757FE2C3">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100-110</w:t>
                  </w:r>
                </w:p>
              </w:tc>
              <w:tc>
                <w:tcPr>
                  <w:tcW w:w="2712" w:type="dxa"/>
                  <w:vAlign w:val="center"/>
                </w:tcPr>
                <w:p w14:paraId="462B542B">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1m处</w:t>
                  </w:r>
                </w:p>
              </w:tc>
            </w:tr>
            <w:tr w14:paraId="2C2D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2294" w:type="dxa"/>
                  <w:vAlign w:val="center"/>
                </w:tcPr>
                <w:p w14:paraId="0C82D39E">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载重车</w:t>
                  </w:r>
                </w:p>
              </w:tc>
              <w:tc>
                <w:tcPr>
                  <w:tcW w:w="2384" w:type="dxa"/>
                  <w:vAlign w:val="center"/>
                </w:tcPr>
                <w:p w14:paraId="11FCF9A4">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89</w:t>
                  </w:r>
                </w:p>
              </w:tc>
              <w:tc>
                <w:tcPr>
                  <w:tcW w:w="2712" w:type="dxa"/>
                  <w:vAlign w:val="center"/>
                </w:tcPr>
                <w:p w14:paraId="3101C69F">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1m处</w:t>
                  </w:r>
                </w:p>
              </w:tc>
            </w:tr>
          </w:tbl>
          <w:p w14:paraId="6941DC73">
            <w:pPr>
              <w:rPr>
                <w:rFonts w:ascii="Times New Roman" w:hAnsi="Times New Roman" w:cs="Times New Roman"/>
                <w:color w:val="000000" w:themeColor="text1"/>
                <w14:textFill>
                  <w14:solidFill>
                    <w14:schemeClr w14:val="tx1"/>
                  </w14:solidFill>
                </w14:textFill>
              </w:rPr>
            </w:pPr>
          </w:p>
          <w:p w14:paraId="71D406EF">
            <w:pPr>
              <w:spacing w:line="360" w:lineRule="auto"/>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（2）施工噪声影响分析</w:t>
            </w:r>
          </w:p>
          <w:p w14:paraId="6E1AE805">
            <w:pPr>
              <w:spacing w:line="360" w:lineRule="auto"/>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施工期各种噪声源多为点源，按点声源衰减模式计算施工机械噪声的距离，计算公式为：</w:t>
            </w:r>
          </w:p>
          <w:p w14:paraId="194408EC">
            <w:pPr>
              <w:spacing w:line="360" w:lineRule="auto"/>
              <w:ind w:firstLine="480" w:firstLineChars="20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0" distR="0">
                  <wp:extent cx="2245360" cy="286385"/>
                  <wp:effectExtent l="0" t="0" r="0" b="0"/>
                  <wp:docPr id="6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245360" cy="286385"/>
                          </a:xfrm>
                          <a:prstGeom prst="rect">
                            <a:avLst/>
                          </a:prstGeom>
                          <a:noFill/>
                          <a:ln>
                            <a:noFill/>
                          </a:ln>
                        </pic:spPr>
                      </pic:pic>
                    </a:graphicData>
                  </a:graphic>
                </wp:inline>
              </w:drawing>
            </w:r>
          </w:p>
          <w:p w14:paraId="6216F802">
            <w:pPr>
              <w:spacing w:line="360" w:lineRule="auto"/>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式中：</w:t>
            </w:r>
            <w:bookmarkStart w:id="13" w:name="_Hlk129615984"/>
            <w:r>
              <w:rPr>
                <w:rFonts w:ascii="Times New Roman" w:hAnsi="Times New Roman" w:cs="Times New Roman"/>
                <w:color w:val="000000" w:themeColor="text1"/>
                <w14:textFill>
                  <w14:solidFill>
                    <w14:schemeClr w14:val="tx1"/>
                  </w14:solidFill>
                </w14:textFill>
              </w:rPr>
              <w:t>L1、L2——为距声源r1，r2处声级值，dB（A）；</w:t>
            </w:r>
          </w:p>
          <w:p w14:paraId="2635605C">
            <w:pPr>
              <w:spacing w:line="360" w:lineRule="auto"/>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      r1、r2 ——为距点源的距离，m；</w:t>
            </w:r>
          </w:p>
          <w:p w14:paraId="68BE7805">
            <w:pPr>
              <w:spacing w:line="360" w:lineRule="auto"/>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      ΔL——为其他衰减作用的噪声级，dB（A）。</w:t>
            </w:r>
          </w:p>
          <w:bookmarkEnd w:id="13"/>
          <w:p w14:paraId="6E0F4668">
            <w:pPr>
              <w:spacing w:line="360" w:lineRule="auto"/>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预测结果见表4-2。</w:t>
            </w:r>
          </w:p>
          <w:p w14:paraId="5B0D07E1">
            <w:pPr>
              <w:adjustRightInd w:val="0"/>
              <w:snapToGrid w:val="0"/>
              <w:ind w:firstLine="442" w:firstLineChars="200"/>
              <w:jc w:val="center"/>
              <w:rPr>
                <w:rFonts w:ascii="Times New Roman" w:hAnsi="Times New Roman" w:eastAsia="黑体" w:cs="Times New Roman"/>
                <w:b/>
                <w:color w:val="000000" w:themeColor="text1"/>
                <w14:textFill>
                  <w14:solidFill>
                    <w14:schemeClr w14:val="tx1"/>
                  </w14:solidFill>
                </w14:textFill>
              </w:rPr>
            </w:pPr>
            <w:r>
              <w:rPr>
                <w:rFonts w:ascii="Times New Roman" w:hAnsi="Times New Roman" w:cs="Times New Roman"/>
                <w:b/>
                <w:spacing w:val="-10"/>
                <w:szCs w:val="21"/>
              </w:rPr>
              <w:t>表4-2    施工期噪声预测结果</w:t>
            </w:r>
          </w:p>
          <w:tbl>
            <w:tblPr>
              <w:tblStyle w:val="16"/>
              <w:tblW w:w="75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97"/>
              <w:gridCol w:w="957"/>
              <w:gridCol w:w="957"/>
              <w:gridCol w:w="957"/>
              <w:gridCol w:w="960"/>
              <w:gridCol w:w="957"/>
              <w:gridCol w:w="960"/>
            </w:tblGrid>
            <w:tr w14:paraId="4DDE7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jc w:val="center"/>
              </w:trPr>
              <w:tc>
                <w:tcPr>
                  <w:tcW w:w="709" w:type="dxa"/>
                  <w:vMerge w:val="restart"/>
                  <w:vAlign w:val="center"/>
                </w:tcPr>
                <w:p w14:paraId="1DF42592">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施工</w:t>
                  </w:r>
                </w:p>
                <w:p w14:paraId="3A521BEB">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阶段</w:t>
                  </w:r>
                </w:p>
              </w:tc>
              <w:tc>
                <w:tcPr>
                  <w:tcW w:w="1097" w:type="dxa"/>
                  <w:vMerge w:val="restart"/>
                  <w:vAlign w:val="center"/>
                </w:tcPr>
                <w:p w14:paraId="7B05E3F4">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施工机械</w:t>
                  </w:r>
                </w:p>
              </w:tc>
              <w:tc>
                <w:tcPr>
                  <w:tcW w:w="3831" w:type="dxa"/>
                  <w:gridSpan w:val="4"/>
                  <w:vAlign w:val="center"/>
                </w:tcPr>
                <w:p w14:paraId="2C0702D3">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X（m）处声压级dB（A）</w:t>
                  </w:r>
                </w:p>
              </w:tc>
              <w:tc>
                <w:tcPr>
                  <w:tcW w:w="1917" w:type="dxa"/>
                  <w:gridSpan w:val="2"/>
                  <w:vAlign w:val="center"/>
                </w:tcPr>
                <w:p w14:paraId="240423CF">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标准dB（A）</w:t>
                  </w:r>
                </w:p>
              </w:tc>
            </w:tr>
            <w:tr w14:paraId="2982B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jc w:val="center"/>
              </w:trPr>
              <w:tc>
                <w:tcPr>
                  <w:tcW w:w="709" w:type="dxa"/>
                  <w:vMerge w:val="continue"/>
                  <w:vAlign w:val="center"/>
                </w:tcPr>
                <w:p w14:paraId="6A80253B">
                  <w:pPr>
                    <w:jc w:val="center"/>
                    <w:rPr>
                      <w:rFonts w:ascii="Times New Roman" w:hAnsi="Times New Roman" w:cs="Times New Roman"/>
                      <w:color w:val="000000" w:themeColor="text1"/>
                      <w:sz w:val="18"/>
                      <w:szCs w:val="18"/>
                      <w14:textFill>
                        <w14:solidFill>
                          <w14:schemeClr w14:val="tx1"/>
                        </w14:solidFill>
                      </w14:textFill>
                    </w:rPr>
                  </w:pPr>
                </w:p>
              </w:tc>
              <w:tc>
                <w:tcPr>
                  <w:tcW w:w="1097" w:type="dxa"/>
                  <w:vMerge w:val="continue"/>
                  <w:vAlign w:val="center"/>
                </w:tcPr>
                <w:p w14:paraId="51214051">
                  <w:pPr>
                    <w:jc w:val="center"/>
                    <w:rPr>
                      <w:rFonts w:ascii="Times New Roman" w:hAnsi="Times New Roman" w:cs="Times New Roman"/>
                      <w:color w:val="000000" w:themeColor="text1"/>
                      <w:sz w:val="18"/>
                      <w:szCs w:val="18"/>
                      <w14:textFill>
                        <w14:solidFill>
                          <w14:schemeClr w14:val="tx1"/>
                        </w14:solidFill>
                      </w14:textFill>
                    </w:rPr>
                  </w:pPr>
                </w:p>
              </w:tc>
              <w:tc>
                <w:tcPr>
                  <w:tcW w:w="957" w:type="dxa"/>
                  <w:vAlign w:val="center"/>
                </w:tcPr>
                <w:p w14:paraId="03AD553F">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w:t>
                  </w:r>
                </w:p>
              </w:tc>
              <w:tc>
                <w:tcPr>
                  <w:tcW w:w="957" w:type="dxa"/>
                  <w:vAlign w:val="center"/>
                </w:tcPr>
                <w:p w14:paraId="2BAC01FE">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10</w:t>
                  </w:r>
                </w:p>
              </w:tc>
              <w:tc>
                <w:tcPr>
                  <w:tcW w:w="957" w:type="dxa"/>
                  <w:vAlign w:val="center"/>
                </w:tcPr>
                <w:p w14:paraId="00D53848">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20</w:t>
                  </w:r>
                </w:p>
              </w:tc>
              <w:tc>
                <w:tcPr>
                  <w:tcW w:w="960" w:type="dxa"/>
                  <w:vAlign w:val="center"/>
                </w:tcPr>
                <w:p w14:paraId="0EDCCED1">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30</w:t>
                  </w:r>
                </w:p>
              </w:tc>
              <w:tc>
                <w:tcPr>
                  <w:tcW w:w="957" w:type="dxa"/>
                  <w:vAlign w:val="center"/>
                </w:tcPr>
                <w:p w14:paraId="47F6E54B">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昼间</w:t>
                  </w:r>
                </w:p>
              </w:tc>
              <w:tc>
                <w:tcPr>
                  <w:tcW w:w="960" w:type="dxa"/>
                  <w:vAlign w:val="center"/>
                </w:tcPr>
                <w:p w14:paraId="65C74A85">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夜间</w:t>
                  </w:r>
                </w:p>
              </w:tc>
            </w:tr>
            <w:tr w14:paraId="50807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jc w:val="center"/>
              </w:trPr>
              <w:tc>
                <w:tcPr>
                  <w:tcW w:w="709" w:type="dxa"/>
                  <w:vMerge w:val="restart"/>
                  <w:vAlign w:val="center"/>
                </w:tcPr>
                <w:p w14:paraId="15DD65A9">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土石方</w:t>
                  </w:r>
                </w:p>
              </w:tc>
              <w:tc>
                <w:tcPr>
                  <w:tcW w:w="1097" w:type="dxa"/>
                  <w:vAlign w:val="center"/>
                </w:tcPr>
                <w:p w14:paraId="6991CDAC">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载重车</w:t>
                  </w:r>
                </w:p>
              </w:tc>
              <w:tc>
                <w:tcPr>
                  <w:tcW w:w="957" w:type="dxa"/>
                  <w:vAlign w:val="center"/>
                </w:tcPr>
                <w:p w14:paraId="198C320D">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90</w:t>
                  </w:r>
                </w:p>
              </w:tc>
              <w:tc>
                <w:tcPr>
                  <w:tcW w:w="957" w:type="dxa"/>
                  <w:vAlign w:val="center"/>
                </w:tcPr>
                <w:p w14:paraId="3268EC26">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70</w:t>
                  </w:r>
                </w:p>
              </w:tc>
              <w:tc>
                <w:tcPr>
                  <w:tcW w:w="957" w:type="dxa"/>
                  <w:vAlign w:val="center"/>
                </w:tcPr>
                <w:p w14:paraId="7E3835F5">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64</w:t>
                  </w:r>
                </w:p>
              </w:tc>
              <w:tc>
                <w:tcPr>
                  <w:tcW w:w="960" w:type="dxa"/>
                  <w:vAlign w:val="center"/>
                </w:tcPr>
                <w:p w14:paraId="4D7AF522">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61</w:t>
                  </w:r>
                </w:p>
              </w:tc>
              <w:tc>
                <w:tcPr>
                  <w:tcW w:w="957" w:type="dxa"/>
                  <w:vAlign w:val="center"/>
                </w:tcPr>
                <w:p w14:paraId="011B0062">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75</w:t>
                  </w:r>
                </w:p>
              </w:tc>
              <w:tc>
                <w:tcPr>
                  <w:tcW w:w="960" w:type="dxa"/>
                  <w:vAlign w:val="center"/>
                </w:tcPr>
                <w:p w14:paraId="03EA59B7">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55</w:t>
                  </w:r>
                </w:p>
              </w:tc>
            </w:tr>
            <w:tr w14:paraId="6457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jc w:val="center"/>
              </w:trPr>
              <w:tc>
                <w:tcPr>
                  <w:tcW w:w="709" w:type="dxa"/>
                  <w:vMerge w:val="continue"/>
                  <w:vAlign w:val="center"/>
                </w:tcPr>
                <w:p w14:paraId="6B8C72BD">
                  <w:pPr>
                    <w:jc w:val="center"/>
                    <w:rPr>
                      <w:rFonts w:ascii="Times New Roman" w:hAnsi="Times New Roman" w:cs="Times New Roman"/>
                      <w:color w:val="000000" w:themeColor="text1"/>
                      <w:sz w:val="18"/>
                      <w:szCs w:val="18"/>
                      <w14:textFill>
                        <w14:solidFill>
                          <w14:schemeClr w14:val="tx1"/>
                        </w14:solidFill>
                      </w14:textFill>
                    </w:rPr>
                  </w:pPr>
                </w:p>
              </w:tc>
              <w:tc>
                <w:tcPr>
                  <w:tcW w:w="1097" w:type="dxa"/>
                  <w:vAlign w:val="center"/>
                </w:tcPr>
                <w:p w14:paraId="061AAFD4">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推土机</w:t>
                  </w:r>
                </w:p>
              </w:tc>
              <w:tc>
                <w:tcPr>
                  <w:tcW w:w="957" w:type="dxa"/>
                  <w:vAlign w:val="center"/>
                </w:tcPr>
                <w:p w14:paraId="48D81289">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90</w:t>
                  </w:r>
                </w:p>
              </w:tc>
              <w:tc>
                <w:tcPr>
                  <w:tcW w:w="957" w:type="dxa"/>
                  <w:vAlign w:val="center"/>
                </w:tcPr>
                <w:p w14:paraId="244BE64A">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80</w:t>
                  </w:r>
                </w:p>
              </w:tc>
              <w:tc>
                <w:tcPr>
                  <w:tcW w:w="957" w:type="dxa"/>
                  <w:vAlign w:val="center"/>
                </w:tcPr>
                <w:p w14:paraId="0ECE7A87">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74</w:t>
                  </w:r>
                </w:p>
              </w:tc>
              <w:tc>
                <w:tcPr>
                  <w:tcW w:w="960" w:type="dxa"/>
                  <w:vAlign w:val="center"/>
                </w:tcPr>
                <w:p w14:paraId="223F5820">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71</w:t>
                  </w:r>
                </w:p>
              </w:tc>
              <w:tc>
                <w:tcPr>
                  <w:tcW w:w="957" w:type="dxa"/>
                  <w:vAlign w:val="center"/>
                </w:tcPr>
                <w:p w14:paraId="7324773F">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75</w:t>
                  </w:r>
                </w:p>
              </w:tc>
              <w:tc>
                <w:tcPr>
                  <w:tcW w:w="960" w:type="dxa"/>
                  <w:vAlign w:val="center"/>
                </w:tcPr>
                <w:p w14:paraId="58FFB1DB">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55</w:t>
                  </w:r>
                </w:p>
              </w:tc>
            </w:tr>
            <w:tr w14:paraId="7209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jc w:val="center"/>
              </w:trPr>
              <w:tc>
                <w:tcPr>
                  <w:tcW w:w="709" w:type="dxa"/>
                  <w:vMerge w:val="continue"/>
                  <w:vAlign w:val="center"/>
                </w:tcPr>
                <w:p w14:paraId="7BF67F83">
                  <w:pPr>
                    <w:jc w:val="center"/>
                    <w:rPr>
                      <w:rFonts w:ascii="Times New Roman" w:hAnsi="Times New Roman" w:cs="Times New Roman"/>
                      <w:color w:val="000000" w:themeColor="text1"/>
                      <w:sz w:val="18"/>
                      <w:szCs w:val="18"/>
                      <w14:textFill>
                        <w14:solidFill>
                          <w14:schemeClr w14:val="tx1"/>
                        </w14:solidFill>
                      </w14:textFill>
                    </w:rPr>
                  </w:pPr>
                </w:p>
              </w:tc>
              <w:tc>
                <w:tcPr>
                  <w:tcW w:w="1097" w:type="dxa"/>
                  <w:vAlign w:val="center"/>
                </w:tcPr>
                <w:p w14:paraId="3A86AFAA">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翻斗车</w:t>
                  </w:r>
                </w:p>
              </w:tc>
              <w:tc>
                <w:tcPr>
                  <w:tcW w:w="957" w:type="dxa"/>
                  <w:vAlign w:val="center"/>
                </w:tcPr>
                <w:p w14:paraId="5C0DD5F6">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90</w:t>
                  </w:r>
                </w:p>
              </w:tc>
              <w:tc>
                <w:tcPr>
                  <w:tcW w:w="957" w:type="dxa"/>
                  <w:vAlign w:val="center"/>
                </w:tcPr>
                <w:p w14:paraId="19D629F8">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70</w:t>
                  </w:r>
                </w:p>
              </w:tc>
              <w:tc>
                <w:tcPr>
                  <w:tcW w:w="957" w:type="dxa"/>
                  <w:vAlign w:val="center"/>
                </w:tcPr>
                <w:p w14:paraId="4814BC46">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64</w:t>
                  </w:r>
                </w:p>
              </w:tc>
              <w:tc>
                <w:tcPr>
                  <w:tcW w:w="960" w:type="dxa"/>
                  <w:vAlign w:val="center"/>
                </w:tcPr>
                <w:p w14:paraId="5E87B793">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61</w:t>
                  </w:r>
                </w:p>
              </w:tc>
              <w:tc>
                <w:tcPr>
                  <w:tcW w:w="957" w:type="dxa"/>
                  <w:vAlign w:val="center"/>
                </w:tcPr>
                <w:p w14:paraId="179A5CB2">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75</w:t>
                  </w:r>
                </w:p>
              </w:tc>
              <w:tc>
                <w:tcPr>
                  <w:tcW w:w="960" w:type="dxa"/>
                  <w:vAlign w:val="center"/>
                </w:tcPr>
                <w:p w14:paraId="17E2C76C">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55</w:t>
                  </w:r>
                </w:p>
              </w:tc>
            </w:tr>
            <w:tr w14:paraId="524BA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jc w:val="center"/>
              </w:trPr>
              <w:tc>
                <w:tcPr>
                  <w:tcW w:w="709" w:type="dxa"/>
                  <w:vMerge w:val="continue"/>
                  <w:vAlign w:val="center"/>
                </w:tcPr>
                <w:p w14:paraId="67255A07">
                  <w:pPr>
                    <w:jc w:val="center"/>
                    <w:rPr>
                      <w:rFonts w:ascii="Times New Roman" w:hAnsi="Times New Roman" w:cs="Times New Roman"/>
                      <w:color w:val="000000" w:themeColor="text1"/>
                      <w:sz w:val="18"/>
                      <w:szCs w:val="18"/>
                      <w14:textFill>
                        <w14:solidFill>
                          <w14:schemeClr w14:val="tx1"/>
                        </w14:solidFill>
                      </w14:textFill>
                    </w:rPr>
                  </w:pPr>
                </w:p>
              </w:tc>
              <w:tc>
                <w:tcPr>
                  <w:tcW w:w="1097" w:type="dxa"/>
                  <w:vAlign w:val="center"/>
                </w:tcPr>
                <w:p w14:paraId="1EFB9BAE">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挖掘机</w:t>
                  </w:r>
                </w:p>
              </w:tc>
              <w:tc>
                <w:tcPr>
                  <w:tcW w:w="957" w:type="dxa"/>
                  <w:vAlign w:val="center"/>
                </w:tcPr>
                <w:p w14:paraId="35903396">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90</w:t>
                  </w:r>
                </w:p>
              </w:tc>
              <w:tc>
                <w:tcPr>
                  <w:tcW w:w="957" w:type="dxa"/>
                  <w:vAlign w:val="center"/>
                </w:tcPr>
                <w:p w14:paraId="7817BF01">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78</w:t>
                  </w:r>
                </w:p>
              </w:tc>
              <w:tc>
                <w:tcPr>
                  <w:tcW w:w="957" w:type="dxa"/>
                  <w:vAlign w:val="center"/>
                </w:tcPr>
                <w:p w14:paraId="42078E70">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72</w:t>
                  </w:r>
                </w:p>
              </w:tc>
              <w:tc>
                <w:tcPr>
                  <w:tcW w:w="960" w:type="dxa"/>
                  <w:vAlign w:val="center"/>
                </w:tcPr>
                <w:p w14:paraId="36F028F1">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68</w:t>
                  </w:r>
                </w:p>
              </w:tc>
              <w:tc>
                <w:tcPr>
                  <w:tcW w:w="957" w:type="dxa"/>
                  <w:vAlign w:val="center"/>
                </w:tcPr>
                <w:p w14:paraId="365F7F9E">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75</w:t>
                  </w:r>
                </w:p>
              </w:tc>
              <w:tc>
                <w:tcPr>
                  <w:tcW w:w="960" w:type="dxa"/>
                  <w:vAlign w:val="center"/>
                </w:tcPr>
                <w:p w14:paraId="08AF909E">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55</w:t>
                  </w:r>
                </w:p>
              </w:tc>
            </w:tr>
            <w:tr w14:paraId="6EC9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709" w:type="dxa"/>
                  <w:vMerge w:val="restart"/>
                  <w:vAlign w:val="center"/>
                </w:tcPr>
                <w:p w14:paraId="3AE1C92A">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结构</w:t>
                  </w:r>
                </w:p>
              </w:tc>
              <w:tc>
                <w:tcPr>
                  <w:tcW w:w="1097" w:type="dxa"/>
                  <w:vAlign w:val="center"/>
                </w:tcPr>
                <w:p w14:paraId="02EF1173">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混凝振捣机</w:t>
                  </w:r>
                </w:p>
              </w:tc>
              <w:tc>
                <w:tcPr>
                  <w:tcW w:w="957" w:type="dxa"/>
                  <w:vAlign w:val="center"/>
                </w:tcPr>
                <w:p w14:paraId="287D1D4E">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100</w:t>
                  </w:r>
                </w:p>
              </w:tc>
              <w:tc>
                <w:tcPr>
                  <w:tcW w:w="957" w:type="dxa"/>
                  <w:vAlign w:val="center"/>
                </w:tcPr>
                <w:p w14:paraId="62D9F97A">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80</w:t>
                  </w:r>
                </w:p>
              </w:tc>
              <w:tc>
                <w:tcPr>
                  <w:tcW w:w="957" w:type="dxa"/>
                  <w:vAlign w:val="center"/>
                </w:tcPr>
                <w:p w14:paraId="5F449A61">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74</w:t>
                  </w:r>
                </w:p>
              </w:tc>
              <w:tc>
                <w:tcPr>
                  <w:tcW w:w="960" w:type="dxa"/>
                  <w:vAlign w:val="center"/>
                </w:tcPr>
                <w:p w14:paraId="65E36C01">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71</w:t>
                  </w:r>
                </w:p>
              </w:tc>
              <w:tc>
                <w:tcPr>
                  <w:tcW w:w="957" w:type="dxa"/>
                  <w:vAlign w:val="center"/>
                </w:tcPr>
                <w:p w14:paraId="60B34A5D">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70</w:t>
                  </w:r>
                </w:p>
              </w:tc>
              <w:tc>
                <w:tcPr>
                  <w:tcW w:w="960" w:type="dxa"/>
                  <w:vAlign w:val="center"/>
                </w:tcPr>
                <w:p w14:paraId="5938B01E">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55</w:t>
                  </w:r>
                </w:p>
              </w:tc>
            </w:tr>
            <w:tr w14:paraId="70298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jc w:val="center"/>
              </w:trPr>
              <w:tc>
                <w:tcPr>
                  <w:tcW w:w="709" w:type="dxa"/>
                  <w:vMerge w:val="continue"/>
                  <w:vAlign w:val="center"/>
                </w:tcPr>
                <w:p w14:paraId="3EE93EF0">
                  <w:pPr>
                    <w:jc w:val="center"/>
                    <w:rPr>
                      <w:rFonts w:ascii="Times New Roman" w:hAnsi="Times New Roman" w:cs="Times New Roman"/>
                      <w:color w:val="000000" w:themeColor="text1"/>
                      <w:sz w:val="18"/>
                      <w:szCs w:val="18"/>
                      <w14:textFill>
                        <w14:solidFill>
                          <w14:schemeClr w14:val="tx1"/>
                        </w14:solidFill>
                      </w14:textFill>
                    </w:rPr>
                  </w:pPr>
                </w:p>
              </w:tc>
              <w:tc>
                <w:tcPr>
                  <w:tcW w:w="1097" w:type="dxa"/>
                  <w:vAlign w:val="center"/>
                </w:tcPr>
                <w:p w14:paraId="152061F8">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（电锯）木工机械</w:t>
                  </w:r>
                </w:p>
              </w:tc>
              <w:tc>
                <w:tcPr>
                  <w:tcW w:w="957" w:type="dxa"/>
                  <w:vAlign w:val="center"/>
                </w:tcPr>
                <w:p w14:paraId="165B2656">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110</w:t>
                  </w:r>
                </w:p>
              </w:tc>
              <w:tc>
                <w:tcPr>
                  <w:tcW w:w="957" w:type="dxa"/>
                  <w:vAlign w:val="center"/>
                </w:tcPr>
                <w:p w14:paraId="41DA7068">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90</w:t>
                  </w:r>
                </w:p>
              </w:tc>
              <w:tc>
                <w:tcPr>
                  <w:tcW w:w="957" w:type="dxa"/>
                  <w:vAlign w:val="center"/>
                </w:tcPr>
                <w:p w14:paraId="74172457">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84</w:t>
                  </w:r>
                </w:p>
              </w:tc>
              <w:tc>
                <w:tcPr>
                  <w:tcW w:w="960" w:type="dxa"/>
                  <w:vAlign w:val="center"/>
                </w:tcPr>
                <w:p w14:paraId="36DA0049">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81</w:t>
                  </w:r>
                </w:p>
              </w:tc>
              <w:tc>
                <w:tcPr>
                  <w:tcW w:w="957" w:type="dxa"/>
                  <w:vAlign w:val="center"/>
                </w:tcPr>
                <w:p w14:paraId="6449D2E6">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70</w:t>
                  </w:r>
                </w:p>
              </w:tc>
              <w:tc>
                <w:tcPr>
                  <w:tcW w:w="960" w:type="dxa"/>
                  <w:vAlign w:val="center"/>
                </w:tcPr>
                <w:p w14:paraId="7F2CAE59">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55</w:t>
                  </w:r>
                </w:p>
              </w:tc>
            </w:tr>
            <w:tr w14:paraId="5644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 w:hRule="atLeast"/>
                <w:jc w:val="center"/>
              </w:trPr>
              <w:tc>
                <w:tcPr>
                  <w:tcW w:w="709" w:type="dxa"/>
                  <w:vAlign w:val="center"/>
                </w:tcPr>
                <w:p w14:paraId="679DC2C9">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安装</w:t>
                  </w:r>
                </w:p>
              </w:tc>
              <w:tc>
                <w:tcPr>
                  <w:tcW w:w="1097" w:type="dxa"/>
                  <w:vAlign w:val="center"/>
                </w:tcPr>
                <w:p w14:paraId="2A468691">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轮胎吊</w:t>
                  </w:r>
                </w:p>
              </w:tc>
              <w:tc>
                <w:tcPr>
                  <w:tcW w:w="957" w:type="dxa"/>
                  <w:vAlign w:val="center"/>
                </w:tcPr>
                <w:p w14:paraId="6EA53194">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90</w:t>
                  </w:r>
                </w:p>
              </w:tc>
              <w:tc>
                <w:tcPr>
                  <w:tcW w:w="957" w:type="dxa"/>
                  <w:vAlign w:val="center"/>
                </w:tcPr>
                <w:p w14:paraId="526BF0DA">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70</w:t>
                  </w:r>
                </w:p>
              </w:tc>
              <w:tc>
                <w:tcPr>
                  <w:tcW w:w="957" w:type="dxa"/>
                  <w:vAlign w:val="center"/>
                </w:tcPr>
                <w:p w14:paraId="1203BF3A">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64</w:t>
                  </w:r>
                </w:p>
              </w:tc>
              <w:tc>
                <w:tcPr>
                  <w:tcW w:w="960" w:type="dxa"/>
                  <w:vAlign w:val="center"/>
                </w:tcPr>
                <w:p w14:paraId="34CBDA5B">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61</w:t>
                  </w:r>
                </w:p>
              </w:tc>
              <w:tc>
                <w:tcPr>
                  <w:tcW w:w="957" w:type="dxa"/>
                  <w:vAlign w:val="center"/>
                </w:tcPr>
                <w:p w14:paraId="0B849713">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65</w:t>
                  </w:r>
                </w:p>
              </w:tc>
              <w:tc>
                <w:tcPr>
                  <w:tcW w:w="960" w:type="dxa"/>
                  <w:vAlign w:val="center"/>
                </w:tcPr>
                <w:p w14:paraId="78A46859">
                  <w:pPr>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55</w:t>
                  </w:r>
                </w:p>
              </w:tc>
            </w:tr>
          </w:tbl>
          <w:p w14:paraId="66D7CAC2">
            <w:pPr>
              <w:spacing w:line="360" w:lineRule="auto"/>
              <w:ind w:firstLine="480" w:firstLineChars="200"/>
              <w:rPr>
                <w:rFonts w:ascii="Times New Roman" w:hAnsi="Times New Roman" w:cs="Times New Roman"/>
                <w:color w:val="000000"/>
              </w:rPr>
            </w:pPr>
            <w:r>
              <w:rPr>
                <w:rFonts w:ascii="Times New Roman" w:hAnsi="Times New Roman" w:cs="Times New Roman"/>
                <w:color w:val="000000" w:themeColor="text1"/>
                <w14:textFill>
                  <w14:solidFill>
                    <w14:schemeClr w14:val="tx1"/>
                  </w14:solidFill>
                </w14:textFill>
              </w:rPr>
              <w:t>由上表可以看出，土石方和安装阶段，白天场界可以达标，但夜间超标。声级值在100dB（A）以上的设备在30m处仍不能满足厂界施工期间噪声限值。</w:t>
            </w:r>
          </w:p>
          <w:p w14:paraId="3F0605CA">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为减少对周围声环境噪声污染，环评要求采取以下噪声控制措施：</w:t>
            </w:r>
          </w:p>
          <w:p w14:paraId="27D03FA4">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1）合理安排好施工时间，尽量缩短施工期。本评价要求建设方禁止在午休时间和夜间十二点以后进行施工，如特殊工序需进行夜间施工，应按相关规定到环保管理部门办理夜间施工许可证，并通告受影响人群，让其早做准备。</w:t>
            </w:r>
          </w:p>
          <w:p w14:paraId="62C57F94">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2）施工期的噪声主要来自施工机械和运输车辆。施工单位必须选用符合《机动车辆允许噪声标准》（GB1495-2020）有关标准的施工机械和运输车辆，施工设备选型时，在满足施工需要的前提下，尽可能选取噪声低、振动小、能耗小的先进设备，并避免长时间使用高噪声设备，加强施工机械的维护保养，高噪声设备设置在施工场地中部并修建临时隔声棚，并加强对现场工作人员进行培训，严格按操作规范使用各类机械设备。</w:t>
            </w:r>
            <w:bookmarkStart w:id="14" w:name="_Hlk129616082"/>
          </w:p>
          <w:p w14:paraId="47A9E33F">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3）加强施工设备的维护保养，发生故障应及时维修，保持润滑、紧固各部件，减少运行振动噪声；施工机械设备应安放稳固，并与地面保持良好接触，有条件的应使用减振机座。加强施工管理、文明施工，杜绝施工机械在运行过程中因维护不当而产生的其他噪声。</w:t>
            </w:r>
          </w:p>
          <w:p w14:paraId="021FF500">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4）为保护施工人员的健康，施工单位要合理安排工作人员，轮流操作高强度噪声的施工机械，减少接触高噪声施工机械的时间，或穿插安排操作高噪声和低噪声施工机械地工作。加强对施工人员的个人防护，对高噪声机械设备附近工作的施工人员，可采取配备耳塞、耳机、防声头盔等防噪用具。</w:t>
            </w:r>
          </w:p>
          <w:p w14:paraId="5DF62D20">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（5）建设单位应责成施工单位在施工现场标明施工通告和投诉电话，建设单位在接到投诉后，应及时与当地环保部门取得联系，以便能及时处理各种环境纠纷。</w:t>
            </w:r>
          </w:p>
          <w:p w14:paraId="27F9D23B">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（6）加强施工期间道路交通的管理，保持道路畅通也是减缓施工期噪声影响的重要手段。</w:t>
            </w:r>
          </w:p>
          <w:p w14:paraId="7DEC1DDD">
            <w:pPr>
              <w:spacing w:line="360" w:lineRule="auto"/>
              <w:ind w:firstLine="480" w:firstLineChars="200"/>
              <w:rPr>
                <w:rFonts w:ascii="Times New Roman" w:hAnsi="Times New Roman" w:cs="Times New Roman"/>
                <w:color w:val="000000"/>
              </w:rPr>
            </w:pPr>
            <w:r>
              <w:rPr>
                <w:rFonts w:ascii="Times New Roman" w:hAnsi="Times New Roman" w:cs="Times New Roman"/>
                <w:color w:val="000000"/>
              </w:rPr>
              <w:t>根据现场调查，项目区周围无居民区，在建设过程中只有施工人员。因此，施工阶段对周围环境无大的不利影响。故施工阶段使用中高噪声机械设备，只要严格遵守当地环保管理部门制定的施工工地噪声作业规定及要求，并在午休时间和夜间休息时间停止施工，积极采取相应措施降低施工噪声，不会对自身人员造成噪声危害。</w:t>
            </w:r>
            <w:bookmarkEnd w:id="11"/>
          </w:p>
          <w:bookmarkEnd w:id="14"/>
          <w:p w14:paraId="66429C05">
            <w:pPr>
              <w:pStyle w:val="46"/>
            </w:pPr>
            <w:r>
              <w:t>4、施工期固体废物对环境影响分析</w:t>
            </w:r>
          </w:p>
          <w:p w14:paraId="24686C05">
            <w:pPr>
              <w:pStyle w:val="62"/>
              <w:ind w:firstLine="480"/>
              <w:rPr>
                <w:color w:val="000000"/>
              </w:rPr>
            </w:pPr>
            <w:r>
              <w:rPr>
                <w:color w:val="000000"/>
              </w:rPr>
              <w:t>（1）施工固体废物来源</w:t>
            </w:r>
          </w:p>
          <w:p w14:paraId="5504CD7D">
            <w:pPr>
              <w:pStyle w:val="62"/>
              <w:ind w:firstLine="480"/>
              <w:rPr>
                <w:color w:val="000000"/>
              </w:rPr>
            </w:pPr>
            <w:r>
              <w:rPr>
                <w:color w:val="000000"/>
              </w:rPr>
              <w:t>施工期固体废物主要来源于：</w:t>
            </w:r>
          </w:p>
          <w:p w14:paraId="344C0DCD">
            <w:pPr>
              <w:pStyle w:val="62"/>
              <w:ind w:firstLine="480" w:firstLineChars="0"/>
              <w:rPr>
                <w:color w:val="000000"/>
              </w:rPr>
            </w:pPr>
            <w:r>
              <w:rPr>
                <w:rFonts w:ascii="Cambria Math" w:hAnsi="Cambria Math" w:cs="Cambria Math"/>
                <w:color w:val="000000"/>
              </w:rPr>
              <w:t>①</w:t>
            </w:r>
            <w:r>
              <w:rPr>
                <w:color w:val="000000"/>
              </w:rPr>
              <w:t>施工活动产生的废弃建筑材料如砂石、石灰、混凝土、废砖、土石方等；</w:t>
            </w:r>
          </w:p>
          <w:p w14:paraId="64BA3FB2">
            <w:pPr>
              <w:pStyle w:val="62"/>
              <w:ind w:firstLine="480"/>
              <w:rPr>
                <w:color w:val="000000"/>
              </w:rPr>
            </w:pPr>
            <w:r>
              <w:rPr>
                <w:rFonts w:ascii="Cambria Math" w:hAnsi="Cambria Math" w:cs="Cambria Math"/>
                <w:color w:val="000000"/>
              </w:rPr>
              <w:t>②</w:t>
            </w:r>
            <w:r>
              <w:rPr>
                <w:color w:val="000000"/>
                <w:shd w:val="clear" w:color="auto" w:fill="FFFFFF"/>
              </w:rPr>
              <w:t>施工人员日常生活产生生活垃圾，施工人员按100人计，生活垃圾产生系数按0.5kg/人d估算，则生活垃圾总产生量约50</w:t>
            </w:r>
            <w:r>
              <w:t>kg/d</w:t>
            </w:r>
            <w:r>
              <w:rPr>
                <w:color w:val="000000"/>
                <w:shd w:val="clear" w:color="auto" w:fill="FFFFFF"/>
              </w:rPr>
              <w:t>，</w:t>
            </w:r>
            <w:r>
              <w:t>项目施工期生活垃圾集中存放，</w:t>
            </w:r>
            <w:r>
              <w:rPr>
                <w:color w:val="000000"/>
                <w:shd w:val="clear" w:color="auto" w:fill="FFFFFF"/>
              </w:rPr>
              <w:t>统一收集后交由园区环卫部门清运处置。</w:t>
            </w:r>
          </w:p>
          <w:p w14:paraId="582A81C7">
            <w:pPr>
              <w:pStyle w:val="62"/>
              <w:ind w:firstLine="480"/>
              <w:rPr>
                <w:color w:val="000000"/>
              </w:rPr>
            </w:pPr>
            <w:r>
              <w:rPr>
                <w:color w:val="000000"/>
              </w:rPr>
              <w:t>（2）施工固体废物影响分析</w:t>
            </w:r>
          </w:p>
          <w:p w14:paraId="71C1A1A1">
            <w:pPr>
              <w:pStyle w:val="62"/>
              <w:ind w:firstLine="480"/>
              <w:rPr>
                <w:color w:val="000000"/>
              </w:rPr>
            </w:pPr>
            <w:r>
              <w:rPr>
                <w:color w:val="000000"/>
              </w:rPr>
              <w:t>根据施工期固体废物的来源及性质，其影响主要表现为：</w:t>
            </w:r>
          </w:p>
          <w:p w14:paraId="2C62A4BC">
            <w:pPr>
              <w:pStyle w:val="62"/>
              <w:ind w:firstLine="480"/>
              <w:rPr>
                <w:color w:val="000000"/>
              </w:rPr>
            </w:pPr>
            <w:r>
              <w:rPr>
                <w:rFonts w:ascii="Cambria Math" w:hAnsi="Cambria Math" w:cs="Cambria Math"/>
                <w:color w:val="000000"/>
              </w:rPr>
              <w:t>①</w:t>
            </w:r>
            <w:r>
              <w:rPr>
                <w:color w:val="000000"/>
              </w:rPr>
              <w:t>建筑垃圾：建筑垃圾产生于厂房等建(构)筑物建设，分选后对土石方就地填方，金属木块等废物回收利用。如长时间堆存，在风力作用下易产生扬尘，造成二次污染。</w:t>
            </w:r>
          </w:p>
          <w:p w14:paraId="72258A08">
            <w:pPr>
              <w:pStyle w:val="62"/>
              <w:ind w:firstLine="480"/>
              <w:rPr>
                <w:color w:val="000000"/>
              </w:rPr>
            </w:pPr>
            <w:r>
              <w:rPr>
                <w:rFonts w:ascii="Cambria Math" w:hAnsi="Cambria Math" w:cs="Cambria Math"/>
                <w:color w:val="000000"/>
              </w:rPr>
              <w:t>②</w:t>
            </w:r>
            <w:r>
              <w:rPr>
                <w:color w:val="000000"/>
              </w:rPr>
              <w:t>施工人员的生活垃圾：生活垃圾主要为就餐后的废饭盒和办公区的少量日常办公垃圾，堆放期间长则腐烂变质，产生恶臭，夏季易滋生蚊蝇。及时收集、清理和转运，则不会对当地环境产生明显影响。</w:t>
            </w:r>
          </w:p>
          <w:p w14:paraId="580111CC">
            <w:pPr>
              <w:pStyle w:val="62"/>
              <w:ind w:firstLine="480"/>
              <w:rPr>
                <w:color w:val="000000"/>
              </w:rPr>
            </w:pPr>
            <w:r>
              <w:rPr>
                <w:color w:val="000000"/>
              </w:rPr>
              <w:t>为减少弃土在堆放和运输过程中对环境的影响，建议采取如下措施：</w:t>
            </w:r>
          </w:p>
          <w:p w14:paraId="68853DBB">
            <w:pPr>
              <w:pStyle w:val="62"/>
              <w:ind w:firstLine="480"/>
              <w:rPr>
                <w:color w:val="000000"/>
              </w:rPr>
            </w:pPr>
            <w:r>
              <w:rPr>
                <w:color w:val="000000"/>
              </w:rPr>
              <w:t>（1）建筑垃圾：施工期间有部分施工垃圾如废砖、废钢铁、废油料等，这些建筑垃圾应分类收集，集中处理，回收利用，以实现固体废料的“减量化、资源化、无害化”。</w:t>
            </w:r>
          </w:p>
          <w:p w14:paraId="776413D4">
            <w:pPr>
              <w:pStyle w:val="62"/>
              <w:ind w:firstLine="480"/>
              <w:rPr>
                <w:color w:val="000000"/>
              </w:rPr>
            </w:pPr>
            <w:r>
              <w:rPr>
                <w:color w:val="000000"/>
              </w:rPr>
              <w:t>（2）车辆运输散体物料和废弃物时，必须密闭、包扎、覆盖，不得沿途漏撒；运载土方的车辆必须在规定的时间内，按指定路段行驶。</w:t>
            </w:r>
          </w:p>
          <w:p w14:paraId="64DAEFEA">
            <w:pPr>
              <w:pStyle w:val="62"/>
              <w:ind w:firstLine="480"/>
              <w:rPr>
                <w:color w:val="000000"/>
              </w:rPr>
            </w:pPr>
            <w:r>
              <w:rPr>
                <w:color w:val="000000"/>
              </w:rPr>
              <w:t>（3）施工期应尽量集中并避开雨期，要边弃土边压实，弃土完毕后应尽快复垦利用。</w:t>
            </w:r>
          </w:p>
          <w:p w14:paraId="6CE5C2E0">
            <w:pPr>
              <w:pStyle w:val="62"/>
              <w:ind w:firstLine="480"/>
              <w:rPr>
                <w:color w:val="000000"/>
              </w:rPr>
            </w:pPr>
            <w:r>
              <w:rPr>
                <w:color w:val="000000"/>
              </w:rPr>
              <w:t>（4）施工单位应该在施工前5日向渣土管理部门申报建筑垃圾、工程渣土处置计划，如实填报建筑垃圾和渣土的种类、数量、运输路线及处置场地等事项，并与渣土管理部门签订环境卫生责任书。</w:t>
            </w:r>
          </w:p>
          <w:p w14:paraId="33813322">
            <w:pPr>
              <w:pStyle w:val="62"/>
              <w:ind w:firstLine="480"/>
              <w:rPr>
                <w:color w:val="000000"/>
              </w:rPr>
            </w:pPr>
            <w:r>
              <w:rPr>
                <w:color w:val="000000"/>
              </w:rPr>
              <w:t>（5）施工部门应当持渣土管理部门核发的处置证明，向运输单位办理建筑垃圾、工程渣土托运手续。运输车辆在运输工程弃土、建筑垃圾时应随车携带处置证明，接受渣土管理部门的检查，运输路线应按渣土管理部门会同公安、交通管理部门规定的线路运输。</w:t>
            </w:r>
          </w:p>
          <w:p w14:paraId="4FA6C2A3">
            <w:pPr>
              <w:pStyle w:val="62"/>
              <w:ind w:firstLine="480"/>
              <w:rPr>
                <w:color w:val="000000"/>
              </w:rPr>
            </w:pPr>
            <w:r>
              <w:rPr>
                <w:color w:val="000000"/>
              </w:rPr>
              <w:t>（6）在工程完工后，应当立即将工地的剩余建筑垃圾、工程渣土处置干净，不得占用道路来堆放建筑垃圾和工程渣土。</w:t>
            </w:r>
          </w:p>
          <w:p w14:paraId="051C6093">
            <w:pPr>
              <w:pStyle w:val="62"/>
              <w:ind w:firstLineChars="83"/>
              <w:rPr>
                <w:b/>
                <w:bCs/>
                <w:color w:val="000000"/>
              </w:rPr>
            </w:pPr>
            <w:r>
              <w:rPr>
                <w:b/>
                <w:bCs/>
                <w:color w:val="000000"/>
              </w:rPr>
              <w:t>4.1施工期土石方平衡分析</w:t>
            </w:r>
          </w:p>
          <w:p w14:paraId="134F45D7">
            <w:pPr>
              <w:pStyle w:val="62"/>
              <w:ind w:firstLine="440"/>
              <w:rPr>
                <w:bCs/>
                <w:spacing w:val="-10"/>
                <w:szCs w:val="21"/>
              </w:rPr>
            </w:pPr>
            <w:r>
              <w:rPr>
                <w:bCs/>
                <w:spacing w:val="-10"/>
                <w:szCs w:val="21"/>
              </w:rPr>
              <w:t>本项目施工内容主要为新建储罐罐区、配套管廊、装卸设施、辅助构筑物基础开挖及场地平整工程。施工土石方来源主要为储罐基础、管廊基础、建构筑物基坑开挖土方。项目施工阶段遵循 “场内调配、就近回填、减少外运” 原则优化土石方流向。基坑开挖产生的土方优先用于本项目场地平整、路基回填、基坑回填；开挖土石方无法消纳的剩余弃土，严格按照吉木萨尔县北庭工业园区渣土管理要求，运送至园区指定消纳场地处置，不得随意堆弃；施工如需回填填料，优先利用场区开挖土方，不满足部分外购合规素土。本次结合罐区总平面布置、基础设计标高核算土石方工程量，土石方平衡见下表。施工期间临时堆土分区集中堆放，配套防尘网覆盖、定时洒水抑尘等扬尘防控措施；土方运输车辆采取密闭苫盖，防止沿途遗撒。</w:t>
            </w:r>
          </w:p>
          <w:p w14:paraId="3CA6AEA0">
            <w:pPr>
              <w:adjustRightInd w:val="0"/>
              <w:snapToGrid w:val="0"/>
              <w:ind w:firstLine="442" w:firstLineChars="200"/>
              <w:jc w:val="center"/>
              <w:rPr>
                <w:rFonts w:ascii="Times New Roman" w:hAnsi="Times New Roman" w:cs="Times New Roman"/>
                <w:bCs/>
                <w:spacing w:val="-10"/>
                <w:szCs w:val="21"/>
              </w:rPr>
            </w:pPr>
            <w:r>
              <w:rPr>
                <w:rFonts w:ascii="Times New Roman" w:hAnsi="Times New Roman" w:cs="Times New Roman"/>
                <w:b/>
                <w:spacing w:val="-10"/>
                <w:szCs w:val="21"/>
              </w:rPr>
              <w:t>表4-3  土石方平衡一览表</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1969"/>
              <w:gridCol w:w="1960"/>
              <w:gridCol w:w="3396"/>
            </w:tblGrid>
            <w:tr w14:paraId="306A3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Pr>
                <w:p w14:paraId="76D71EBB">
                  <w:pPr>
                    <w:widowControl w:val="0"/>
                    <w:jc w:val="both"/>
                    <w:rPr>
                      <w:rFonts w:ascii="Times New Roman" w:hAnsi="Times New Roman" w:cs="Times New Roman"/>
                      <w:sz w:val="21"/>
                      <w:szCs w:val="21"/>
                    </w:rPr>
                  </w:pPr>
                  <w:r>
                    <w:rPr>
                      <w:rFonts w:ascii="Times New Roman" w:hAnsi="Times New Roman" w:cs="Times New Roman"/>
                      <w:sz w:val="21"/>
                      <w:szCs w:val="21"/>
                    </w:rPr>
                    <w:t>序号</w:t>
                  </w:r>
                </w:p>
              </w:tc>
              <w:tc>
                <w:tcPr>
                  <w:tcW w:w="2140" w:type="dxa"/>
                </w:tcPr>
                <w:p w14:paraId="35C2EB16">
                  <w:pPr>
                    <w:widowControl w:val="0"/>
                    <w:jc w:val="both"/>
                    <w:rPr>
                      <w:rFonts w:ascii="Times New Roman" w:hAnsi="Times New Roman" w:cs="Times New Roman"/>
                      <w:sz w:val="21"/>
                      <w:szCs w:val="21"/>
                    </w:rPr>
                  </w:pPr>
                  <w:r>
                    <w:rPr>
                      <w:rFonts w:ascii="Times New Roman" w:hAnsi="Times New Roman" w:cs="Times New Roman"/>
                      <w:sz w:val="21"/>
                      <w:szCs w:val="21"/>
                    </w:rPr>
                    <w:t>土石方类别</w:t>
                  </w:r>
                </w:p>
              </w:tc>
              <w:tc>
                <w:tcPr>
                  <w:tcW w:w="2130" w:type="dxa"/>
                </w:tcPr>
                <w:p w14:paraId="11C18E46">
                  <w:pPr>
                    <w:widowControl w:val="0"/>
                    <w:jc w:val="both"/>
                    <w:rPr>
                      <w:rFonts w:ascii="Times New Roman" w:hAnsi="Times New Roman" w:cs="Times New Roman"/>
                      <w:sz w:val="21"/>
                      <w:szCs w:val="21"/>
                    </w:rPr>
                  </w:pPr>
                  <w:r>
                    <w:rPr>
                      <w:rFonts w:ascii="Times New Roman" w:hAnsi="Times New Roman" w:cs="Times New Roman"/>
                      <w:sz w:val="21"/>
                      <w:szCs w:val="21"/>
                    </w:rPr>
                    <w:t>工程量（m³，自然方）</w:t>
                  </w:r>
                </w:p>
              </w:tc>
              <w:tc>
                <w:tcPr>
                  <w:tcW w:w="3707" w:type="dxa"/>
                </w:tcPr>
                <w:p w14:paraId="497BE0C1">
                  <w:pPr>
                    <w:widowControl w:val="0"/>
                    <w:jc w:val="both"/>
                    <w:rPr>
                      <w:rFonts w:ascii="Times New Roman" w:hAnsi="Times New Roman" w:cs="Times New Roman"/>
                      <w:sz w:val="21"/>
                      <w:szCs w:val="21"/>
                    </w:rPr>
                  </w:pPr>
                  <w:r>
                    <w:rPr>
                      <w:rFonts w:ascii="Times New Roman" w:hAnsi="Times New Roman" w:cs="Times New Roman"/>
                      <w:sz w:val="21"/>
                      <w:szCs w:val="21"/>
                    </w:rPr>
                    <w:t>备注</w:t>
                  </w:r>
                </w:p>
              </w:tc>
            </w:tr>
            <w:tr w14:paraId="6E4B5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Pr>
                <w:p w14:paraId="75D9B54E">
                  <w:pPr>
                    <w:widowControl w:val="0"/>
                    <w:jc w:val="both"/>
                    <w:rPr>
                      <w:rFonts w:ascii="Times New Roman" w:hAnsi="Times New Roman" w:cs="Times New Roman"/>
                      <w:sz w:val="21"/>
                      <w:szCs w:val="21"/>
                    </w:rPr>
                  </w:pPr>
                  <w:r>
                    <w:rPr>
                      <w:rFonts w:ascii="Times New Roman" w:hAnsi="Times New Roman" w:cs="Times New Roman"/>
                      <w:sz w:val="21"/>
                      <w:szCs w:val="21"/>
                    </w:rPr>
                    <w:t>1</w:t>
                  </w:r>
                </w:p>
              </w:tc>
              <w:tc>
                <w:tcPr>
                  <w:tcW w:w="2140" w:type="dxa"/>
                </w:tcPr>
                <w:p w14:paraId="3C0D7416">
                  <w:pPr>
                    <w:widowControl w:val="0"/>
                    <w:jc w:val="both"/>
                    <w:rPr>
                      <w:rFonts w:ascii="Times New Roman" w:hAnsi="Times New Roman" w:cs="Times New Roman"/>
                      <w:sz w:val="21"/>
                      <w:szCs w:val="21"/>
                    </w:rPr>
                  </w:pPr>
                  <w:r>
                    <w:rPr>
                      <w:rFonts w:ascii="Times New Roman" w:hAnsi="Times New Roman" w:cs="Times New Roman"/>
                      <w:sz w:val="21"/>
                      <w:szCs w:val="21"/>
                    </w:rPr>
                    <w:t>总开挖方量</w:t>
                  </w:r>
                </w:p>
              </w:tc>
              <w:tc>
                <w:tcPr>
                  <w:tcW w:w="2130" w:type="dxa"/>
                </w:tcPr>
                <w:p w14:paraId="6B2B487B">
                  <w:pPr>
                    <w:widowControl w:val="0"/>
                    <w:jc w:val="both"/>
                    <w:rPr>
                      <w:rFonts w:ascii="Times New Roman" w:hAnsi="Times New Roman" w:cs="Times New Roman"/>
                      <w:sz w:val="21"/>
                      <w:szCs w:val="21"/>
                    </w:rPr>
                  </w:pPr>
                  <w:r>
                    <w:rPr>
                      <w:rFonts w:ascii="Times New Roman" w:hAnsi="Times New Roman" w:cs="Times New Roman"/>
                      <w:sz w:val="21"/>
                      <w:szCs w:val="21"/>
                    </w:rPr>
                    <w:t>18500</w:t>
                  </w:r>
                </w:p>
              </w:tc>
              <w:tc>
                <w:tcPr>
                  <w:tcW w:w="3707" w:type="dxa"/>
                </w:tcPr>
                <w:p w14:paraId="76888460">
                  <w:pPr>
                    <w:widowControl w:val="0"/>
                    <w:jc w:val="both"/>
                    <w:rPr>
                      <w:rFonts w:ascii="Times New Roman" w:hAnsi="Times New Roman" w:cs="Times New Roman"/>
                      <w:sz w:val="21"/>
                      <w:szCs w:val="21"/>
                    </w:rPr>
                  </w:pPr>
                  <w:r>
                    <w:rPr>
                      <w:rFonts w:ascii="Times New Roman" w:hAnsi="Times New Roman" w:cs="Times New Roman"/>
                      <w:sz w:val="21"/>
                      <w:szCs w:val="21"/>
                    </w:rPr>
                    <w:t>储罐基础、管廊、构筑物基坑开挖</w:t>
                  </w:r>
                </w:p>
              </w:tc>
            </w:tr>
            <w:tr w14:paraId="4A98F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Pr>
                <w:p w14:paraId="5AE5712F">
                  <w:pPr>
                    <w:widowControl w:val="0"/>
                    <w:jc w:val="both"/>
                    <w:rPr>
                      <w:rFonts w:ascii="Times New Roman" w:hAnsi="Times New Roman" w:cs="Times New Roman"/>
                      <w:sz w:val="21"/>
                      <w:szCs w:val="21"/>
                    </w:rPr>
                  </w:pPr>
                  <w:r>
                    <w:rPr>
                      <w:rFonts w:ascii="Times New Roman" w:hAnsi="Times New Roman" w:cs="Times New Roman"/>
                      <w:sz w:val="21"/>
                      <w:szCs w:val="21"/>
                    </w:rPr>
                    <w:t>2</w:t>
                  </w:r>
                </w:p>
              </w:tc>
              <w:tc>
                <w:tcPr>
                  <w:tcW w:w="2140" w:type="dxa"/>
                </w:tcPr>
                <w:p w14:paraId="2F3403E6">
                  <w:pPr>
                    <w:widowControl w:val="0"/>
                    <w:jc w:val="both"/>
                    <w:rPr>
                      <w:rFonts w:ascii="Times New Roman" w:hAnsi="Times New Roman" w:cs="Times New Roman"/>
                      <w:sz w:val="21"/>
                      <w:szCs w:val="21"/>
                    </w:rPr>
                  </w:pPr>
                  <w:r>
                    <w:rPr>
                      <w:rFonts w:ascii="Times New Roman" w:hAnsi="Times New Roman" w:cs="Times New Roman"/>
                      <w:sz w:val="21"/>
                      <w:szCs w:val="21"/>
                    </w:rPr>
                    <w:t>场内回填利用量</w:t>
                  </w:r>
                </w:p>
              </w:tc>
              <w:tc>
                <w:tcPr>
                  <w:tcW w:w="2130" w:type="dxa"/>
                </w:tcPr>
                <w:p w14:paraId="798650A3">
                  <w:pPr>
                    <w:widowControl w:val="0"/>
                    <w:jc w:val="both"/>
                    <w:rPr>
                      <w:rFonts w:ascii="Times New Roman" w:hAnsi="Times New Roman" w:cs="Times New Roman"/>
                      <w:sz w:val="21"/>
                      <w:szCs w:val="21"/>
                    </w:rPr>
                  </w:pPr>
                  <w:r>
                    <w:rPr>
                      <w:rFonts w:ascii="Times New Roman" w:hAnsi="Times New Roman" w:cs="Times New Roman"/>
                      <w:sz w:val="21"/>
                      <w:szCs w:val="21"/>
                    </w:rPr>
                    <w:t>12200</w:t>
                  </w:r>
                </w:p>
              </w:tc>
              <w:tc>
                <w:tcPr>
                  <w:tcW w:w="3707" w:type="dxa"/>
                </w:tcPr>
                <w:p w14:paraId="30D0855C">
                  <w:pPr>
                    <w:widowControl w:val="0"/>
                    <w:jc w:val="both"/>
                    <w:rPr>
                      <w:rFonts w:ascii="Times New Roman" w:hAnsi="Times New Roman" w:cs="Times New Roman"/>
                      <w:sz w:val="21"/>
                      <w:szCs w:val="21"/>
                    </w:rPr>
                  </w:pPr>
                  <w:r>
                    <w:rPr>
                      <w:rFonts w:ascii="Times New Roman" w:hAnsi="Times New Roman" w:cs="Times New Roman"/>
                      <w:sz w:val="21"/>
                      <w:szCs w:val="21"/>
                    </w:rPr>
                    <w:t>基坑回填、场地平整、道路垫层</w:t>
                  </w:r>
                </w:p>
              </w:tc>
            </w:tr>
            <w:tr w14:paraId="01AB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Pr>
                <w:p w14:paraId="691EBD2A">
                  <w:pPr>
                    <w:widowControl w:val="0"/>
                    <w:jc w:val="both"/>
                    <w:rPr>
                      <w:rFonts w:ascii="Times New Roman" w:hAnsi="Times New Roman" w:cs="Times New Roman"/>
                      <w:sz w:val="21"/>
                      <w:szCs w:val="21"/>
                    </w:rPr>
                  </w:pPr>
                  <w:r>
                    <w:rPr>
                      <w:rFonts w:ascii="Times New Roman" w:hAnsi="Times New Roman" w:cs="Times New Roman"/>
                      <w:sz w:val="21"/>
                      <w:szCs w:val="21"/>
                    </w:rPr>
                    <w:t>3</w:t>
                  </w:r>
                </w:p>
              </w:tc>
              <w:tc>
                <w:tcPr>
                  <w:tcW w:w="2140" w:type="dxa"/>
                </w:tcPr>
                <w:p w14:paraId="5B4BE613">
                  <w:pPr>
                    <w:widowControl w:val="0"/>
                    <w:jc w:val="both"/>
                    <w:rPr>
                      <w:rFonts w:ascii="Times New Roman" w:hAnsi="Times New Roman" w:cs="Times New Roman"/>
                      <w:sz w:val="21"/>
                      <w:szCs w:val="21"/>
                    </w:rPr>
                  </w:pPr>
                  <w:r>
                    <w:rPr>
                      <w:rFonts w:ascii="Times New Roman" w:hAnsi="Times New Roman" w:cs="Times New Roman"/>
                      <w:sz w:val="21"/>
                      <w:szCs w:val="21"/>
                    </w:rPr>
                    <w:t>场内挖填平衡后剩余弃方</w:t>
                  </w:r>
                </w:p>
              </w:tc>
              <w:tc>
                <w:tcPr>
                  <w:tcW w:w="2130" w:type="dxa"/>
                </w:tcPr>
                <w:p w14:paraId="09C63D60">
                  <w:pPr>
                    <w:widowControl w:val="0"/>
                    <w:jc w:val="both"/>
                    <w:rPr>
                      <w:rFonts w:ascii="Times New Roman" w:hAnsi="Times New Roman" w:cs="Times New Roman"/>
                      <w:sz w:val="21"/>
                      <w:szCs w:val="21"/>
                    </w:rPr>
                  </w:pPr>
                  <w:r>
                    <w:rPr>
                      <w:rFonts w:ascii="Times New Roman" w:hAnsi="Times New Roman" w:cs="Times New Roman"/>
                      <w:sz w:val="21"/>
                      <w:szCs w:val="21"/>
                    </w:rPr>
                    <w:t>6300</w:t>
                  </w:r>
                </w:p>
              </w:tc>
              <w:tc>
                <w:tcPr>
                  <w:tcW w:w="3707" w:type="dxa"/>
                </w:tcPr>
                <w:p w14:paraId="152D3085">
                  <w:pPr>
                    <w:widowControl w:val="0"/>
                    <w:jc w:val="both"/>
                    <w:rPr>
                      <w:rFonts w:ascii="Times New Roman" w:hAnsi="Times New Roman" w:cs="Times New Roman"/>
                      <w:sz w:val="21"/>
                      <w:szCs w:val="21"/>
                    </w:rPr>
                  </w:pPr>
                  <w:r>
                    <w:rPr>
                      <w:rFonts w:ascii="Times New Roman" w:hAnsi="Times New Roman" w:cs="Times New Roman"/>
                      <w:sz w:val="21"/>
                      <w:szCs w:val="21"/>
                    </w:rPr>
                    <w:t>外运至园区指定渣土消纳场</w:t>
                  </w:r>
                </w:p>
              </w:tc>
            </w:tr>
            <w:tr w14:paraId="2EDD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Pr>
                <w:p w14:paraId="19D0D630">
                  <w:pPr>
                    <w:widowControl w:val="0"/>
                    <w:jc w:val="both"/>
                    <w:rPr>
                      <w:rFonts w:ascii="Times New Roman" w:hAnsi="Times New Roman" w:cs="Times New Roman"/>
                      <w:sz w:val="21"/>
                      <w:szCs w:val="21"/>
                    </w:rPr>
                  </w:pPr>
                  <w:r>
                    <w:rPr>
                      <w:rFonts w:ascii="Times New Roman" w:hAnsi="Times New Roman" w:cs="Times New Roman"/>
                      <w:sz w:val="21"/>
                      <w:szCs w:val="21"/>
                    </w:rPr>
                    <w:t>4</w:t>
                  </w:r>
                </w:p>
              </w:tc>
              <w:tc>
                <w:tcPr>
                  <w:tcW w:w="2140" w:type="dxa"/>
                </w:tcPr>
                <w:p w14:paraId="7BB5C036">
                  <w:pPr>
                    <w:widowControl w:val="0"/>
                    <w:jc w:val="both"/>
                    <w:rPr>
                      <w:rFonts w:ascii="Times New Roman" w:hAnsi="Times New Roman" w:cs="Times New Roman"/>
                      <w:sz w:val="21"/>
                      <w:szCs w:val="21"/>
                    </w:rPr>
                  </w:pPr>
                  <w:r>
                    <w:rPr>
                      <w:rFonts w:ascii="Times New Roman" w:hAnsi="Times New Roman" w:cs="Times New Roman"/>
                      <w:sz w:val="21"/>
                      <w:szCs w:val="21"/>
                    </w:rPr>
                    <w:t>外购借方量</w:t>
                  </w:r>
                </w:p>
              </w:tc>
              <w:tc>
                <w:tcPr>
                  <w:tcW w:w="2130" w:type="dxa"/>
                </w:tcPr>
                <w:p w14:paraId="069BC11F">
                  <w:pPr>
                    <w:widowControl w:val="0"/>
                    <w:jc w:val="both"/>
                    <w:rPr>
                      <w:rFonts w:ascii="Times New Roman" w:hAnsi="Times New Roman" w:cs="Times New Roman"/>
                      <w:sz w:val="21"/>
                      <w:szCs w:val="21"/>
                    </w:rPr>
                  </w:pPr>
                  <w:r>
                    <w:rPr>
                      <w:rFonts w:ascii="Times New Roman" w:hAnsi="Times New Roman" w:cs="Times New Roman"/>
                      <w:sz w:val="21"/>
                      <w:szCs w:val="21"/>
                    </w:rPr>
                    <w:t>0</w:t>
                  </w:r>
                </w:p>
              </w:tc>
              <w:tc>
                <w:tcPr>
                  <w:tcW w:w="3707" w:type="dxa"/>
                </w:tcPr>
                <w:p w14:paraId="204C6C26">
                  <w:pPr>
                    <w:widowControl w:val="0"/>
                    <w:jc w:val="both"/>
                    <w:rPr>
                      <w:rFonts w:ascii="Times New Roman" w:hAnsi="Times New Roman" w:cs="Times New Roman"/>
                      <w:sz w:val="21"/>
                      <w:szCs w:val="21"/>
                    </w:rPr>
                  </w:pPr>
                  <w:r>
                    <w:rPr>
                      <w:rFonts w:ascii="Times New Roman" w:hAnsi="Times New Roman" w:cs="Times New Roman"/>
                      <w:sz w:val="21"/>
                      <w:szCs w:val="21"/>
                    </w:rPr>
                    <w:t>开挖土方可满足全部回填需求，无需外购土方</w:t>
                  </w:r>
                </w:p>
              </w:tc>
            </w:tr>
          </w:tbl>
          <w:p w14:paraId="013534C7">
            <w:pPr>
              <w:pStyle w:val="62"/>
              <w:ind w:firstLine="482"/>
              <w:rPr>
                <w:b/>
                <w:bCs/>
                <w:color w:val="000000"/>
              </w:rPr>
            </w:pPr>
          </w:p>
          <w:p w14:paraId="094D3C5D">
            <w:pPr>
              <w:pStyle w:val="46"/>
              <w:rPr>
                <w:bCs/>
                <w:spacing w:val="-10"/>
                <w:szCs w:val="21"/>
              </w:rPr>
            </w:pPr>
            <w:r>
              <w:t>5、施工期生态环境保护措施</w:t>
            </w:r>
          </w:p>
          <w:p w14:paraId="72E5836D">
            <w:pPr>
              <w:pStyle w:val="62"/>
              <w:ind w:firstLine="440"/>
              <w:rPr>
                <w:bCs/>
                <w:spacing w:val="-10"/>
                <w:szCs w:val="21"/>
              </w:rPr>
            </w:pPr>
            <w:r>
              <w:rPr>
                <w:bCs/>
                <w:spacing w:val="-10"/>
                <w:szCs w:val="21"/>
              </w:rPr>
              <w:t>（1）水土流失防治措施</w:t>
            </w:r>
          </w:p>
          <w:p w14:paraId="2889BD41">
            <w:pPr>
              <w:pStyle w:val="62"/>
              <w:ind w:firstLine="440"/>
              <w:rPr>
                <w:bCs/>
                <w:spacing w:val="-10"/>
                <w:szCs w:val="21"/>
              </w:rPr>
            </w:pPr>
            <w:r>
              <w:rPr>
                <w:bCs/>
                <w:spacing w:val="-10"/>
                <w:szCs w:val="21"/>
              </w:rPr>
              <w:t>针对建设过程中扰动和破坏地表方式多种多样，水土流失强度及治理难度各异的特点，项目水土流失可采用如下防治措施：</w:t>
            </w:r>
          </w:p>
          <w:p w14:paraId="4D5EA378">
            <w:pPr>
              <w:pStyle w:val="62"/>
              <w:ind w:firstLine="440"/>
              <w:rPr>
                <w:bCs/>
                <w:spacing w:val="-10"/>
                <w:szCs w:val="21"/>
              </w:rPr>
            </w:pPr>
            <w:r>
              <w:rPr>
                <w:rFonts w:ascii="Cambria Math" w:hAnsi="Cambria Math" w:cs="Cambria Math"/>
                <w:bCs/>
                <w:spacing w:val="-10"/>
                <w:szCs w:val="21"/>
              </w:rPr>
              <w:t>①</w:t>
            </w:r>
            <w:r>
              <w:rPr>
                <w:bCs/>
                <w:spacing w:val="-10"/>
                <w:szCs w:val="21"/>
              </w:rPr>
              <w:t>加强水土保持法制宣传，对施工人员进行培训和教育，自觉保持水土，保护植被。</w:t>
            </w:r>
          </w:p>
          <w:p w14:paraId="1E82AB84">
            <w:pPr>
              <w:pStyle w:val="62"/>
              <w:ind w:firstLine="440"/>
              <w:rPr>
                <w:bCs/>
                <w:spacing w:val="-10"/>
                <w:szCs w:val="21"/>
              </w:rPr>
            </w:pPr>
            <w:r>
              <w:rPr>
                <w:rFonts w:ascii="Cambria Math" w:hAnsi="Cambria Math" w:cs="Cambria Math"/>
                <w:bCs/>
                <w:spacing w:val="-10"/>
                <w:szCs w:val="21"/>
              </w:rPr>
              <w:t>②</w:t>
            </w:r>
            <w:r>
              <w:rPr>
                <w:bCs/>
                <w:spacing w:val="-10"/>
                <w:szCs w:val="21"/>
              </w:rPr>
              <w:t>项目规划设计应充分考虑弃土的合理综合利用，在建设总体规划中，合理安排工期和工程顺序，做到挖方、填方土石方平衡，减少土壤损失和地表破坏面积，特别是减少施工区以外的料场数量。</w:t>
            </w:r>
          </w:p>
          <w:p w14:paraId="05BED9C7">
            <w:pPr>
              <w:pStyle w:val="62"/>
              <w:ind w:firstLine="440"/>
              <w:rPr>
                <w:bCs/>
                <w:spacing w:val="-10"/>
                <w:szCs w:val="21"/>
              </w:rPr>
            </w:pPr>
            <w:r>
              <w:rPr>
                <w:rFonts w:ascii="Cambria Math" w:hAnsi="Cambria Math" w:cs="Cambria Math"/>
                <w:bCs/>
                <w:spacing w:val="-10"/>
                <w:szCs w:val="21"/>
              </w:rPr>
              <w:t>③</w:t>
            </w:r>
            <w:r>
              <w:rPr>
                <w:bCs/>
                <w:spacing w:val="-10"/>
                <w:szCs w:val="21"/>
              </w:rPr>
              <w:t>施工期间应划定施工活动范围，严格控制和管理运输车辆及重型机械的运行范围，不得离开运输道路随意行驶，应由专人负责，以防破坏土壤和植被，引发水土流失。</w:t>
            </w:r>
          </w:p>
          <w:p w14:paraId="05B558D3">
            <w:pPr>
              <w:pStyle w:val="62"/>
              <w:ind w:firstLine="440"/>
              <w:rPr>
                <w:bCs/>
                <w:spacing w:val="-10"/>
                <w:szCs w:val="21"/>
              </w:rPr>
            </w:pPr>
            <w:r>
              <w:rPr>
                <w:rFonts w:ascii="Cambria Math" w:hAnsi="Cambria Math" w:cs="Cambria Math"/>
                <w:bCs/>
                <w:spacing w:val="-10"/>
                <w:szCs w:val="21"/>
              </w:rPr>
              <w:t>④</w:t>
            </w:r>
            <w:r>
              <w:rPr>
                <w:bCs/>
                <w:spacing w:val="-10"/>
                <w:szCs w:val="21"/>
              </w:rPr>
              <w:t>施工开挖土方、装卸运输土方等工序，应尽量避开降雨天。</w:t>
            </w:r>
          </w:p>
          <w:p w14:paraId="14108165">
            <w:pPr>
              <w:pStyle w:val="62"/>
              <w:ind w:firstLine="440"/>
              <w:rPr>
                <w:bCs/>
                <w:spacing w:val="-10"/>
                <w:szCs w:val="21"/>
              </w:rPr>
            </w:pPr>
            <w:r>
              <w:rPr>
                <w:rFonts w:ascii="Cambria Math" w:hAnsi="Cambria Math" w:cs="Cambria Math"/>
                <w:bCs/>
                <w:spacing w:val="-10"/>
                <w:szCs w:val="21"/>
              </w:rPr>
              <w:t>⑤</w:t>
            </w:r>
            <w:r>
              <w:rPr>
                <w:bCs/>
                <w:spacing w:val="-10"/>
                <w:szCs w:val="21"/>
              </w:rPr>
              <w:t>尽量减少非生产生活车辆、机械进入施工区，施工中严格按照规划、设计施工占地要求，尽量减少地表植被及地表形态破坏。</w:t>
            </w:r>
          </w:p>
          <w:p w14:paraId="5840C42D">
            <w:pPr>
              <w:pStyle w:val="62"/>
              <w:ind w:firstLine="440"/>
              <w:rPr>
                <w:bCs/>
                <w:spacing w:val="-10"/>
                <w:szCs w:val="21"/>
              </w:rPr>
            </w:pPr>
            <w:r>
              <w:rPr>
                <w:rFonts w:ascii="Cambria Math" w:hAnsi="Cambria Math" w:cs="Cambria Math"/>
                <w:bCs/>
                <w:spacing w:val="-10"/>
                <w:szCs w:val="21"/>
              </w:rPr>
              <w:t>⑥</w:t>
            </w:r>
            <w:r>
              <w:rPr>
                <w:bCs/>
                <w:spacing w:val="-10"/>
                <w:szCs w:val="21"/>
              </w:rPr>
              <w:t>结合地形合理规划土方堆置场地，周围设围挡物。</w:t>
            </w:r>
          </w:p>
          <w:p w14:paraId="31A52713">
            <w:pPr>
              <w:pStyle w:val="62"/>
              <w:ind w:firstLine="440"/>
              <w:rPr>
                <w:bCs/>
                <w:spacing w:val="-10"/>
                <w:szCs w:val="21"/>
              </w:rPr>
            </w:pPr>
            <w:r>
              <w:rPr>
                <w:rFonts w:ascii="Cambria Math" w:hAnsi="Cambria Math" w:cs="Cambria Math"/>
                <w:bCs/>
                <w:spacing w:val="-10"/>
                <w:szCs w:val="21"/>
              </w:rPr>
              <w:t>⑦</w:t>
            </w:r>
            <w:r>
              <w:rPr>
                <w:bCs/>
                <w:spacing w:val="-10"/>
                <w:szCs w:val="21"/>
              </w:rPr>
              <w:t>在装卸和运输土方、石灰等材料时，沿途尽量减少散落，定期清扫路面。厂区工程开挖造成的取土坑和回填好的坑待工序结束后，须及时压实整平，原土覆盖。</w:t>
            </w:r>
          </w:p>
          <w:p w14:paraId="12F65909">
            <w:pPr>
              <w:pStyle w:val="62"/>
              <w:ind w:firstLine="440"/>
              <w:rPr>
                <w:bCs/>
                <w:spacing w:val="-10"/>
                <w:szCs w:val="21"/>
              </w:rPr>
            </w:pPr>
            <w:r>
              <w:rPr>
                <w:bCs/>
                <w:spacing w:val="-10"/>
                <w:szCs w:val="21"/>
              </w:rPr>
              <w:t>（2）土地沙化环境影响及防治措施</w:t>
            </w:r>
          </w:p>
          <w:p w14:paraId="238B9434">
            <w:pPr>
              <w:pStyle w:val="62"/>
              <w:ind w:firstLine="440"/>
              <w:rPr>
                <w:bCs/>
                <w:spacing w:val="-10"/>
                <w:szCs w:val="21"/>
              </w:rPr>
            </w:pPr>
            <w:r>
              <w:rPr>
                <w:bCs/>
                <w:spacing w:val="-10"/>
                <w:szCs w:val="21"/>
              </w:rPr>
              <w:t>项目施工期对沙化土地的影响主要表现为项目施工过程中基础开挖和临时堆土，对地面扰动大，改变和破坏了本区域原有地貌、植被和土壤结构，形成的松散堆积体和裸露地表，使土地原有的固土抗蚀能力减弱，水土流失量相应增加。</w:t>
            </w:r>
          </w:p>
          <w:p w14:paraId="44657D3D">
            <w:pPr>
              <w:pStyle w:val="62"/>
              <w:ind w:firstLine="440"/>
              <w:rPr>
                <w:bCs/>
                <w:spacing w:val="-10"/>
                <w:szCs w:val="21"/>
              </w:rPr>
            </w:pPr>
            <w:r>
              <w:rPr>
                <w:bCs/>
                <w:spacing w:val="-10"/>
                <w:szCs w:val="21"/>
              </w:rPr>
              <w:t>本次环评提出以下防沙治沙生态保护措施：</w:t>
            </w:r>
          </w:p>
          <w:p w14:paraId="36C86F2E">
            <w:pPr>
              <w:pStyle w:val="62"/>
              <w:ind w:firstLine="440"/>
              <w:rPr>
                <w:bCs/>
                <w:spacing w:val="-10"/>
                <w:szCs w:val="21"/>
              </w:rPr>
            </w:pPr>
            <w:r>
              <w:rPr>
                <w:rFonts w:ascii="Cambria Math" w:hAnsi="Cambria Math" w:cs="Cambria Math"/>
                <w:bCs/>
                <w:spacing w:val="-10"/>
                <w:szCs w:val="21"/>
              </w:rPr>
              <w:t>①</w:t>
            </w:r>
            <w:r>
              <w:rPr>
                <w:bCs/>
                <w:spacing w:val="-10"/>
                <w:szCs w:val="21"/>
              </w:rPr>
              <w:t>项目施工期应严格控制施工扰动范围。必须在划定的施工区域中进行，节约工程建设用地。施工结束后立即清除现场，然后实施绿化，恢复植被。</w:t>
            </w:r>
          </w:p>
          <w:p w14:paraId="77940702">
            <w:pPr>
              <w:pStyle w:val="62"/>
              <w:ind w:firstLine="440"/>
              <w:rPr>
                <w:bCs/>
                <w:spacing w:val="-10"/>
                <w:szCs w:val="21"/>
              </w:rPr>
            </w:pPr>
            <w:r>
              <w:rPr>
                <w:rFonts w:ascii="Cambria Math" w:hAnsi="Cambria Math" w:cs="Cambria Math"/>
                <w:bCs/>
                <w:spacing w:val="-10"/>
                <w:szCs w:val="21"/>
              </w:rPr>
              <w:t>②</w:t>
            </w:r>
            <w:r>
              <w:rPr>
                <w:bCs/>
                <w:spacing w:val="-10"/>
                <w:szCs w:val="21"/>
              </w:rPr>
              <w:t>项目运营期通过厂区绿化增加区域绿化率，有利于减少土壤风蚀。</w:t>
            </w:r>
          </w:p>
          <w:p w14:paraId="5F5694E4">
            <w:pPr>
              <w:pStyle w:val="62"/>
              <w:ind w:firstLine="440"/>
              <w:rPr>
                <w:bCs/>
                <w:spacing w:val="-10"/>
                <w:szCs w:val="21"/>
              </w:rPr>
            </w:pPr>
            <w:r>
              <w:rPr>
                <w:bCs/>
                <w:spacing w:val="-10"/>
                <w:szCs w:val="21"/>
              </w:rPr>
              <w:t>综上所述，项目建设将会对项目所在区域的大气环境、水环境、声环境产生一定程度的影响，但均属局部，短期不利影响，通过采取有效的预防和治理措施后，其影响程度将会大大降低，其影响范围也将减小，且随施工结束消失。</w:t>
            </w:r>
          </w:p>
        </w:tc>
      </w:tr>
      <w:tr w14:paraId="5D9376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23" w:hRule="atLeast"/>
          <w:jc w:val="center"/>
        </w:trPr>
        <w:tc>
          <w:tcPr>
            <w:tcW w:w="746" w:type="dxa"/>
            <w:tcMar>
              <w:left w:w="28" w:type="dxa"/>
              <w:right w:w="28" w:type="dxa"/>
            </w:tcMar>
            <w:vAlign w:val="center"/>
          </w:tcPr>
          <w:p w14:paraId="287B7502">
            <w:pPr>
              <w:adjustRightInd w:val="0"/>
              <w:snapToGrid w:val="0"/>
              <w:jc w:val="center"/>
              <w:rPr>
                <w:rFonts w:ascii="Times New Roman" w:hAnsi="Times New Roman" w:cs="Times New Roman"/>
                <w:bCs/>
                <w:szCs w:val="21"/>
              </w:rPr>
            </w:pPr>
            <w:r>
              <w:rPr>
                <w:rFonts w:ascii="Times New Roman" w:hAnsi="Times New Roman" w:cs="Times New Roman"/>
                <w:bCs/>
                <w:szCs w:val="21"/>
              </w:rPr>
              <w:t>运营</w:t>
            </w:r>
          </w:p>
          <w:p w14:paraId="2344A818">
            <w:pPr>
              <w:adjustRightInd w:val="0"/>
              <w:snapToGrid w:val="0"/>
              <w:jc w:val="center"/>
              <w:rPr>
                <w:rFonts w:ascii="Times New Roman" w:hAnsi="Times New Roman" w:cs="Times New Roman"/>
                <w:bCs/>
                <w:szCs w:val="21"/>
              </w:rPr>
            </w:pPr>
            <w:r>
              <w:rPr>
                <w:rFonts w:ascii="Times New Roman" w:hAnsi="Times New Roman" w:cs="Times New Roman"/>
                <w:bCs/>
                <w:szCs w:val="21"/>
              </w:rPr>
              <w:t>期环</w:t>
            </w:r>
          </w:p>
          <w:p w14:paraId="1BF15672">
            <w:pPr>
              <w:adjustRightInd w:val="0"/>
              <w:snapToGrid w:val="0"/>
              <w:jc w:val="center"/>
              <w:rPr>
                <w:rFonts w:ascii="Times New Roman" w:hAnsi="Times New Roman" w:cs="Times New Roman"/>
                <w:bCs/>
                <w:szCs w:val="21"/>
              </w:rPr>
            </w:pPr>
            <w:r>
              <w:rPr>
                <w:rFonts w:ascii="Times New Roman" w:hAnsi="Times New Roman" w:cs="Times New Roman"/>
                <w:bCs/>
                <w:szCs w:val="21"/>
              </w:rPr>
              <w:t>境影</w:t>
            </w:r>
          </w:p>
          <w:p w14:paraId="148E0FF6">
            <w:pPr>
              <w:adjustRightInd w:val="0"/>
              <w:snapToGrid w:val="0"/>
              <w:jc w:val="center"/>
              <w:rPr>
                <w:rFonts w:ascii="Times New Roman" w:hAnsi="Times New Roman" w:cs="Times New Roman"/>
                <w:bCs/>
                <w:szCs w:val="21"/>
              </w:rPr>
            </w:pPr>
            <w:r>
              <w:rPr>
                <w:rFonts w:ascii="Times New Roman" w:hAnsi="Times New Roman" w:cs="Times New Roman"/>
                <w:bCs/>
                <w:szCs w:val="21"/>
              </w:rPr>
              <w:t>响和</w:t>
            </w:r>
          </w:p>
          <w:p w14:paraId="2906FADA">
            <w:pPr>
              <w:adjustRightInd w:val="0"/>
              <w:snapToGrid w:val="0"/>
              <w:jc w:val="center"/>
              <w:rPr>
                <w:rFonts w:ascii="Times New Roman" w:hAnsi="Times New Roman" w:cs="Times New Roman"/>
                <w:bCs/>
                <w:szCs w:val="21"/>
              </w:rPr>
            </w:pPr>
            <w:r>
              <w:rPr>
                <w:rFonts w:ascii="Times New Roman" w:hAnsi="Times New Roman" w:cs="Times New Roman"/>
                <w:bCs/>
                <w:szCs w:val="21"/>
              </w:rPr>
              <w:t>保护</w:t>
            </w:r>
          </w:p>
          <w:p w14:paraId="0BD256AA">
            <w:pPr>
              <w:adjustRightInd w:val="0"/>
              <w:snapToGrid w:val="0"/>
              <w:jc w:val="center"/>
              <w:rPr>
                <w:rFonts w:ascii="Times New Roman" w:hAnsi="Times New Roman" w:cs="Times New Roman"/>
                <w:bCs/>
                <w:szCs w:val="21"/>
              </w:rPr>
            </w:pPr>
            <w:r>
              <w:rPr>
                <w:rFonts w:ascii="Times New Roman" w:hAnsi="Times New Roman" w:cs="Times New Roman"/>
                <w:bCs/>
                <w:szCs w:val="21"/>
              </w:rPr>
              <w:t>措施</w:t>
            </w:r>
          </w:p>
        </w:tc>
        <w:tc>
          <w:tcPr>
            <w:tcW w:w="8162" w:type="dxa"/>
            <w:vAlign w:val="center"/>
          </w:tcPr>
          <w:p w14:paraId="565C162D">
            <w:pPr>
              <w:adjustRightInd w:val="0"/>
              <w:snapToGrid w:val="0"/>
              <w:spacing w:line="360" w:lineRule="auto"/>
              <w:rPr>
                <w:rFonts w:ascii="Times New Roman" w:hAnsi="Times New Roman" w:cs="Times New Roman"/>
                <w:b/>
                <w:spacing w:val="-10"/>
              </w:rPr>
            </w:pPr>
            <w:r>
              <w:rPr>
                <w:rFonts w:ascii="Times New Roman" w:hAnsi="Times New Roman" w:cs="Times New Roman"/>
                <w:b/>
                <w:spacing w:val="-10"/>
              </w:rPr>
              <w:t>1、大气环境影响分析及保护措施</w:t>
            </w:r>
          </w:p>
          <w:p w14:paraId="4E793C3C">
            <w:pPr>
              <w:adjustRightInd w:val="0"/>
              <w:snapToGrid w:val="0"/>
              <w:spacing w:line="360" w:lineRule="auto"/>
              <w:rPr>
                <w:rFonts w:ascii="Times New Roman" w:hAnsi="Times New Roman" w:cs="Times New Roman"/>
                <w:b/>
                <w:bCs/>
                <w:spacing w:val="-10"/>
                <w:szCs w:val="21"/>
              </w:rPr>
            </w:pPr>
            <w:r>
              <w:rPr>
                <w:rFonts w:ascii="Times New Roman" w:hAnsi="Times New Roman" w:cs="Times New Roman"/>
                <w:b/>
                <w:bCs/>
                <w:spacing w:val="-10"/>
              </w:rPr>
              <w:t>1.1废气产污环节、污染物种类及产生源强</w:t>
            </w:r>
          </w:p>
          <w:p w14:paraId="7714B1EA">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项目运营期废气主要包括原料和产品储存过程、调和过程和装卸过程排放的挥发性有机物，设备动静密封点废气。</w:t>
            </w:r>
          </w:p>
          <w:p w14:paraId="7F6467EE">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（1）物料装卸废气源强</w:t>
            </w:r>
          </w:p>
          <w:p w14:paraId="49F41D02">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项目设装卸区1处，本项目设有17个鹤管（卸车鹤位12个、装车鹤位5个），采用</w:t>
            </w:r>
            <w:r>
              <w:rPr>
                <w:rFonts w:hint="eastAsia" w:ascii="Times New Roman" w:hAnsi="Times New Roman" w:cs="Times New Roman"/>
                <w:bCs/>
                <w:spacing w:val="-10"/>
              </w:rPr>
              <w:t>底部</w:t>
            </w:r>
            <w:r>
              <w:rPr>
                <w:rFonts w:ascii="Times New Roman" w:hAnsi="Times New Roman" w:cs="Times New Roman"/>
                <w:bCs/>
                <w:spacing w:val="-10"/>
              </w:rPr>
              <w:t>装载方式，装车和卸车过程中产生的挥发性有机物源强根据《石化行业VOCs污染源排查工作指南》中的公式法计算，</w:t>
            </w:r>
          </w:p>
          <w:p w14:paraId="35099FD5">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计算公式为：</w:t>
            </w:r>
          </w:p>
          <w:p w14:paraId="4D457A81">
            <w:pPr>
              <w:adjustRightInd w:val="0"/>
              <w:snapToGrid w:val="0"/>
              <w:spacing w:line="360" w:lineRule="auto"/>
              <w:ind w:firstLine="440" w:firstLineChars="200"/>
              <w:jc w:val="center"/>
              <w:rPr>
                <w:rFonts w:ascii="Times New Roman" w:hAnsi="Times New Roman" w:cs="Times New Roman"/>
                <w:bCs/>
                <w:spacing w:val="-10"/>
              </w:rPr>
            </w:pPr>
            <w:r>
              <w:rPr>
                <w:rFonts w:ascii="Times New Roman" w:hAnsi="Times New Roman" w:cs="Times New Roman"/>
                <w:bCs/>
                <w:spacing w:val="-10"/>
              </w:rPr>
              <w:drawing>
                <wp:inline distT="0" distB="0" distL="0" distR="0">
                  <wp:extent cx="1797050" cy="837565"/>
                  <wp:effectExtent l="0" t="0" r="0" b="635"/>
                  <wp:docPr id="78506658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066587" name="图片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810149" cy="843670"/>
                          </a:xfrm>
                          <a:prstGeom prst="rect">
                            <a:avLst/>
                          </a:prstGeom>
                          <a:noFill/>
                          <a:ln>
                            <a:noFill/>
                          </a:ln>
                        </pic:spPr>
                      </pic:pic>
                    </a:graphicData>
                  </a:graphic>
                </wp:inline>
              </w:drawing>
            </w:r>
          </w:p>
          <w:p w14:paraId="7D7995AE">
            <w:pPr>
              <w:adjustRightInd w:val="0"/>
              <w:snapToGrid w:val="0"/>
              <w:spacing w:line="360" w:lineRule="auto"/>
              <w:ind w:firstLine="440" w:firstLineChars="200"/>
              <w:rPr>
                <w:rFonts w:ascii="Times New Roman" w:hAnsi="Times New Roman" w:cs="Times New Roman"/>
                <w:color w:val="000000"/>
                <w:szCs w:val="21"/>
              </w:rPr>
            </w:pPr>
            <w:r>
              <w:rPr>
                <w:rFonts w:ascii="Times New Roman" w:hAnsi="Times New Roman" w:cs="Times New Roman"/>
                <w:bCs/>
                <w:spacing w:val="-10"/>
              </w:rPr>
              <w:t>式中：L</w:t>
            </w:r>
            <w:r>
              <w:rPr>
                <w:rFonts w:ascii="Times New Roman" w:hAnsi="Times New Roman" w:cs="Times New Roman"/>
                <w:bCs/>
                <w:spacing w:val="-10"/>
                <w:vertAlign w:val="subscript"/>
              </w:rPr>
              <w:t>L</w:t>
            </w:r>
            <w:r>
              <w:rPr>
                <w:rFonts w:ascii="Times New Roman" w:hAnsi="Times New Roman" w:cs="Times New Roman"/>
                <w:color w:val="000000"/>
                <w:szCs w:val="21"/>
              </w:rPr>
              <w:t>——装载损耗排放因子，kg/m</w:t>
            </w:r>
            <w:r>
              <w:rPr>
                <w:rFonts w:ascii="Times New Roman" w:hAnsi="Times New Roman" w:cs="Times New Roman"/>
                <w:color w:val="000000"/>
                <w:szCs w:val="21"/>
                <w:vertAlign w:val="superscript"/>
              </w:rPr>
              <w:t>3</w:t>
            </w:r>
            <w:r>
              <w:rPr>
                <w:rFonts w:ascii="Times New Roman" w:hAnsi="Times New Roman" w:cs="Times New Roman"/>
                <w:color w:val="000000"/>
                <w:szCs w:val="21"/>
              </w:rPr>
              <w:t>；</w:t>
            </w:r>
          </w:p>
          <w:p w14:paraId="3C7026DA">
            <w:pPr>
              <w:adjustRightInd w:val="0"/>
              <w:snapToGrid w:val="0"/>
              <w:spacing w:line="360" w:lineRule="auto"/>
              <w:ind w:firstLine="440" w:firstLineChars="200"/>
              <w:rPr>
                <w:rFonts w:ascii="Times New Roman" w:hAnsi="Times New Roman" w:cs="Times New Roman"/>
                <w:color w:val="000000"/>
                <w:szCs w:val="21"/>
              </w:rPr>
            </w:pPr>
            <w:r>
              <w:rPr>
                <w:rFonts w:ascii="Times New Roman" w:hAnsi="Times New Roman" w:cs="Times New Roman"/>
                <w:bCs/>
                <w:spacing w:val="-10"/>
              </w:rPr>
              <w:t>η</w:t>
            </w:r>
            <w:r>
              <w:rPr>
                <w:rFonts w:ascii="Times New Roman" w:hAnsi="Times New Roman" w:cs="Times New Roman"/>
                <w:bCs/>
                <w:spacing w:val="-10"/>
                <w:vertAlign w:val="subscript"/>
              </w:rPr>
              <w:t>总</w:t>
            </w:r>
            <w:r>
              <w:rPr>
                <w:rFonts w:ascii="Times New Roman" w:hAnsi="Times New Roman" w:cs="Times New Roman"/>
                <w:color w:val="000000"/>
                <w:szCs w:val="21"/>
              </w:rPr>
              <w:t>——总控制效率，%；</w:t>
            </w:r>
          </w:p>
          <w:p w14:paraId="358F4FBD">
            <w:pPr>
              <w:adjustRightInd w:val="0"/>
              <w:snapToGrid w:val="0"/>
              <w:spacing w:line="360" w:lineRule="auto"/>
              <w:ind w:firstLine="440" w:firstLineChars="200"/>
              <w:rPr>
                <w:rFonts w:ascii="Times New Roman" w:hAnsi="Times New Roman" w:cs="Times New Roman"/>
                <w:color w:val="000000"/>
                <w:szCs w:val="21"/>
              </w:rPr>
            </w:pPr>
            <w:r>
              <w:rPr>
                <w:rFonts w:ascii="Times New Roman" w:hAnsi="Times New Roman" w:cs="Times New Roman"/>
                <w:bCs/>
                <w:spacing w:val="-10"/>
              </w:rPr>
              <w:t>η</w:t>
            </w:r>
            <w:r>
              <w:rPr>
                <w:rFonts w:ascii="Times New Roman" w:hAnsi="Times New Roman" w:cs="Times New Roman"/>
                <w:bCs/>
                <w:spacing w:val="-10"/>
                <w:vertAlign w:val="subscript"/>
              </w:rPr>
              <w:t>收集</w:t>
            </w:r>
            <w:r>
              <w:rPr>
                <w:rFonts w:ascii="Times New Roman" w:hAnsi="Times New Roman" w:cs="Times New Roman"/>
                <w:color w:val="000000"/>
                <w:szCs w:val="21"/>
              </w:rPr>
              <w:t>——收集效率，%；</w:t>
            </w:r>
          </w:p>
          <w:p w14:paraId="55F2D7A1">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η</w:t>
            </w:r>
            <w:r>
              <w:rPr>
                <w:rFonts w:ascii="Times New Roman" w:hAnsi="Times New Roman" w:cs="Times New Roman"/>
                <w:bCs/>
                <w:spacing w:val="-10"/>
                <w:vertAlign w:val="subscript"/>
              </w:rPr>
              <w:t>去除</w:t>
            </w:r>
            <w:r>
              <w:rPr>
                <w:rFonts w:ascii="Times New Roman" w:hAnsi="Times New Roman" w:cs="Times New Roman"/>
                <w:color w:val="000000"/>
                <w:szCs w:val="21"/>
              </w:rPr>
              <w:t>——去除效率，%；</w:t>
            </w:r>
          </w:p>
          <w:p w14:paraId="604730C0">
            <w:pPr>
              <w:adjustRightInd w:val="0"/>
              <w:snapToGrid w:val="0"/>
              <w:spacing w:line="360" w:lineRule="auto"/>
              <w:ind w:firstLine="440" w:firstLineChars="200"/>
              <w:rPr>
                <w:rFonts w:ascii="Times New Roman" w:hAnsi="Times New Roman" w:cs="Times New Roman"/>
                <w:color w:val="000000"/>
                <w:szCs w:val="21"/>
              </w:rPr>
            </w:pPr>
            <w:r>
              <w:rPr>
                <w:rFonts w:ascii="Times New Roman" w:hAnsi="Times New Roman" w:cs="Times New Roman"/>
                <w:bCs/>
                <w:spacing w:val="-10"/>
              </w:rPr>
              <w:t>η</w:t>
            </w:r>
            <w:r>
              <w:rPr>
                <w:rFonts w:ascii="Times New Roman" w:hAnsi="Times New Roman" w:cs="Times New Roman"/>
                <w:bCs/>
                <w:spacing w:val="-10"/>
                <w:vertAlign w:val="subscript"/>
              </w:rPr>
              <w:t>投用</w:t>
            </w:r>
            <w:r>
              <w:rPr>
                <w:rFonts w:ascii="Times New Roman" w:hAnsi="Times New Roman" w:cs="Times New Roman"/>
                <w:color w:val="000000"/>
                <w:szCs w:val="21"/>
              </w:rPr>
              <w:t>——投用效率，%；</w:t>
            </w:r>
          </w:p>
          <w:p w14:paraId="262619DB">
            <w:pPr>
              <w:adjustRightInd w:val="0"/>
              <w:snapToGrid w:val="0"/>
              <w:spacing w:line="360" w:lineRule="auto"/>
              <w:ind w:firstLine="480" w:firstLineChars="200"/>
              <w:rPr>
                <w:rFonts w:ascii="Times New Roman" w:hAnsi="Times New Roman" w:cs="Times New Roman"/>
                <w:bCs/>
                <w:spacing w:val="-10"/>
              </w:rPr>
            </w:pPr>
            <w:r>
              <w:rPr>
                <w:rFonts w:ascii="Times New Roman" w:hAnsi="Times New Roman" w:cs="Times New Roman"/>
                <w:color w:val="000000"/>
                <w:szCs w:val="21"/>
              </w:rPr>
              <w:t>V——物料年周转量，m</w:t>
            </w:r>
            <w:r>
              <w:rPr>
                <w:rFonts w:ascii="Times New Roman" w:hAnsi="Times New Roman" w:cs="Times New Roman"/>
                <w:color w:val="000000"/>
                <w:szCs w:val="21"/>
                <w:vertAlign w:val="superscript"/>
              </w:rPr>
              <w:t>3</w:t>
            </w:r>
            <w:r>
              <w:rPr>
                <w:rFonts w:ascii="Times New Roman" w:hAnsi="Times New Roman" w:cs="Times New Roman"/>
                <w:color w:val="000000"/>
                <w:szCs w:val="21"/>
              </w:rPr>
              <w:t>/年。</w:t>
            </w:r>
          </w:p>
          <w:p w14:paraId="1EBAB3D0">
            <w:pPr>
              <w:adjustRightInd w:val="0"/>
              <w:snapToGrid w:val="0"/>
              <w:spacing w:line="360" w:lineRule="auto"/>
              <w:ind w:firstLine="440" w:firstLineChars="200"/>
              <w:jc w:val="center"/>
              <w:rPr>
                <w:rFonts w:ascii="Times New Roman" w:hAnsi="Times New Roman" w:cs="Times New Roman"/>
                <w:bCs/>
                <w:spacing w:val="-10"/>
              </w:rPr>
            </w:pPr>
            <w:r>
              <w:rPr>
                <w:rFonts w:ascii="Times New Roman" w:hAnsi="Times New Roman" w:cs="Times New Roman"/>
                <w:bCs/>
                <w:spacing w:val="-10"/>
              </w:rPr>
              <w:drawing>
                <wp:inline distT="0" distB="0" distL="0" distR="0">
                  <wp:extent cx="1479550" cy="336550"/>
                  <wp:effectExtent l="0" t="0" r="6350" b="6350"/>
                  <wp:docPr id="195579979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799798" name="图片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479550" cy="336550"/>
                          </a:xfrm>
                          <a:prstGeom prst="rect">
                            <a:avLst/>
                          </a:prstGeom>
                          <a:noFill/>
                          <a:ln>
                            <a:noFill/>
                          </a:ln>
                        </pic:spPr>
                      </pic:pic>
                    </a:graphicData>
                  </a:graphic>
                </wp:inline>
              </w:drawing>
            </w:r>
          </w:p>
          <w:p w14:paraId="7B90F073">
            <w:pPr>
              <w:adjustRightInd w:val="0"/>
              <w:snapToGrid w:val="0"/>
              <w:spacing w:line="360" w:lineRule="auto"/>
              <w:ind w:firstLine="440" w:firstLineChars="200"/>
              <w:rPr>
                <w:rFonts w:ascii="Times New Roman" w:hAnsi="Times New Roman" w:cs="Times New Roman"/>
                <w:color w:val="000000"/>
                <w:szCs w:val="21"/>
              </w:rPr>
            </w:pPr>
            <w:r>
              <w:rPr>
                <w:rFonts w:ascii="Times New Roman" w:hAnsi="Times New Roman" w:cs="Times New Roman"/>
                <w:bCs/>
                <w:spacing w:val="-10"/>
              </w:rPr>
              <w:t>式中：S</w:t>
            </w:r>
            <w:r>
              <w:rPr>
                <w:rFonts w:ascii="Times New Roman" w:hAnsi="Times New Roman" w:cs="Times New Roman"/>
                <w:color w:val="000000"/>
                <w:szCs w:val="21"/>
              </w:rPr>
              <w:t>——饱和因子，代表排出的挥发物料接近饱和的程度，根据附表三，本项目</w:t>
            </w:r>
            <w:r>
              <w:rPr>
                <w:rFonts w:hint="eastAsia" w:ascii="Times New Roman" w:hAnsi="Times New Roman" w:cs="Times New Roman"/>
                <w:color w:val="000000"/>
                <w:szCs w:val="21"/>
              </w:rPr>
              <w:t>采用底部装载选用新罐车，因此</w:t>
            </w:r>
            <w:r>
              <w:rPr>
                <w:rFonts w:ascii="Times New Roman" w:hAnsi="Times New Roman" w:cs="Times New Roman"/>
                <w:color w:val="000000"/>
                <w:szCs w:val="21"/>
              </w:rPr>
              <w:t>饱和因子取0.</w:t>
            </w:r>
            <w:r>
              <w:rPr>
                <w:rFonts w:hint="eastAsia" w:ascii="Times New Roman" w:hAnsi="Times New Roman" w:cs="Times New Roman"/>
                <w:color w:val="000000"/>
                <w:szCs w:val="21"/>
              </w:rPr>
              <w:t>5</w:t>
            </w:r>
            <w:r>
              <w:rPr>
                <w:rFonts w:ascii="Times New Roman" w:hAnsi="Times New Roman" w:cs="Times New Roman"/>
                <w:color w:val="000000"/>
                <w:szCs w:val="21"/>
              </w:rPr>
              <w:t>；</w:t>
            </w:r>
          </w:p>
          <w:p w14:paraId="02656D55">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C</w:t>
            </w:r>
            <w:r>
              <w:rPr>
                <w:rFonts w:ascii="Times New Roman" w:hAnsi="Times New Roman" w:cs="Times New Roman"/>
                <w:bCs/>
                <w:spacing w:val="-10"/>
                <w:vertAlign w:val="subscript"/>
              </w:rPr>
              <w:t>0</w:t>
            </w:r>
            <w:r>
              <w:rPr>
                <w:rFonts w:ascii="Times New Roman" w:hAnsi="Times New Roman" w:cs="Times New Roman"/>
                <w:color w:val="000000"/>
                <w:szCs w:val="21"/>
              </w:rPr>
              <w:t>——装载罐车气、液相处于平衡状态，将挥发物料看做理想气体下的物料密度，kg/m</w:t>
            </w:r>
            <w:r>
              <w:rPr>
                <w:rFonts w:ascii="Times New Roman" w:hAnsi="Times New Roman" w:cs="Times New Roman"/>
                <w:color w:val="000000"/>
                <w:szCs w:val="21"/>
                <w:vertAlign w:val="superscript"/>
              </w:rPr>
              <w:t>3</w:t>
            </w:r>
            <w:r>
              <w:rPr>
                <w:rFonts w:ascii="Times New Roman" w:hAnsi="Times New Roman" w:cs="Times New Roman"/>
                <w:color w:val="000000"/>
                <w:szCs w:val="21"/>
              </w:rPr>
              <w:t>。</w:t>
            </w:r>
          </w:p>
          <w:p w14:paraId="08200B9B">
            <w:pPr>
              <w:adjustRightInd w:val="0"/>
              <w:snapToGrid w:val="0"/>
              <w:spacing w:line="360" w:lineRule="auto"/>
              <w:ind w:firstLine="440" w:firstLineChars="200"/>
              <w:jc w:val="center"/>
              <w:rPr>
                <w:rFonts w:ascii="Times New Roman" w:hAnsi="Times New Roman" w:cs="Times New Roman"/>
                <w:bCs/>
                <w:spacing w:val="-10"/>
              </w:rPr>
            </w:pPr>
            <w:r>
              <w:rPr>
                <w:rFonts w:ascii="Times New Roman" w:hAnsi="Times New Roman" w:cs="Times New Roman"/>
                <w:bCs/>
                <w:spacing w:val="-10"/>
              </w:rPr>
              <w:drawing>
                <wp:inline distT="0" distB="0" distL="0" distR="0">
                  <wp:extent cx="2571750" cy="590550"/>
                  <wp:effectExtent l="0" t="0" r="0" b="0"/>
                  <wp:docPr id="4095132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513257" name="图片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571750" cy="590550"/>
                          </a:xfrm>
                          <a:prstGeom prst="rect">
                            <a:avLst/>
                          </a:prstGeom>
                          <a:noFill/>
                          <a:ln>
                            <a:noFill/>
                          </a:ln>
                        </pic:spPr>
                      </pic:pic>
                    </a:graphicData>
                  </a:graphic>
                </wp:inline>
              </w:drawing>
            </w:r>
          </w:p>
          <w:p w14:paraId="5069F5DA">
            <w:pPr>
              <w:adjustRightInd w:val="0"/>
              <w:snapToGrid w:val="0"/>
              <w:spacing w:line="360" w:lineRule="auto"/>
              <w:ind w:firstLine="440" w:firstLineChars="200"/>
              <w:rPr>
                <w:rFonts w:ascii="Times New Roman" w:hAnsi="Times New Roman" w:cs="Times New Roman"/>
                <w:color w:val="000000"/>
                <w:szCs w:val="21"/>
              </w:rPr>
            </w:pPr>
            <w:r>
              <w:rPr>
                <w:rFonts w:ascii="Times New Roman" w:hAnsi="Times New Roman" w:cs="Times New Roman"/>
                <w:bCs/>
                <w:spacing w:val="-10"/>
              </w:rPr>
              <w:t>式中：T</w:t>
            </w:r>
            <w:r>
              <w:rPr>
                <w:rFonts w:ascii="Times New Roman" w:hAnsi="Times New Roman" w:cs="Times New Roman"/>
                <w:color w:val="000000"/>
                <w:szCs w:val="21"/>
              </w:rPr>
              <w:t>——实际装载温度，℃；</w:t>
            </w:r>
          </w:p>
          <w:p w14:paraId="0C09940A">
            <w:pPr>
              <w:adjustRightInd w:val="0"/>
              <w:snapToGrid w:val="0"/>
              <w:spacing w:line="360" w:lineRule="auto"/>
              <w:ind w:firstLine="480" w:firstLineChars="200"/>
              <w:rPr>
                <w:rFonts w:ascii="Times New Roman" w:hAnsi="Times New Roman" w:cs="Times New Roman"/>
                <w:color w:val="000000"/>
                <w:szCs w:val="21"/>
              </w:rPr>
            </w:pPr>
            <w:r>
              <w:rPr>
                <w:rFonts w:ascii="Times New Roman" w:hAnsi="Times New Roman" w:cs="Times New Roman"/>
                <w:color w:val="000000"/>
                <w:szCs w:val="21"/>
              </w:rPr>
              <w:t>P</w:t>
            </w:r>
            <w:r>
              <w:rPr>
                <w:rFonts w:ascii="Times New Roman" w:hAnsi="Times New Roman" w:cs="Times New Roman"/>
                <w:color w:val="000000"/>
                <w:szCs w:val="21"/>
                <w:vertAlign w:val="subscript"/>
              </w:rPr>
              <w:t>T</w:t>
            </w:r>
            <w:r>
              <w:rPr>
                <w:rFonts w:ascii="Times New Roman" w:hAnsi="Times New Roman" w:cs="Times New Roman"/>
                <w:color w:val="000000"/>
                <w:szCs w:val="21"/>
              </w:rPr>
              <w:t>——温度T时装载物料的真实蒸气压，Pa；</w:t>
            </w:r>
          </w:p>
          <w:p w14:paraId="668104BE">
            <w:pPr>
              <w:adjustRightInd w:val="0"/>
              <w:snapToGrid w:val="0"/>
              <w:spacing w:line="360" w:lineRule="auto"/>
              <w:ind w:firstLine="480" w:firstLineChars="200"/>
              <w:rPr>
                <w:rFonts w:ascii="Times New Roman" w:hAnsi="Times New Roman" w:cs="Times New Roman"/>
                <w:color w:val="000000"/>
                <w:szCs w:val="21"/>
              </w:rPr>
            </w:pPr>
            <w:r>
              <w:rPr>
                <w:rFonts w:ascii="Times New Roman" w:hAnsi="Times New Roman" w:cs="Times New Roman"/>
                <w:color w:val="000000"/>
                <w:szCs w:val="21"/>
              </w:rPr>
              <w:t>M——油气的分子量，g/mol。</w:t>
            </w:r>
          </w:p>
          <w:p w14:paraId="7E9FE74E">
            <w:pPr>
              <w:adjustRightInd w:val="0"/>
              <w:snapToGrid w:val="0"/>
              <w:spacing w:line="360" w:lineRule="auto"/>
              <w:ind w:firstLine="480" w:firstLineChars="2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装卸区废气产生情况</w:t>
            </w:r>
            <w:r>
              <w:rPr>
                <w:rFonts w:ascii="Times New Roman" w:hAnsi="Times New Roman" w:cs="Times New Roman"/>
                <w:color w:val="000000" w:themeColor="text1"/>
                <w:szCs w:val="21"/>
                <w14:textFill>
                  <w14:solidFill>
                    <w14:schemeClr w14:val="tx1"/>
                  </w14:solidFill>
                </w14:textFill>
              </w:rPr>
              <w:t>详见表4-4。</w:t>
            </w:r>
          </w:p>
          <w:p w14:paraId="577985F5">
            <w:pPr>
              <w:adjustRightInd w:val="0"/>
              <w:snapToGrid w:val="0"/>
              <w:ind w:firstLine="442" w:firstLineChars="200"/>
              <w:jc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spacing w:val="-10"/>
                <w:szCs w:val="21"/>
              </w:rPr>
              <w:t>表4-4  装卸区废气产生量</w:t>
            </w:r>
          </w:p>
          <w:p w14:paraId="39F67358">
            <w:pPr>
              <w:adjustRightInd w:val="0"/>
              <w:snapToGrid w:val="0"/>
              <w:ind w:firstLine="440" w:firstLineChars="200"/>
              <w:rPr>
                <w:rFonts w:ascii="Times New Roman" w:hAnsi="Times New Roman" w:cs="Times New Roman"/>
                <w:bCs/>
                <w:spacing w:val="-10"/>
              </w:rPr>
            </w:pPr>
          </w:p>
          <w:tbl>
            <w:tblPr>
              <w:tblStyle w:val="17"/>
              <w:tblW w:w="7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3"/>
              <w:gridCol w:w="1323"/>
              <w:gridCol w:w="1323"/>
              <w:gridCol w:w="3969"/>
            </w:tblGrid>
            <w:tr w14:paraId="674BE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3" w:type="dxa"/>
                </w:tcPr>
                <w:p w14:paraId="7EDC6621">
                  <w:pPr>
                    <w:adjustRightInd w:val="0"/>
                    <w:snapToGrid w:val="0"/>
                    <w:rPr>
                      <w:rFonts w:ascii="Times New Roman" w:hAnsi="Times New Roman" w:cs="Times New Roman"/>
                      <w:bCs/>
                      <w:spacing w:val="-10"/>
                      <w:szCs w:val="21"/>
                    </w:rPr>
                  </w:pPr>
                  <w:r>
                    <w:rPr>
                      <w:rFonts w:hint="eastAsia" w:ascii="Times New Roman" w:hAnsi="Times New Roman" w:cs="Times New Roman"/>
                      <w:bCs/>
                      <w:spacing w:val="-10"/>
                      <w:szCs w:val="21"/>
                    </w:rPr>
                    <w:t>污染物</w:t>
                  </w:r>
                </w:p>
              </w:tc>
              <w:tc>
                <w:tcPr>
                  <w:tcW w:w="1323" w:type="dxa"/>
                </w:tcPr>
                <w:p w14:paraId="6846FB65">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物料名称</w:t>
                  </w:r>
                </w:p>
              </w:tc>
              <w:tc>
                <w:tcPr>
                  <w:tcW w:w="1323" w:type="dxa"/>
                </w:tcPr>
                <w:p w14:paraId="062731D4">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鹤位数</w:t>
                  </w:r>
                </w:p>
              </w:tc>
              <w:tc>
                <w:tcPr>
                  <w:tcW w:w="3969" w:type="dxa"/>
                </w:tcPr>
                <w:p w14:paraId="28AF4737">
                  <w:pPr>
                    <w:adjustRightInd w:val="0"/>
                    <w:snapToGrid w:val="0"/>
                    <w:rPr>
                      <w:rFonts w:ascii="Times New Roman" w:hAnsi="Times New Roman" w:cs="Times New Roman"/>
                      <w:b/>
                      <w:spacing w:val="-10"/>
                      <w:szCs w:val="21"/>
                    </w:rPr>
                  </w:pPr>
                  <w:r>
                    <w:rPr>
                      <w:rFonts w:ascii="Times New Roman" w:hAnsi="Times New Roman" w:cs="Times New Roman"/>
                      <w:bCs/>
                      <w:spacing w:val="-10"/>
                      <w:szCs w:val="21"/>
                    </w:rPr>
                    <w:t>产生量（t/a）</w:t>
                  </w:r>
                </w:p>
              </w:tc>
            </w:tr>
            <w:tr w14:paraId="1EBA7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3" w:type="dxa"/>
                  <w:vMerge w:val="restart"/>
                </w:tcPr>
                <w:p w14:paraId="6515A649">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VOCs</w:t>
                  </w:r>
                </w:p>
              </w:tc>
              <w:tc>
                <w:tcPr>
                  <w:tcW w:w="1323" w:type="dxa"/>
                </w:tcPr>
                <w:p w14:paraId="0A993BBA">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异辛烷</w:t>
                  </w:r>
                </w:p>
              </w:tc>
              <w:tc>
                <w:tcPr>
                  <w:tcW w:w="1323" w:type="dxa"/>
                </w:tcPr>
                <w:p w14:paraId="3395160E">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2</w:t>
                  </w:r>
                </w:p>
              </w:tc>
              <w:tc>
                <w:tcPr>
                  <w:tcW w:w="3969" w:type="dxa"/>
                </w:tcPr>
                <w:p w14:paraId="797BD57F">
                  <w:pPr>
                    <w:adjustRightInd w:val="0"/>
                    <w:snapToGrid w:val="0"/>
                    <w:rPr>
                      <w:rFonts w:ascii="Times New Roman" w:hAnsi="Times New Roman" w:cs="Times New Roman"/>
                      <w:bCs/>
                      <w:spacing w:val="-10"/>
                      <w:szCs w:val="21"/>
                    </w:rPr>
                  </w:pPr>
                  <w:r>
                    <w:rPr>
                      <w:rFonts w:ascii="Times New Roman" w:hAnsi="Times New Roman" w:cs="Times New Roman"/>
                    </w:rPr>
                    <w:t>1.259</w:t>
                  </w:r>
                </w:p>
              </w:tc>
            </w:tr>
            <w:tr w14:paraId="28B1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3" w:type="dxa"/>
                  <w:vMerge w:val="continue"/>
                </w:tcPr>
                <w:p w14:paraId="722B4BF8">
                  <w:pPr>
                    <w:adjustRightInd w:val="0"/>
                    <w:snapToGrid w:val="0"/>
                    <w:rPr>
                      <w:rFonts w:ascii="Times New Roman" w:hAnsi="Times New Roman" w:cs="Times New Roman"/>
                      <w:bCs/>
                      <w:spacing w:val="-10"/>
                      <w:szCs w:val="21"/>
                    </w:rPr>
                  </w:pPr>
                </w:p>
              </w:tc>
              <w:tc>
                <w:tcPr>
                  <w:tcW w:w="1323" w:type="dxa"/>
                </w:tcPr>
                <w:p w14:paraId="020E6E05">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MTBE</w:t>
                  </w:r>
                </w:p>
              </w:tc>
              <w:tc>
                <w:tcPr>
                  <w:tcW w:w="1323" w:type="dxa"/>
                </w:tcPr>
                <w:p w14:paraId="7E9F7248">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2</w:t>
                  </w:r>
                </w:p>
              </w:tc>
              <w:tc>
                <w:tcPr>
                  <w:tcW w:w="3969" w:type="dxa"/>
                </w:tcPr>
                <w:p w14:paraId="45F02467">
                  <w:pPr>
                    <w:adjustRightInd w:val="0"/>
                    <w:snapToGrid w:val="0"/>
                    <w:rPr>
                      <w:rFonts w:ascii="Times New Roman" w:hAnsi="Times New Roman" w:cs="Times New Roman"/>
                      <w:bCs/>
                      <w:spacing w:val="-10"/>
                      <w:szCs w:val="21"/>
                    </w:rPr>
                  </w:pPr>
                  <w:r>
                    <w:rPr>
                      <w:rFonts w:ascii="Times New Roman" w:hAnsi="Times New Roman" w:cs="Times New Roman"/>
                    </w:rPr>
                    <w:t>11.347</w:t>
                  </w:r>
                </w:p>
              </w:tc>
            </w:tr>
            <w:tr w14:paraId="61638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3" w:type="dxa"/>
                  <w:vMerge w:val="continue"/>
                </w:tcPr>
                <w:p w14:paraId="3598D291">
                  <w:pPr>
                    <w:adjustRightInd w:val="0"/>
                    <w:snapToGrid w:val="0"/>
                    <w:rPr>
                      <w:rFonts w:ascii="Times New Roman" w:hAnsi="Times New Roman" w:cs="Times New Roman"/>
                      <w:bCs/>
                      <w:spacing w:val="-10"/>
                      <w:szCs w:val="21"/>
                    </w:rPr>
                  </w:pPr>
                </w:p>
              </w:tc>
              <w:tc>
                <w:tcPr>
                  <w:tcW w:w="1323" w:type="dxa"/>
                </w:tcPr>
                <w:p w14:paraId="42D2CC88">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混合芳烃</w:t>
                  </w:r>
                </w:p>
              </w:tc>
              <w:tc>
                <w:tcPr>
                  <w:tcW w:w="1323" w:type="dxa"/>
                </w:tcPr>
                <w:p w14:paraId="2BFD5EAA">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2</w:t>
                  </w:r>
                </w:p>
              </w:tc>
              <w:tc>
                <w:tcPr>
                  <w:tcW w:w="3969" w:type="dxa"/>
                </w:tcPr>
                <w:p w14:paraId="322570C2">
                  <w:pPr>
                    <w:adjustRightInd w:val="0"/>
                    <w:snapToGrid w:val="0"/>
                    <w:rPr>
                      <w:rFonts w:ascii="Times New Roman" w:hAnsi="Times New Roman" w:cs="Times New Roman"/>
                      <w:bCs/>
                      <w:spacing w:val="-10"/>
                      <w:szCs w:val="21"/>
                    </w:rPr>
                  </w:pPr>
                  <w:r>
                    <w:rPr>
                      <w:rFonts w:ascii="Times New Roman" w:hAnsi="Times New Roman" w:cs="Times New Roman"/>
                    </w:rPr>
                    <w:t>0.5</w:t>
                  </w:r>
                  <w:r>
                    <w:rPr>
                      <w:rFonts w:hint="eastAsia" w:ascii="Times New Roman" w:hAnsi="Times New Roman" w:cs="Times New Roman"/>
                    </w:rPr>
                    <w:t>1</w:t>
                  </w:r>
                </w:p>
              </w:tc>
            </w:tr>
            <w:tr w14:paraId="61378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3" w:type="dxa"/>
                  <w:vMerge w:val="continue"/>
                </w:tcPr>
                <w:p w14:paraId="41B92BE8">
                  <w:pPr>
                    <w:adjustRightInd w:val="0"/>
                    <w:snapToGrid w:val="0"/>
                    <w:rPr>
                      <w:rFonts w:ascii="Times New Roman" w:hAnsi="Times New Roman" w:cs="Times New Roman"/>
                      <w:bCs/>
                      <w:spacing w:val="-10"/>
                      <w:szCs w:val="21"/>
                    </w:rPr>
                  </w:pPr>
                </w:p>
              </w:tc>
              <w:tc>
                <w:tcPr>
                  <w:tcW w:w="1323" w:type="dxa"/>
                </w:tcPr>
                <w:p w14:paraId="77D62BA9">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轻质燃料油</w:t>
                  </w:r>
                </w:p>
              </w:tc>
              <w:tc>
                <w:tcPr>
                  <w:tcW w:w="1323" w:type="dxa"/>
                </w:tcPr>
                <w:p w14:paraId="6E55DE10">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2</w:t>
                  </w:r>
                </w:p>
              </w:tc>
              <w:tc>
                <w:tcPr>
                  <w:tcW w:w="3969" w:type="dxa"/>
                </w:tcPr>
                <w:p w14:paraId="6F350CC3">
                  <w:pPr>
                    <w:adjustRightInd w:val="0"/>
                    <w:snapToGrid w:val="0"/>
                    <w:rPr>
                      <w:rFonts w:ascii="Times New Roman" w:hAnsi="Times New Roman" w:cs="Times New Roman"/>
                      <w:bCs/>
                      <w:spacing w:val="-10"/>
                      <w:szCs w:val="21"/>
                    </w:rPr>
                  </w:pPr>
                  <w:r>
                    <w:rPr>
                      <w:rFonts w:ascii="Times New Roman" w:hAnsi="Times New Roman" w:cs="Times New Roman"/>
                    </w:rPr>
                    <w:t>18.229</w:t>
                  </w:r>
                </w:p>
              </w:tc>
            </w:tr>
            <w:tr w14:paraId="2DAF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3" w:type="dxa"/>
                  <w:vMerge w:val="continue"/>
                </w:tcPr>
                <w:p w14:paraId="2A18F2DE">
                  <w:pPr>
                    <w:adjustRightInd w:val="0"/>
                    <w:snapToGrid w:val="0"/>
                    <w:rPr>
                      <w:rFonts w:ascii="Times New Roman" w:hAnsi="Times New Roman" w:cs="Times New Roman"/>
                      <w:bCs/>
                      <w:spacing w:val="-10"/>
                      <w:szCs w:val="21"/>
                    </w:rPr>
                  </w:pPr>
                </w:p>
              </w:tc>
              <w:tc>
                <w:tcPr>
                  <w:tcW w:w="1323" w:type="dxa"/>
                </w:tcPr>
                <w:p w14:paraId="1A2A0378">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煤基柴油</w:t>
                  </w:r>
                </w:p>
              </w:tc>
              <w:tc>
                <w:tcPr>
                  <w:tcW w:w="1323" w:type="dxa"/>
                </w:tcPr>
                <w:p w14:paraId="58D3DDBF">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2</w:t>
                  </w:r>
                </w:p>
              </w:tc>
              <w:tc>
                <w:tcPr>
                  <w:tcW w:w="3969" w:type="dxa"/>
                </w:tcPr>
                <w:p w14:paraId="52EEC958">
                  <w:pPr>
                    <w:adjustRightInd w:val="0"/>
                    <w:snapToGrid w:val="0"/>
                    <w:rPr>
                      <w:rFonts w:ascii="Times New Roman" w:hAnsi="Times New Roman" w:cs="Times New Roman"/>
                      <w:bCs/>
                      <w:spacing w:val="-10"/>
                      <w:szCs w:val="21"/>
                    </w:rPr>
                  </w:pPr>
                  <w:r>
                    <w:rPr>
                      <w:rFonts w:ascii="Times New Roman" w:hAnsi="Times New Roman" w:cs="Times New Roman"/>
                    </w:rPr>
                    <w:t>6.167</w:t>
                  </w:r>
                </w:p>
              </w:tc>
            </w:tr>
            <w:tr w14:paraId="0FC86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3" w:type="dxa"/>
                  <w:vMerge w:val="continue"/>
                </w:tcPr>
                <w:p w14:paraId="30172A07">
                  <w:pPr>
                    <w:adjustRightInd w:val="0"/>
                    <w:snapToGrid w:val="0"/>
                    <w:rPr>
                      <w:rFonts w:ascii="Times New Roman" w:hAnsi="Times New Roman" w:cs="Times New Roman"/>
                      <w:bCs/>
                      <w:spacing w:val="-10"/>
                      <w:szCs w:val="21"/>
                    </w:rPr>
                  </w:pPr>
                </w:p>
              </w:tc>
              <w:tc>
                <w:tcPr>
                  <w:tcW w:w="1323" w:type="dxa"/>
                </w:tcPr>
                <w:p w14:paraId="03B41A00">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汽油</w:t>
                  </w:r>
                </w:p>
              </w:tc>
              <w:tc>
                <w:tcPr>
                  <w:tcW w:w="1323" w:type="dxa"/>
                </w:tcPr>
                <w:p w14:paraId="2F56221B">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2</w:t>
                  </w:r>
                </w:p>
              </w:tc>
              <w:tc>
                <w:tcPr>
                  <w:tcW w:w="3969" w:type="dxa"/>
                </w:tcPr>
                <w:p w14:paraId="166730D1">
                  <w:pPr>
                    <w:adjustRightInd w:val="0"/>
                    <w:snapToGrid w:val="0"/>
                    <w:rPr>
                      <w:rFonts w:ascii="Times New Roman" w:hAnsi="Times New Roman" w:cs="Times New Roman"/>
                      <w:bCs/>
                      <w:spacing w:val="-10"/>
                      <w:szCs w:val="21"/>
                    </w:rPr>
                  </w:pPr>
                  <w:r>
                    <w:rPr>
                      <w:rFonts w:ascii="Times New Roman" w:hAnsi="Times New Roman" w:cs="Times New Roman"/>
                    </w:rPr>
                    <w:t>150.53</w:t>
                  </w:r>
                </w:p>
              </w:tc>
            </w:tr>
            <w:tr w14:paraId="66D08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3" w:type="dxa"/>
                  <w:vMerge w:val="continue"/>
                </w:tcPr>
                <w:p w14:paraId="17472DDC">
                  <w:pPr>
                    <w:adjustRightInd w:val="0"/>
                    <w:snapToGrid w:val="0"/>
                    <w:rPr>
                      <w:rFonts w:ascii="Times New Roman" w:hAnsi="Times New Roman" w:cs="Times New Roman"/>
                      <w:bCs/>
                      <w:spacing w:val="-10"/>
                      <w:szCs w:val="21"/>
                    </w:rPr>
                  </w:pPr>
                </w:p>
              </w:tc>
              <w:tc>
                <w:tcPr>
                  <w:tcW w:w="1323" w:type="dxa"/>
                </w:tcPr>
                <w:p w14:paraId="20B721B2">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柴油</w:t>
                  </w:r>
                </w:p>
              </w:tc>
              <w:tc>
                <w:tcPr>
                  <w:tcW w:w="1323" w:type="dxa"/>
                </w:tcPr>
                <w:p w14:paraId="2C947C29">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3</w:t>
                  </w:r>
                </w:p>
              </w:tc>
              <w:tc>
                <w:tcPr>
                  <w:tcW w:w="3969" w:type="dxa"/>
                </w:tcPr>
                <w:p w14:paraId="576C0A35">
                  <w:pPr>
                    <w:adjustRightInd w:val="0"/>
                    <w:snapToGrid w:val="0"/>
                    <w:rPr>
                      <w:rFonts w:ascii="Times New Roman" w:hAnsi="Times New Roman" w:cs="Times New Roman"/>
                      <w:bCs/>
                      <w:spacing w:val="-10"/>
                      <w:szCs w:val="21"/>
                    </w:rPr>
                  </w:pPr>
                  <w:r>
                    <w:rPr>
                      <w:rFonts w:ascii="Times New Roman" w:hAnsi="Times New Roman" w:cs="Times New Roman"/>
                    </w:rPr>
                    <w:t>11.267</w:t>
                  </w:r>
                </w:p>
              </w:tc>
            </w:tr>
            <w:tr w14:paraId="0433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3" w:type="dxa"/>
                  <w:vMerge w:val="continue"/>
                </w:tcPr>
                <w:p w14:paraId="67ECE13F">
                  <w:pPr>
                    <w:adjustRightInd w:val="0"/>
                    <w:snapToGrid w:val="0"/>
                    <w:rPr>
                      <w:rFonts w:ascii="Times New Roman" w:hAnsi="Times New Roman" w:cs="Times New Roman"/>
                      <w:bCs/>
                      <w:spacing w:val="-10"/>
                      <w:szCs w:val="21"/>
                    </w:rPr>
                  </w:pPr>
                </w:p>
              </w:tc>
              <w:tc>
                <w:tcPr>
                  <w:tcW w:w="1323" w:type="dxa"/>
                </w:tcPr>
                <w:p w14:paraId="058A1FDB">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轻质石脑油</w:t>
                  </w:r>
                </w:p>
              </w:tc>
              <w:tc>
                <w:tcPr>
                  <w:tcW w:w="1323" w:type="dxa"/>
                </w:tcPr>
                <w:p w14:paraId="1EF4D29A">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2</w:t>
                  </w:r>
                </w:p>
              </w:tc>
              <w:tc>
                <w:tcPr>
                  <w:tcW w:w="3969" w:type="dxa"/>
                </w:tcPr>
                <w:p w14:paraId="314020B5">
                  <w:pPr>
                    <w:adjustRightInd w:val="0"/>
                    <w:snapToGrid w:val="0"/>
                    <w:rPr>
                      <w:rFonts w:ascii="Times New Roman" w:hAnsi="Times New Roman" w:cs="Times New Roman"/>
                      <w:bCs/>
                      <w:spacing w:val="-10"/>
                      <w:szCs w:val="21"/>
                    </w:rPr>
                  </w:pPr>
                  <w:r>
                    <w:rPr>
                      <w:rFonts w:ascii="Times New Roman" w:hAnsi="Times New Roman" w:cs="Times New Roman"/>
                    </w:rPr>
                    <w:t>89.762</w:t>
                  </w:r>
                </w:p>
              </w:tc>
            </w:tr>
            <w:tr w14:paraId="775CB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3" w:type="dxa"/>
                  <w:vMerge w:val="continue"/>
                </w:tcPr>
                <w:p w14:paraId="49AF585E">
                  <w:pPr>
                    <w:adjustRightInd w:val="0"/>
                    <w:snapToGrid w:val="0"/>
                    <w:rPr>
                      <w:rFonts w:ascii="Times New Roman" w:hAnsi="Times New Roman" w:cs="Times New Roman"/>
                      <w:bCs/>
                      <w:spacing w:val="-10"/>
                      <w:szCs w:val="21"/>
                    </w:rPr>
                  </w:pPr>
                </w:p>
              </w:tc>
              <w:tc>
                <w:tcPr>
                  <w:tcW w:w="1323" w:type="dxa"/>
                </w:tcPr>
                <w:p w14:paraId="66DDDC12">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合计</w:t>
                  </w:r>
                </w:p>
              </w:tc>
              <w:tc>
                <w:tcPr>
                  <w:tcW w:w="5292" w:type="dxa"/>
                  <w:gridSpan w:val="2"/>
                </w:tcPr>
                <w:p w14:paraId="68509B25">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总VOCs产生量</w:t>
                  </w:r>
                  <w:r>
                    <w:rPr>
                      <w:rFonts w:hint="eastAsia" w:ascii="Times New Roman" w:hAnsi="Times New Roman" w:cs="Times New Roman"/>
                      <w:bCs/>
                      <w:spacing w:val="-10"/>
                      <w:szCs w:val="21"/>
                    </w:rPr>
                    <w:t>289.071</w:t>
                  </w:r>
                  <w:r>
                    <w:rPr>
                      <w:rFonts w:ascii="Times New Roman" w:hAnsi="Times New Roman" w:cs="Times New Roman"/>
                      <w:bCs/>
                      <w:spacing w:val="-10"/>
                      <w:szCs w:val="21"/>
                    </w:rPr>
                    <w:t>t/a，其中苯0.004t/a，甲苯0.34t/a，二甲苯0.13t/a。</w:t>
                  </w:r>
                </w:p>
              </w:tc>
            </w:tr>
            <w:tr w14:paraId="029ED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8" w:type="dxa"/>
                  <w:gridSpan w:val="4"/>
                </w:tcPr>
                <w:p w14:paraId="3AE19B4D">
                  <w:pPr>
                    <w:adjustRightInd w:val="0"/>
                    <w:snapToGrid w:val="0"/>
                    <w:rPr>
                      <w:rFonts w:ascii="Times New Roman" w:hAnsi="Times New Roman" w:cs="Times New Roman"/>
                      <w:color w:val="000000"/>
                      <w:szCs w:val="21"/>
                    </w:rPr>
                  </w:pPr>
                  <w:r>
                    <w:rPr>
                      <w:rFonts w:ascii="Times New Roman" w:hAnsi="Times New Roman" w:cs="Times New Roman"/>
                      <w:bCs/>
                      <w:spacing w:val="-10"/>
                      <w:szCs w:val="21"/>
                    </w:rPr>
                    <w:t>注：</w:t>
                  </w:r>
                  <w:r>
                    <w:rPr>
                      <w:rFonts w:ascii="Times New Roman" w:hAnsi="Times New Roman" w:cs="Times New Roman"/>
                      <w:color w:val="000000"/>
                      <w:szCs w:val="21"/>
                    </w:rPr>
                    <w:t>苯、甲苯、二甲苯的含量根据建设方提供的物料组分中成分占比进行计算，其中：</w:t>
                  </w:r>
                </w:p>
                <w:p w14:paraId="7C0FBBA6">
                  <w:pPr>
                    <w:adjustRightInd w:val="0"/>
                    <w:snapToGrid w:val="0"/>
                    <w:rPr>
                      <w:rFonts w:ascii="Times New Roman" w:hAnsi="Times New Roman" w:cs="Times New Roman"/>
                      <w:color w:val="000000"/>
                      <w:szCs w:val="21"/>
                    </w:rPr>
                  </w:pPr>
                  <w:r>
                    <w:rPr>
                      <w:rFonts w:ascii="Cambria Math" w:hAnsi="Cambria Math" w:cs="Cambria Math"/>
                      <w:color w:val="000000"/>
                      <w:szCs w:val="21"/>
                    </w:rPr>
                    <w:t>①</w:t>
                  </w:r>
                  <w:r>
                    <w:rPr>
                      <w:rFonts w:ascii="Times New Roman" w:hAnsi="Times New Roman" w:cs="Times New Roman"/>
                      <w:color w:val="000000"/>
                      <w:szCs w:val="21"/>
                    </w:rPr>
                    <w:t>混合芳烃中苯占比为0.79%、甲苯占比为66.79%、二甲苯占比为25.4%。</w:t>
                  </w:r>
                </w:p>
              </w:tc>
            </w:tr>
          </w:tbl>
          <w:p w14:paraId="4A9F486E">
            <w:pPr>
              <w:adjustRightInd w:val="0"/>
              <w:snapToGrid w:val="0"/>
              <w:rPr>
                <w:rFonts w:ascii="Times New Roman" w:hAnsi="Times New Roman" w:cs="Times New Roman"/>
                <w:bCs/>
                <w:spacing w:val="-10"/>
              </w:rPr>
            </w:pPr>
          </w:p>
          <w:p w14:paraId="4FA66F5E">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（2）物料储存调和废气源强</w:t>
            </w:r>
          </w:p>
          <w:p w14:paraId="274667C4">
            <w:pPr>
              <w:spacing w:line="360" w:lineRule="auto"/>
              <w:ind w:firstLine="480" w:firstLineChars="200"/>
              <w:rPr>
                <w:rFonts w:ascii="Times New Roman" w:hAnsi="Times New Roman" w:cs="Times New Roman"/>
                <w:color w:val="000000" w:themeColor="text1"/>
                <w14:textFill>
                  <w14:solidFill>
                    <w14:schemeClr w14:val="tx1"/>
                  </w14:solidFill>
                </w14:textFill>
              </w:rPr>
            </w:pPr>
            <w:bookmarkStart w:id="15" w:name="_Hlk178361138"/>
            <w:r>
              <w:rPr>
                <w:rFonts w:ascii="Times New Roman" w:hAnsi="Times New Roman" w:cs="Times New Roman"/>
                <w:color w:val="000000" w:themeColor="text1"/>
                <w14:textFill>
                  <w14:solidFill>
                    <w14:schemeClr w14:val="tx1"/>
                  </w14:solidFill>
                </w14:textFill>
              </w:rPr>
              <w:t>本项目储罐均为容积2000m</w:t>
            </w:r>
            <w:r>
              <w:rPr>
                <w:rFonts w:ascii="Times New Roman" w:hAnsi="Times New Roman" w:cs="Times New Roman"/>
                <w:color w:val="000000" w:themeColor="text1"/>
                <w:vertAlign w:val="superscript"/>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的内浮顶罐，罐区储存调和废气</w:t>
            </w:r>
            <w:bookmarkEnd w:id="15"/>
            <w:r>
              <w:rPr>
                <w:rFonts w:ascii="Times New Roman" w:hAnsi="Times New Roman" w:cs="Times New Roman"/>
                <w:color w:val="000000" w:themeColor="text1"/>
                <w14:textFill>
                  <w14:solidFill>
                    <w14:schemeClr w14:val="tx1"/>
                  </w14:solidFill>
                </w14:textFill>
              </w:rPr>
              <w:t>根据</w:t>
            </w:r>
            <w:r>
              <w:rPr>
                <w:rFonts w:ascii="Times New Roman" w:hAnsi="Times New Roman" w:cs="Times New Roman"/>
                <w:bCs/>
                <w:spacing w:val="-10"/>
              </w:rPr>
              <w:t>《</w:t>
            </w:r>
            <w:r>
              <w:rPr>
                <w:rFonts w:ascii="Times New Roman" w:hAnsi="Times New Roman" w:cs="Times New Roman"/>
                <w:bCs/>
              </w:rPr>
              <w:t>石化行业VOCs污染源排查工作指南</w:t>
            </w:r>
            <w:r>
              <w:rPr>
                <w:rFonts w:ascii="Times New Roman" w:hAnsi="Times New Roman" w:cs="Times New Roman"/>
                <w:bCs/>
                <w:spacing w:val="-10"/>
              </w:rPr>
              <w:t>》中的</w:t>
            </w:r>
            <w:r>
              <w:rPr>
                <w:rFonts w:ascii="Times New Roman" w:hAnsi="Times New Roman" w:cs="Times New Roman"/>
                <w:color w:val="000000" w:themeColor="text1"/>
                <w14:textFill>
                  <w14:solidFill>
                    <w14:schemeClr w14:val="tx1"/>
                  </w14:solidFill>
                </w14:textFill>
              </w:rPr>
              <w:t>“挥发性有机液体储罐排放的挥发性有机物年许可排放量”计算方法进行计算。</w:t>
            </w:r>
          </w:p>
          <w:p w14:paraId="530787CB">
            <w:pPr>
              <w:spacing w:line="360" w:lineRule="auto"/>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浮顶罐总损耗</w:t>
            </w:r>
          </w:p>
          <w:p w14:paraId="62F15C6C">
            <w:pPr>
              <w:spacing w:line="360" w:lineRule="auto"/>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浮顶罐的总损耗是边缘密封、出料、浮盘附件和浮盘缝隙损耗的总和。</w:t>
            </w:r>
          </w:p>
          <w:p w14:paraId="607387BB">
            <w:pPr>
              <w:spacing w:line="360" w:lineRule="auto"/>
              <w:ind w:firstLine="480" w:firstLineChars="200"/>
              <w:jc w:val="center"/>
              <w:rPr>
                <w:rFonts w:ascii="Times New Roman" w:hAnsi="Times New Roman" w:cs="Times New Roman"/>
                <w:color w:val="000000" w:themeColor="text1"/>
                <w14:textFill>
                  <w14:solidFill>
                    <w14:schemeClr w14:val="tx1"/>
                  </w14:solidFill>
                </w14:textFill>
              </w:rPr>
            </w:pPr>
            <m:oMathPara>
              <m:oMath>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L</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T</m:t>
                    </m:r>
                    <m:ctrlPr>
                      <w:rPr>
                        <w:rFonts w:ascii="Cambria Math" w:hAnsi="Cambria Math" w:cs="Times New Roman"/>
                        <w:i/>
                        <w:color w:val="000000" w:themeColor="text1"/>
                        <w14:textFill>
                          <w14:solidFill>
                            <w14:schemeClr w14:val="tx1"/>
                          </w14:solidFill>
                        </w14:textFill>
                      </w:rPr>
                    </m:ctrlPr>
                  </m:sub>
                </m:sSub>
                <m:r>
                  <m:rPr/>
                  <w:rPr>
                    <w:rFonts w:ascii="Cambria Math" w:hAnsi="Cambria Math" w:cs="Times New Roman"/>
                    <w:color w:val="000000" w:themeColor="text1"/>
                    <w14:textFill>
                      <w14:solidFill>
                        <w14:schemeClr w14:val="tx1"/>
                      </w14:solidFill>
                    </w14:textFill>
                  </w:rPr>
                  <m:t>=</m:t>
                </m:r>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L</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R</m:t>
                    </m:r>
                    <m:ctrlPr>
                      <w:rPr>
                        <w:rFonts w:ascii="Cambria Math" w:hAnsi="Cambria Math" w:cs="Times New Roman"/>
                        <w:i/>
                        <w:color w:val="000000" w:themeColor="text1"/>
                        <w14:textFill>
                          <w14:solidFill>
                            <w14:schemeClr w14:val="tx1"/>
                          </w14:solidFill>
                        </w14:textFill>
                      </w:rPr>
                    </m:ctrlPr>
                  </m:sub>
                </m:sSub>
                <m:r>
                  <m:rPr/>
                  <w:rPr>
                    <w:rFonts w:ascii="Cambria Math" w:hAnsi="Cambria Math" w:cs="Times New Roman"/>
                    <w:color w:val="000000" w:themeColor="text1"/>
                    <w14:textFill>
                      <w14:solidFill>
                        <w14:schemeClr w14:val="tx1"/>
                      </w14:solidFill>
                    </w14:textFill>
                  </w:rPr>
                  <m:t>+</m:t>
                </m:r>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L</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WD</m:t>
                    </m:r>
                    <m:ctrlPr>
                      <w:rPr>
                        <w:rFonts w:ascii="Cambria Math" w:hAnsi="Cambria Math" w:cs="Times New Roman"/>
                        <w:i/>
                        <w:color w:val="000000" w:themeColor="text1"/>
                        <w14:textFill>
                          <w14:solidFill>
                            <w14:schemeClr w14:val="tx1"/>
                          </w14:solidFill>
                        </w14:textFill>
                      </w:rPr>
                    </m:ctrlPr>
                  </m:sub>
                </m:sSub>
                <m:r>
                  <m:rPr/>
                  <w:rPr>
                    <w:rFonts w:ascii="Cambria Math" w:hAnsi="Cambria Math" w:cs="Times New Roman"/>
                    <w:color w:val="000000" w:themeColor="text1"/>
                    <w14:textFill>
                      <w14:solidFill>
                        <w14:schemeClr w14:val="tx1"/>
                      </w14:solidFill>
                    </w14:textFill>
                  </w:rPr>
                  <m:t>+</m:t>
                </m:r>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L</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F</m:t>
                    </m:r>
                    <m:ctrlPr>
                      <w:rPr>
                        <w:rFonts w:ascii="Cambria Math" w:hAnsi="Cambria Math" w:cs="Times New Roman"/>
                        <w:i/>
                        <w:color w:val="000000" w:themeColor="text1"/>
                        <w14:textFill>
                          <w14:solidFill>
                            <w14:schemeClr w14:val="tx1"/>
                          </w14:solidFill>
                        </w14:textFill>
                      </w:rPr>
                    </m:ctrlPr>
                  </m:sub>
                </m:sSub>
                <m:r>
                  <m:rPr/>
                  <w:rPr>
                    <w:rFonts w:ascii="Cambria Math" w:hAnsi="Cambria Math" w:cs="Times New Roman"/>
                    <w:color w:val="000000" w:themeColor="text1"/>
                    <w14:textFill>
                      <w14:solidFill>
                        <w14:schemeClr w14:val="tx1"/>
                      </w14:solidFill>
                    </w14:textFill>
                  </w:rPr>
                  <m:t>+</m:t>
                </m:r>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L</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D</m:t>
                    </m:r>
                    <m:ctrlPr>
                      <w:rPr>
                        <w:rFonts w:ascii="Cambria Math" w:hAnsi="Cambria Math" w:cs="Times New Roman"/>
                        <w:i/>
                        <w:color w:val="000000" w:themeColor="text1"/>
                        <w14:textFill>
                          <w14:solidFill>
                            <w14:schemeClr w14:val="tx1"/>
                          </w14:solidFill>
                        </w14:textFill>
                      </w:rPr>
                    </m:ctrlPr>
                  </m:sub>
                </m:sSub>
              </m:oMath>
            </m:oMathPara>
          </w:p>
          <w:p w14:paraId="4B2AEB5F">
            <w:pPr>
              <w:spacing w:line="360" w:lineRule="auto"/>
              <w:ind w:firstLine="547" w:firstLineChars="228"/>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式中：L</w:t>
            </w:r>
            <w:r>
              <w:rPr>
                <w:rFonts w:ascii="Times New Roman" w:hAnsi="Times New Roman" w:cs="Times New Roman"/>
                <w:color w:val="000000" w:themeColor="text1"/>
                <w:szCs w:val="21"/>
                <w:vertAlign w:val="subscript"/>
                <w14:textFill>
                  <w14:solidFill>
                    <w14:schemeClr w14:val="tx1"/>
                  </w14:solidFill>
                </w14:textFill>
              </w:rPr>
              <w:t>T</w:t>
            </w:r>
            <w:r>
              <w:rPr>
                <w:rFonts w:ascii="Times New Roman" w:hAnsi="Times New Roman" w:cs="Times New Roman"/>
                <w:color w:val="000000" w:themeColor="text1"/>
                <w:szCs w:val="21"/>
                <w14:textFill>
                  <w14:solidFill>
                    <w14:schemeClr w14:val="tx1"/>
                  </w14:solidFill>
                </w14:textFill>
              </w:rPr>
              <w:t>总损耗，lb/a；</w:t>
            </w:r>
          </w:p>
          <w:p w14:paraId="48947E91">
            <w:pPr>
              <w:spacing w:line="360" w:lineRule="auto"/>
              <w:ind w:firstLine="1200" w:firstLineChars="5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L</w:t>
            </w:r>
            <w:r>
              <w:rPr>
                <w:rFonts w:ascii="Times New Roman" w:hAnsi="Times New Roman" w:cs="Times New Roman"/>
                <w:color w:val="000000" w:themeColor="text1"/>
                <w:szCs w:val="21"/>
                <w:vertAlign w:val="subscript"/>
                <w14:textFill>
                  <w14:solidFill>
                    <w14:schemeClr w14:val="tx1"/>
                  </w14:solidFill>
                </w14:textFill>
              </w:rPr>
              <w:t>R</w:t>
            </w:r>
            <w:r>
              <w:rPr>
                <w:rFonts w:ascii="Times New Roman" w:hAnsi="Times New Roman" w:cs="Times New Roman"/>
                <w:color w:val="000000" w:themeColor="text1"/>
                <w:szCs w:val="21"/>
                <w14:textFill>
                  <w14:solidFill>
                    <w14:schemeClr w14:val="tx1"/>
                  </w14:solidFill>
                </w14:textFill>
              </w:rPr>
              <w:t>边缘密封损耗，lb/a；</w:t>
            </w:r>
          </w:p>
          <w:p w14:paraId="03C85F77">
            <w:pPr>
              <w:spacing w:line="360" w:lineRule="auto"/>
              <w:ind w:firstLine="1200" w:firstLineChars="5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L</w:t>
            </w:r>
            <w:r>
              <w:rPr>
                <w:rFonts w:ascii="Times New Roman" w:hAnsi="Times New Roman" w:cs="Times New Roman"/>
                <w:color w:val="000000" w:themeColor="text1"/>
                <w:szCs w:val="21"/>
                <w:vertAlign w:val="subscript"/>
                <w14:textFill>
                  <w14:solidFill>
                    <w14:schemeClr w14:val="tx1"/>
                  </w14:solidFill>
                </w14:textFill>
              </w:rPr>
              <w:t>WD</w:t>
            </w:r>
            <w:r>
              <w:rPr>
                <w:rFonts w:ascii="Times New Roman" w:hAnsi="Times New Roman" w:cs="Times New Roman"/>
                <w:color w:val="000000" w:themeColor="text1"/>
                <w:szCs w:val="21"/>
                <w14:textFill>
                  <w14:solidFill>
                    <w14:schemeClr w14:val="tx1"/>
                  </w14:solidFill>
                </w14:textFill>
              </w:rPr>
              <w:t>排放损耗，lb/a；</w:t>
            </w:r>
          </w:p>
          <w:p w14:paraId="39030317">
            <w:pPr>
              <w:spacing w:line="360" w:lineRule="auto"/>
              <w:ind w:firstLine="1200" w:firstLineChars="5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L</w:t>
            </w:r>
            <w:r>
              <w:rPr>
                <w:rFonts w:ascii="Times New Roman" w:hAnsi="Times New Roman" w:cs="Times New Roman"/>
                <w:color w:val="000000" w:themeColor="text1"/>
                <w:szCs w:val="21"/>
                <w:vertAlign w:val="subscript"/>
                <w14:textFill>
                  <w14:solidFill>
                    <w14:schemeClr w14:val="tx1"/>
                  </w14:solidFill>
                </w14:textFill>
              </w:rPr>
              <w:t>F</w:t>
            </w:r>
            <w:r>
              <w:rPr>
                <w:rFonts w:ascii="Times New Roman" w:hAnsi="Times New Roman" w:cs="Times New Roman"/>
                <w:color w:val="000000" w:themeColor="text1"/>
                <w:szCs w:val="21"/>
                <w14:textFill>
                  <w14:solidFill>
                    <w14:schemeClr w14:val="tx1"/>
                  </w14:solidFill>
                </w14:textFill>
              </w:rPr>
              <w:t>浮盘附件损耗，lb/a；</w:t>
            </w:r>
          </w:p>
          <w:p w14:paraId="439A5F4C">
            <w:pPr>
              <w:spacing w:line="360" w:lineRule="auto"/>
              <w:ind w:firstLine="1200" w:firstLineChars="5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L</w:t>
            </w:r>
            <w:r>
              <w:rPr>
                <w:rFonts w:ascii="Times New Roman" w:hAnsi="Times New Roman" w:cs="Times New Roman"/>
                <w:color w:val="000000" w:themeColor="text1"/>
                <w:szCs w:val="21"/>
                <w:vertAlign w:val="subscript"/>
                <w14:textFill>
                  <w14:solidFill>
                    <w14:schemeClr w14:val="tx1"/>
                  </w14:solidFill>
                </w14:textFill>
              </w:rPr>
              <w:t>D</w:t>
            </w:r>
            <w:r>
              <w:rPr>
                <w:rFonts w:ascii="Times New Roman" w:hAnsi="Times New Roman" w:cs="Times New Roman"/>
                <w:color w:val="000000" w:themeColor="text1"/>
                <w:szCs w:val="21"/>
                <w14:textFill>
                  <w14:solidFill>
                    <w14:schemeClr w14:val="tx1"/>
                  </w14:solidFill>
                </w14:textFill>
              </w:rPr>
              <w:t>浮盘缝隙损耗（只限螺栓连接式的浮盘或浮顶），lb/a，</w:t>
            </w:r>
          </w:p>
          <w:p w14:paraId="7B48D6D0">
            <w:pPr>
              <w:spacing w:line="360" w:lineRule="auto"/>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a、边缘密封损耗</w:t>
            </w:r>
            <w:r>
              <w:rPr>
                <w:rFonts w:ascii="Times New Roman" w:hAnsi="Times New Roman" w:cs="Times New Roman"/>
                <w:color w:val="000000" w:themeColor="text1"/>
                <w:szCs w:val="21"/>
                <w14:textFill>
                  <w14:solidFill>
                    <w14:schemeClr w14:val="tx1"/>
                  </w14:solidFill>
                </w14:textFill>
              </w:rPr>
              <w:t>L</w:t>
            </w:r>
            <w:r>
              <w:rPr>
                <w:rFonts w:ascii="Times New Roman" w:hAnsi="Times New Roman" w:cs="Times New Roman"/>
                <w:color w:val="000000" w:themeColor="text1"/>
                <w:szCs w:val="21"/>
                <w:vertAlign w:val="subscript"/>
                <w14:textFill>
                  <w14:solidFill>
                    <w14:schemeClr w14:val="tx1"/>
                  </w14:solidFill>
                </w14:textFill>
              </w:rPr>
              <w:t>R</w:t>
            </w:r>
          </w:p>
          <w:p w14:paraId="3A7BDD52">
            <w:pPr>
              <w:spacing w:line="360" w:lineRule="auto"/>
              <w:ind w:firstLine="480" w:firstLineChars="200"/>
              <w:rPr>
                <w:rFonts w:ascii="Times New Roman" w:hAnsi="Times New Roman" w:cs="Times New Roman"/>
                <w:color w:val="000000" w:themeColor="text1"/>
                <w14:textFill>
                  <w14:solidFill>
                    <w14:schemeClr w14:val="tx1"/>
                  </w14:solidFill>
                </w14:textFill>
              </w:rPr>
            </w:pPr>
            <m:oMathPara>
              <m:oMath>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L</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R</m:t>
                    </m:r>
                    <m:ctrlPr>
                      <w:rPr>
                        <w:rFonts w:ascii="Cambria Math" w:hAnsi="Cambria Math" w:cs="Times New Roman"/>
                        <w:i/>
                        <w:color w:val="000000" w:themeColor="text1"/>
                        <w14:textFill>
                          <w14:solidFill>
                            <w14:schemeClr w14:val="tx1"/>
                          </w14:solidFill>
                        </w14:textFill>
                      </w:rPr>
                    </m:ctrlPr>
                  </m:sub>
                </m:sSub>
                <m:r>
                  <m:rPr/>
                  <w:rPr>
                    <w:rFonts w:ascii="Cambria Math" w:hAnsi="Cambria Math" w:cs="Times New Roman"/>
                    <w:color w:val="000000" w:themeColor="text1"/>
                    <w14:textFill>
                      <w14:solidFill>
                        <w14:schemeClr w14:val="tx1"/>
                      </w14:solidFill>
                    </w14:textFill>
                  </w:rPr>
                  <m:t>=</m:t>
                </m:r>
                <m:d>
                  <m:dPr>
                    <m:ctrlPr>
                      <w:rPr>
                        <w:rFonts w:ascii="Cambria Math" w:hAnsi="Cambria Math" w:cs="Times New Roman"/>
                        <w:i/>
                        <w:color w:val="000000" w:themeColor="text1"/>
                        <w14:textFill>
                          <w14:solidFill>
                            <w14:schemeClr w14:val="tx1"/>
                          </w14:solidFill>
                        </w14:textFill>
                      </w:rPr>
                    </m:ctrlPr>
                  </m:dPr>
                  <m:e>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K</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Ra</m:t>
                        </m:r>
                        <m:ctrlPr>
                          <w:rPr>
                            <w:rFonts w:ascii="Cambria Math" w:hAnsi="Cambria Math" w:cs="Times New Roman"/>
                            <w:i/>
                            <w:color w:val="000000" w:themeColor="text1"/>
                            <w14:textFill>
                              <w14:solidFill>
                                <w14:schemeClr w14:val="tx1"/>
                              </w14:solidFill>
                            </w14:textFill>
                          </w:rPr>
                        </m:ctrlPr>
                      </m:sub>
                    </m:sSub>
                    <m:r>
                      <m:rPr/>
                      <w:rPr>
                        <w:rFonts w:ascii="Cambria Math" w:hAnsi="Cambria Math" w:cs="Times New Roman"/>
                        <w:color w:val="000000" w:themeColor="text1"/>
                        <w14:textFill>
                          <w14:solidFill>
                            <w14:schemeClr w14:val="tx1"/>
                          </w14:solidFill>
                        </w14:textFill>
                      </w:rPr>
                      <m:t>+</m:t>
                    </m:r>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K</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Rb</m:t>
                        </m:r>
                        <m:ctrlPr>
                          <w:rPr>
                            <w:rFonts w:ascii="Cambria Math" w:hAnsi="Cambria Math" w:cs="Times New Roman"/>
                            <w:i/>
                            <w:color w:val="000000" w:themeColor="text1"/>
                            <w14:textFill>
                              <w14:solidFill>
                                <w14:schemeClr w14:val="tx1"/>
                              </w14:solidFill>
                            </w14:textFill>
                          </w:rPr>
                        </m:ctrlPr>
                      </m:sub>
                    </m:sSub>
                    <m:sSup>
                      <m:sSupPr>
                        <m:ctrlPr>
                          <w:rPr>
                            <w:rFonts w:ascii="Cambria Math" w:hAnsi="Cambria Math" w:cs="Times New Roman"/>
                            <w:i/>
                            <w:color w:val="000000" w:themeColor="text1"/>
                            <w14:textFill>
                              <w14:solidFill>
                                <w14:schemeClr w14:val="tx1"/>
                              </w14:solidFill>
                            </w14:textFill>
                          </w:rPr>
                        </m:ctrlPr>
                      </m:sSupPr>
                      <m:e>
                        <m:r>
                          <m:rPr/>
                          <w:rPr>
                            <w:rFonts w:ascii="Cambria Math" w:hAnsi="Cambria Math" w:cs="Times New Roman"/>
                            <w:color w:val="000000" w:themeColor="text1"/>
                            <w14:textFill>
                              <w14:solidFill>
                                <w14:schemeClr w14:val="tx1"/>
                              </w14:solidFill>
                            </w14:textFill>
                          </w:rPr>
                          <m:t>v</m:t>
                        </m:r>
                        <m:ctrlPr>
                          <w:rPr>
                            <w:rFonts w:ascii="Cambria Math" w:hAnsi="Cambria Math" w:cs="Times New Roman"/>
                            <w:i/>
                            <w:color w:val="000000" w:themeColor="text1"/>
                            <w14:textFill>
                              <w14:solidFill>
                                <w14:schemeClr w14:val="tx1"/>
                              </w14:solidFill>
                            </w14:textFill>
                          </w:rPr>
                        </m:ctrlPr>
                      </m:e>
                      <m:sup>
                        <m:r>
                          <m:rPr/>
                          <w:rPr>
                            <w:rFonts w:ascii="Cambria Math" w:hAnsi="Cambria Math" w:cs="Times New Roman"/>
                            <w:color w:val="000000" w:themeColor="text1"/>
                            <w14:textFill>
                              <w14:solidFill>
                                <w14:schemeClr w14:val="tx1"/>
                              </w14:solidFill>
                            </w14:textFill>
                          </w:rPr>
                          <m:t>n</m:t>
                        </m:r>
                        <m:ctrlPr>
                          <w:rPr>
                            <w:rFonts w:ascii="Cambria Math" w:hAnsi="Cambria Math" w:cs="Times New Roman"/>
                            <w:i/>
                            <w:color w:val="000000" w:themeColor="text1"/>
                            <w14:textFill>
                              <w14:solidFill>
                                <w14:schemeClr w14:val="tx1"/>
                              </w14:solidFill>
                            </w14:textFill>
                          </w:rPr>
                        </m:ctrlPr>
                      </m:sup>
                    </m:sSup>
                    <m:ctrlPr>
                      <w:rPr>
                        <w:rFonts w:ascii="Cambria Math" w:hAnsi="Cambria Math" w:cs="Times New Roman"/>
                        <w:i/>
                        <w:color w:val="000000" w:themeColor="text1"/>
                        <w14:textFill>
                          <w14:solidFill>
                            <w14:schemeClr w14:val="tx1"/>
                          </w14:solidFill>
                        </w14:textFill>
                      </w:rPr>
                    </m:ctrlPr>
                  </m:e>
                </m:d>
                <m:r>
                  <m:rPr/>
                  <w:rPr>
                    <w:rFonts w:ascii="Cambria Math" w:hAnsi="Cambria Math" w:cs="Times New Roman"/>
                    <w:color w:val="000000" w:themeColor="text1"/>
                    <w14:textFill>
                      <w14:solidFill>
                        <w14:schemeClr w14:val="tx1"/>
                      </w14:solidFill>
                    </w14:textFill>
                  </w:rPr>
                  <m:t>D</m:t>
                </m:r>
                <m:sSup>
                  <m:sSupPr>
                    <m:ctrlPr>
                      <w:rPr>
                        <w:rFonts w:ascii="Cambria Math" w:hAnsi="Cambria Math" w:cs="Times New Roman"/>
                        <w:i/>
                        <w:color w:val="000000" w:themeColor="text1"/>
                        <w14:textFill>
                          <w14:solidFill>
                            <w14:schemeClr w14:val="tx1"/>
                          </w14:solidFill>
                        </w14:textFill>
                      </w:rPr>
                    </m:ctrlPr>
                  </m:sSupPr>
                  <m:e>
                    <m:r>
                      <m:rPr/>
                      <w:rPr>
                        <w:rFonts w:ascii="Cambria Math" w:hAnsi="Cambria Math" w:cs="Times New Roman"/>
                        <w:color w:val="000000" w:themeColor="text1"/>
                        <w14:textFill>
                          <w14:solidFill>
                            <w14:schemeClr w14:val="tx1"/>
                          </w14:solidFill>
                        </w14:textFill>
                      </w:rPr>
                      <m:t>P</m:t>
                    </m:r>
                    <m:ctrlPr>
                      <w:rPr>
                        <w:rFonts w:ascii="Cambria Math" w:hAnsi="Cambria Math" w:cs="Times New Roman"/>
                        <w:i/>
                        <w:color w:val="000000" w:themeColor="text1"/>
                        <w14:textFill>
                          <w14:solidFill>
                            <w14:schemeClr w14:val="tx1"/>
                          </w14:solidFill>
                        </w14:textFill>
                      </w:rPr>
                    </m:ctrlPr>
                  </m:e>
                  <m:sup>
                    <m:r>
                      <m:rPr/>
                      <w:rPr>
                        <w:rFonts w:ascii="Cambria Math" w:hAnsi="Cambria Math" w:cs="Times New Roman"/>
                        <w:color w:val="000000" w:themeColor="text1"/>
                        <w14:textFill>
                          <w14:solidFill>
                            <w14:schemeClr w14:val="tx1"/>
                          </w14:solidFill>
                        </w14:textFill>
                      </w:rPr>
                      <m:t>∗</m:t>
                    </m:r>
                    <m:ctrlPr>
                      <w:rPr>
                        <w:rFonts w:ascii="Cambria Math" w:hAnsi="Cambria Math" w:cs="Times New Roman"/>
                        <w:i/>
                        <w:color w:val="000000" w:themeColor="text1"/>
                        <w14:textFill>
                          <w14:solidFill>
                            <w14:schemeClr w14:val="tx1"/>
                          </w14:solidFill>
                        </w14:textFill>
                      </w:rPr>
                    </m:ctrlPr>
                  </m:sup>
                </m:sSup>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M</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V</m:t>
                    </m:r>
                    <m:ctrlPr>
                      <w:rPr>
                        <w:rFonts w:ascii="Cambria Math" w:hAnsi="Cambria Math" w:cs="Times New Roman"/>
                        <w:i/>
                        <w:color w:val="000000" w:themeColor="text1"/>
                        <w14:textFill>
                          <w14:solidFill>
                            <w14:schemeClr w14:val="tx1"/>
                          </w14:solidFill>
                        </w14:textFill>
                      </w:rPr>
                    </m:ctrlPr>
                  </m:sub>
                </m:sSub>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K</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C</m:t>
                    </m:r>
                    <m:ctrlPr>
                      <w:rPr>
                        <w:rFonts w:ascii="Cambria Math" w:hAnsi="Cambria Math" w:cs="Times New Roman"/>
                        <w:i/>
                        <w:color w:val="000000" w:themeColor="text1"/>
                        <w14:textFill>
                          <w14:solidFill>
                            <w14:schemeClr w14:val="tx1"/>
                          </w14:solidFill>
                        </w14:textFill>
                      </w:rPr>
                    </m:ctrlPr>
                  </m:sub>
                </m:sSub>
              </m:oMath>
            </m:oMathPara>
          </w:p>
          <w:p w14:paraId="3465F109">
            <w:pPr>
              <w:spacing w:line="360" w:lineRule="auto"/>
              <w:ind w:firstLine="547" w:firstLineChars="228"/>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式中：L</w:t>
            </w:r>
            <w:r>
              <w:rPr>
                <w:rFonts w:ascii="Times New Roman" w:hAnsi="Times New Roman" w:cs="Times New Roman"/>
                <w:color w:val="000000" w:themeColor="text1"/>
                <w:szCs w:val="21"/>
                <w:vertAlign w:val="subscript"/>
                <w14:textFill>
                  <w14:solidFill>
                    <w14:schemeClr w14:val="tx1"/>
                  </w14:solidFill>
                </w14:textFill>
              </w:rPr>
              <w:t>R</w:t>
            </w:r>
            <w:r>
              <w:rPr>
                <w:rFonts w:ascii="Times New Roman" w:hAnsi="Times New Roman" w:cs="Times New Roman"/>
                <w:color w:val="000000" w:themeColor="text1"/>
                <w:szCs w:val="21"/>
                <w14:textFill>
                  <w14:solidFill>
                    <w14:schemeClr w14:val="tx1"/>
                  </w14:solidFill>
                </w14:textFill>
              </w:rPr>
              <w:t>边缘密封损耗，lb/a；</w:t>
            </w:r>
          </w:p>
          <w:p w14:paraId="45DCA955">
            <w:pPr>
              <w:spacing w:line="360" w:lineRule="auto"/>
              <w:ind w:firstLine="1200" w:firstLineChars="5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K</w:t>
            </w:r>
            <w:r>
              <w:rPr>
                <w:rFonts w:ascii="Times New Roman" w:hAnsi="Times New Roman" w:cs="Times New Roman"/>
                <w:color w:val="000000" w:themeColor="text1"/>
                <w:szCs w:val="21"/>
                <w:vertAlign w:val="subscript"/>
                <w14:textFill>
                  <w14:solidFill>
                    <w14:schemeClr w14:val="tx1"/>
                  </w14:solidFill>
                </w14:textFill>
              </w:rPr>
              <w:t>Ra</w:t>
            </w:r>
            <w:r>
              <w:rPr>
                <w:rFonts w:ascii="Times New Roman" w:hAnsi="Times New Roman" w:cs="Times New Roman"/>
                <w:color w:val="000000" w:themeColor="text1"/>
                <w:szCs w:val="21"/>
                <w14:textFill>
                  <w14:solidFill>
                    <w14:schemeClr w14:val="tx1"/>
                  </w14:solidFill>
                </w14:textFill>
              </w:rPr>
              <w:t>零风速边缘密封损耗因子，lb-mol/ft·a；</w:t>
            </w:r>
          </w:p>
          <w:p w14:paraId="3D58EB29">
            <w:pPr>
              <w:spacing w:line="360" w:lineRule="auto"/>
              <w:ind w:firstLine="1200" w:firstLineChars="5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K</w:t>
            </w:r>
            <w:r>
              <w:rPr>
                <w:rFonts w:ascii="Times New Roman" w:hAnsi="Times New Roman" w:cs="Times New Roman"/>
                <w:color w:val="000000" w:themeColor="text1"/>
                <w:szCs w:val="21"/>
                <w:vertAlign w:val="subscript"/>
                <w14:textFill>
                  <w14:solidFill>
                    <w14:schemeClr w14:val="tx1"/>
                  </w14:solidFill>
                </w14:textFill>
              </w:rPr>
              <w:t>R</w:t>
            </w:r>
            <w:r>
              <w:rPr>
                <w:rFonts w:ascii="Times New Roman" w:hAnsi="Times New Roman" w:cs="Times New Roman"/>
                <w:color w:val="000000" w:themeColor="text1"/>
                <w:szCs w:val="21"/>
                <w14:textFill>
                  <w14:solidFill>
                    <w14:schemeClr w14:val="tx1"/>
                  </w14:solidFill>
                </w14:textFill>
              </w:rPr>
              <w:t>有风时边缘密封损耗因子，lb-mol/（mph）n·ft·a；</w:t>
            </w:r>
          </w:p>
          <w:p w14:paraId="17425019">
            <w:pPr>
              <w:spacing w:line="360" w:lineRule="auto"/>
              <w:ind w:firstLine="1200" w:firstLineChars="5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v    罐点平均环境风速，mph；</w:t>
            </w:r>
          </w:p>
          <w:p w14:paraId="66079E81">
            <w:pPr>
              <w:spacing w:line="360" w:lineRule="auto"/>
              <w:ind w:firstLine="1200" w:firstLineChars="5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n    密封相关风速指数，无量纲量；</w:t>
            </w:r>
          </w:p>
          <w:p w14:paraId="4D58A962">
            <w:pPr>
              <w:spacing w:line="360" w:lineRule="auto"/>
              <w:ind w:firstLine="1200" w:firstLineChars="5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P*    蒸汽压函数，无量纲量；</w:t>
            </w:r>
          </w:p>
          <w:p w14:paraId="5D66EB5E">
            <w:pPr>
              <w:spacing w:line="360" w:lineRule="auto"/>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b、挂壁损耗L</w:t>
            </w:r>
            <w:r>
              <w:rPr>
                <w:rFonts w:ascii="Times New Roman" w:hAnsi="Times New Roman" w:cs="Times New Roman"/>
                <w:color w:val="000000" w:themeColor="text1"/>
                <w:vertAlign w:val="subscript"/>
                <w14:textFill>
                  <w14:solidFill>
                    <w14:schemeClr w14:val="tx1"/>
                  </w14:solidFill>
                </w14:textFill>
              </w:rPr>
              <w:t>WD</w:t>
            </w:r>
          </w:p>
          <w:p w14:paraId="50605C06">
            <w:pPr>
              <w:spacing w:line="360" w:lineRule="auto"/>
              <w:ind w:firstLine="480" w:firstLineChars="200"/>
              <w:jc w:val="center"/>
              <w:rPr>
                <w:rFonts w:ascii="Times New Roman" w:hAnsi="Times New Roman" w:cs="Times New Roman"/>
                <w:color w:val="000000" w:themeColor="text1"/>
                <w14:textFill>
                  <w14:solidFill>
                    <w14:schemeClr w14:val="tx1"/>
                  </w14:solidFill>
                </w14:textFill>
              </w:rPr>
            </w:pPr>
            <m:oMathPara>
              <m:oMath>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L</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W</m:t>
                    </m:r>
                    <m:ctrlPr>
                      <w:rPr>
                        <w:rFonts w:ascii="Cambria Math" w:hAnsi="Cambria Math" w:cs="Times New Roman"/>
                        <w:i/>
                        <w:color w:val="000000" w:themeColor="text1"/>
                        <w14:textFill>
                          <w14:solidFill>
                            <w14:schemeClr w14:val="tx1"/>
                          </w14:solidFill>
                        </w14:textFill>
                      </w:rPr>
                    </m:ctrlPr>
                  </m:sub>
                </m:sSub>
                <m:r>
                  <m:rPr/>
                  <w:rPr>
                    <w:rFonts w:ascii="Cambria Math" w:hAnsi="Cambria Math" w:cs="Times New Roman"/>
                    <w:color w:val="000000" w:themeColor="text1"/>
                    <w14:textFill>
                      <w14:solidFill>
                        <w14:schemeClr w14:val="tx1"/>
                      </w14:solidFill>
                    </w14:textFill>
                  </w:rPr>
                  <m:t>=</m:t>
                </m:r>
                <m:f>
                  <m:fPr>
                    <m:ctrlPr>
                      <w:rPr>
                        <w:rFonts w:ascii="Cambria Math" w:hAnsi="Cambria Math" w:cs="Times New Roman"/>
                        <w:i/>
                        <w:color w:val="000000" w:themeColor="text1"/>
                        <w14:textFill>
                          <w14:solidFill>
                            <w14:schemeClr w14:val="tx1"/>
                          </w14:solidFill>
                        </w14:textFill>
                      </w:rPr>
                    </m:ctrlPr>
                  </m:fPr>
                  <m:num>
                    <m:r>
                      <m:rPr/>
                      <w:rPr>
                        <w:rFonts w:ascii="Cambria Math" w:hAnsi="Cambria Math" w:cs="Times New Roman"/>
                        <w:color w:val="000000" w:themeColor="text1"/>
                        <w14:textFill>
                          <w14:solidFill>
                            <w14:schemeClr w14:val="tx1"/>
                          </w14:solidFill>
                        </w14:textFill>
                      </w:rPr>
                      <m:t>0.943Q</m:t>
                    </m:r>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C</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S</m:t>
                        </m:r>
                        <m:ctrlPr>
                          <w:rPr>
                            <w:rFonts w:ascii="Cambria Math" w:hAnsi="Cambria Math" w:cs="Times New Roman"/>
                            <w:i/>
                            <w:color w:val="000000" w:themeColor="text1"/>
                            <w14:textFill>
                              <w14:solidFill>
                                <w14:schemeClr w14:val="tx1"/>
                              </w14:solidFill>
                            </w14:textFill>
                          </w:rPr>
                        </m:ctrlPr>
                      </m:sub>
                    </m:sSub>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W</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L</m:t>
                        </m:r>
                        <m:ctrlPr>
                          <w:rPr>
                            <w:rFonts w:ascii="Cambria Math" w:hAnsi="Cambria Math" w:cs="Times New Roman"/>
                            <w:i/>
                            <w:color w:val="000000" w:themeColor="text1"/>
                            <w14:textFill>
                              <w14:solidFill>
                                <w14:schemeClr w14:val="tx1"/>
                              </w14:solidFill>
                            </w14:textFill>
                          </w:rPr>
                        </m:ctrlPr>
                      </m:sub>
                    </m:sSub>
                    <m:ctrlPr>
                      <w:rPr>
                        <w:rFonts w:ascii="Cambria Math" w:hAnsi="Cambria Math" w:cs="Times New Roman"/>
                        <w:i/>
                        <w:color w:val="000000" w:themeColor="text1"/>
                        <w14:textFill>
                          <w14:solidFill>
                            <w14:schemeClr w14:val="tx1"/>
                          </w14:solidFill>
                        </w14:textFill>
                      </w:rPr>
                    </m:ctrlPr>
                  </m:num>
                  <m:den>
                    <m:r>
                      <m:rPr/>
                      <w:rPr>
                        <w:rFonts w:ascii="Cambria Math" w:hAnsi="Cambria Math" w:cs="Times New Roman"/>
                        <w:color w:val="000000" w:themeColor="text1"/>
                        <w14:textFill>
                          <w14:solidFill>
                            <w14:schemeClr w14:val="tx1"/>
                          </w14:solidFill>
                        </w14:textFill>
                      </w:rPr>
                      <m:t>D</m:t>
                    </m:r>
                    <m:ctrlPr>
                      <w:rPr>
                        <w:rFonts w:ascii="Cambria Math" w:hAnsi="Cambria Math" w:cs="Times New Roman"/>
                        <w:i/>
                        <w:color w:val="000000" w:themeColor="text1"/>
                        <w14:textFill>
                          <w14:solidFill>
                            <w14:schemeClr w14:val="tx1"/>
                          </w14:solidFill>
                        </w14:textFill>
                      </w:rPr>
                    </m:ctrlPr>
                  </m:den>
                </m:f>
                <m:d>
                  <m:dPr>
                    <m:ctrlPr>
                      <w:rPr>
                        <w:rFonts w:ascii="Cambria Math" w:hAnsi="Cambria Math" w:cs="Times New Roman"/>
                        <w:i/>
                        <w:color w:val="000000" w:themeColor="text1"/>
                        <w14:textFill>
                          <w14:solidFill>
                            <w14:schemeClr w14:val="tx1"/>
                          </w14:solidFill>
                        </w14:textFill>
                      </w:rPr>
                    </m:ctrlPr>
                  </m:dPr>
                  <m:e>
                    <m:r>
                      <m:rPr/>
                      <w:rPr>
                        <w:rFonts w:ascii="Cambria Math" w:hAnsi="Cambria Math" w:cs="Times New Roman"/>
                        <w:color w:val="000000" w:themeColor="text1"/>
                        <w14:textFill>
                          <w14:solidFill>
                            <w14:schemeClr w14:val="tx1"/>
                          </w14:solidFill>
                        </w14:textFill>
                      </w:rPr>
                      <m:t>1+</m:t>
                    </m:r>
                    <m:f>
                      <m:fPr>
                        <m:ctrlPr>
                          <w:rPr>
                            <w:rFonts w:ascii="Cambria Math" w:hAnsi="Cambria Math" w:cs="Times New Roman"/>
                            <w:i/>
                            <w:color w:val="000000" w:themeColor="text1"/>
                            <w14:textFill>
                              <w14:solidFill>
                                <w14:schemeClr w14:val="tx1"/>
                              </w14:solidFill>
                            </w14:textFill>
                          </w:rPr>
                        </m:ctrlPr>
                      </m:fPr>
                      <m:num>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N</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C</m:t>
                            </m:r>
                            <m:ctrlPr>
                              <w:rPr>
                                <w:rFonts w:ascii="Cambria Math" w:hAnsi="Cambria Math" w:cs="Times New Roman"/>
                                <w:i/>
                                <w:color w:val="000000" w:themeColor="text1"/>
                                <w14:textFill>
                                  <w14:solidFill>
                                    <w14:schemeClr w14:val="tx1"/>
                                  </w14:solidFill>
                                </w14:textFill>
                              </w:rPr>
                            </m:ctrlPr>
                          </m:sub>
                        </m:sSub>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F</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C</m:t>
                            </m:r>
                            <m:ctrlPr>
                              <w:rPr>
                                <w:rFonts w:ascii="Cambria Math" w:hAnsi="Cambria Math" w:cs="Times New Roman"/>
                                <w:i/>
                                <w:color w:val="000000" w:themeColor="text1"/>
                                <w14:textFill>
                                  <w14:solidFill>
                                    <w14:schemeClr w14:val="tx1"/>
                                  </w14:solidFill>
                                </w14:textFill>
                              </w:rPr>
                            </m:ctrlPr>
                          </m:sub>
                        </m:sSub>
                        <m:ctrlPr>
                          <w:rPr>
                            <w:rFonts w:ascii="Cambria Math" w:hAnsi="Cambria Math" w:cs="Times New Roman"/>
                            <w:i/>
                            <w:color w:val="000000" w:themeColor="text1"/>
                            <w14:textFill>
                              <w14:solidFill>
                                <w14:schemeClr w14:val="tx1"/>
                              </w14:solidFill>
                            </w14:textFill>
                          </w:rPr>
                        </m:ctrlPr>
                      </m:num>
                      <m:den>
                        <m:r>
                          <m:rPr/>
                          <w:rPr>
                            <w:rFonts w:ascii="Cambria Math" w:hAnsi="Cambria Math" w:cs="Times New Roman"/>
                            <w:color w:val="000000" w:themeColor="text1"/>
                            <w14:textFill>
                              <w14:solidFill>
                                <w14:schemeClr w14:val="tx1"/>
                              </w14:solidFill>
                            </w14:textFill>
                          </w:rPr>
                          <m:t>D</m:t>
                        </m:r>
                        <m:ctrlPr>
                          <w:rPr>
                            <w:rFonts w:ascii="Cambria Math" w:hAnsi="Cambria Math" w:cs="Times New Roman"/>
                            <w:i/>
                            <w:color w:val="000000" w:themeColor="text1"/>
                            <w14:textFill>
                              <w14:solidFill>
                                <w14:schemeClr w14:val="tx1"/>
                              </w14:solidFill>
                            </w14:textFill>
                          </w:rPr>
                        </m:ctrlPr>
                      </m:den>
                    </m:f>
                    <m:ctrlPr>
                      <w:rPr>
                        <w:rFonts w:ascii="Cambria Math" w:hAnsi="Cambria Math" w:cs="Times New Roman"/>
                        <w:i/>
                        <w:color w:val="000000" w:themeColor="text1"/>
                        <w14:textFill>
                          <w14:solidFill>
                            <w14:schemeClr w14:val="tx1"/>
                          </w14:solidFill>
                        </w14:textFill>
                      </w:rPr>
                    </m:ctrlPr>
                  </m:e>
                </m:d>
              </m:oMath>
            </m:oMathPara>
          </w:p>
          <w:p w14:paraId="1BB73B15">
            <w:pPr>
              <w:spacing w:line="360" w:lineRule="auto"/>
              <w:ind w:firstLine="547" w:firstLineChars="228"/>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式中： L</w:t>
            </w:r>
            <w:r>
              <w:rPr>
                <w:rFonts w:ascii="Times New Roman" w:hAnsi="Times New Roman" w:cs="Times New Roman"/>
                <w:color w:val="000000" w:themeColor="text1"/>
                <w:szCs w:val="21"/>
                <w:vertAlign w:val="subscript"/>
                <w14:textFill>
                  <w14:solidFill>
                    <w14:schemeClr w14:val="tx1"/>
                  </w14:solidFill>
                </w14:textFill>
              </w:rPr>
              <w:t>WD</w:t>
            </w:r>
            <w:r>
              <w:rPr>
                <w:rFonts w:ascii="Times New Roman" w:hAnsi="Times New Roman" w:cs="Times New Roman"/>
                <w:color w:val="000000" w:themeColor="text1"/>
                <w:szCs w:val="21"/>
                <w14:textFill>
                  <w14:solidFill>
                    <w14:schemeClr w14:val="tx1"/>
                  </w14:solidFill>
                </w14:textFill>
              </w:rPr>
              <w:t>挂壁损耗，lb/a；</w:t>
            </w:r>
          </w:p>
          <w:p w14:paraId="5F62537E">
            <w:pPr>
              <w:spacing w:line="360" w:lineRule="auto"/>
              <w:ind w:firstLine="1440" w:firstLineChars="6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Q      年周转量，bbl/a；</w:t>
            </w:r>
          </w:p>
          <w:p w14:paraId="5A29F1D2">
            <w:pPr>
              <w:spacing w:line="360" w:lineRule="auto"/>
              <w:ind w:firstLine="1440" w:firstLineChars="6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C</w:t>
            </w:r>
            <w:r>
              <w:rPr>
                <w:rFonts w:ascii="Times New Roman" w:hAnsi="Times New Roman" w:cs="Times New Roman"/>
                <w:color w:val="000000" w:themeColor="text1"/>
                <w:szCs w:val="21"/>
                <w:vertAlign w:val="subscript"/>
                <w14:textFill>
                  <w14:solidFill>
                    <w14:schemeClr w14:val="tx1"/>
                  </w14:solidFill>
                </w14:textFill>
              </w:rPr>
              <w:t>S</w:t>
            </w:r>
            <w:r>
              <w:rPr>
                <w:rFonts w:ascii="Times New Roman" w:hAnsi="Times New Roman" w:cs="Times New Roman"/>
                <w:color w:val="000000" w:themeColor="text1"/>
                <w:szCs w:val="21"/>
                <w14:textFill>
                  <w14:solidFill>
                    <w14:schemeClr w14:val="tx1"/>
                  </w14:solidFill>
                </w14:textFill>
              </w:rPr>
              <w:t>罐体油垢因子；</w:t>
            </w:r>
          </w:p>
          <w:p w14:paraId="162EF875">
            <w:pPr>
              <w:spacing w:line="360" w:lineRule="auto"/>
              <w:ind w:firstLine="1440" w:firstLineChars="6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W</w:t>
            </w:r>
            <w:r>
              <w:rPr>
                <w:rFonts w:ascii="Times New Roman" w:hAnsi="Times New Roman" w:cs="Times New Roman"/>
                <w:color w:val="000000" w:themeColor="text1"/>
                <w:szCs w:val="21"/>
                <w:vertAlign w:val="subscript"/>
                <w14:textFill>
                  <w14:solidFill>
                    <w14:schemeClr w14:val="tx1"/>
                  </w14:solidFill>
                </w14:textFill>
              </w:rPr>
              <w:t>L</w:t>
            </w:r>
            <w:r>
              <w:rPr>
                <w:rFonts w:ascii="Times New Roman" w:hAnsi="Times New Roman" w:cs="Times New Roman"/>
                <w:color w:val="000000" w:themeColor="text1"/>
                <w:szCs w:val="21"/>
                <w14:textFill>
                  <w14:solidFill>
                    <w14:schemeClr w14:val="tx1"/>
                  </w14:solidFill>
                </w14:textFill>
              </w:rPr>
              <w:t>有机液体密度，lb/gal；</w:t>
            </w:r>
          </w:p>
          <w:p w14:paraId="22FE5AF3">
            <w:pPr>
              <w:spacing w:line="360" w:lineRule="auto"/>
              <w:ind w:firstLine="1440" w:firstLineChars="6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D      罐体直径，ft</w:t>
            </w:r>
          </w:p>
          <w:p w14:paraId="12F3E9D5">
            <w:pPr>
              <w:spacing w:line="360" w:lineRule="auto"/>
              <w:ind w:firstLine="1440" w:firstLineChars="6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N</w:t>
            </w:r>
            <w:r>
              <w:rPr>
                <w:rFonts w:ascii="Times New Roman" w:hAnsi="Times New Roman" w:cs="Times New Roman"/>
                <w:color w:val="000000" w:themeColor="text1"/>
                <w:szCs w:val="21"/>
                <w:vertAlign w:val="subscript"/>
                <w14:textFill>
                  <w14:solidFill>
                    <w14:schemeClr w14:val="tx1"/>
                  </w14:solidFill>
                </w14:textFill>
              </w:rPr>
              <w:t>C</w:t>
            </w:r>
            <w:r>
              <w:rPr>
                <w:rFonts w:ascii="Times New Roman" w:hAnsi="Times New Roman" w:cs="Times New Roman"/>
                <w:color w:val="000000" w:themeColor="text1"/>
                <w:szCs w:val="21"/>
                <w14:textFill>
                  <w14:solidFill>
                    <w14:schemeClr w14:val="tx1"/>
                  </w14:solidFill>
                </w14:textFill>
              </w:rPr>
              <w:t>固定顶支撑柱数量，无量纲量；</w:t>
            </w:r>
          </w:p>
          <w:p w14:paraId="325E43C8">
            <w:pPr>
              <w:spacing w:line="360" w:lineRule="auto"/>
              <w:ind w:firstLine="1440" w:firstLineChars="6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F</w:t>
            </w:r>
            <w:r>
              <w:rPr>
                <w:rFonts w:ascii="Times New Roman" w:hAnsi="Times New Roman" w:cs="Times New Roman"/>
                <w:color w:val="000000" w:themeColor="text1"/>
                <w:szCs w:val="21"/>
                <w:vertAlign w:val="subscript"/>
                <w14:textFill>
                  <w14:solidFill>
                    <w14:schemeClr w14:val="tx1"/>
                  </w14:solidFill>
                </w14:textFill>
              </w:rPr>
              <w:t>C</w:t>
            </w:r>
            <w:r>
              <w:rPr>
                <w:rFonts w:ascii="Times New Roman" w:hAnsi="Times New Roman" w:cs="Times New Roman"/>
                <w:color w:val="000000" w:themeColor="text1"/>
                <w:szCs w:val="21"/>
                <w14:textFill>
                  <w14:solidFill>
                    <w14:schemeClr w14:val="tx1"/>
                  </w14:solidFill>
                </w14:textFill>
              </w:rPr>
              <w:t>有效柱直径，取值1.0</w:t>
            </w:r>
          </w:p>
          <w:p w14:paraId="655B1A5C">
            <w:pPr>
              <w:spacing w:line="360" w:lineRule="auto"/>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c、浮盘附件损耗L</w:t>
            </w:r>
            <w:r>
              <w:rPr>
                <w:rFonts w:ascii="Times New Roman" w:hAnsi="Times New Roman" w:cs="Times New Roman"/>
                <w:color w:val="000000" w:themeColor="text1"/>
                <w:vertAlign w:val="subscript"/>
                <w14:textFill>
                  <w14:solidFill>
                    <w14:schemeClr w14:val="tx1"/>
                  </w14:solidFill>
                </w14:textFill>
              </w:rPr>
              <w:t>F</w:t>
            </w:r>
          </w:p>
          <w:p w14:paraId="730F18EE">
            <w:pPr>
              <w:overflowPunct w:val="0"/>
              <w:spacing w:line="360" w:lineRule="auto"/>
              <w:ind w:firstLine="1200" w:firstLineChars="500"/>
              <w:jc w:val="center"/>
              <w:rPr>
                <w:rFonts w:ascii="Times New Roman" w:hAnsi="Times New Roman" w:cs="Times New Roman"/>
                <w:color w:val="000000" w:themeColor="text1"/>
                <w:szCs w:val="21"/>
                <w14:textFill>
                  <w14:solidFill>
                    <w14:schemeClr w14:val="tx1"/>
                  </w14:solidFill>
                </w14:textFill>
              </w:rPr>
            </w:pPr>
            <m:oMathPara>
              <m:oMath>
                <m:sSub>
                  <m:sSubPr>
                    <m:ctrlPr>
                      <w:rPr>
                        <w:rFonts w:ascii="Cambria Math" w:hAnsi="Cambria Math" w:cs="Times New Roman"/>
                        <w:i/>
                        <w:color w:val="000000" w:themeColor="text1"/>
                        <w:szCs w:val="21"/>
                        <w14:textFill>
                          <w14:solidFill>
                            <w14:schemeClr w14:val="tx1"/>
                          </w14:solidFill>
                        </w14:textFill>
                      </w:rPr>
                    </m:ctrlPr>
                  </m:sSubPr>
                  <m:e>
                    <m:r>
                      <m:rPr/>
                      <w:rPr>
                        <w:rFonts w:ascii="Cambria Math" w:hAnsi="Cambria Math" w:cs="Times New Roman"/>
                        <w:color w:val="000000" w:themeColor="text1"/>
                        <w:szCs w:val="21"/>
                        <w14:textFill>
                          <w14:solidFill>
                            <w14:schemeClr w14:val="tx1"/>
                          </w14:solidFill>
                        </w14:textFill>
                      </w:rPr>
                      <m:t>L</m:t>
                    </m:r>
                    <m:ctrlPr>
                      <w:rPr>
                        <w:rFonts w:ascii="Cambria Math" w:hAnsi="Cambria Math" w:cs="Times New Roman"/>
                        <w:i/>
                        <w:color w:val="000000" w:themeColor="text1"/>
                        <w:szCs w:val="21"/>
                        <w14:textFill>
                          <w14:solidFill>
                            <w14:schemeClr w14:val="tx1"/>
                          </w14:solidFill>
                        </w14:textFill>
                      </w:rPr>
                    </m:ctrlPr>
                  </m:e>
                  <m:sub>
                    <m:r>
                      <m:rPr/>
                      <w:rPr>
                        <w:rFonts w:ascii="Cambria Math" w:hAnsi="Cambria Math" w:cs="Times New Roman"/>
                        <w:color w:val="000000" w:themeColor="text1"/>
                        <w:szCs w:val="21"/>
                        <w14:textFill>
                          <w14:solidFill>
                            <w14:schemeClr w14:val="tx1"/>
                          </w14:solidFill>
                        </w14:textFill>
                      </w:rPr>
                      <m:t>F</m:t>
                    </m:r>
                    <m:ctrlPr>
                      <w:rPr>
                        <w:rFonts w:ascii="Cambria Math" w:hAnsi="Cambria Math" w:cs="Times New Roman"/>
                        <w:i/>
                        <w:color w:val="000000" w:themeColor="text1"/>
                        <w:szCs w:val="21"/>
                        <w14:textFill>
                          <w14:solidFill>
                            <w14:schemeClr w14:val="tx1"/>
                          </w14:solidFill>
                        </w14:textFill>
                      </w:rPr>
                    </m:ctrlPr>
                  </m:sub>
                </m:sSub>
                <m:r>
                  <m:rPr/>
                  <w:rPr>
                    <w:rFonts w:ascii="Cambria Math" w:hAnsi="Cambria Math" w:cs="Times New Roman"/>
                    <w:color w:val="000000" w:themeColor="text1"/>
                    <w:szCs w:val="21"/>
                    <w14:textFill>
                      <w14:solidFill>
                        <w14:schemeClr w14:val="tx1"/>
                      </w14:solidFill>
                    </w14:textFill>
                  </w:rPr>
                  <m:t>=</m:t>
                </m:r>
                <m:sSub>
                  <m:sSubPr>
                    <m:ctrlPr>
                      <w:rPr>
                        <w:rFonts w:ascii="Cambria Math" w:hAnsi="Cambria Math" w:cs="Times New Roman"/>
                        <w:i/>
                        <w:color w:val="000000" w:themeColor="text1"/>
                        <w:szCs w:val="21"/>
                        <w14:textFill>
                          <w14:solidFill>
                            <w14:schemeClr w14:val="tx1"/>
                          </w14:solidFill>
                        </w14:textFill>
                      </w:rPr>
                    </m:ctrlPr>
                  </m:sSubPr>
                  <m:e>
                    <m:r>
                      <m:rPr/>
                      <w:rPr>
                        <w:rFonts w:ascii="Cambria Math" w:hAnsi="Cambria Math" w:cs="Times New Roman"/>
                        <w:color w:val="000000" w:themeColor="text1"/>
                        <w:szCs w:val="21"/>
                        <w14:textFill>
                          <w14:solidFill>
                            <w14:schemeClr w14:val="tx1"/>
                          </w14:solidFill>
                        </w14:textFill>
                      </w:rPr>
                      <m:t>F</m:t>
                    </m:r>
                    <m:ctrlPr>
                      <w:rPr>
                        <w:rFonts w:ascii="Cambria Math" w:hAnsi="Cambria Math" w:cs="Times New Roman"/>
                        <w:i/>
                        <w:color w:val="000000" w:themeColor="text1"/>
                        <w:szCs w:val="21"/>
                        <w14:textFill>
                          <w14:solidFill>
                            <w14:schemeClr w14:val="tx1"/>
                          </w14:solidFill>
                        </w14:textFill>
                      </w:rPr>
                    </m:ctrlPr>
                  </m:e>
                  <m:sub>
                    <m:r>
                      <m:rPr/>
                      <w:rPr>
                        <w:rFonts w:ascii="Cambria Math" w:hAnsi="Cambria Math" w:cs="Times New Roman"/>
                        <w:color w:val="000000" w:themeColor="text1"/>
                        <w:szCs w:val="21"/>
                        <w14:textFill>
                          <w14:solidFill>
                            <w14:schemeClr w14:val="tx1"/>
                          </w14:solidFill>
                        </w14:textFill>
                      </w:rPr>
                      <m:t>F</m:t>
                    </m:r>
                    <m:ctrlPr>
                      <w:rPr>
                        <w:rFonts w:ascii="Cambria Math" w:hAnsi="Cambria Math" w:cs="Times New Roman"/>
                        <w:i/>
                        <w:color w:val="000000" w:themeColor="text1"/>
                        <w:szCs w:val="21"/>
                        <w14:textFill>
                          <w14:solidFill>
                            <w14:schemeClr w14:val="tx1"/>
                          </w14:solidFill>
                        </w14:textFill>
                      </w:rPr>
                    </m:ctrlPr>
                  </m:sub>
                </m:sSub>
                <m:r>
                  <m:rPr/>
                  <w:rPr>
                    <w:rFonts w:ascii="Cambria Math" w:hAnsi="Cambria Math" w:cs="Times New Roman"/>
                    <w:color w:val="000000" w:themeColor="text1"/>
                    <w:szCs w:val="21"/>
                    <w14:textFill>
                      <w14:solidFill>
                        <w14:schemeClr w14:val="tx1"/>
                      </w14:solidFill>
                    </w14:textFill>
                  </w:rPr>
                  <m:t>P</m:t>
                </m:r>
                <m:sSub>
                  <m:sSubPr>
                    <m:ctrlPr>
                      <w:rPr>
                        <w:rFonts w:ascii="Cambria Math" w:hAnsi="Cambria Math" w:cs="Times New Roman"/>
                        <w:i/>
                        <w:color w:val="000000" w:themeColor="text1"/>
                        <w:szCs w:val="21"/>
                        <w14:textFill>
                          <w14:solidFill>
                            <w14:schemeClr w14:val="tx1"/>
                          </w14:solidFill>
                        </w14:textFill>
                      </w:rPr>
                    </m:ctrlPr>
                  </m:sSubPr>
                  <m:e>
                    <m:r>
                      <m:rPr/>
                      <w:rPr>
                        <w:rFonts w:ascii="Cambria Math" w:hAnsi="Cambria Math" w:cs="Times New Roman"/>
                        <w:color w:val="000000" w:themeColor="text1"/>
                        <w:szCs w:val="21"/>
                        <w14:textFill>
                          <w14:solidFill>
                            <w14:schemeClr w14:val="tx1"/>
                          </w14:solidFill>
                        </w14:textFill>
                      </w:rPr>
                      <m:t>M</m:t>
                    </m:r>
                    <m:ctrlPr>
                      <w:rPr>
                        <w:rFonts w:ascii="Cambria Math" w:hAnsi="Cambria Math" w:cs="Times New Roman"/>
                        <w:i/>
                        <w:color w:val="000000" w:themeColor="text1"/>
                        <w:szCs w:val="21"/>
                        <w14:textFill>
                          <w14:solidFill>
                            <w14:schemeClr w14:val="tx1"/>
                          </w14:solidFill>
                        </w14:textFill>
                      </w:rPr>
                    </m:ctrlPr>
                  </m:e>
                  <m:sub>
                    <m:r>
                      <m:rPr/>
                      <w:rPr>
                        <w:rFonts w:ascii="Cambria Math" w:hAnsi="Cambria Math" w:cs="Times New Roman"/>
                        <w:color w:val="000000" w:themeColor="text1"/>
                        <w:szCs w:val="21"/>
                        <w14:textFill>
                          <w14:solidFill>
                            <w14:schemeClr w14:val="tx1"/>
                          </w14:solidFill>
                        </w14:textFill>
                      </w:rPr>
                      <m:t>V</m:t>
                    </m:r>
                    <m:ctrlPr>
                      <w:rPr>
                        <w:rFonts w:ascii="Cambria Math" w:hAnsi="Cambria Math" w:cs="Times New Roman"/>
                        <w:i/>
                        <w:color w:val="000000" w:themeColor="text1"/>
                        <w:szCs w:val="21"/>
                        <w14:textFill>
                          <w14:solidFill>
                            <w14:schemeClr w14:val="tx1"/>
                          </w14:solidFill>
                        </w14:textFill>
                      </w:rPr>
                    </m:ctrlPr>
                  </m:sub>
                </m:sSub>
                <m:sSub>
                  <m:sSubPr>
                    <m:ctrlPr>
                      <w:rPr>
                        <w:rFonts w:ascii="Cambria Math" w:hAnsi="Cambria Math" w:cs="Times New Roman"/>
                        <w:i/>
                        <w:color w:val="000000" w:themeColor="text1"/>
                        <w:szCs w:val="21"/>
                        <w14:textFill>
                          <w14:solidFill>
                            <w14:schemeClr w14:val="tx1"/>
                          </w14:solidFill>
                        </w14:textFill>
                      </w:rPr>
                    </m:ctrlPr>
                  </m:sSubPr>
                  <m:e>
                    <m:r>
                      <m:rPr/>
                      <w:rPr>
                        <w:rFonts w:ascii="Cambria Math" w:hAnsi="Cambria Math" w:cs="Times New Roman"/>
                        <w:color w:val="000000" w:themeColor="text1"/>
                        <w:szCs w:val="21"/>
                        <w14:textFill>
                          <w14:solidFill>
                            <w14:schemeClr w14:val="tx1"/>
                          </w14:solidFill>
                        </w14:textFill>
                      </w:rPr>
                      <m:t>K</m:t>
                    </m:r>
                    <m:ctrlPr>
                      <w:rPr>
                        <w:rFonts w:ascii="Cambria Math" w:hAnsi="Cambria Math" w:cs="Times New Roman"/>
                        <w:i/>
                        <w:color w:val="000000" w:themeColor="text1"/>
                        <w:szCs w:val="21"/>
                        <w14:textFill>
                          <w14:solidFill>
                            <w14:schemeClr w14:val="tx1"/>
                          </w14:solidFill>
                        </w14:textFill>
                      </w:rPr>
                    </m:ctrlPr>
                  </m:e>
                  <m:sub>
                    <m:r>
                      <m:rPr/>
                      <w:rPr>
                        <w:rFonts w:ascii="Cambria Math" w:hAnsi="Cambria Math" w:cs="Times New Roman"/>
                        <w:color w:val="000000" w:themeColor="text1"/>
                        <w:szCs w:val="21"/>
                        <w14:textFill>
                          <w14:solidFill>
                            <w14:schemeClr w14:val="tx1"/>
                          </w14:solidFill>
                        </w14:textFill>
                      </w:rPr>
                      <m:t>C</m:t>
                    </m:r>
                    <m:ctrlPr>
                      <w:rPr>
                        <w:rFonts w:ascii="Cambria Math" w:hAnsi="Cambria Math" w:cs="Times New Roman"/>
                        <w:i/>
                        <w:color w:val="000000" w:themeColor="text1"/>
                        <w:szCs w:val="21"/>
                        <w14:textFill>
                          <w14:solidFill>
                            <w14:schemeClr w14:val="tx1"/>
                          </w14:solidFill>
                        </w14:textFill>
                      </w:rPr>
                    </m:ctrlPr>
                  </m:sub>
                </m:sSub>
              </m:oMath>
            </m:oMathPara>
          </w:p>
          <w:p w14:paraId="253C56AD">
            <w:pPr>
              <w:spacing w:line="360" w:lineRule="auto"/>
              <w:ind w:firstLine="547" w:firstLineChars="228"/>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式中：L</w:t>
            </w:r>
            <w:r>
              <w:rPr>
                <w:rFonts w:ascii="Times New Roman" w:hAnsi="Times New Roman" w:cs="Times New Roman"/>
                <w:color w:val="000000" w:themeColor="text1"/>
                <w:szCs w:val="21"/>
                <w:vertAlign w:val="subscript"/>
                <w14:textFill>
                  <w14:solidFill>
                    <w14:schemeClr w14:val="tx1"/>
                  </w14:solidFill>
                </w14:textFill>
              </w:rPr>
              <w:t>F</w:t>
            </w:r>
            <w:r>
              <w:rPr>
                <w:rFonts w:ascii="Times New Roman" w:hAnsi="Times New Roman" w:cs="Times New Roman"/>
                <w:color w:val="000000" w:themeColor="text1"/>
                <w:szCs w:val="21"/>
                <w14:textFill>
                  <w14:solidFill>
                    <w14:schemeClr w14:val="tx1"/>
                  </w14:solidFill>
                </w14:textFill>
              </w:rPr>
              <w:t>浮盘附件损耗，lb/a；</w:t>
            </w:r>
          </w:p>
          <w:p w14:paraId="16D5FA33">
            <w:pPr>
              <w:spacing w:line="360" w:lineRule="auto"/>
              <w:ind w:firstLine="1440" w:firstLineChars="6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F</w:t>
            </w:r>
            <w:r>
              <w:rPr>
                <w:rFonts w:ascii="Times New Roman" w:hAnsi="Times New Roman" w:cs="Times New Roman"/>
                <w:color w:val="000000" w:themeColor="text1"/>
                <w:szCs w:val="21"/>
                <w:vertAlign w:val="subscript"/>
                <w14:textFill>
                  <w14:solidFill>
                    <w14:schemeClr w14:val="tx1"/>
                  </w14:solidFill>
                </w14:textFill>
              </w:rPr>
              <w:t>F</w:t>
            </w:r>
            <w:r>
              <w:rPr>
                <w:rFonts w:ascii="Times New Roman" w:hAnsi="Times New Roman" w:cs="Times New Roman"/>
                <w:color w:val="000000" w:themeColor="text1"/>
                <w:szCs w:val="21"/>
                <w14:textFill>
                  <w14:solidFill>
                    <w14:schemeClr w14:val="tx1"/>
                  </w14:solidFill>
                </w14:textFill>
              </w:rPr>
              <w:t>总浮盘附件损耗因子，lb-mol/a；</w:t>
            </w:r>
          </w:p>
          <w:p w14:paraId="29EC37B7">
            <w:pPr>
              <w:spacing w:line="360" w:lineRule="auto"/>
              <w:ind w:firstLine="1440" w:firstLineChars="6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M</w:t>
            </w:r>
            <w:r>
              <w:rPr>
                <w:rFonts w:ascii="Times New Roman" w:hAnsi="Times New Roman" w:cs="Times New Roman"/>
                <w:color w:val="000000" w:themeColor="text1"/>
                <w:szCs w:val="21"/>
                <w:vertAlign w:val="subscript"/>
                <w14:textFill>
                  <w14:solidFill>
                    <w14:schemeClr w14:val="tx1"/>
                  </w14:solidFill>
                </w14:textFill>
              </w:rPr>
              <w:t>V</w:t>
            </w:r>
            <w:r>
              <w:rPr>
                <w:rFonts w:ascii="Times New Roman" w:hAnsi="Times New Roman" w:cs="Times New Roman"/>
                <w:color w:val="000000" w:themeColor="text1"/>
                <w:szCs w:val="21"/>
                <w14:textFill>
                  <w14:solidFill>
                    <w14:schemeClr w14:val="tx1"/>
                  </w14:solidFill>
                </w14:textFill>
              </w:rPr>
              <w:t>气相分子量，lb/lb-mol；</w:t>
            </w:r>
          </w:p>
          <w:p w14:paraId="6622425E">
            <w:pPr>
              <w:spacing w:line="360" w:lineRule="auto"/>
              <w:ind w:firstLine="1440" w:firstLineChars="6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K</w:t>
            </w:r>
            <w:r>
              <w:rPr>
                <w:rFonts w:ascii="Times New Roman" w:hAnsi="Times New Roman" w:cs="Times New Roman"/>
                <w:color w:val="000000" w:themeColor="text1"/>
                <w:szCs w:val="21"/>
                <w:vertAlign w:val="subscript"/>
                <w14:textFill>
                  <w14:solidFill>
                    <w14:schemeClr w14:val="tx1"/>
                  </w14:solidFill>
                </w14:textFill>
              </w:rPr>
              <w:t>C</w:t>
            </w:r>
            <w:r>
              <w:rPr>
                <w:rFonts w:ascii="Times New Roman" w:hAnsi="Times New Roman" w:cs="Times New Roman"/>
                <w:color w:val="000000" w:themeColor="text1"/>
                <w:szCs w:val="21"/>
                <w14:textFill>
                  <w14:solidFill>
                    <w14:schemeClr w14:val="tx1"/>
                  </w14:solidFill>
                </w14:textFill>
              </w:rPr>
              <w:t>产品因子；原油为0.4，其它有机液体为1.0</w:t>
            </w:r>
          </w:p>
          <w:p w14:paraId="4B58F6A6">
            <w:pPr>
              <w:spacing w:line="360" w:lineRule="auto"/>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d、浮盘缝隙损耗</w:t>
            </w:r>
          </w:p>
          <w:p w14:paraId="2EFB2ABA">
            <w:pPr>
              <w:spacing w:line="360" w:lineRule="auto"/>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浮盘经焊接的内浮顶罐和外浮顶罐都没有盘缝损耗。由螺栓固定的内浮顶罐可能存在盘缝损耗，可由下公估算：</w:t>
            </w:r>
          </w:p>
          <w:p w14:paraId="74A2F50A">
            <w:pPr>
              <w:spacing w:line="360" w:lineRule="auto"/>
              <w:ind w:firstLine="480" w:firstLineChars="200"/>
              <w:jc w:val="center"/>
              <w:rPr>
                <w:rFonts w:ascii="Times New Roman" w:hAnsi="Times New Roman" w:cs="Times New Roman"/>
                <w:color w:val="000000" w:themeColor="text1"/>
                <w14:textFill>
                  <w14:solidFill>
                    <w14:schemeClr w14:val="tx1"/>
                  </w14:solidFill>
                </w14:textFill>
              </w:rPr>
            </w:pPr>
            <m:oMathPara>
              <m:oMath>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L</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D</m:t>
                    </m:r>
                    <m:ctrlPr>
                      <w:rPr>
                        <w:rFonts w:ascii="Cambria Math" w:hAnsi="Cambria Math" w:cs="Times New Roman"/>
                        <w:i/>
                        <w:color w:val="000000" w:themeColor="text1"/>
                        <w14:textFill>
                          <w14:solidFill>
                            <w14:schemeClr w14:val="tx1"/>
                          </w14:solidFill>
                        </w14:textFill>
                      </w:rPr>
                    </m:ctrlPr>
                  </m:sub>
                </m:sSub>
                <m:r>
                  <m:rPr/>
                  <w:rPr>
                    <w:rFonts w:ascii="Cambria Math" w:hAnsi="Cambria Math" w:cs="Times New Roman"/>
                    <w:color w:val="000000" w:themeColor="text1"/>
                    <w14:textFill>
                      <w14:solidFill>
                        <w14:schemeClr w14:val="tx1"/>
                      </w14:solidFill>
                    </w14:textFill>
                  </w:rPr>
                  <m:t>=</m:t>
                </m:r>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K</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D</m:t>
                    </m:r>
                    <m:ctrlPr>
                      <w:rPr>
                        <w:rFonts w:ascii="Cambria Math" w:hAnsi="Cambria Math" w:cs="Times New Roman"/>
                        <w:i/>
                        <w:color w:val="000000" w:themeColor="text1"/>
                        <w14:textFill>
                          <w14:solidFill>
                            <w14:schemeClr w14:val="tx1"/>
                          </w14:solidFill>
                        </w14:textFill>
                      </w:rPr>
                    </m:ctrlPr>
                  </m:sub>
                </m:sSub>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S</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D</m:t>
                    </m:r>
                    <m:ctrlPr>
                      <w:rPr>
                        <w:rFonts w:ascii="Cambria Math" w:hAnsi="Cambria Math" w:cs="Times New Roman"/>
                        <w:i/>
                        <w:color w:val="000000" w:themeColor="text1"/>
                        <w14:textFill>
                          <w14:solidFill>
                            <w14:schemeClr w14:val="tx1"/>
                          </w14:solidFill>
                        </w14:textFill>
                      </w:rPr>
                    </m:ctrlPr>
                  </m:sub>
                </m:sSub>
                <m:sSup>
                  <m:sSupPr>
                    <m:ctrlPr>
                      <w:rPr>
                        <w:rFonts w:ascii="Cambria Math" w:hAnsi="Cambria Math" w:cs="Times New Roman"/>
                        <w:i/>
                        <w:color w:val="000000" w:themeColor="text1"/>
                        <w14:textFill>
                          <w14:solidFill>
                            <w14:schemeClr w14:val="tx1"/>
                          </w14:solidFill>
                        </w14:textFill>
                      </w:rPr>
                    </m:ctrlPr>
                  </m:sSupPr>
                  <m:e>
                    <m:r>
                      <m:rPr/>
                      <w:rPr>
                        <w:rFonts w:ascii="Cambria Math" w:hAnsi="Cambria Math" w:cs="Times New Roman"/>
                        <w:color w:val="000000" w:themeColor="text1"/>
                        <w14:textFill>
                          <w14:solidFill>
                            <w14:schemeClr w14:val="tx1"/>
                          </w14:solidFill>
                        </w14:textFill>
                      </w:rPr>
                      <m:t>D</m:t>
                    </m:r>
                    <m:ctrlPr>
                      <w:rPr>
                        <w:rFonts w:ascii="Cambria Math" w:hAnsi="Cambria Math" w:cs="Times New Roman"/>
                        <w:i/>
                        <w:color w:val="000000" w:themeColor="text1"/>
                        <w14:textFill>
                          <w14:solidFill>
                            <w14:schemeClr w14:val="tx1"/>
                          </w14:solidFill>
                        </w14:textFill>
                      </w:rPr>
                    </m:ctrlPr>
                  </m:e>
                  <m:sup>
                    <m:r>
                      <m:rPr/>
                      <w:rPr>
                        <w:rFonts w:ascii="Cambria Math" w:hAnsi="Cambria Math" w:cs="Times New Roman"/>
                        <w:color w:val="000000" w:themeColor="text1"/>
                        <w14:textFill>
                          <w14:solidFill>
                            <w14:schemeClr w14:val="tx1"/>
                          </w14:solidFill>
                        </w14:textFill>
                      </w:rPr>
                      <m:t>2</m:t>
                    </m:r>
                    <m:ctrlPr>
                      <w:rPr>
                        <w:rFonts w:ascii="Cambria Math" w:hAnsi="Cambria Math" w:cs="Times New Roman"/>
                        <w:i/>
                        <w:color w:val="000000" w:themeColor="text1"/>
                        <w14:textFill>
                          <w14:solidFill>
                            <w14:schemeClr w14:val="tx1"/>
                          </w14:solidFill>
                        </w14:textFill>
                      </w:rPr>
                    </m:ctrlPr>
                  </m:sup>
                </m:sSup>
                <m:r>
                  <m:rPr/>
                  <w:rPr>
                    <w:rFonts w:ascii="Cambria Math" w:hAnsi="Cambria Math" w:cs="Times New Roman"/>
                    <w:color w:val="000000" w:themeColor="text1"/>
                    <w14:textFill>
                      <w14:solidFill>
                        <w14:schemeClr w14:val="tx1"/>
                      </w14:solidFill>
                    </w14:textFill>
                  </w:rPr>
                  <m:t>P</m:t>
                </m:r>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M</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V</m:t>
                    </m:r>
                    <m:ctrlPr>
                      <w:rPr>
                        <w:rFonts w:ascii="Cambria Math" w:hAnsi="Cambria Math" w:cs="Times New Roman"/>
                        <w:i/>
                        <w:color w:val="000000" w:themeColor="text1"/>
                        <w14:textFill>
                          <w14:solidFill>
                            <w14:schemeClr w14:val="tx1"/>
                          </w14:solidFill>
                        </w14:textFill>
                      </w:rPr>
                    </m:ctrlPr>
                  </m:sub>
                </m:sSub>
                <m:sSub>
                  <m:sSubPr>
                    <m:ctrlPr>
                      <w:rPr>
                        <w:rFonts w:ascii="Cambria Math" w:hAnsi="Cambria Math" w:cs="Times New Roman"/>
                        <w:i/>
                        <w:color w:val="000000" w:themeColor="text1"/>
                        <w14:textFill>
                          <w14:solidFill>
                            <w14:schemeClr w14:val="tx1"/>
                          </w14:solidFill>
                        </w14:textFill>
                      </w:rPr>
                    </m:ctrlPr>
                  </m:sSubPr>
                  <m:e>
                    <m:r>
                      <m:rPr/>
                      <w:rPr>
                        <w:rFonts w:ascii="Cambria Math" w:hAnsi="Cambria Math" w:cs="Times New Roman"/>
                        <w:color w:val="000000" w:themeColor="text1"/>
                        <w14:textFill>
                          <w14:solidFill>
                            <w14:schemeClr w14:val="tx1"/>
                          </w14:solidFill>
                        </w14:textFill>
                      </w:rPr>
                      <m:t>K</m:t>
                    </m:r>
                    <m:ctrlPr>
                      <w:rPr>
                        <w:rFonts w:ascii="Cambria Math" w:hAnsi="Cambria Math" w:cs="Times New Roman"/>
                        <w:i/>
                        <w:color w:val="000000" w:themeColor="text1"/>
                        <w14:textFill>
                          <w14:solidFill>
                            <w14:schemeClr w14:val="tx1"/>
                          </w14:solidFill>
                        </w14:textFill>
                      </w:rPr>
                    </m:ctrlPr>
                  </m:e>
                  <m:sub>
                    <m:r>
                      <m:rPr/>
                      <w:rPr>
                        <w:rFonts w:ascii="Cambria Math" w:hAnsi="Cambria Math" w:cs="Times New Roman"/>
                        <w:color w:val="000000" w:themeColor="text1"/>
                        <w14:textFill>
                          <w14:solidFill>
                            <w14:schemeClr w14:val="tx1"/>
                          </w14:solidFill>
                        </w14:textFill>
                      </w:rPr>
                      <m:t>C</m:t>
                    </m:r>
                    <m:ctrlPr>
                      <w:rPr>
                        <w:rFonts w:ascii="Cambria Math" w:hAnsi="Cambria Math" w:cs="Times New Roman"/>
                        <w:i/>
                        <w:color w:val="000000" w:themeColor="text1"/>
                        <w14:textFill>
                          <w14:solidFill>
                            <w14:schemeClr w14:val="tx1"/>
                          </w14:solidFill>
                        </w14:textFill>
                      </w:rPr>
                    </m:ctrlPr>
                  </m:sub>
                </m:sSub>
              </m:oMath>
            </m:oMathPara>
          </w:p>
          <w:p w14:paraId="2A9F67D0">
            <w:pPr>
              <w:spacing w:line="360" w:lineRule="auto"/>
              <w:ind w:firstLine="547" w:firstLineChars="228"/>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式中：K</w:t>
            </w:r>
            <w:r>
              <w:rPr>
                <w:rFonts w:ascii="Times New Roman" w:hAnsi="Times New Roman" w:cs="Times New Roman"/>
                <w:color w:val="000000" w:themeColor="text1"/>
                <w:szCs w:val="21"/>
                <w:vertAlign w:val="subscript"/>
                <w14:textFill>
                  <w14:solidFill>
                    <w14:schemeClr w14:val="tx1"/>
                  </w14:solidFill>
                </w14:textFill>
              </w:rPr>
              <w:t>D</w:t>
            </w:r>
            <w:r>
              <w:rPr>
                <w:rFonts w:ascii="Times New Roman" w:hAnsi="Times New Roman" w:cs="Times New Roman"/>
                <w:color w:val="000000" w:themeColor="text1"/>
                <w:szCs w:val="21"/>
                <w14:textFill>
                  <w14:solidFill>
                    <w14:schemeClr w14:val="tx1"/>
                  </w14:solidFill>
                </w14:textFill>
              </w:rPr>
              <w:t>盘缝损耗单位缝长因子，lb-mol/ft·a；</w:t>
            </w:r>
          </w:p>
          <w:p w14:paraId="405E4EAF">
            <w:pPr>
              <w:spacing w:line="360" w:lineRule="auto"/>
              <w:ind w:firstLine="1267" w:firstLineChars="528"/>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S</w:t>
            </w:r>
            <w:r>
              <w:rPr>
                <w:rFonts w:ascii="Times New Roman" w:hAnsi="Times New Roman" w:cs="Times New Roman"/>
                <w:color w:val="000000" w:themeColor="text1"/>
                <w:szCs w:val="21"/>
                <w:vertAlign w:val="subscript"/>
                <w14:textFill>
                  <w14:solidFill>
                    <w14:schemeClr w14:val="tx1"/>
                  </w14:solidFill>
                </w14:textFill>
              </w:rPr>
              <w:t>D</w:t>
            </w:r>
            <w:r>
              <w:rPr>
                <w:rFonts w:ascii="Times New Roman" w:hAnsi="Times New Roman" w:cs="Times New Roman"/>
                <w:color w:val="000000" w:themeColor="text1"/>
                <w:szCs w:val="21"/>
                <w14:textFill>
                  <w14:solidFill>
                    <w14:schemeClr w14:val="tx1"/>
                  </w14:solidFill>
                </w14:textFill>
              </w:rPr>
              <w:t>盘缝长度因子，ft/ft</w:t>
            </w:r>
            <w:r>
              <w:rPr>
                <w:rFonts w:ascii="Times New Roman" w:hAnsi="Times New Roman" w:cs="Times New Roman"/>
                <w:color w:val="000000" w:themeColor="text1"/>
                <w:szCs w:val="21"/>
                <w:vertAlign w:val="superscript"/>
                <w14:textFill>
                  <w14:solidFill>
                    <w14:schemeClr w14:val="tx1"/>
                  </w14:solidFill>
                </w14:textFill>
              </w:rPr>
              <w:t>2</w:t>
            </w:r>
            <w:r>
              <w:rPr>
                <w:rFonts w:ascii="Times New Roman" w:hAnsi="Times New Roman" w:cs="Times New Roman"/>
                <w:color w:val="000000" w:themeColor="text1"/>
                <w:szCs w:val="21"/>
                <w14:textFill>
                  <w14:solidFill>
                    <w14:schemeClr w14:val="tx1"/>
                  </w14:solidFill>
                </w14:textFill>
              </w:rPr>
              <w:t>，</w:t>
            </w:r>
          </w:p>
          <w:p w14:paraId="7CFD6B48">
            <w:pPr>
              <w:spacing w:line="360" w:lineRule="auto"/>
              <w:ind w:firstLine="1267" w:firstLineChars="528"/>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M</w:t>
            </w:r>
            <w:r>
              <w:rPr>
                <w:rFonts w:ascii="Times New Roman" w:hAnsi="Times New Roman" w:cs="Times New Roman"/>
                <w:color w:val="000000" w:themeColor="text1"/>
                <w:szCs w:val="21"/>
                <w:vertAlign w:val="subscript"/>
                <w14:textFill>
                  <w14:solidFill>
                    <w14:schemeClr w14:val="tx1"/>
                  </w14:solidFill>
                </w14:textFill>
              </w:rPr>
              <w:t>V</w:t>
            </w:r>
            <w:r>
              <w:rPr>
                <w:rFonts w:ascii="Times New Roman" w:hAnsi="Times New Roman" w:cs="Times New Roman"/>
                <w:color w:val="000000" w:themeColor="text1"/>
                <w:szCs w:val="21"/>
                <w14:textFill>
                  <w14:solidFill>
                    <w14:schemeClr w14:val="tx1"/>
                  </w14:solidFill>
                </w14:textFill>
              </w:rPr>
              <w:t>气相分子量，lb/lb-mol。</w:t>
            </w:r>
          </w:p>
          <w:p w14:paraId="26FF32A3">
            <w:pPr>
              <w:adjustRightInd w:val="0"/>
              <w:snapToGrid w:val="0"/>
              <w:spacing w:line="360" w:lineRule="auto"/>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根据计算，本项目罐区的废气产生情况见表4-5。</w:t>
            </w:r>
          </w:p>
          <w:p w14:paraId="388DDA94">
            <w:pPr>
              <w:adjustRightInd w:val="0"/>
              <w:snapToGrid w:val="0"/>
              <w:ind w:firstLine="480" w:firstLineChars="200"/>
              <w:rPr>
                <w:rFonts w:ascii="Times New Roman" w:hAnsi="Times New Roman" w:cs="Times New Roman"/>
                <w:color w:val="000000" w:themeColor="text1"/>
                <w14:textFill>
                  <w14:solidFill>
                    <w14:schemeClr w14:val="tx1"/>
                  </w14:solidFill>
                </w14:textFill>
              </w:rPr>
            </w:pPr>
          </w:p>
          <w:p w14:paraId="3CDD7FBA">
            <w:pPr>
              <w:adjustRightInd w:val="0"/>
              <w:snapToGrid w:val="0"/>
              <w:ind w:firstLine="442" w:firstLineChars="200"/>
              <w:jc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spacing w:val="-10"/>
                <w:szCs w:val="21"/>
              </w:rPr>
              <w:t>表4-5  罐区废气产生量</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9"/>
              <w:gridCol w:w="478"/>
              <w:gridCol w:w="1058"/>
              <w:gridCol w:w="1134"/>
              <w:gridCol w:w="992"/>
              <w:gridCol w:w="1134"/>
              <w:gridCol w:w="1134"/>
            </w:tblGrid>
            <w:tr w14:paraId="7B43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dxa"/>
                </w:tcPr>
                <w:p w14:paraId="6E3E2213">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储罐名称</w:t>
                  </w:r>
                </w:p>
              </w:tc>
              <w:tc>
                <w:tcPr>
                  <w:tcW w:w="478" w:type="dxa"/>
                </w:tcPr>
                <w:p w14:paraId="262EE261">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数量</w:t>
                  </w:r>
                </w:p>
              </w:tc>
              <w:tc>
                <w:tcPr>
                  <w:tcW w:w="1058" w:type="dxa"/>
                </w:tcPr>
                <w:p w14:paraId="6FAF6240">
                  <w:pPr>
                    <w:adjustRightInd w:val="0"/>
                    <w:snapToGrid w:val="0"/>
                    <w:rPr>
                      <w:rFonts w:ascii="Times New Roman" w:hAnsi="Times New Roman" w:cs="Times New Roman"/>
                      <w:bCs/>
                      <w:spacing w:val="-10"/>
                      <w:szCs w:val="21"/>
                    </w:rPr>
                  </w:pPr>
                  <w:r>
                    <w:rPr>
                      <w:rFonts w:ascii="Times New Roman" w:hAnsi="Times New Roman" w:cs="Times New Roman"/>
                      <w:color w:val="000000" w:themeColor="text1"/>
                      <w:szCs w:val="21"/>
                      <w14:textFill>
                        <w14:solidFill>
                          <w14:schemeClr w14:val="tx1"/>
                        </w14:solidFill>
                      </w14:textFill>
                    </w:rPr>
                    <w:t>边缘密封损失（t/y）</w:t>
                  </w:r>
                </w:p>
              </w:tc>
              <w:tc>
                <w:tcPr>
                  <w:tcW w:w="1134" w:type="dxa"/>
                </w:tcPr>
                <w:p w14:paraId="3659283D">
                  <w:pPr>
                    <w:adjustRightInd w:val="0"/>
                    <w:snapToGrid w:val="0"/>
                    <w:rPr>
                      <w:rFonts w:ascii="Times New Roman" w:hAnsi="Times New Roman" w:cs="Times New Roman"/>
                      <w:bCs/>
                      <w:spacing w:val="-10"/>
                      <w:szCs w:val="21"/>
                    </w:rPr>
                  </w:pPr>
                  <w:r>
                    <w:rPr>
                      <w:rFonts w:ascii="Times New Roman" w:hAnsi="Times New Roman" w:cs="Times New Roman"/>
                      <w:color w:val="000000" w:themeColor="text1"/>
                      <w:szCs w:val="21"/>
                      <w14:textFill>
                        <w14:solidFill>
                          <w14:schemeClr w14:val="tx1"/>
                        </w14:solidFill>
                      </w14:textFill>
                    </w:rPr>
                    <w:t>挂壁损失(t/y）</w:t>
                  </w:r>
                </w:p>
              </w:tc>
              <w:tc>
                <w:tcPr>
                  <w:tcW w:w="992" w:type="dxa"/>
                  <w:vAlign w:val="center"/>
                </w:tcPr>
                <w:p w14:paraId="156970B9">
                  <w:pPr>
                    <w:adjustRightInd w:val="0"/>
                    <w:snapToGrid w:val="0"/>
                    <w:rPr>
                      <w:rFonts w:ascii="Times New Roman" w:hAnsi="Times New Roman" w:cs="Times New Roman"/>
                      <w:bCs/>
                      <w:spacing w:val="-10"/>
                      <w:szCs w:val="21"/>
                    </w:rPr>
                  </w:pPr>
                  <w:r>
                    <w:rPr>
                      <w:rFonts w:ascii="Times New Roman" w:hAnsi="Times New Roman" w:cs="Times New Roman"/>
                      <w:color w:val="000000" w:themeColor="text1"/>
                      <w:szCs w:val="21"/>
                      <w14:textFill>
                        <w14:solidFill>
                          <w14:schemeClr w14:val="tx1"/>
                        </w14:solidFill>
                      </w14:textFill>
                    </w:rPr>
                    <w:t>浮盘附件损失(t/y）</w:t>
                  </w:r>
                </w:p>
              </w:tc>
              <w:tc>
                <w:tcPr>
                  <w:tcW w:w="1134" w:type="dxa"/>
                </w:tcPr>
                <w:p w14:paraId="09162467">
                  <w:pPr>
                    <w:adjustRightInd w:val="0"/>
                    <w:snapToGrid w:val="0"/>
                    <w:rPr>
                      <w:rFonts w:ascii="Times New Roman" w:hAnsi="Times New Roman" w:cs="Times New Roman"/>
                      <w:bCs/>
                      <w:spacing w:val="-10"/>
                      <w:szCs w:val="21"/>
                    </w:rPr>
                  </w:pPr>
                  <w:r>
                    <w:rPr>
                      <w:rFonts w:ascii="Times New Roman" w:hAnsi="Times New Roman" w:cs="Times New Roman"/>
                      <w:color w:val="000000" w:themeColor="text1"/>
                      <w:szCs w:val="21"/>
                      <w14:textFill>
                        <w14:solidFill>
                          <w14:schemeClr w14:val="tx1"/>
                        </w14:solidFill>
                      </w14:textFill>
                    </w:rPr>
                    <w:t>盘缝损失（t/y）</w:t>
                  </w:r>
                </w:p>
              </w:tc>
              <w:tc>
                <w:tcPr>
                  <w:tcW w:w="1134" w:type="dxa"/>
                </w:tcPr>
                <w:p w14:paraId="317F49ED">
                  <w:pPr>
                    <w:adjustRightInd w:val="0"/>
                    <w:snapToGrid w:val="0"/>
                    <w:rPr>
                      <w:rFonts w:ascii="Times New Roman" w:hAnsi="Times New Roman" w:cs="Times New Roman"/>
                      <w:bCs/>
                      <w:spacing w:val="-10"/>
                      <w:szCs w:val="21"/>
                    </w:rPr>
                  </w:pPr>
                  <w:r>
                    <w:rPr>
                      <w:rFonts w:ascii="Times New Roman" w:hAnsi="Times New Roman" w:cs="Times New Roman"/>
                      <w:color w:val="000000" w:themeColor="text1"/>
                      <w:szCs w:val="21"/>
                      <w14:textFill>
                        <w14:solidFill>
                          <w14:schemeClr w14:val="tx1"/>
                        </w14:solidFill>
                      </w14:textFill>
                    </w:rPr>
                    <w:t>产生量(t/y）</w:t>
                  </w:r>
                </w:p>
              </w:tc>
            </w:tr>
            <w:tr w14:paraId="1360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dxa"/>
                </w:tcPr>
                <w:p w14:paraId="75F5C7E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MTBE</w:t>
                  </w:r>
                </w:p>
              </w:tc>
              <w:tc>
                <w:tcPr>
                  <w:tcW w:w="478" w:type="dxa"/>
                </w:tcPr>
                <w:p w14:paraId="54D79F14">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w:t>
                  </w:r>
                </w:p>
              </w:tc>
              <w:tc>
                <w:tcPr>
                  <w:tcW w:w="1058" w:type="dxa"/>
                </w:tcPr>
                <w:p w14:paraId="6EFEB5CD">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0.408</w:t>
                  </w:r>
                </w:p>
              </w:tc>
              <w:tc>
                <w:tcPr>
                  <w:tcW w:w="1134" w:type="dxa"/>
                </w:tcPr>
                <w:p w14:paraId="3C917D1F">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2.550</w:t>
                  </w:r>
                </w:p>
              </w:tc>
              <w:tc>
                <w:tcPr>
                  <w:tcW w:w="992" w:type="dxa"/>
                </w:tcPr>
                <w:p w14:paraId="3479EDA5">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0.293</w:t>
                  </w:r>
                </w:p>
              </w:tc>
              <w:tc>
                <w:tcPr>
                  <w:tcW w:w="1134" w:type="dxa"/>
                </w:tcPr>
                <w:p w14:paraId="449EB58C">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1.946</w:t>
                  </w:r>
                </w:p>
              </w:tc>
              <w:tc>
                <w:tcPr>
                  <w:tcW w:w="1134" w:type="dxa"/>
                </w:tcPr>
                <w:p w14:paraId="17A79733">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5.197</w:t>
                  </w:r>
                </w:p>
              </w:tc>
            </w:tr>
            <w:tr w14:paraId="0B39E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dxa"/>
                </w:tcPr>
                <w:p w14:paraId="6EFB833A">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异辛烷</w:t>
                  </w:r>
                </w:p>
              </w:tc>
              <w:tc>
                <w:tcPr>
                  <w:tcW w:w="478" w:type="dxa"/>
                </w:tcPr>
                <w:p w14:paraId="301839D9">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w:t>
                  </w:r>
                </w:p>
              </w:tc>
              <w:tc>
                <w:tcPr>
                  <w:tcW w:w="1058" w:type="dxa"/>
                </w:tcPr>
                <w:p w14:paraId="2C7019D1">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0.016</w:t>
                  </w:r>
                </w:p>
              </w:tc>
              <w:tc>
                <w:tcPr>
                  <w:tcW w:w="1134" w:type="dxa"/>
                </w:tcPr>
                <w:p w14:paraId="639B348D">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6.792</w:t>
                  </w:r>
                </w:p>
              </w:tc>
              <w:tc>
                <w:tcPr>
                  <w:tcW w:w="992" w:type="dxa"/>
                </w:tcPr>
                <w:p w14:paraId="543BE5F4">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0.012</w:t>
                  </w:r>
                </w:p>
              </w:tc>
              <w:tc>
                <w:tcPr>
                  <w:tcW w:w="1134" w:type="dxa"/>
                </w:tcPr>
                <w:p w14:paraId="18F1AE97">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0.076</w:t>
                  </w:r>
                </w:p>
              </w:tc>
              <w:tc>
                <w:tcPr>
                  <w:tcW w:w="1134" w:type="dxa"/>
                </w:tcPr>
                <w:p w14:paraId="0AC38E62">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6.896</w:t>
                  </w:r>
                </w:p>
              </w:tc>
            </w:tr>
            <w:tr w14:paraId="4ED89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dxa"/>
                </w:tcPr>
                <w:p w14:paraId="47C240B5">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轻质石脑油</w:t>
                  </w:r>
                </w:p>
              </w:tc>
              <w:tc>
                <w:tcPr>
                  <w:tcW w:w="478" w:type="dxa"/>
                </w:tcPr>
                <w:p w14:paraId="4E518EA5">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w:t>
                  </w:r>
                </w:p>
              </w:tc>
              <w:tc>
                <w:tcPr>
                  <w:tcW w:w="1058" w:type="dxa"/>
                </w:tcPr>
                <w:p w14:paraId="29DA39E4">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5.219</w:t>
                  </w:r>
                </w:p>
              </w:tc>
              <w:tc>
                <w:tcPr>
                  <w:tcW w:w="1134" w:type="dxa"/>
                </w:tcPr>
                <w:p w14:paraId="33EBB38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8.081</w:t>
                  </w:r>
                </w:p>
              </w:tc>
              <w:tc>
                <w:tcPr>
                  <w:tcW w:w="992" w:type="dxa"/>
                </w:tcPr>
                <w:p w14:paraId="7452F165">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4.633</w:t>
                  </w:r>
                </w:p>
              </w:tc>
              <w:tc>
                <w:tcPr>
                  <w:tcW w:w="1134" w:type="dxa"/>
                </w:tcPr>
                <w:p w14:paraId="2D03A81A">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24.903</w:t>
                  </w:r>
                </w:p>
              </w:tc>
              <w:tc>
                <w:tcPr>
                  <w:tcW w:w="1134" w:type="dxa"/>
                </w:tcPr>
                <w:p w14:paraId="0054C364">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42.836</w:t>
                  </w:r>
                </w:p>
              </w:tc>
            </w:tr>
            <w:tr w14:paraId="201F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dxa"/>
                </w:tcPr>
                <w:p w14:paraId="65AF67E0">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混合芳烃</w:t>
                  </w:r>
                </w:p>
              </w:tc>
              <w:tc>
                <w:tcPr>
                  <w:tcW w:w="478" w:type="dxa"/>
                </w:tcPr>
                <w:p w14:paraId="6AD9E375">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w:t>
                  </w:r>
                </w:p>
              </w:tc>
              <w:tc>
                <w:tcPr>
                  <w:tcW w:w="1058" w:type="dxa"/>
                </w:tcPr>
                <w:p w14:paraId="43F7ED4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0.015</w:t>
                  </w:r>
                </w:p>
              </w:tc>
              <w:tc>
                <w:tcPr>
                  <w:tcW w:w="1134" w:type="dxa"/>
                </w:tcPr>
                <w:p w14:paraId="19567451">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3.824</w:t>
                  </w:r>
                </w:p>
              </w:tc>
              <w:tc>
                <w:tcPr>
                  <w:tcW w:w="992" w:type="dxa"/>
                </w:tcPr>
                <w:p w14:paraId="24B911C2">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0.013</w:t>
                  </w:r>
                </w:p>
              </w:tc>
              <w:tc>
                <w:tcPr>
                  <w:tcW w:w="1134" w:type="dxa"/>
                </w:tcPr>
                <w:p w14:paraId="6AEAFA25">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0.073</w:t>
                  </w:r>
                </w:p>
              </w:tc>
              <w:tc>
                <w:tcPr>
                  <w:tcW w:w="1134" w:type="dxa"/>
                </w:tcPr>
                <w:p w14:paraId="538B3FE5">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3.925</w:t>
                  </w:r>
                </w:p>
              </w:tc>
            </w:tr>
            <w:tr w14:paraId="2CE0D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dxa"/>
                </w:tcPr>
                <w:p w14:paraId="66526D92">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轻质燃料油</w:t>
                  </w:r>
                </w:p>
              </w:tc>
              <w:tc>
                <w:tcPr>
                  <w:tcW w:w="478" w:type="dxa"/>
                </w:tcPr>
                <w:p w14:paraId="5FF8BFA4">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w:t>
                  </w:r>
                </w:p>
              </w:tc>
              <w:tc>
                <w:tcPr>
                  <w:tcW w:w="1058" w:type="dxa"/>
                </w:tcPr>
                <w:p w14:paraId="64DCDCDA">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0.196</w:t>
                  </w:r>
                </w:p>
              </w:tc>
              <w:tc>
                <w:tcPr>
                  <w:tcW w:w="1134" w:type="dxa"/>
                </w:tcPr>
                <w:p w14:paraId="08119514">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9.603</w:t>
                  </w:r>
                </w:p>
              </w:tc>
              <w:tc>
                <w:tcPr>
                  <w:tcW w:w="992" w:type="dxa"/>
                </w:tcPr>
                <w:p w14:paraId="2590D9BD">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0.185</w:t>
                  </w:r>
                </w:p>
              </w:tc>
              <w:tc>
                <w:tcPr>
                  <w:tcW w:w="1134" w:type="dxa"/>
                </w:tcPr>
                <w:p w14:paraId="40FDE759">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0.935</w:t>
                  </w:r>
                </w:p>
              </w:tc>
              <w:tc>
                <w:tcPr>
                  <w:tcW w:w="1134" w:type="dxa"/>
                </w:tcPr>
                <w:p w14:paraId="67A12A4E">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10.92</w:t>
                  </w:r>
                </w:p>
              </w:tc>
            </w:tr>
            <w:tr w14:paraId="0560F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dxa"/>
                </w:tcPr>
                <w:p w14:paraId="49C5EC5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煤基柴油</w:t>
                  </w:r>
                </w:p>
              </w:tc>
              <w:tc>
                <w:tcPr>
                  <w:tcW w:w="478" w:type="dxa"/>
                </w:tcPr>
                <w:p w14:paraId="620F37D7">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w:t>
                  </w:r>
                </w:p>
              </w:tc>
              <w:tc>
                <w:tcPr>
                  <w:tcW w:w="1058" w:type="dxa"/>
                </w:tcPr>
                <w:p w14:paraId="7CDE0EBD">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0.246</w:t>
                  </w:r>
                </w:p>
              </w:tc>
              <w:tc>
                <w:tcPr>
                  <w:tcW w:w="1134" w:type="dxa"/>
                </w:tcPr>
                <w:p w14:paraId="6DE86E7B">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11.629</w:t>
                  </w:r>
                </w:p>
              </w:tc>
              <w:tc>
                <w:tcPr>
                  <w:tcW w:w="992" w:type="dxa"/>
                </w:tcPr>
                <w:p w14:paraId="08E34E69">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0.246</w:t>
                  </w:r>
                </w:p>
              </w:tc>
              <w:tc>
                <w:tcPr>
                  <w:tcW w:w="1134" w:type="dxa"/>
                </w:tcPr>
                <w:p w14:paraId="1343D103">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1.174</w:t>
                  </w:r>
                </w:p>
              </w:tc>
              <w:tc>
                <w:tcPr>
                  <w:tcW w:w="1134" w:type="dxa"/>
                </w:tcPr>
                <w:p w14:paraId="2BB622C7">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13.295</w:t>
                  </w:r>
                </w:p>
              </w:tc>
            </w:tr>
            <w:tr w14:paraId="3DAF0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dxa"/>
                </w:tcPr>
                <w:p w14:paraId="7440EE8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车用柴油</w:t>
                  </w:r>
                </w:p>
              </w:tc>
              <w:tc>
                <w:tcPr>
                  <w:tcW w:w="478" w:type="dxa"/>
                </w:tcPr>
                <w:p w14:paraId="11F27C33">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2</w:t>
                  </w:r>
                </w:p>
              </w:tc>
              <w:tc>
                <w:tcPr>
                  <w:tcW w:w="1058" w:type="dxa"/>
                </w:tcPr>
                <w:p w14:paraId="1E936A8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0.246</w:t>
                  </w:r>
                </w:p>
              </w:tc>
              <w:tc>
                <w:tcPr>
                  <w:tcW w:w="1134" w:type="dxa"/>
                </w:tcPr>
                <w:p w14:paraId="186A60C9">
                  <w:pPr>
                    <w:adjustRightInd w:val="0"/>
                    <w:snapToGrid w:val="0"/>
                    <w:rPr>
                      <w:rFonts w:ascii="Times New Roman" w:hAnsi="Times New Roman" w:cs="Times New Roman"/>
                      <w:bCs/>
                      <w:spacing w:val="-10"/>
                      <w:szCs w:val="21"/>
                    </w:rPr>
                  </w:pPr>
                  <w:r>
                    <w:rPr>
                      <w:rFonts w:hint="eastAsia" w:ascii="Times New Roman" w:hAnsi="Times New Roman" w:cs="Times New Roman"/>
                      <w:bCs/>
                      <w:spacing w:val="-10"/>
                      <w:szCs w:val="21"/>
                    </w:rPr>
                    <w:t>21</w:t>
                  </w:r>
                  <w:r>
                    <w:rPr>
                      <w:rFonts w:ascii="Times New Roman" w:hAnsi="Times New Roman" w:cs="Times New Roman"/>
                      <w:bCs/>
                      <w:spacing w:val="-10"/>
                      <w:szCs w:val="21"/>
                    </w:rPr>
                    <w:t>.623</w:t>
                  </w:r>
                </w:p>
              </w:tc>
              <w:tc>
                <w:tcPr>
                  <w:tcW w:w="992" w:type="dxa"/>
                </w:tcPr>
                <w:p w14:paraId="440FCB2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0.205</w:t>
                  </w:r>
                </w:p>
              </w:tc>
              <w:tc>
                <w:tcPr>
                  <w:tcW w:w="1134" w:type="dxa"/>
                </w:tcPr>
                <w:p w14:paraId="2CF13943">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1.174</w:t>
                  </w:r>
                </w:p>
              </w:tc>
              <w:tc>
                <w:tcPr>
                  <w:tcW w:w="1134" w:type="dxa"/>
                </w:tcPr>
                <w:p w14:paraId="3D2E8B9E">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24.469</w:t>
                  </w:r>
                </w:p>
              </w:tc>
            </w:tr>
            <w:tr w14:paraId="5B66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dxa"/>
                </w:tcPr>
                <w:p w14:paraId="7E0AE9C7">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92号汽油</w:t>
                  </w:r>
                </w:p>
              </w:tc>
              <w:tc>
                <w:tcPr>
                  <w:tcW w:w="478" w:type="dxa"/>
                </w:tcPr>
                <w:p w14:paraId="54F71E65">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w:t>
                  </w:r>
                </w:p>
              </w:tc>
              <w:tc>
                <w:tcPr>
                  <w:tcW w:w="1058" w:type="dxa"/>
                </w:tcPr>
                <w:p w14:paraId="2755EBAC">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2.861</w:t>
                  </w:r>
                </w:p>
              </w:tc>
              <w:tc>
                <w:tcPr>
                  <w:tcW w:w="1134" w:type="dxa"/>
                </w:tcPr>
                <w:p w14:paraId="263EFD4D">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14.164</w:t>
                  </w:r>
                </w:p>
              </w:tc>
              <w:tc>
                <w:tcPr>
                  <w:tcW w:w="992" w:type="dxa"/>
                </w:tcPr>
                <w:p w14:paraId="59884851">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1.776</w:t>
                  </w:r>
                </w:p>
              </w:tc>
              <w:tc>
                <w:tcPr>
                  <w:tcW w:w="1134" w:type="dxa"/>
                </w:tcPr>
                <w:p w14:paraId="5C4B20FE">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13.652</w:t>
                  </w:r>
                </w:p>
              </w:tc>
              <w:tc>
                <w:tcPr>
                  <w:tcW w:w="1134" w:type="dxa"/>
                </w:tcPr>
                <w:p w14:paraId="493D9ABF">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32.453</w:t>
                  </w:r>
                </w:p>
              </w:tc>
            </w:tr>
            <w:tr w14:paraId="72E4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dxa"/>
                </w:tcPr>
                <w:p w14:paraId="03D03A60">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95号汽油</w:t>
                  </w:r>
                </w:p>
              </w:tc>
              <w:tc>
                <w:tcPr>
                  <w:tcW w:w="478" w:type="dxa"/>
                </w:tcPr>
                <w:p w14:paraId="62262315">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w:t>
                  </w:r>
                </w:p>
              </w:tc>
              <w:tc>
                <w:tcPr>
                  <w:tcW w:w="1058" w:type="dxa"/>
                </w:tcPr>
                <w:p w14:paraId="6C1CB75D">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2.861</w:t>
                  </w:r>
                </w:p>
              </w:tc>
              <w:tc>
                <w:tcPr>
                  <w:tcW w:w="1134" w:type="dxa"/>
                </w:tcPr>
                <w:p w14:paraId="24B369B7">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7.082</w:t>
                  </w:r>
                </w:p>
              </w:tc>
              <w:tc>
                <w:tcPr>
                  <w:tcW w:w="992" w:type="dxa"/>
                </w:tcPr>
                <w:p w14:paraId="11EB5FEF">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1.776</w:t>
                  </w:r>
                </w:p>
              </w:tc>
              <w:tc>
                <w:tcPr>
                  <w:tcW w:w="1134" w:type="dxa"/>
                </w:tcPr>
                <w:p w14:paraId="0DCC0E1F">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13.652</w:t>
                  </w:r>
                </w:p>
              </w:tc>
              <w:tc>
                <w:tcPr>
                  <w:tcW w:w="1134" w:type="dxa"/>
                </w:tcPr>
                <w:p w14:paraId="68467AE0">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25.37</w:t>
                  </w:r>
                </w:p>
              </w:tc>
            </w:tr>
            <w:tr w14:paraId="58A1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dxa"/>
                </w:tcPr>
                <w:p w14:paraId="3CCD8A0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不合格柴油罐</w:t>
                  </w:r>
                </w:p>
              </w:tc>
              <w:tc>
                <w:tcPr>
                  <w:tcW w:w="478" w:type="dxa"/>
                </w:tcPr>
                <w:p w14:paraId="3434EB1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w:t>
                  </w:r>
                </w:p>
              </w:tc>
              <w:tc>
                <w:tcPr>
                  <w:tcW w:w="1058" w:type="dxa"/>
                </w:tcPr>
                <w:p w14:paraId="6D2B7BD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0.25</w:t>
                  </w:r>
                </w:p>
              </w:tc>
              <w:tc>
                <w:tcPr>
                  <w:tcW w:w="1134" w:type="dxa"/>
                </w:tcPr>
                <w:p w14:paraId="383AC092">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1.027</w:t>
                  </w:r>
                </w:p>
              </w:tc>
              <w:tc>
                <w:tcPr>
                  <w:tcW w:w="992" w:type="dxa"/>
                </w:tcPr>
                <w:p w14:paraId="40FA7662">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0.202</w:t>
                  </w:r>
                </w:p>
              </w:tc>
              <w:tc>
                <w:tcPr>
                  <w:tcW w:w="1134" w:type="dxa"/>
                </w:tcPr>
                <w:p w14:paraId="639C632B">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1.614</w:t>
                  </w:r>
                </w:p>
              </w:tc>
              <w:tc>
                <w:tcPr>
                  <w:tcW w:w="1134" w:type="dxa"/>
                </w:tcPr>
                <w:p w14:paraId="01955319">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3.092</w:t>
                  </w:r>
                </w:p>
              </w:tc>
            </w:tr>
            <w:tr w14:paraId="0EF1E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dxa"/>
                </w:tcPr>
                <w:p w14:paraId="4D750A8E">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合计</w:t>
                  </w:r>
                </w:p>
              </w:tc>
              <w:tc>
                <w:tcPr>
                  <w:tcW w:w="5930" w:type="dxa"/>
                  <w:gridSpan w:val="6"/>
                </w:tcPr>
                <w:p w14:paraId="716A1D45">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168.453t/a（其中苯0.03，甲苯2.62，二甲苯0.997）</w:t>
                  </w:r>
                </w:p>
              </w:tc>
            </w:tr>
          </w:tbl>
          <w:p w14:paraId="3E02818A">
            <w:pPr>
              <w:adjustRightInd w:val="0"/>
              <w:snapToGrid w:val="0"/>
              <w:rPr>
                <w:rFonts w:ascii="Times New Roman" w:hAnsi="Times New Roman" w:cs="Times New Roman"/>
                <w:bCs/>
                <w:spacing w:val="-10"/>
              </w:rPr>
            </w:pPr>
          </w:p>
          <w:p w14:paraId="2D7F7862">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（3）设备动静密封点废气源强</w:t>
            </w:r>
          </w:p>
          <w:p w14:paraId="6FF4E318">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项目运行过程中存在阀门、法兰、泵、连接件等密封点无组织废气的排放，源强核算参照《排放源统计调查产排污核算方法和系数手册》（环境部公告2021年第24号）中“工业源挥发性有机物通用源项产排污核算系数手册”《排污许可证申请与核发技术规范石化工业》（HJ 853-2017）中设备动静密封点挥发性有机物产生量计算公式：</w:t>
            </w:r>
          </w:p>
          <w:p w14:paraId="20B9055C">
            <w:pPr>
              <w:adjustRightInd w:val="0"/>
              <w:snapToGrid w:val="0"/>
              <w:spacing w:line="360" w:lineRule="auto"/>
              <w:ind w:firstLine="440" w:firstLineChars="200"/>
              <w:rPr>
                <w:rFonts w:ascii="Times New Roman" w:hAnsi="Times New Roman" w:cs="Times New Roman"/>
                <w:bCs/>
                <w:spacing w:val="-10"/>
              </w:rPr>
            </w:pPr>
            <m:oMathPara>
              <m:oMath>
                <m:sSub>
                  <m:sSubPr>
                    <m:ctrlPr>
                      <w:rPr>
                        <w:rFonts w:ascii="Cambria Math" w:hAnsi="Cambria Math" w:cs="Times New Roman"/>
                        <w:bCs/>
                        <w:i/>
                        <w:spacing w:val="-10"/>
                      </w:rPr>
                    </m:ctrlPr>
                  </m:sSubPr>
                  <m:e>
                    <m:r>
                      <m:rPr/>
                      <w:rPr>
                        <w:rFonts w:ascii="Cambria Math" w:hAnsi="Cambria Math" w:cs="Times New Roman"/>
                        <w:spacing w:val="-10"/>
                      </w:rPr>
                      <m:t>E</m:t>
                    </m:r>
                    <m:ctrlPr>
                      <w:rPr>
                        <w:rFonts w:ascii="Cambria Math" w:hAnsi="Cambria Math" w:cs="Times New Roman"/>
                        <w:bCs/>
                        <w:i/>
                        <w:spacing w:val="-10"/>
                      </w:rPr>
                    </m:ctrlPr>
                  </m:e>
                  <m:sub>
                    <m:r>
                      <m:rPr/>
                      <w:rPr>
                        <w:rFonts w:ascii="Cambria Math" w:hAnsi="Cambria Math" w:cs="Times New Roman"/>
                        <w:spacing w:val="-10"/>
                      </w:rPr>
                      <m:t>设备</m:t>
                    </m:r>
                    <m:ctrlPr>
                      <w:rPr>
                        <w:rFonts w:ascii="Cambria Math" w:hAnsi="Cambria Math" w:cs="Times New Roman"/>
                        <w:bCs/>
                        <w:i/>
                        <w:spacing w:val="-10"/>
                      </w:rPr>
                    </m:ctrlPr>
                  </m:sub>
                </m:sSub>
                <m:r>
                  <m:rPr/>
                  <w:rPr>
                    <w:rFonts w:ascii="Cambria Math" w:hAnsi="Cambria Math" w:cs="Times New Roman"/>
                    <w:spacing w:val="-10"/>
                  </w:rPr>
                  <m:t>=0.003×</m:t>
                </m:r>
                <m:nary>
                  <m:naryPr>
                    <m:chr m:val="∑"/>
                    <m:limLoc m:val="undOvr"/>
                    <m:ctrlPr>
                      <w:rPr>
                        <w:rFonts w:ascii="Cambria Math" w:hAnsi="Cambria Math" w:cs="Times New Roman"/>
                        <w:bCs/>
                        <w:i/>
                        <w:spacing w:val="-10"/>
                      </w:rPr>
                    </m:ctrlPr>
                  </m:naryPr>
                  <m:sub>
                    <m:r>
                      <m:rPr/>
                      <w:rPr>
                        <w:rFonts w:ascii="Cambria Math" w:hAnsi="Cambria Math" w:cs="Times New Roman"/>
                        <w:spacing w:val="-10"/>
                      </w:rPr>
                      <m:t>i=1</m:t>
                    </m:r>
                    <m:ctrlPr>
                      <w:rPr>
                        <w:rFonts w:ascii="Cambria Math" w:hAnsi="Cambria Math" w:cs="Times New Roman"/>
                        <w:bCs/>
                        <w:i/>
                        <w:spacing w:val="-10"/>
                      </w:rPr>
                    </m:ctrlPr>
                  </m:sub>
                  <m:sup>
                    <m:r>
                      <m:rPr/>
                      <w:rPr>
                        <w:rFonts w:ascii="Cambria Math" w:hAnsi="Cambria Math" w:cs="Times New Roman"/>
                        <w:spacing w:val="-10"/>
                      </w:rPr>
                      <m:t>n</m:t>
                    </m:r>
                    <m:ctrlPr>
                      <w:rPr>
                        <w:rFonts w:ascii="Cambria Math" w:hAnsi="Cambria Math" w:cs="Times New Roman"/>
                        <w:bCs/>
                        <w:i/>
                        <w:spacing w:val="-10"/>
                      </w:rPr>
                    </m:ctrlPr>
                  </m:sup>
                  <m:e>
                    <m:d>
                      <m:dPr>
                        <m:ctrlPr>
                          <w:rPr>
                            <w:rFonts w:ascii="Cambria Math" w:hAnsi="Cambria Math" w:cs="Times New Roman"/>
                            <w:bCs/>
                            <w:i/>
                            <w:spacing w:val="-10"/>
                          </w:rPr>
                        </m:ctrlPr>
                      </m:dPr>
                      <m:e>
                        <m:sSub>
                          <m:sSubPr>
                            <m:ctrlPr>
                              <w:rPr>
                                <w:rFonts w:ascii="Cambria Math" w:hAnsi="Cambria Math" w:cs="Times New Roman"/>
                                <w:bCs/>
                                <w:i/>
                                <w:spacing w:val="-10"/>
                              </w:rPr>
                            </m:ctrlPr>
                          </m:sSubPr>
                          <m:e>
                            <m:r>
                              <m:rPr/>
                              <w:rPr>
                                <w:rFonts w:ascii="Cambria Math" w:hAnsi="Cambria Math" w:cs="Times New Roman"/>
                                <w:spacing w:val="-10"/>
                              </w:rPr>
                              <m:t>e</m:t>
                            </m:r>
                            <m:ctrlPr>
                              <w:rPr>
                                <w:rFonts w:ascii="Cambria Math" w:hAnsi="Cambria Math" w:cs="Times New Roman"/>
                                <w:bCs/>
                                <w:i/>
                                <w:spacing w:val="-10"/>
                              </w:rPr>
                            </m:ctrlPr>
                          </m:e>
                          <m:sub>
                            <m:r>
                              <m:rPr/>
                              <w:rPr>
                                <w:rFonts w:ascii="Cambria Math" w:hAnsi="Cambria Math" w:cs="Times New Roman"/>
                                <w:spacing w:val="-10"/>
                              </w:rPr>
                              <m:t>TOC</m:t>
                            </m:r>
                            <m:ctrlPr>
                              <w:rPr>
                                <w:rFonts w:ascii="Cambria Math" w:hAnsi="Cambria Math" w:cs="Times New Roman"/>
                                <w:bCs/>
                                <w:i/>
                                <w:spacing w:val="-10"/>
                              </w:rPr>
                            </m:ctrlPr>
                          </m:sub>
                        </m:sSub>
                        <m:r>
                          <m:rPr/>
                          <w:rPr>
                            <w:rFonts w:ascii="Cambria Math" w:hAnsi="Cambria Math" w:cs="Times New Roman"/>
                            <w:spacing w:val="-10"/>
                          </w:rPr>
                          <m:t>,i×</m:t>
                        </m:r>
                        <m:f>
                          <m:fPr>
                            <m:ctrlPr>
                              <w:rPr>
                                <w:rFonts w:ascii="Cambria Math" w:hAnsi="Cambria Math" w:cs="Times New Roman"/>
                                <w:bCs/>
                                <w:i/>
                                <w:spacing w:val="-10"/>
                              </w:rPr>
                            </m:ctrlPr>
                          </m:fPr>
                          <m:num>
                            <m:sSub>
                              <m:sSubPr>
                                <m:ctrlPr>
                                  <w:rPr>
                                    <w:rFonts w:ascii="Cambria Math" w:hAnsi="Cambria Math" w:cs="Times New Roman"/>
                                    <w:bCs/>
                                    <w:i/>
                                    <w:spacing w:val="-10"/>
                                  </w:rPr>
                                </m:ctrlPr>
                              </m:sSubPr>
                              <m:e>
                                <m:r>
                                  <m:rPr/>
                                  <w:rPr>
                                    <w:rFonts w:ascii="Cambria Math" w:hAnsi="Cambria Math" w:cs="Times New Roman"/>
                                    <w:spacing w:val="-10"/>
                                  </w:rPr>
                                  <m:t>WF</m:t>
                                </m:r>
                                <m:ctrlPr>
                                  <w:rPr>
                                    <w:rFonts w:ascii="Cambria Math" w:hAnsi="Cambria Math" w:cs="Times New Roman"/>
                                    <w:bCs/>
                                    <w:i/>
                                    <w:spacing w:val="-10"/>
                                  </w:rPr>
                                </m:ctrlPr>
                              </m:e>
                              <m:sub>
                                <m:r>
                                  <m:rPr/>
                                  <w:rPr>
                                    <w:rFonts w:ascii="Cambria Math" w:hAnsi="Cambria Math" w:cs="Times New Roman"/>
                                    <w:spacing w:val="-10"/>
                                  </w:rPr>
                                  <m:t>VOCs,i</m:t>
                                </m:r>
                                <m:ctrlPr>
                                  <w:rPr>
                                    <w:rFonts w:ascii="Cambria Math" w:hAnsi="Cambria Math" w:cs="Times New Roman"/>
                                    <w:bCs/>
                                    <w:i/>
                                    <w:spacing w:val="-10"/>
                                  </w:rPr>
                                </m:ctrlPr>
                              </m:sub>
                            </m:sSub>
                            <m:ctrlPr>
                              <w:rPr>
                                <w:rFonts w:ascii="Cambria Math" w:hAnsi="Cambria Math" w:cs="Times New Roman"/>
                                <w:bCs/>
                                <w:i/>
                                <w:spacing w:val="-10"/>
                              </w:rPr>
                            </m:ctrlPr>
                          </m:num>
                          <m:den>
                            <m:sSub>
                              <m:sSubPr>
                                <m:ctrlPr>
                                  <w:rPr>
                                    <w:rFonts w:ascii="Cambria Math" w:hAnsi="Cambria Math" w:cs="Times New Roman"/>
                                    <w:bCs/>
                                    <w:i/>
                                    <w:spacing w:val="-10"/>
                                  </w:rPr>
                                </m:ctrlPr>
                              </m:sSubPr>
                              <m:e>
                                <m:r>
                                  <m:rPr/>
                                  <w:rPr>
                                    <w:rFonts w:ascii="Cambria Math" w:hAnsi="Cambria Math" w:cs="Times New Roman"/>
                                    <w:spacing w:val="-10"/>
                                  </w:rPr>
                                  <m:t>WF</m:t>
                                </m:r>
                                <m:ctrlPr>
                                  <w:rPr>
                                    <w:rFonts w:ascii="Cambria Math" w:hAnsi="Cambria Math" w:cs="Times New Roman"/>
                                    <w:bCs/>
                                    <w:i/>
                                    <w:spacing w:val="-10"/>
                                  </w:rPr>
                                </m:ctrlPr>
                              </m:e>
                              <m:sub>
                                <m:r>
                                  <m:rPr/>
                                  <w:rPr>
                                    <w:rFonts w:ascii="Cambria Math" w:hAnsi="Cambria Math" w:cs="Times New Roman"/>
                                    <w:spacing w:val="-10"/>
                                  </w:rPr>
                                  <m:t>TOC,i</m:t>
                                </m:r>
                                <m:ctrlPr>
                                  <w:rPr>
                                    <w:rFonts w:ascii="Cambria Math" w:hAnsi="Cambria Math" w:cs="Times New Roman"/>
                                    <w:bCs/>
                                    <w:i/>
                                    <w:spacing w:val="-10"/>
                                  </w:rPr>
                                </m:ctrlPr>
                              </m:sub>
                            </m:sSub>
                            <m:ctrlPr>
                              <w:rPr>
                                <w:rFonts w:ascii="Cambria Math" w:hAnsi="Cambria Math" w:cs="Times New Roman"/>
                                <w:bCs/>
                                <w:i/>
                                <w:spacing w:val="-10"/>
                              </w:rPr>
                            </m:ctrlPr>
                          </m:den>
                        </m:f>
                        <m:r>
                          <m:rPr/>
                          <w:rPr>
                            <w:rFonts w:ascii="Cambria Math" w:hAnsi="Cambria Math" w:cs="Times New Roman"/>
                            <w:spacing w:val="-10"/>
                          </w:rPr>
                          <m:t>×</m:t>
                        </m:r>
                        <m:sSub>
                          <m:sSubPr>
                            <m:ctrlPr>
                              <w:rPr>
                                <w:rFonts w:ascii="Cambria Math" w:hAnsi="Cambria Math" w:cs="Times New Roman"/>
                                <w:bCs/>
                                <w:i/>
                                <w:spacing w:val="-10"/>
                              </w:rPr>
                            </m:ctrlPr>
                          </m:sSubPr>
                          <m:e>
                            <m:r>
                              <m:rPr/>
                              <w:rPr>
                                <w:rFonts w:ascii="Cambria Math" w:hAnsi="Cambria Math" w:cs="Times New Roman"/>
                                <w:spacing w:val="-10"/>
                              </w:rPr>
                              <m:t>t</m:t>
                            </m:r>
                            <m:ctrlPr>
                              <w:rPr>
                                <w:rFonts w:ascii="Cambria Math" w:hAnsi="Cambria Math" w:cs="Times New Roman"/>
                                <w:bCs/>
                                <w:i/>
                                <w:spacing w:val="-10"/>
                              </w:rPr>
                            </m:ctrlPr>
                          </m:e>
                          <m:sub>
                            <m:r>
                              <m:rPr/>
                              <w:rPr>
                                <w:rFonts w:ascii="Cambria Math" w:hAnsi="Cambria Math" w:cs="Times New Roman"/>
                                <w:spacing w:val="-10"/>
                              </w:rPr>
                              <m:t>i</m:t>
                            </m:r>
                            <m:ctrlPr>
                              <w:rPr>
                                <w:rFonts w:ascii="Cambria Math" w:hAnsi="Cambria Math" w:cs="Times New Roman"/>
                                <w:bCs/>
                                <w:i/>
                                <w:spacing w:val="-10"/>
                              </w:rPr>
                            </m:ctrlPr>
                          </m:sub>
                        </m:sSub>
                        <m:ctrlPr>
                          <w:rPr>
                            <w:rFonts w:ascii="Cambria Math" w:hAnsi="Cambria Math" w:cs="Times New Roman"/>
                            <w:bCs/>
                            <w:i/>
                            <w:spacing w:val="-10"/>
                          </w:rPr>
                        </m:ctrlPr>
                      </m:e>
                    </m:d>
                    <m:ctrlPr>
                      <w:rPr>
                        <w:rFonts w:ascii="Cambria Math" w:hAnsi="Cambria Math" w:cs="Times New Roman"/>
                        <w:bCs/>
                        <w:i/>
                        <w:spacing w:val="-10"/>
                      </w:rPr>
                    </m:ctrlPr>
                  </m:e>
                </m:nary>
              </m:oMath>
            </m:oMathPara>
          </w:p>
          <w:p w14:paraId="750F54CA">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式中：E</w:t>
            </w:r>
            <w:r>
              <w:rPr>
                <w:rFonts w:ascii="Times New Roman" w:hAnsi="Times New Roman" w:cs="Times New Roman"/>
                <w:bCs/>
                <w:spacing w:val="-10"/>
                <w:vertAlign w:val="subscript"/>
              </w:rPr>
              <w:t>设备</w:t>
            </w:r>
            <w:r>
              <w:rPr>
                <w:rFonts w:ascii="Times New Roman" w:hAnsi="Times New Roman" w:cs="Times New Roman"/>
                <w:bCs/>
                <w:spacing w:val="-10"/>
              </w:rPr>
              <w:t>，设备与管线组件密封点的挥发性有机物年排放量，kg/a；</w:t>
            </w:r>
          </w:p>
          <w:p w14:paraId="6834B654">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n，挥发性有机物流经的设备与管线组件密封点数；</w:t>
            </w:r>
          </w:p>
          <w:p w14:paraId="4943928D">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i/>
                <w:iCs/>
                <w:spacing w:val="-10"/>
              </w:rPr>
              <w:t>e</w:t>
            </w:r>
            <w:r>
              <w:rPr>
                <w:rFonts w:ascii="Times New Roman" w:hAnsi="Times New Roman" w:cs="Times New Roman"/>
                <w:bCs/>
                <w:i/>
                <w:iCs/>
                <w:spacing w:val="-10"/>
                <w:vertAlign w:val="subscript"/>
              </w:rPr>
              <w:t>TOC,i</w:t>
            </w:r>
            <w:r>
              <w:rPr>
                <w:rFonts w:ascii="Times New Roman" w:hAnsi="Times New Roman" w:cs="Times New Roman"/>
                <w:bCs/>
                <w:spacing w:val="-10"/>
              </w:rPr>
              <w:t>，密封点i的总有机碳（TOC）排放速率，kg/h，详见表4-5；</w:t>
            </w:r>
          </w:p>
          <w:p w14:paraId="405A037D">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WF</w:t>
            </w:r>
            <w:r>
              <w:rPr>
                <w:rFonts w:ascii="Times New Roman" w:hAnsi="Times New Roman" w:cs="Times New Roman"/>
                <w:bCs/>
                <w:i/>
                <w:iCs/>
                <w:spacing w:val="-10"/>
                <w:vertAlign w:val="subscript"/>
              </w:rPr>
              <w:t>VOC,i</w:t>
            </w:r>
            <w:r>
              <w:rPr>
                <w:rFonts w:ascii="Times New Roman" w:hAnsi="Times New Roman" w:cs="Times New Roman"/>
                <w:bCs/>
                <w:spacing w:val="-10"/>
              </w:rPr>
              <w:t>/WF</w:t>
            </w:r>
            <w:r>
              <w:rPr>
                <w:rFonts w:ascii="Times New Roman" w:hAnsi="Times New Roman" w:cs="Times New Roman"/>
                <w:bCs/>
                <w:i/>
                <w:iCs/>
                <w:spacing w:val="-10"/>
                <w:vertAlign w:val="subscript"/>
              </w:rPr>
              <w:t>TOC,i</w:t>
            </w:r>
            <w:r>
              <w:rPr>
                <w:rFonts w:ascii="Times New Roman" w:hAnsi="Times New Roman" w:cs="Times New Roman"/>
                <w:bCs/>
                <w:spacing w:val="-10"/>
              </w:rPr>
              <w:t>的比值取1；</w:t>
            </w:r>
          </w:p>
          <w:p w14:paraId="5844AB33">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t</w:t>
            </w:r>
            <w:r>
              <w:rPr>
                <w:rFonts w:ascii="Times New Roman" w:hAnsi="Times New Roman" w:cs="Times New Roman"/>
                <w:bCs/>
                <w:spacing w:val="-10"/>
                <w:vertAlign w:val="subscript"/>
              </w:rPr>
              <w:t>i</w:t>
            </w:r>
            <w:r>
              <w:rPr>
                <w:rFonts w:ascii="Times New Roman" w:hAnsi="Times New Roman" w:cs="Times New Roman"/>
                <w:bCs/>
                <w:spacing w:val="-10"/>
              </w:rPr>
              <w:t>，密封点i年运行时间，h/a。</w:t>
            </w:r>
          </w:p>
          <w:p w14:paraId="566F26F7">
            <w:pPr>
              <w:adjustRightInd w:val="0"/>
              <w:snapToGrid w:val="0"/>
              <w:ind w:firstLine="442" w:firstLineChars="200"/>
              <w:jc w:val="center"/>
              <w:rPr>
                <w:rFonts w:ascii="Times New Roman" w:hAnsi="Times New Roman" w:cs="Times New Roman"/>
                <w:b/>
                <w:spacing w:val="-10"/>
                <w:szCs w:val="21"/>
              </w:rPr>
            </w:pPr>
            <w:r>
              <w:rPr>
                <w:rFonts w:ascii="Times New Roman" w:hAnsi="Times New Roman" w:cs="Times New Roman"/>
                <w:b/>
                <w:spacing w:val="-10"/>
                <w:szCs w:val="21"/>
              </w:rPr>
              <w:t>表4-6  密封点排放系数取值</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3402"/>
              <w:gridCol w:w="3698"/>
            </w:tblGrid>
            <w:tr w14:paraId="483B3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tcPr>
                <w:p w14:paraId="55594B4D">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序号</w:t>
                  </w:r>
                </w:p>
              </w:tc>
              <w:tc>
                <w:tcPr>
                  <w:tcW w:w="3402" w:type="dxa"/>
                </w:tcPr>
                <w:p w14:paraId="5DAAB29F">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设备类型</w:t>
                  </w:r>
                </w:p>
              </w:tc>
              <w:tc>
                <w:tcPr>
                  <w:tcW w:w="3698" w:type="dxa"/>
                </w:tcPr>
                <w:p w14:paraId="78935BF2">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排放系数（kg/h/排放源）</w:t>
                  </w:r>
                </w:p>
              </w:tc>
            </w:tr>
            <w:tr w14:paraId="3DF0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tcPr>
                <w:p w14:paraId="230B0473">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w:t>
                  </w:r>
                </w:p>
              </w:tc>
              <w:tc>
                <w:tcPr>
                  <w:tcW w:w="3402" w:type="dxa"/>
                </w:tcPr>
                <w:p w14:paraId="78B66D5E">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气体阀门</w:t>
                  </w:r>
                </w:p>
              </w:tc>
              <w:tc>
                <w:tcPr>
                  <w:tcW w:w="3698" w:type="dxa"/>
                </w:tcPr>
                <w:p w14:paraId="098E94D4">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0.024</w:t>
                  </w:r>
                </w:p>
              </w:tc>
            </w:tr>
            <w:tr w14:paraId="719E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tcPr>
                <w:p w14:paraId="471C1F1D">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2</w:t>
                  </w:r>
                </w:p>
              </w:tc>
              <w:tc>
                <w:tcPr>
                  <w:tcW w:w="3402" w:type="dxa"/>
                </w:tcPr>
                <w:p w14:paraId="1CE27A79">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开口阀或开口管线</w:t>
                  </w:r>
                </w:p>
              </w:tc>
              <w:tc>
                <w:tcPr>
                  <w:tcW w:w="3698" w:type="dxa"/>
                </w:tcPr>
                <w:p w14:paraId="37812CC1">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0.03</w:t>
                  </w:r>
                </w:p>
              </w:tc>
            </w:tr>
            <w:tr w14:paraId="29B46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tcPr>
                <w:p w14:paraId="70B1D443">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3</w:t>
                  </w:r>
                </w:p>
              </w:tc>
              <w:tc>
                <w:tcPr>
                  <w:tcW w:w="3402" w:type="dxa"/>
                </w:tcPr>
                <w:p w14:paraId="7128F729">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有机液体阀门</w:t>
                  </w:r>
                </w:p>
              </w:tc>
              <w:tc>
                <w:tcPr>
                  <w:tcW w:w="3698" w:type="dxa"/>
                </w:tcPr>
                <w:p w14:paraId="4B9EE498">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0.036</w:t>
                  </w:r>
                </w:p>
              </w:tc>
            </w:tr>
            <w:tr w14:paraId="349A4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tcPr>
                <w:p w14:paraId="092FA6D1">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4</w:t>
                  </w:r>
                </w:p>
              </w:tc>
              <w:tc>
                <w:tcPr>
                  <w:tcW w:w="3402" w:type="dxa"/>
                </w:tcPr>
                <w:p w14:paraId="041F5A2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法兰或连接件</w:t>
                  </w:r>
                </w:p>
              </w:tc>
              <w:tc>
                <w:tcPr>
                  <w:tcW w:w="3698" w:type="dxa"/>
                </w:tcPr>
                <w:p w14:paraId="41D21C73">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0.044</w:t>
                  </w:r>
                </w:p>
              </w:tc>
            </w:tr>
            <w:tr w14:paraId="3474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tcPr>
                <w:p w14:paraId="1EAB86DD">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5</w:t>
                  </w:r>
                </w:p>
              </w:tc>
              <w:tc>
                <w:tcPr>
                  <w:tcW w:w="3402" w:type="dxa"/>
                </w:tcPr>
                <w:p w14:paraId="35618E00">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泵、压缩机、搅拌器、泄压设备</w:t>
                  </w:r>
                </w:p>
              </w:tc>
              <w:tc>
                <w:tcPr>
                  <w:tcW w:w="3698" w:type="dxa"/>
                </w:tcPr>
                <w:p w14:paraId="7A9154F0">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0.14</w:t>
                  </w:r>
                </w:p>
              </w:tc>
            </w:tr>
            <w:tr w14:paraId="75AB2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tcPr>
                <w:p w14:paraId="07521BEC">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6</w:t>
                  </w:r>
                </w:p>
              </w:tc>
              <w:tc>
                <w:tcPr>
                  <w:tcW w:w="3402" w:type="dxa"/>
                </w:tcPr>
                <w:p w14:paraId="7405E76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其他</w:t>
                  </w:r>
                </w:p>
              </w:tc>
              <w:tc>
                <w:tcPr>
                  <w:tcW w:w="3698" w:type="dxa"/>
                </w:tcPr>
                <w:p w14:paraId="218B3CE0">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0.073</w:t>
                  </w:r>
                </w:p>
              </w:tc>
            </w:tr>
          </w:tbl>
          <w:p w14:paraId="31E9338E">
            <w:pPr>
              <w:adjustRightInd w:val="0"/>
              <w:snapToGrid w:val="0"/>
              <w:ind w:firstLine="440" w:firstLineChars="200"/>
              <w:rPr>
                <w:rFonts w:ascii="Times New Roman" w:hAnsi="Times New Roman" w:cs="Times New Roman"/>
                <w:bCs/>
                <w:spacing w:val="-10"/>
              </w:rPr>
            </w:pPr>
            <w:r>
              <w:rPr>
                <w:rFonts w:ascii="Times New Roman" w:hAnsi="Times New Roman" w:cs="Times New Roman"/>
                <w:bCs/>
                <w:spacing w:val="-10"/>
              </w:rPr>
              <w:t>根据上述公式计算本工程阀门、法兰等位置无组织排放的</w:t>
            </w:r>
            <w:r>
              <w:rPr>
                <w:rFonts w:hint="eastAsia" w:ascii="Times New Roman" w:hAnsi="Times New Roman" w:cs="Times New Roman"/>
                <w:bCs/>
                <w:spacing w:val="-10"/>
              </w:rPr>
              <w:t>挥发性有机物</w:t>
            </w:r>
            <w:r>
              <w:rPr>
                <w:rFonts w:ascii="Times New Roman" w:hAnsi="Times New Roman" w:cs="Times New Roman"/>
                <w:bCs/>
                <w:spacing w:val="-10"/>
              </w:rPr>
              <w:t>，详见表4-7。</w:t>
            </w:r>
          </w:p>
          <w:p w14:paraId="1C913704">
            <w:pPr>
              <w:adjustRightInd w:val="0"/>
              <w:snapToGrid w:val="0"/>
              <w:ind w:firstLine="442" w:firstLineChars="200"/>
              <w:jc w:val="center"/>
              <w:rPr>
                <w:rFonts w:ascii="Times New Roman" w:hAnsi="Times New Roman" w:cs="Times New Roman"/>
                <w:b/>
                <w:spacing w:val="-10"/>
              </w:rPr>
            </w:pPr>
            <w:r>
              <w:rPr>
                <w:rFonts w:ascii="Times New Roman" w:hAnsi="Times New Roman" w:cs="Times New Roman"/>
                <w:b/>
                <w:spacing w:val="-10"/>
                <w:szCs w:val="21"/>
              </w:rPr>
              <w:t>表4-7  设备动静密封点无组织排放</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1701"/>
              <w:gridCol w:w="850"/>
              <w:gridCol w:w="1559"/>
              <w:gridCol w:w="1560"/>
              <w:gridCol w:w="1571"/>
            </w:tblGrid>
            <w:tr w14:paraId="4328A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tcPr>
                <w:p w14:paraId="3DC34DD5">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序号</w:t>
                  </w:r>
                </w:p>
              </w:tc>
              <w:tc>
                <w:tcPr>
                  <w:tcW w:w="1701" w:type="dxa"/>
                </w:tcPr>
                <w:p w14:paraId="088DB3A8">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设备类型</w:t>
                  </w:r>
                </w:p>
              </w:tc>
              <w:tc>
                <w:tcPr>
                  <w:tcW w:w="850" w:type="dxa"/>
                </w:tcPr>
                <w:p w14:paraId="3F31EE40">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设备数量</w:t>
                  </w:r>
                </w:p>
              </w:tc>
              <w:tc>
                <w:tcPr>
                  <w:tcW w:w="1559" w:type="dxa"/>
                </w:tcPr>
                <w:p w14:paraId="798DEC42">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排放速率</w:t>
                  </w:r>
                </w:p>
              </w:tc>
              <w:tc>
                <w:tcPr>
                  <w:tcW w:w="1560" w:type="dxa"/>
                </w:tcPr>
                <w:p w14:paraId="1FFE8377">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年运行时间</w:t>
                  </w:r>
                </w:p>
              </w:tc>
              <w:tc>
                <w:tcPr>
                  <w:tcW w:w="1571" w:type="dxa"/>
                </w:tcPr>
                <w:p w14:paraId="020634EA">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年排放量（t）</w:t>
                  </w:r>
                </w:p>
              </w:tc>
            </w:tr>
            <w:tr w14:paraId="03F4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tcPr>
                <w:p w14:paraId="0AEE220D">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w:t>
                  </w:r>
                </w:p>
              </w:tc>
              <w:tc>
                <w:tcPr>
                  <w:tcW w:w="1701" w:type="dxa"/>
                </w:tcPr>
                <w:p w14:paraId="6C9D0285">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气体阀门</w:t>
                  </w:r>
                </w:p>
              </w:tc>
              <w:tc>
                <w:tcPr>
                  <w:tcW w:w="850" w:type="dxa"/>
                </w:tcPr>
                <w:p w14:paraId="5E769230">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100</w:t>
                  </w:r>
                </w:p>
              </w:tc>
              <w:tc>
                <w:tcPr>
                  <w:tcW w:w="1559" w:type="dxa"/>
                </w:tcPr>
                <w:p w14:paraId="05D32E9B">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0.0072</w:t>
                  </w:r>
                </w:p>
              </w:tc>
              <w:tc>
                <w:tcPr>
                  <w:tcW w:w="1560" w:type="dxa"/>
                  <w:vMerge w:val="restart"/>
                </w:tcPr>
                <w:p w14:paraId="1B367BAB">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8000</w:t>
                  </w:r>
                </w:p>
              </w:tc>
              <w:tc>
                <w:tcPr>
                  <w:tcW w:w="1571" w:type="dxa"/>
                </w:tcPr>
                <w:p w14:paraId="1433028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0.058</w:t>
                  </w:r>
                </w:p>
              </w:tc>
            </w:tr>
            <w:tr w14:paraId="5108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tcPr>
                <w:p w14:paraId="59AD221C">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2</w:t>
                  </w:r>
                </w:p>
              </w:tc>
              <w:tc>
                <w:tcPr>
                  <w:tcW w:w="1701" w:type="dxa"/>
                </w:tcPr>
                <w:p w14:paraId="62028062">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有机液体阀门</w:t>
                  </w:r>
                </w:p>
              </w:tc>
              <w:tc>
                <w:tcPr>
                  <w:tcW w:w="850" w:type="dxa"/>
                </w:tcPr>
                <w:p w14:paraId="1504253E">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140</w:t>
                  </w:r>
                </w:p>
              </w:tc>
              <w:tc>
                <w:tcPr>
                  <w:tcW w:w="1559" w:type="dxa"/>
                </w:tcPr>
                <w:p w14:paraId="5B1575BE">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0.01512</w:t>
                  </w:r>
                </w:p>
              </w:tc>
              <w:tc>
                <w:tcPr>
                  <w:tcW w:w="1560" w:type="dxa"/>
                  <w:vMerge w:val="continue"/>
                </w:tcPr>
                <w:p w14:paraId="425CEE09">
                  <w:pPr>
                    <w:adjustRightInd w:val="0"/>
                    <w:snapToGrid w:val="0"/>
                    <w:rPr>
                      <w:rFonts w:ascii="Times New Roman" w:hAnsi="Times New Roman" w:cs="Times New Roman"/>
                      <w:bCs/>
                      <w:spacing w:val="-10"/>
                      <w:szCs w:val="21"/>
                    </w:rPr>
                  </w:pPr>
                </w:p>
              </w:tc>
              <w:tc>
                <w:tcPr>
                  <w:tcW w:w="1571" w:type="dxa"/>
                </w:tcPr>
                <w:p w14:paraId="022498DA">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0.121</w:t>
                  </w:r>
                </w:p>
              </w:tc>
            </w:tr>
            <w:tr w14:paraId="0ED7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tcPr>
                <w:p w14:paraId="53AB3D9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3</w:t>
                  </w:r>
                </w:p>
              </w:tc>
              <w:tc>
                <w:tcPr>
                  <w:tcW w:w="1701" w:type="dxa"/>
                </w:tcPr>
                <w:p w14:paraId="6B66842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法兰或连接件</w:t>
                  </w:r>
                </w:p>
              </w:tc>
              <w:tc>
                <w:tcPr>
                  <w:tcW w:w="850" w:type="dxa"/>
                </w:tcPr>
                <w:p w14:paraId="56E88BC8">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3</w:t>
                  </w:r>
                </w:p>
              </w:tc>
              <w:tc>
                <w:tcPr>
                  <w:tcW w:w="1559" w:type="dxa"/>
                </w:tcPr>
                <w:p w14:paraId="324759BD">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0.000396</w:t>
                  </w:r>
                </w:p>
              </w:tc>
              <w:tc>
                <w:tcPr>
                  <w:tcW w:w="1560" w:type="dxa"/>
                  <w:vMerge w:val="continue"/>
                </w:tcPr>
                <w:p w14:paraId="2200CC90">
                  <w:pPr>
                    <w:adjustRightInd w:val="0"/>
                    <w:snapToGrid w:val="0"/>
                    <w:rPr>
                      <w:rFonts w:ascii="Times New Roman" w:hAnsi="Times New Roman" w:cs="Times New Roman"/>
                      <w:bCs/>
                      <w:spacing w:val="-10"/>
                      <w:szCs w:val="21"/>
                    </w:rPr>
                  </w:pPr>
                </w:p>
              </w:tc>
              <w:tc>
                <w:tcPr>
                  <w:tcW w:w="1571" w:type="dxa"/>
                </w:tcPr>
                <w:p w14:paraId="13B4817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0.003</w:t>
                  </w:r>
                </w:p>
              </w:tc>
            </w:tr>
            <w:tr w14:paraId="0242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tcPr>
                <w:p w14:paraId="76C4D52D">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4</w:t>
                  </w:r>
                </w:p>
              </w:tc>
              <w:tc>
                <w:tcPr>
                  <w:tcW w:w="1701" w:type="dxa"/>
                </w:tcPr>
                <w:p w14:paraId="78330ED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泵</w:t>
                  </w:r>
                </w:p>
              </w:tc>
              <w:tc>
                <w:tcPr>
                  <w:tcW w:w="850" w:type="dxa"/>
                </w:tcPr>
                <w:p w14:paraId="59CD32BC">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14</w:t>
                  </w:r>
                </w:p>
              </w:tc>
              <w:tc>
                <w:tcPr>
                  <w:tcW w:w="1559" w:type="dxa"/>
                </w:tcPr>
                <w:p w14:paraId="30202E0A">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0.003108</w:t>
                  </w:r>
                </w:p>
              </w:tc>
              <w:tc>
                <w:tcPr>
                  <w:tcW w:w="1560" w:type="dxa"/>
                  <w:vMerge w:val="continue"/>
                </w:tcPr>
                <w:p w14:paraId="6C0D9A6A">
                  <w:pPr>
                    <w:adjustRightInd w:val="0"/>
                    <w:snapToGrid w:val="0"/>
                    <w:rPr>
                      <w:rFonts w:ascii="Times New Roman" w:hAnsi="Times New Roman" w:cs="Times New Roman"/>
                      <w:bCs/>
                      <w:spacing w:val="-10"/>
                      <w:szCs w:val="21"/>
                    </w:rPr>
                  </w:pPr>
                </w:p>
              </w:tc>
              <w:tc>
                <w:tcPr>
                  <w:tcW w:w="1571" w:type="dxa"/>
                </w:tcPr>
                <w:p w14:paraId="60E9BE9B">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0.025</w:t>
                  </w:r>
                </w:p>
              </w:tc>
            </w:tr>
            <w:tr w14:paraId="0FE3B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tcPr>
                <w:p w14:paraId="3E1CE807">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5</w:t>
                  </w:r>
                </w:p>
              </w:tc>
              <w:tc>
                <w:tcPr>
                  <w:tcW w:w="1701" w:type="dxa"/>
                </w:tcPr>
                <w:p w14:paraId="75FE2757">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合计</w:t>
                  </w:r>
                </w:p>
              </w:tc>
              <w:tc>
                <w:tcPr>
                  <w:tcW w:w="5540" w:type="dxa"/>
                  <w:gridSpan w:val="4"/>
                </w:tcPr>
                <w:p w14:paraId="0CFAE303">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0.207t/a</w:t>
                  </w:r>
                  <w:r>
                    <w:rPr>
                      <w:rFonts w:hint="eastAsia" w:ascii="Times New Roman" w:hAnsi="Times New Roman" w:cs="Times New Roman"/>
                      <w:bCs/>
                      <w:spacing w:val="-10"/>
                      <w:szCs w:val="21"/>
                    </w:rPr>
                    <w:t>（苯</w:t>
                  </w:r>
                  <w:r>
                    <w:rPr>
                      <w:rFonts w:ascii="Times New Roman" w:hAnsi="Times New Roman" w:cs="Times New Roman"/>
                      <w:bCs/>
                      <w:spacing w:val="-10"/>
                      <w:szCs w:val="21"/>
                    </w:rPr>
                    <w:t>0.000008</w:t>
                  </w:r>
                  <w:r>
                    <w:rPr>
                      <w:rFonts w:hint="eastAsia" w:ascii="Times New Roman" w:hAnsi="Times New Roman" w:cs="Times New Roman"/>
                      <w:bCs/>
                      <w:spacing w:val="-10"/>
                      <w:szCs w:val="21"/>
                    </w:rPr>
                    <w:t>，甲苯</w:t>
                  </w:r>
                  <w:r>
                    <w:rPr>
                      <w:rFonts w:ascii="Times New Roman" w:hAnsi="Times New Roman" w:cs="Times New Roman"/>
                      <w:bCs/>
                      <w:spacing w:val="-10"/>
                      <w:szCs w:val="21"/>
                    </w:rPr>
                    <w:t>0.000664</w:t>
                  </w:r>
                  <w:r>
                    <w:rPr>
                      <w:rFonts w:hint="eastAsia" w:ascii="Times New Roman" w:hAnsi="Times New Roman" w:cs="Times New Roman"/>
                      <w:bCs/>
                      <w:spacing w:val="-10"/>
                      <w:szCs w:val="21"/>
                    </w:rPr>
                    <w:t>，二甲苯</w:t>
                  </w:r>
                  <w:r>
                    <w:rPr>
                      <w:rFonts w:ascii="Times New Roman" w:hAnsi="Times New Roman" w:cs="Times New Roman"/>
                      <w:bCs/>
                      <w:spacing w:val="-10"/>
                      <w:szCs w:val="21"/>
                    </w:rPr>
                    <w:t>0.000253</w:t>
                  </w:r>
                  <w:r>
                    <w:rPr>
                      <w:rFonts w:hint="eastAsia" w:ascii="Times New Roman" w:hAnsi="Times New Roman" w:cs="Times New Roman"/>
                      <w:bCs/>
                      <w:spacing w:val="-10"/>
                      <w:szCs w:val="21"/>
                    </w:rPr>
                    <w:t>）</w:t>
                  </w:r>
                </w:p>
              </w:tc>
            </w:tr>
          </w:tbl>
          <w:p w14:paraId="6D03ABAA">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（4）实验室废气</w:t>
            </w:r>
          </w:p>
          <w:p w14:paraId="72E9FC98">
            <w:pPr>
              <w:adjustRightInd w:val="0"/>
              <w:snapToGrid w:val="0"/>
              <w:spacing w:line="360" w:lineRule="auto"/>
              <w:ind w:firstLine="440" w:firstLineChars="200"/>
              <w:rPr>
                <w:rFonts w:ascii="Times New Roman" w:hAnsi="Times New Roman" w:cs="Times New Roman"/>
                <w:b/>
                <w:spacing w:val="-10"/>
              </w:rPr>
            </w:pPr>
            <w:r>
              <w:rPr>
                <w:rFonts w:ascii="Times New Roman" w:hAnsi="Times New Roman" w:cs="Times New Roman"/>
                <w:bCs/>
                <w:spacing w:val="-10"/>
              </w:rPr>
              <w:t>分析化验室主要对原料及产品进行测定，测定项目包括目标物质含量、含水量等，本项目原料、产品均为液态，因此测定过程较简单，无需配液，直接取待测样品放入检测仪器即可。检验过程基本在密闭的检测仪器里面内，在放入和取出过程存在少量逸散，经分析化验室的通排风系统排放，本报告不进行定量计算。</w:t>
            </w:r>
          </w:p>
          <w:p w14:paraId="627390ED">
            <w:pPr>
              <w:adjustRightInd w:val="0"/>
              <w:snapToGrid w:val="0"/>
              <w:spacing w:line="360" w:lineRule="auto"/>
              <w:rPr>
                <w:rFonts w:ascii="Times New Roman" w:hAnsi="Times New Roman" w:cs="Times New Roman"/>
                <w:b/>
                <w:spacing w:val="-10"/>
              </w:rPr>
            </w:pPr>
            <w:r>
              <w:rPr>
                <w:rFonts w:ascii="Times New Roman" w:hAnsi="Times New Roman" w:cs="Times New Roman"/>
                <w:b/>
                <w:spacing w:val="-10"/>
              </w:rPr>
              <w:t>1.2废气防治措施</w:t>
            </w:r>
          </w:p>
          <w:p w14:paraId="2CB85CB4">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为防治物料装卸及储存过程中排放的挥发性有机物对周边大气环境造成影响，建设方采用</w:t>
            </w:r>
            <w:r>
              <w:rPr>
                <w:rFonts w:hint="eastAsia" w:ascii="Times New Roman" w:hAnsi="Times New Roman" w:cs="Times New Roman"/>
                <w:bCs/>
                <w:spacing w:val="-10"/>
              </w:rPr>
              <w:t>底部</w:t>
            </w:r>
            <w:r>
              <w:rPr>
                <w:rFonts w:ascii="Times New Roman" w:hAnsi="Times New Roman" w:cs="Times New Roman"/>
                <w:bCs/>
                <w:spacing w:val="-10"/>
              </w:rPr>
              <w:t>装载系统，装车过程鹤管完全浸没液面，气相回流管路全程负压，杜绝装车间隙油气外溢。储罐全部采用全接液双层密封内浮顶结构，浮盘边缘密封件选用耐油、低渗透复合密封材料，杜绝罐顶气相短路逸散；储罐通气支管、总管全部采用负压密闭输送，管道定期测漏；所有储罐人孔、检修口配备快速密封法兰，检修作业前先置换油气，检修全程临时集气罩收集废气接入回收装置，满足A级储罐无组织管控要求。建立全厂动静密封点台账，对罐区进出口阀门、法兰、泵体、装卸管线、取样口等全部密封点建档编号，泵、阀门、开口管线每季度检测1次，法兰、连接件每半年检测1次，泄漏阈值≥2000μmol/mol 点位48h内完成修复，修复后复测留存记录</w:t>
            </w:r>
            <w:r>
              <w:rPr>
                <w:rFonts w:hint="eastAsia" w:ascii="Times New Roman" w:hAnsi="Times New Roman" w:cs="Times New Roman"/>
                <w:bCs/>
                <w:spacing w:val="-10"/>
              </w:rPr>
              <w:t>。</w:t>
            </w:r>
            <w:r>
              <w:rPr>
                <w:rFonts w:ascii="Times New Roman" w:hAnsi="Times New Roman" w:cs="Times New Roman"/>
                <w:bCs/>
                <w:spacing w:val="-10"/>
              </w:rPr>
              <w:t>进厂油品罐车全部为国五及以上排放标准，重污染预警时段禁止国四及以下柴油货车入场；车辆进厂前核查油气回收接口完好性，无密闭气相回流管路车辆禁止装卸作业。</w:t>
            </w:r>
          </w:p>
          <w:p w14:paraId="7A149D42">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一期油气回收装置处理介质为粗苯、BTXS、纯苯、甲苯、二甲苯、甲醇等轻质烃、苯系物油气；本项目储存、调和物料为MTBE、异辛烷、轻质石脑油、混合芳烃、成品汽油、柴油等，挥发油气以非甲烷总烃为主，产生的油气废气不属于同质同源废气，两套系统废气经统一管网收集、装置冷凝液化后，冷凝液无法实现物理分开收集，采取</w:t>
            </w:r>
            <w:r>
              <w:rPr>
                <w:rFonts w:ascii="Times New Roman" w:hAnsi="Times New Roman" w:cs="Times New Roman"/>
                <w:spacing w:val="-10"/>
              </w:rPr>
              <w:t>混合收集、统一输送至一期加氢装置深加工处理</w:t>
            </w:r>
            <w:r>
              <w:rPr>
                <w:rFonts w:ascii="Times New Roman" w:hAnsi="Times New Roman" w:cs="Times New Roman"/>
                <w:bCs/>
                <w:spacing w:val="-10"/>
              </w:rPr>
              <w:t>的回用方式。本项目二期油品均为合规国标调和组分油，产生的油气冷凝液组分纯净、杂质含量极低，完全满足一期加氢装置进料指标要求，可直接进入一期加氢系统进行精制加工，无杂质富集、组分超标等问题。装置按照一期全部储罐呼吸废气、装卸油气最大工况设计，设备选型预留富余处理负荷，叠加本项目新增油气负荷后，总进气规模仍低于设备额定处理能力，制冷系统、吸附单元、风机系统可满足一、二期合计油气处理需求。</w:t>
            </w:r>
          </w:p>
          <w:p w14:paraId="3A544290">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油气回收装置将各尾气支管收集的废气汇集至两根气相总管，有</w:t>
            </w:r>
            <w:bookmarkStart w:id="16" w:name="OLE_LINK34"/>
            <w:r>
              <w:rPr>
                <w:rFonts w:ascii="Times New Roman" w:hAnsi="Times New Roman" w:cs="Times New Roman"/>
                <w:bCs/>
                <w:spacing w:val="-10"/>
              </w:rPr>
              <w:t>机废气中</w:t>
            </w:r>
            <w:bookmarkStart w:id="17" w:name="OLE_LINK39"/>
            <w:r>
              <w:rPr>
                <w:rFonts w:ascii="Times New Roman" w:hAnsi="Times New Roman" w:cs="Times New Roman"/>
                <w:bCs/>
                <w:spacing w:val="-10"/>
              </w:rPr>
              <w:t>易凝固介质</w:t>
            </w:r>
            <w:bookmarkEnd w:id="16"/>
            <w:bookmarkEnd w:id="17"/>
            <w:r>
              <w:rPr>
                <w:rFonts w:ascii="Times New Roman" w:hAnsi="Times New Roman" w:cs="Times New Roman"/>
                <w:bCs/>
                <w:spacing w:val="-10"/>
              </w:rPr>
              <w:t>的油气首先经过吸收塔吸收一部分介质，之后与其他油气汇合进入冷凝单元进行冷却液化，回收的液态油品经管道油泵直接输送至储油罐。经冷凝后绝大部分组分已经成为液体组分，剩余的尾气和空气的混合气体再进入吸附单元进行吸附分离处理后，尾气达标排放。</w:t>
            </w:r>
          </w:p>
          <w:p w14:paraId="4D8A67DA">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油气回收处理设施由如下单元组成：吸收单元、冷凝单元、吸附单元。</w:t>
            </w:r>
          </w:p>
          <w:p w14:paraId="64CD69E9">
            <w:pPr>
              <w:pStyle w:val="54"/>
              <w:ind w:firstLine="440"/>
            </w:pPr>
            <w:r>
              <w:rPr>
                <w:bCs/>
                <w:spacing w:val="-10"/>
              </w:rPr>
              <w:t>（1）</w:t>
            </w:r>
            <w:r>
              <w:t>吸收单元：本单元中油气完成吸收后进入冷凝单元。</w:t>
            </w:r>
          </w:p>
          <w:p w14:paraId="3764ECC8">
            <w:pPr>
              <w:pStyle w:val="54"/>
            </w:pPr>
            <w:r>
              <w:t>进入油气回收装置的废气等进入一个自循环吸收塔，油气自下而上通过填料段，与循环油泵输出的吸收剂充分接触，被喷淋吸收，处理完的废气进入后续冷凝模块。当储油罐内液位达到低液位时，自动打开进液管道上电动阀补油，一定液位时停止；根据进气管路上累积流量切换更换吸收液，以免影响吸收效果。</w:t>
            </w:r>
          </w:p>
          <w:p w14:paraId="51BEF25B">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（2）冷凝单元：油气在本单元内由气态转化成液态。</w:t>
            </w:r>
          </w:p>
          <w:p w14:paraId="256476EF">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本油气回收装置油气冷凝单元设计为A/B两个蒸发通道，即“双通道”冷凝工艺，当A组蒸发器处于制冷状态时、B组蒸发器处于化霜状态。两组蒸发器之间的运行通过电动阀门自动切断。</w:t>
            </w:r>
          </w:p>
          <w:p w14:paraId="1A337B8E">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（3）吸附单元：本装置采用的吸附单元工艺原理是通过两个吸附罐内的活性炭吸附剂进行反复交替吸附实现油气持续处理的过程。吸附油气尾气饱和的吸附材料再通过真空泵解析脱附再生。</w:t>
            </w:r>
          </w:p>
          <w:p w14:paraId="4417AA10">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脱附出来的气循环进入前端继续降温液化，完成对混合气体的相变液化，实现对油气的回收；本项目油气均通过管道收集，且罐车与油气收集系统通过硬管螺栓连接，收集效率为100%</w:t>
            </w:r>
            <w:r>
              <w:rPr>
                <w:rFonts w:hint="eastAsia" w:ascii="Times New Roman" w:hAnsi="Times New Roman" w:cs="Times New Roman"/>
                <w:bCs/>
                <w:spacing w:val="-10"/>
              </w:rPr>
              <w:t>。</w:t>
            </w:r>
            <w:r>
              <w:rPr>
                <w:rFonts w:ascii="Times New Roman" w:hAnsi="Times New Roman" w:cs="Times New Roman"/>
                <w:bCs/>
                <w:spacing w:val="-10"/>
              </w:rPr>
              <w:t>根据《吸附法工业有机废气治理工程技术规范》要求，吸附工艺处理有机废气吸附效率应不低于 90%；《VOCs治理设施正常运行状况的去除效率》中，冷凝回收法 VOCs 去除效率参考区间为60%~90%。本项目采用</w:t>
            </w:r>
            <w:r>
              <w:rPr>
                <w:rFonts w:ascii="Times New Roman" w:hAnsi="Times New Roman" w:cs="Times New Roman"/>
                <w:b/>
                <w:bCs/>
                <w:spacing w:val="-10"/>
              </w:rPr>
              <w:t>冷</w:t>
            </w:r>
            <w:r>
              <w:rPr>
                <w:rFonts w:ascii="Times New Roman" w:hAnsi="Times New Roman" w:cs="Times New Roman"/>
                <w:spacing w:val="-10"/>
              </w:rPr>
              <w:t>凝+吸附串联工艺</w:t>
            </w:r>
            <w:r>
              <w:rPr>
                <w:rFonts w:ascii="Times New Roman" w:hAnsi="Times New Roman" w:cs="Times New Roman"/>
                <w:bCs/>
                <w:spacing w:val="-10"/>
              </w:rPr>
              <w:t>，其中冷凝单元VOCs去除效率取90%，吸附单元VOCs 去除效率取90%，经核算，整套装置VOCs综合去除效率为99%</w:t>
            </w:r>
            <w:r>
              <w:rPr>
                <w:rFonts w:hint="eastAsia" w:ascii="Times New Roman" w:hAnsi="Times New Roman" w:cs="Times New Roman"/>
                <w:bCs/>
                <w:spacing w:val="-10"/>
              </w:rPr>
              <w:t>，本次环评</w:t>
            </w:r>
            <w:r>
              <w:rPr>
                <w:rFonts w:ascii="Times New Roman" w:hAnsi="Times New Roman" w:cs="Times New Roman"/>
                <w:bCs/>
                <w:spacing w:val="-10"/>
              </w:rPr>
              <w:t>去除效率</w:t>
            </w:r>
            <w:r>
              <w:rPr>
                <w:rFonts w:hint="eastAsia" w:ascii="Times New Roman" w:hAnsi="Times New Roman" w:cs="Times New Roman"/>
                <w:bCs/>
                <w:spacing w:val="-10"/>
              </w:rPr>
              <w:t>取97</w:t>
            </w:r>
            <w:r>
              <w:rPr>
                <w:rFonts w:ascii="Times New Roman" w:hAnsi="Times New Roman" w:cs="Times New Roman"/>
                <w:bCs/>
                <w:spacing w:val="-10"/>
              </w:rPr>
              <w:t>%。</w:t>
            </w:r>
          </w:p>
          <w:p w14:paraId="5AE3F97C">
            <w:pPr>
              <w:adjustRightInd w:val="0"/>
              <w:snapToGrid w:val="0"/>
              <w:spacing w:line="360" w:lineRule="auto"/>
              <w:ind w:firstLine="480" w:firstLineChars="2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经油气回收后，物料装卸和物料储存挥发性有机物的产生、排放情况见表4-8。本项目大气污染物排放量核算表见表4-9。</w:t>
            </w:r>
          </w:p>
          <w:p w14:paraId="1A08D46A">
            <w:pPr>
              <w:adjustRightInd w:val="0"/>
              <w:snapToGrid w:val="0"/>
              <w:ind w:firstLine="442" w:firstLineChars="200"/>
              <w:jc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spacing w:val="-10"/>
                <w:szCs w:val="21"/>
              </w:rPr>
              <w:t>表4-8  油气回收后挥发性有机物排放量</w:t>
            </w:r>
          </w:p>
          <w:tbl>
            <w:tblPr>
              <w:tblStyle w:val="17"/>
              <w:tblW w:w="8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1130"/>
              <w:gridCol w:w="1130"/>
              <w:gridCol w:w="2414"/>
              <w:gridCol w:w="1974"/>
            </w:tblGrid>
            <w:tr w14:paraId="269FA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Align w:val="center"/>
                </w:tcPr>
                <w:p w14:paraId="76E6E36F">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ascii="Times New Roman" w:hAnsi="Times New Roman" w:cs="Times New Roman"/>
                      <w:color w:val="000000" w:themeColor="text1"/>
                      <w:szCs w:val="18"/>
                      <w14:textFill>
                        <w14:solidFill>
                          <w14:schemeClr w14:val="tx1"/>
                        </w14:solidFill>
                      </w14:textFill>
                    </w:rPr>
                    <w:t>污染源</w:t>
                  </w:r>
                </w:p>
              </w:tc>
              <w:tc>
                <w:tcPr>
                  <w:tcW w:w="1130" w:type="dxa"/>
                </w:tcPr>
                <w:p w14:paraId="0C3BFA97">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hint="eastAsia" w:ascii="Times New Roman" w:hAnsi="Times New Roman" w:cs="Times New Roman"/>
                      <w:color w:val="000000" w:themeColor="text1"/>
                      <w:szCs w:val="18"/>
                      <w14:textFill>
                        <w14:solidFill>
                          <w14:schemeClr w14:val="tx1"/>
                        </w14:solidFill>
                      </w14:textFill>
                    </w:rPr>
                    <w:t>污染物</w:t>
                  </w:r>
                </w:p>
              </w:tc>
              <w:tc>
                <w:tcPr>
                  <w:tcW w:w="1130" w:type="dxa"/>
                  <w:vAlign w:val="center"/>
                </w:tcPr>
                <w:p w14:paraId="12B00DEA">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ascii="Times New Roman" w:hAnsi="Times New Roman" w:cs="Times New Roman"/>
                      <w:color w:val="000000" w:themeColor="text1"/>
                      <w:szCs w:val="18"/>
                      <w14:textFill>
                        <w14:solidFill>
                          <w14:schemeClr w14:val="tx1"/>
                        </w14:solidFill>
                      </w14:textFill>
                    </w:rPr>
                    <w:t>污染物产生量（t/a）</w:t>
                  </w:r>
                </w:p>
              </w:tc>
              <w:tc>
                <w:tcPr>
                  <w:tcW w:w="2414" w:type="dxa"/>
                  <w:vAlign w:val="center"/>
                </w:tcPr>
                <w:p w14:paraId="071295C4">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ascii="Times New Roman" w:hAnsi="Times New Roman" w:cs="Times New Roman"/>
                      <w:color w:val="000000" w:themeColor="text1"/>
                      <w:szCs w:val="18"/>
                      <w14:textFill>
                        <w14:solidFill>
                          <w14:schemeClr w14:val="tx1"/>
                        </w14:solidFill>
                      </w14:textFill>
                    </w:rPr>
                    <w:t>处理措施</w:t>
                  </w:r>
                </w:p>
              </w:tc>
              <w:tc>
                <w:tcPr>
                  <w:tcW w:w="1974" w:type="dxa"/>
                  <w:vAlign w:val="center"/>
                </w:tcPr>
                <w:p w14:paraId="6F0825D1">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ascii="Times New Roman" w:hAnsi="Times New Roman" w:cs="Times New Roman"/>
                      <w:color w:val="000000" w:themeColor="text1"/>
                      <w:szCs w:val="18"/>
                      <w14:textFill>
                        <w14:solidFill>
                          <w14:schemeClr w14:val="tx1"/>
                        </w14:solidFill>
                      </w14:textFill>
                    </w:rPr>
                    <w:t>污染物排放量（t/a）</w:t>
                  </w:r>
                </w:p>
              </w:tc>
            </w:tr>
            <w:tr w14:paraId="43A5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restart"/>
                  <w:vAlign w:val="center"/>
                </w:tcPr>
                <w:p w14:paraId="555C10CB">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ascii="Times New Roman" w:hAnsi="Times New Roman" w:cs="Times New Roman"/>
                      <w:color w:val="000000" w:themeColor="text1"/>
                      <w:szCs w:val="18"/>
                      <w14:textFill>
                        <w14:solidFill>
                          <w14:schemeClr w14:val="tx1"/>
                        </w14:solidFill>
                      </w14:textFill>
                    </w:rPr>
                    <w:t>物料装卸</w:t>
                  </w:r>
                </w:p>
              </w:tc>
              <w:tc>
                <w:tcPr>
                  <w:tcW w:w="1130" w:type="dxa"/>
                </w:tcPr>
                <w:p w14:paraId="20A57ECF">
                  <w:pPr>
                    <w:adjustRightInd w:val="0"/>
                    <w:snapToGrid w:val="0"/>
                    <w:jc w:val="center"/>
                    <w:rPr>
                      <w:rFonts w:ascii="Times New Roman" w:hAnsi="Times New Roman" w:cs="Times New Roman"/>
                      <w:bCs/>
                      <w:spacing w:val="-10"/>
                      <w:szCs w:val="18"/>
                    </w:rPr>
                  </w:pPr>
                  <w:r>
                    <w:rPr>
                      <w:rFonts w:ascii="Times New Roman" w:hAnsi="Times New Roman" w:cs="Times New Roman"/>
                      <w:bCs/>
                      <w:spacing w:val="-10"/>
                      <w:szCs w:val="18"/>
                    </w:rPr>
                    <w:t>NMHC</w:t>
                  </w:r>
                </w:p>
              </w:tc>
              <w:tc>
                <w:tcPr>
                  <w:tcW w:w="1130" w:type="dxa"/>
                  <w:vAlign w:val="center"/>
                </w:tcPr>
                <w:p w14:paraId="47FD185B">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hint="eastAsia" w:ascii="Times New Roman" w:hAnsi="Times New Roman" w:cs="Times New Roman"/>
                      <w:color w:val="000000" w:themeColor="text1"/>
                      <w:szCs w:val="18"/>
                      <w14:textFill>
                        <w14:solidFill>
                          <w14:schemeClr w14:val="tx1"/>
                        </w14:solidFill>
                      </w14:textFill>
                    </w:rPr>
                    <w:t>288.597</w:t>
                  </w:r>
                </w:p>
              </w:tc>
              <w:tc>
                <w:tcPr>
                  <w:tcW w:w="2414" w:type="dxa"/>
                  <w:vMerge w:val="restart"/>
                  <w:vAlign w:val="center"/>
                </w:tcPr>
                <w:p w14:paraId="539C4861">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hint="eastAsia" w:ascii="Times New Roman" w:hAnsi="Times New Roman" w:cs="Times New Roman"/>
                      <w:color w:val="000000" w:themeColor="text1"/>
                      <w:szCs w:val="18"/>
                      <w14:textFill>
                        <w14:solidFill>
                          <w14:schemeClr w14:val="tx1"/>
                        </w14:solidFill>
                      </w14:textFill>
                    </w:rPr>
                    <w:t>底部</w:t>
                  </w:r>
                  <w:r>
                    <w:rPr>
                      <w:rFonts w:ascii="Times New Roman" w:hAnsi="Times New Roman" w:cs="Times New Roman"/>
                      <w:color w:val="000000" w:themeColor="text1"/>
                      <w:szCs w:val="18"/>
                      <w14:textFill>
                        <w14:solidFill>
                          <w14:schemeClr w14:val="tx1"/>
                        </w14:solidFill>
                      </w14:textFill>
                    </w:rPr>
                    <w:t>装载+油气回收装置，</w:t>
                  </w:r>
                  <w:r>
                    <w:rPr>
                      <w:rFonts w:ascii="Times New Roman" w:hAnsi="Times New Roman" w:cs="Times New Roman"/>
                      <w:bCs/>
                      <w:color w:val="000000" w:themeColor="text1"/>
                      <w:szCs w:val="18"/>
                      <w14:textFill>
                        <w14:solidFill>
                          <w14:schemeClr w14:val="tx1"/>
                        </w14:solidFill>
                      </w14:textFill>
                    </w:rPr>
                    <w:t>收集效率为100%，</w:t>
                  </w:r>
                  <w:r>
                    <w:rPr>
                      <w:rFonts w:ascii="Times New Roman" w:hAnsi="Times New Roman" w:cs="Times New Roman"/>
                      <w:color w:val="000000" w:themeColor="text1"/>
                      <w:szCs w:val="18"/>
                      <w14:textFill>
                        <w14:solidFill>
                          <w14:schemeClr w14:val="tx1"/>
                        </w14:solidFill>
                      </w14:textFill>
                    </w:rPr>
                    <w:t>去除效率达9</w:t>
                  </w:r>
                  <w:r>
                    <w:rPr>
                      <w:rFonts w:hint="eastAsia" w:ascii="Times New Roman" w:hAnsi="Times New Roman" w:cs="Times New Roman"/>
                      <w:color w:val="000000" w:themeColor="text1"/>
                      <w:szCs w:val="18"/>
                      <w14:textFill>
                        <w14:solidFill>
                          <w14:schemeClr w14:val="tx1"/>
                        </w14:solidFill>
                      </w14:textFill>
                    </w:rPr>
                    <w:t>7</w:t>
                  </w:r>
                  <w:r>
                    <w:rPr>
                      <w:rFonts w:ascii="Times New Roman" w:hAnsi="Times New Roman" w:cs="Times New Roman"/>
                      <w:color w:val="000000" w:themeColor="text1"/>
                      <w:szCs w:val="18"/>
                      <w14:textFill>
                        <w14:solidFill>
                          <w14:schemeClr w14:val="tx1"/>
                        </w14:solidFill>
                      </w14:textFill>
                    </w:rPr>
                    <w:t>%</w:t>
                  </w:r>
                </w:p>
              </w:tc>
              <w:tc>
                <w:tcPr>
                  <w:tcW w:w="1974" w:type="dxa"/>
                  <w:vAlign w:val="center"/>
                </w:tcPr>
                <w:p w14:paraId="2D918B9A">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hint="eastAsia" w:ascii="Times New Roman" w:hAnsi="Times New Roman" w:cs="Times New Roman"/>
                      <w:color w:val="000000" w:themeColor="text1"/>
                      <w:szCs w:val="18"/>
                      <w14:textFill>
                        <w14:solidFill>
                          <w14:schemeClr w14:val="tx1"/>
                        </w14:solidFill>
                      </w14:textFill>
                    </w:rPr>
                    <w:t>8.658</w:t>
                  </w:r>
                </w:p>
              </w:tc>
            </w:tr>
            <w:tr w14:paraId="13EE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vAlign w:val="center"/>
                </w:tcPr>
                <w:p w14:paraId="743C2CCE">
                  <w:pPr>
                    <w:adjustRightInd w:val="0"/>
                    <w:snapToGrid w:val="0"/>
                    <w:jc w:val="center"/>
                    <w:rPr>
                      <w:rFonts w:ascii="Times New Roman" w:hAnsi="Times New Roman" w:cs="Times New Roman"/>
                      <w:color w:val="000000" w:themeColor="text1"/>
                      <w:szCs w:val="18"/>
                      <w14:textFill>
                        <w14:solidFill>
                          <w14:schemeClr w14:val="tx1"/>
                        </w14:solidFill>
                      </w14:textFill>
                    </w:rPr>
                  </w:pPr>
                </w:p>
              </w:tc>
              <w:tc>
                <w:tcPr>
                  <w:tcW w:w="1130" w:type="dxa"/>
                </w:tcPr>
                <w:p w14:paraId="4AEC71E5">
                  <w:pPr>
                    <w:adjustRightInd w:val="0"/>
                    <w:snapToGrid w:val="0"/>
                    <w:jc w:val="center"/>
                    <w:rPr>
                      <w:rFonts w:ascii="Times New Roman" w:hAnsi="Times New Roman" w:cs="Times New Roman"/>
                      <w:bCs/>
                      <w:spacing w:val="-10"/>
                      <w:szCs w:val="18"/>
                    </w:rPr>
                  </w:pPr>
                  <w:r>
                    <w:rPr>
                      <w:rFonts w:hint="eastAsia" w:ascii="Times New Roman" w:hAnsi="Times New Roman" w:cs="Times New Roman"/>
                      <w:bCs/>
                      <w:spacing w:val="-10"/>
                      <w:szCs w:val="18"/>
                    </w:rPr>
                    <w:t>苯</w:t>
                  </w:r>
                </w:p>
              </w:tc>
              <w:tc>
                <w:tcPr>
                  <w:tcW w:w="1130" w:type="dxa"/>
                  <w:vAlign w:val="center"/>
                </w:tcPr>
                <w:p w14:paraId="438FC742">
                  <w:pPr>
                    <w:adjustRightInd w:val="0"/>
                    <w:snapToGrid w:val="0"/>
                    <w:jc w:val="center"/>
                    <w:rPr>
                      <w:rFonts w:ascii="Times New Roman" w:hAnsi="Times New Roman" w:cs="Times New Roman"/>
                      <w:bCs/>
                      <w:spacing w:val="-10"/>
                      <w:szCs w:val="18"/>
                    </w:rPr>
                  </w:pPr>
                  <w:r>
                    <w:rPr>
                      <w:rFonts w:hint="eastAsia" w:ascii="Times New Roman" w:hAnsi="Times New Roman" w:cs="Times New Roman"/>
                      <w:bCs/>
                      <w:spacing w:val="-10"/>
                      <w:szCs w:val="18"/>
                    </w:rPr>
                    <w:t>0.004</w:t>
                  </w:r>
                </w:p>
              </w:tc>
              <w:tc>
                <w:tcPr>
                  <w:tcW w:w="2414" w:type="dxa"/>
                  <w:vMerge w:val="continue"/>
                  <w:vAlign w:val="center"/>
                </w:tcPr>
                <w:p w14:paraId="7DDC0285">
                  <w:pPr>
                    <w:adjustRightInd w:val="0"/>
                    <w:snapToGrid w:val="0"/>
                    <w:jc w:val="center"/>
                    <w:rPr>
                      <w:rFonts w:ascii="Times New Roman" w:hAnsi="Times New Roman" w:cs="Times New Roman"/>
                      <w:color w:val="000000" w:themeColor="text1"/>
                      <w:szCs w:val="18"/>
                      <w14:textFill>
                        <w14:solidFill>
                          <w14:schemeClr w14:val="tx1"/>
                        </w14:solidFill>
                      </w14:textFill>
                    </w:rPr>
                  </w:pPr>
                </w:p>
              </w:tc>
              <w:tc>
                <w:tcPr>
                  <w:tcW w:w="1974" w:type="dxa"/>
                  <w:vAlign w:val="center"/>
                </w:tcPr>
                <w:p w14:paraId="7C599675">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hint="eastAsia" w:ascii="Times New Roman" w:hAnsi="Times New Roman" w:cs="Times New Roman"/>
                      <w:color w:val="000000" w:themeColor="text1"/>
                      <w:szCs w:val="18"/>
                      <w14:textFill>
                        <w14:solidFill>
                          <w14:schemeClr w14:val="tx1"/>
                        </w14:solidFill>
                      </w14:textFill>
                    </w:rPr>
                    <w:t>0.00012</w:t>
                  </w:r>
                </w:p>
              </w:tc>
            </w:tr>
            <w:tr w14:paraId="6FA23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vAlign w:val="center"/>
                </w:tcPr>
                <w:p w14:paraId="6B7E0530">
                  <w:pPr>
                    <w:adjustRightInd w:val="0"/>
                    <w:snapToGrid w:val="0"/>
                    <w:jc w:val="center"/>
                    <w:rPr>
                      <w:rFonts w:ascii="Times New Roman" w:hAnsi="Times New Roman" w:cs="Times New Roman"/>
                      <w:color w:val="000000" w:themeColor="text1"/>
                      <w:szCs w:val="18"/>
                      <w14:textFill>
                        <w14:solidFill>
                          <w14:schemeClr w14:val="tx1"/>
                        </w14:solidFill>
                      </w14:textFill>
                    </w:rPr>
                  </w:pPr>
                </w:p>
              </w:tc>
              <w:tc>
                <w:tcPr>
                  <w:tcW w:w="1130" w:type="dxa"/>
                </w:tcPr>
                <w:p w14:paraId="30A0FA2E">
                  <w:pPr>
                    <w:adjustRightInd w:val="0"/>
                    <w:snapToGrid w:val="0"/>
                    <w:jc w:val="center"/>
                    <w:rPr>
                      <w:rFonts w:ascii="Times New Roman" w:hAnsi="Times New Roman" w:cs="Times New Roman"/>
                      <w:bCs/>
                      <w:spacing w:val="-10"/>
                      <w:szCs w:val="18"/>
                    </w:rPr>
                  </w:pPr>
                  <w:r>
                    <w:rPr>
                      <w:rFonts w:hint="eastAsia" w:ascii="Times New Roman" w:hAnsi="Times New Roman" w:cs="Times New Roman"/>
                      <w:bCs/>
                      <w:spacing w:val="-10"/>
                      <w:szCs w:val="18"/>
                    </w:rPr>
                    <w:t>甲苯</w:t>
                  </w:r>
                </w:p>
              </w:tc>
              <w:tc>
                <w:tcPr>
                  <w:tcW w:w="1130" w:type="dxa"/>
                  <w:vAlign w:val="center"/>
                </w:tcPr>
                <w:p w14:paraId="5C9A0410">
                  <w:pPr>
                    <w:adjustRightInd w:val="0"/>
                    <w:snapToGrid w:val="0"/>
                    <w:jc w:val="center"/>
                    <w:rPr>
                      <w:rFonts w:ascii="Times New Roman" w:hAnsi="Times New Roman" w:cs="Times New Roman"/>
                      <w:bCs/>
                      <w:spacing w:val="-10"/>
                      <w:szCs w:val="18"/>
                    </w:rPr>
                  </w:pPr>
                  <w:r>
                    <w:rPr>
                      <w:rFonts w:hint="eastAsia" w:ascii="Times New Roman" w:hAnsi="Times New Roman" w:cs="Times New Roman"/>
                      <w:bCs/>
                      <w:spacing w:val="-10"/>
                      <w:szCs w:val="18"/>
                    </w:rPr>
                    <w:t>0.34</w:t>
                  </w:r>
                </w:p>
              </w:tc>
              <w:tc>
                <w:tcPr>
                  <w:tcW w:w="2414" w:type="dxa"/>
                  <w:vMerge w:val="continue"/>
                  <w:vAlign w:val="center"/>
                </w:tcPr>
                <w:p w14:paraId="1B9ABCF2">
                  <w:pPr>
                    <w:adjustRightInd w:val="0"/>
                    <w:snapToGrid w:val="0"/>
                    <w:jc w:val="center"/>
                    <w:rPr>
                      <w:rFonts w:ascii="Times New Roman" w:hAnsi="Times New Roman" w:cs="Times New Roman"/>
                      <w:color w:val="000000" w:themeColor="text1"/>
                      <w:szCs w:val="18"/>
                      <w14:textFill>
                        <w14:solidFill>
                          <w14:schemeClr w14:val="tx1"/>
                        </w14:solidFill>
                      </w14:textFill>
                    </w:rPr>
                  </w:pPr>
                </w:p>
              </w:tc>
              <w:tc>
                <w:tcPr>
                  <w:tcW w:w="1974" w:type="dxa"/>
                  <w:vAlign w:val="center"/>
                </w:tcPr>
                <w:p w14:paraId="1A4F4F4E">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hint="eastAsia" w:ascii="Times New Roman" w:hAnsi="Times New Roman" w:cs="Times New Roman"/>
                      <w:color w:val="000000" w:themeColor="text1"/>
                      <w:szCs w:val="18"/>
                      <w14:textFill>
                        <w14:solidFill>
                          <w14:schemeClr w14:val="tx1"/>
                        </w14:solidFill>
                      </w14:textFill>
                    </w:rPr>
                    <w:t>0.0102</w:t>
                  </w:r>
                </w:p>
              </w:tc>
            </w:tr>
            <w:tr w14:paraId="3C622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vAlign w:val="center"/>
                </w:tcPr>
                <w:p w14:paraId="49293592">
                  <w:pPr>
                    <w:adjustRightInd w:val="0"/>
                    <w:snapToGrid w:val="0"/>
                    <w:jc w:val="center"/>
                    <w:rPr>
                      <w:rFonts w:ascii="Times New Roman" w:hAnsi="Times New Roman" w:cs="Times New Roman"/>
                      <w:color w:val="000000" w:themeColor="text1"/>
                      <w:szCs w:val="18"/>
                      <w14:textFill>
                        <w14:solidFill>
                          <w14:schemeClr w14:val="tx1"/>
                        </w14:solidFill>
                      </w14:textFill>
                    </w:rPr>
                  </w:pPr>
                </w:p>
              </w:tc>
              <w:tc>
                <w:tcPr>
                  <w:tcW w:w="1130" w:type="dxa"/>
                </w:tcPr>
                <w:p w14:paraId="6919E9B1">
                  <w:pPr>
                    <w:adjustRightInd w:val="0"/>
                    <w:snapToGrid w:val="0"/>
                    <w:jc w:val="center"/>
                    <w:rPr>
                      <w:rFonts w:ascii="Times New Roman" w:hAnsi="Times New Roman" w:cs="Times New Roman"/>
                      <w:bCs/>
                      <w:spacing w:val="-10"/>
                      <w:szCs w:val="18"/>
                    </w:rPr>
                  </w:pPr>
                  <w:r>
                    <w:rPr>
                      <w:rFonts w:hint="eastAsia" w:ascii="Times New Roman" w:hAnsi="Times New Roman" w:cs="Times New Roman"/>
                      <w:bCs/>
                      <w:spacing w:val="-10"/>
                      <w:szCs w:val="18"/>
                    </w:rPr>
                    <w:t>二甲苯</w:t>
                  </w:r>
                </w:p>
              </w:tc>
              <w:tc>
                <w:tcPr>
                  <w:tcW w:w="1130" w:type="dxa"/>
                  <w:vAlign w:val="center"/>
                </w:tcPr>
                <w:p w14:paraId="4CF8F762">
                  <w:pPr>
                    <w:adjustRightInd w:val="0"/>
                    <w:snapToGrid w:val="0"/>
                    <w:jc w:val="center"/>
                    <w:rPr>
                      <w:rFonts w:ascii="Times New Roman" w:hAnsi="Times New Roman" w:cs="Times New Roman"/>
                      <w:bCs/>
                      <w:spacing w:val="-10"/>
                      <w:szCs w:val="18"/>
                    </w:rPr>
                  </w:pPr>
                  <w:r>
                    <w:rPr>
                      <w:rFonts w:hint="eastAsia" w:ascii="Times New Roman" w:hAnsi="Times New Roman" w:cs="Times New Roman"/>
                      <w:bCs/>
                      <w:spacing w:val="-10"/>
                      <w:szCs w:val="18"/>
                    </w:rPr>
                    <w:t>0.13</w:t>
                  </w:r>
                </w:p>
              </w:tc>
              <w:tc>
                <w:tcPr>
                  <w:tcW w:w="2414" w:type="dxa"/>
                  <w:vMerge w:val="continue"/>
                  <w:vAlign w:val="center"/>
                </w:tcPr>
                <w:p w14:paraId="0637402C">
                  <w:pPr>
                    <w:adjustRightInd w:val="0"/>
                    <w:snapToGrid w:val="0"/>
                    <w:jc w:val="center"/>
                    <w:rPr>
                      <w:rFonts w:ascii="Times New Roman" w:hAnsi="Times New Roman" w:cs="Times New Roman"/>
                      <w:color w:val="000000" w:themeColor="text1"/>
                      <w:szCs w:val="18"/>
                      <w14:textFill>
                        <w14:solidFill>
                          <w14:schemeClr w14:val="tx1"/>
                        </w14:solidFill>
                      </w14:textFill>
                    </w:rPr>
                  </w:pPr>
                </w:p>
              </w:tc>
              <w:tc>
                <w:tcPr>
                  <w:tcW w:w="1974" w:type="dxa"/>
                  <w:vAlign w:val="center"/>
                </w:tcPr>
                <w:p w14:paraId="10A59C19">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hint="eastAsia" w:ascii="Times New Roman" w:hAnsi="Times New Roman" w:cs="Times New Roman"/>
                      <w:color w:val="000000" w:themeColor="text1"/>
                      <w:szCs w:val="18"/>
                      <w14:textFill>
                        <w14:solidFill>
                          <w14:schemeClr w14:val="tx1"/>
                        </w14:solidFill>
                      </w14:textFill>
                    </w:rPr>
                    <w:t>0.0039</w:t>
                  </w:r>
                </w:p>
              </w:tc>
            </w:tr>
            <w:tr w14:paraId="6EFF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restart"/>
                  <w:vAlign w:val="center"/>
                </w:tcPr>
                <w:p w14:paraId="3CA168D0">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ascii="Times New Roman" w:hAnsi="Times New Roman" w:cs="Times New Roman"/>
                      <w:color w:val="000000" w:themeColor="text1"/>
                      <w:szCs w:val="18"/>
                      <w14:textFill>
                        <w14:solidFill>
                          <w14:schemeClr w14:val="tx1"/>
                        </w14:solidFill>
                      </w14:textFill>
                    </w:rPr>
                    <w:t>物料储存、调和</w:t>
                  </w:r>
                </w:p>
              </w:tc>
              <w:tc>
                <w:tcPr>
                  <w:tcW w:w="1130" w:type="dxa"/>
                </w:tcPr>
                <w:p w14:paraId="4F393986">
                  <w:pPr>
                    <w:adjustRightInd w:val="0"/>
                    <w:snapToGrid w:val="0"/>
                    <w:jc w:val="center"/>
                    <w:rPr>
                      <w:rFonts w:ascii="Times New Roman" w:hAnsi="Times New Roman" w:cs="Times New Roman"/>
                      <w:bCs/>
                      <w:spacing w:val="-10"/>
                      <w:szCs w:val="18"/>
                    </w:rPr>
                  </w:pPr>
                  <w:r>
                    <w:rPr>
                      <w:rFonts w:ascii="Times New Roman" w:hAnsi="Times New Roman" w:cs="Times New Roman"/>
                      <w:bCs/>
                      <w:spacing w:val="-10"/>
                      <w:szCs w:val="18"/>
                    </w:rPr>
                    <w:t>NMHC</w:t>
                  </w:r>
                </w:p>
              </w:tc>
              <w:tc>
                <w:tcPr>
                  <w:tcW w:w="1130" w:type="dxa"/>
                  <w:vAlign w:val="center"/>
                </w:tcPr>
                <w:p w14:paraId="173EC46A">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hint="eastAsia" w:ascii="Times New Roman" w:hAnsi="Times New Roman" w:cs="Times New Roman"/>
                      <w:color w:val="000000" w:themeColor="text1"/>
                      <w:szCs w:val="18"/>
                      <w14:textFill>
                        <w14:solidFill>
                          <w14:schemeClr w14:val="tx1"/>
                        </w14:solidFill>
                      </w14:textFill>
                    </w:rPr>
                    <w:t>164.806</w:t>
                  </w:r>
                </w:p>
              </w:tc>
              <w:tc>
                <w:tcPr>
                  <w:tcW w:w="2414" w:type="dxa"/>
                  <w:vMerge w:val="restart"/>
                  <w:vAlign w:val="center"/>
                </w:tcPr>
                <w:p w14:paraId="5E01C99B">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ascii="Times New Roman" w:hAnsi="Times New Roman" w:cs="Times New Roman"/>
                      <w:color w:val="000000" w:themeColor="text1"/>
                      <w:szCs w:val="18"/>
                      <w14:textFill>
                        <w14:solidFill>
                          <w14:schemeClr w14:val="tx1"/>
                        </w14:solidFill>
                      </w14:textFill>
                    </w:rPr>
                    <w:t>内浮顶罐+氮封+油气回收装置，</w:t>
                  </w:r>
                  <w:r>
                    <w:rPr>
                      <w:rFonts w:ascii="Times New Roman" w:hAnsi="Times New Roman" w:cs="Times New Roman"/>
                      <w:bCs/>
                      <w:color w:val="000000" w:themeColor="text1"/>
                      <w:szCs w:val="18"/>
                      <w14:textFill>
                        <w14:solidFill>
                          <w14:schemeClr w14:val="tx1"/>
                        </w14:solidFill>
                      </w14:textFill>
                    </w:rPr>
                    <w:t>收集效率为100%，</w:t>
                  </w:r>
                  <w:r>
                    <w:rPr>
                      <w:rFonts w:ascii="Times New Roman" w:hAnsi="Times New Roman" w:cs="Times New Roman"/>
                      <w:color w:val="000000" w:themeColor="text1"/>
                      <w:szCs w:val="18"/>
                      <w14:textFill>
                        <w14:solidFill>
                          <w14:schemeClr w14:val="tx1"/>
                        </w14:solidFill>
                      </w14:textFill>
                    </w:rPr>
                    <w:t>挥发性有机物控制效率达9</w:t>
                  </w:r>
                  <w:r>
                    <w:rPr>
                      <w:rFonts w:hint="eastAsia" w:ascii="Times New Roman" w:hAnsi="Times New Roman" w:cs="Times New Roman"/>
                      <w:color w:val="000000" w:themeColor="text1"/>
                      <w:szCs w:val="18"/>
                      <w14:textFill>
                        <w14:solidFill>
                          <w14:schemeClr w14:val="tx1"/>
                        </w14:solidFill>
                      </w14:textFill>
                    </w:rPr>
                    <w:t>7</w:t>
                  </w:r>
                  <w:r>
                    <w:rPr>
                      <w:rFonts w:ascii="Times New Roman" w:hAnsi="Times New Roman" w:cs="Times New Roman"/>
                      <w:color w:val="000000" w:themeColor="text1"/>
                      <w:szCs w:val="18"/>
                      <w14:textFill>
                        <w14:solidFill>
                          <w14:schemeClr w14:val="tx1"/>
                        </w14:solidFill>
                      </w14:textFill>
                    </w:rPr>
                    <w:t>%</w:t>
                  </w:r>
                </w:p>
              </w:tc>
              <w:tc>
                <w:tcPr>
                  <w:tcW w:w="1974" w:type="dxa"/>
                  <w:vAlign w:val="center"/>
                </w:tcPr>
                <w:p w14:paraId="05A03ADF">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hint="eastAsia" w:ascii="Times New Roman" w:hAnsi="Times New Roman" w:cs="Times New Roman"/>
                      <w:color w:val="000000" w:themeColor="text1"/>
                      <w:szCs w:val="18"/>
                      <w14:textFill>
                        <w14:solidFill>
                          <w14:schemeClr w14:val="tx1"/>
                        </w14:solidFill>
                      </w14:textFill>
                    </w:rPr>
                    <w:t>4.944</w:t>
                  </w:r>
                </w:p>
              </w:tc>
            </w:tr>
            <w:tr w14:paraId="1B3C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vAlign w:val="center"/>
                </w:tcPr>
                <w:p w14:paraId="3A21CEC8">
                  <w:pPr>
                    <w:adjustRightInd w:val="0"/>
                    <w:snapToGrid w:val="0"/>
                    <w:jc w:val="center"/>
                    <w:rPr>
                      <w:rFonts w:ascii="Times New Roman" w:hAnsi="Times New Roman" w:cs="Times New Roman"/>
                      <w:color w:val="000000" w:themeColor="text1"/>
                      <w:szCs w:val="18"/>
                      <w14:textFill>
                        <w14:solidFill>
                          <w14:schemeClr w14:val="tx1"/>
                        </w14:solidFill>
                      </w14:textFill>
                    </w:rPr>
                  </w:pPr>
                </w:p>
              </w:tc>
              <w:tc>
                <w:tcPr>
                  <w:tcW w:w="1130" w:type="dxa"/>
                </w:tcPr>
                <w:p w14:paraId="3E06A400">
                  <w:pPr>
                    <w:adjustRightInd w:val="0"/>
                    <w:snapToGrid w:val="0"/>
                    <w:jc w:val="center"/>
                    <w:rPr>
                      <w:rFonts w:ascii="Times New Roman" w:hAnsi="Times New Roman" w:cs="Times New Roman"/>
                      <w:bCs/>
                      <w:spacing w:val="-10"/>
                      <w:szCs w:val="18"/>
                    </w:rPr>
                  </w:pPr>
                  <w:r>
                    <w:rPr>
                      <w:rFonts w:hint="eastAsia" w:ascii="Times New Roman" w:hAnsi="Times New Roman" w:cs="Times New Roman"/>
                      <w:bCs/>
                      <w:spacing w:val="-10"/>
                      <w:szCs w:val="18"/>
                    </w:rPr>
                    <w:t>苯</w:t>
                  </w:r>
                </w:p>
              </w:tc>
              <w:tc>
                <w:tcPr>
                  <w:tcW w:w="1130" w:type="dxa"/>
                  <w:vAlign w:val="center"/>
                </w:tcPr>
                <w:p w14:paraId="1FCE6992">
                  <w:pPr>
                    <w:adjustRightInd w:val="0"/>
                    <w:snapToGrid w:val="0"/>
                    <w:jc w:val="center"/>
                    <w:rPr>
                      <w:rFonts w:ascii="Times New Roman" w:hAnsi="Times New Roman" w:cs="Times New Roman"/>
                      <w:bCs/>
                      <w:spacing w:val="-10"/>
                      <w:szCs w:val="18"/>
                    </w:rPr>
                  </w:pPr>
                  <w:r>
                    <w:rPr>
                      <w:rFonts w:hint="eastAsia" w:ascii="Times New Roman" w:hAnsi="Times New Roman" w:cs="Times New Roman"/>
                      <w:bCs/>
                      <w:spacing w:val="-10"/>
                      <w:szCs w:val="18"/>
                    </w:rPr>
                    <w:t>0.03</w:t>
                  </w:r>
                </w:p>
              </w:tc>
              <w:tc>
                <w:tcPr>
                  <w:tcW w:w="2414" w:type="dxa"/>
                  <w:vMerge w:val="continue"/>
                  <w:vAlign w:val="center"/>
                </w:tcPr>
                <w:p w14:paraId="4CB4CA26">
                  <w:pPr>
                    <w:adjustRightInd w:val="0"/>
                    <w:snapToGrid w:val="0"/>
                    <w:jc w:val="center"/>
                    <w:rPr>
                      <w:rFonts w:ascii="Times New Roman" w:hAnsi="Times New Roman" w:cs="Times New Roman"/>
                      <w:color w:val="000000" w:themeColor="text1"/>
                      <w:szCs w:val="18"/>
                      <w14:textFill>
                        <w14:solidFill>
                          <w14:schemeClr w14:val="tx1"/>
                        </w14:solidFill>
                      </w14:textFill>
                    </w:rPr>
                  </w:pPr>
                </w:p>
              </w:tc>
              <w:tc>
                <w:tcPr>
                  <w:tcW w:w="1974" w:type="dxa"/>
                  <w:vAlign w:val="center"/>
                </w:tcPr>
                <w:p w14:paraId="4EBBF1EA">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hint="eastAsia" w:ascii="Times New Roman" w:hAnsi="Times New Roman" w:cs="Times New Roman"/>
                      <w:color w:val="000000" w:themeColor="text1"/>
                      <w:szCs w:val="18"/>
                      <w14:textFill>
                        <w14:solidFill>
                          <w14:schemeClr w14:val="tx1"/>
                        </w14:solidFill>
                      </w14:textFill>
                    </w:rPr>
                    <w:t>0.0009</w:t>
                  </w:r>
                </w:p>
              </w:tc>
            </w:tr>
            <w:tr w14:paraId="262F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vAlign w:val="center"/>
                </w:tcPr>
                <w:p w14:paraId="46FA67C3">
                  <w:pPr>
                    <w:adjustRightInd w:val="0"/>
                    <w:snapToGrid w:val="0"/>
                    <w:jc w:val="center"/>
                    <w:rPr>
                      <w:rFonts w:ascii="Times New Roman" w:hAnsi="Times New Roman" w:cs="Times New Roman"/>
                      <w:color w:val="000000" w:themeColor="text1"/>
                      <w:szCs w:val="18"/>
                      <w14:textFill>
                        <w14:solidFill>
                          <w14:schemeClr w14:val="tx1"/>
                        </w14:solidFill>
                      </w14:textFill>
                    </w:rPr>
                  </w:pPr>
                </w:p>
              </w:tc>
              <w:tc>
                <w:tcPr>
                  <w:tcW w:w="1130" w:type="dxa"/>
                </w:tcPr>
                <w:p w14:paraId="0F6B730B">
                  <w:pPr>
                    <w:adjustRightInd w:val="0"/>
                    <w:snapToGrid w:val="0"/>
                    <w:jc w:val="center"/>
                    <w:rPr>
                      <w:rFonts w:ascii="Times New Roman" w:hAnsi="Times New Roman" w:cs="Times New Roman"/>
                      <w:bCs/>
                      <w:spacing w:val="-10"/>
                      <w:szCs w:val="18"/>
                    </w:rPr>
                  </w:pPr>
                  <w:r>
                    <w:rPr>
                      <w:rFonts w:hint="eastAsia" w:ascii="Times New Roman" w:hAnsi="Times New Roman" w:cs="Times New Roman"/>
                      <w:bCs/>
                      <w:spacing w:val="-10"/>
                      <w:szCs w:val="18"/>
                    </w:rPr>
                    <w:t>甲苯</w:t>
                  </w:r>
                </w:p>
              </w:tc>
              <w:tc>
                <w:tcPr>
                  <w:tcW w:w="1130" w:type="dxa"/>
                  <w:vAlign w:val="center"/>
                </w:tcPr>
                <w:p w14:paraId="28292040">
                  <w:pPr>
                    <w:adjustRightInd w:val="0"/>
                    <w:snapToGrid w:val="0"/>
                    <w:jc w:val="center"/>
                    <w:rPr>
                      <w:rFonts w:ascii="Times New Roman" w:hAnsi="Times New Roman" w:cs="Times New Roman"/>
                      <w:bCs/>
                      <w:spacing w:val="-10"/>
                      <w:szCs w:val="18"/>
                    </w:rPr>
                  </w:pPr>
                  <w:r>
                    <w:rPr>
                      <w:rFonts w:hint="eastAsia" w:ascii="Times New Roman" w:hAnsi="Times New Roman" w:cs="Times New Roman"/>
                      <w:bCs/>
                      <w:spacing w:val="-10"/>
                      <w:szCs w:val="18"/>
                    </w:rPr>
                    <w:t>2.62</w:t>
                  </w:r>
                </w:p>
              </w:tc>
              <w:tc>
                <w:tcPr>
                  <w:tcW w:w="2414" w:type="dxa"/>
                  <w:vMerge w:val="continue"/>
                  <w:vAlign w:val="center"/>
                </w:tcPr>
                <w:p w14:paraId="4CC6F404">
                  <w:pPr>
                    <w:adjustRightInd w:val="0"/>
                    <w:snapToGrid w:val="0"/>
                    <w:jc w:val="center"/>
                    <w:rPr>
                      <w:rFonts w:ascii="Times New Roman" w:hAnsi="Times New Roman" w:cs="Times New Roman"/>
                      <w:color w:val="000000" w:themeColor="text1"/>
                      <w:szCs w:val="18"/>
                      <w14:textFill>
                        <w14:solidFill>
                          <w14:schemeClr w14:val="tx1"/>
                        </w14:solidFill>
                      </w14:textFill>
                    </w:rPr>
                  </w:pPr>
                </w:p>
              </w:tc>
              <w:tc>
                <w:tcPr>
                  <w:tcW w:w="1974" w:type="dxa"/>
                  <w:vAlign w:val="center"/>
                </w:tcPr>
                <w:p w14:paraId="078C2336">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hint="eastAsia" w:ascii="Times New Roman" w:hAnsi="Times New Roman" w:cs="Times New Roman"/>
                      <w:color w:val="000000" w:themeColor="text1"/>
                      <w:szCs w:val="18"/>
                      <w14:textFill>
                        <w14:solidFill>
                          <w14:schemeClr w14:val="tx1"/>
                        </w14:solidFill>
                      </w14:textFill>
                    </w:rPr>
                    <w:t>0.0786</w:t>
                  </w:r>
                </w:p>
              </w:tc>
            </w:tr>
            <w:tr w14:paraId="730A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3" w:type="dxa"/>
                  <w:vMerge w:val="continue"/>
                  <w:vAlign w:val="center"/>
                </w:tcPr>
                <w:p w14:paraId="7ADAA254">
                  <w:pPr>
                    <w:adjustRightInd w:val="0"/>
                    <w:snapToGrid w:val="0"/>
                    <w:jc w:val="center"/>
                    <w:rPr>
                      <w:rFonts w:ascii="Times New Roman" w:hAnsi="Times New Roman" w:cs="Times New Roman"/>
                      <w:color w:val="000000" w:themeColor="text1"/>
                      <w:szCs w:val="18"/>
                      <w14:textFill>
                        <w14:solidFill>
                          <w14:schemeClr w14:val="tx1"/>
                        </w14:solidFill>
                      </w14:textFill>
                    </w:rPr>
                  </w:pPr>
                </w:p>
              </w:tc>
              <w:tc>
                <w:tcPr>
                  <w:tcW w:w="1130" w:type="dxa"/>
                </w:tcPr>
                <w:p w14:paraId="30926C73">
                  <w:pPr>
                    <w:adjustRightInd w:val="0"/>
                    <w:snapToGrid w:val="0"/>
                    <w:jc w:val="center"/>
                    <w:rPr>
                      <w:rFonts w:ascii="Times New Roman" w:hAnsi="Times New Roman" w:cs="Times New Roman"/>
                      <w:bCs/>
                      <w:spacing w:val="-10"/>
                      <w:szCs w:val="18"/>
                    </w:rPr>
                  </w:pPr>
                  <w:r>
                    <w:rPr>
                      <w:rFonts w:hint="eastAsia" w:ascii="Times New Roman" w:hAnsi="Times New Roman" w:cs="Times New Roman"/>
                      <w:bCs/>
                      <w:spacing w:val="-10"/>
                      <w:szCs w:val="18"/>
                    </w:rPr>
                    <w:t>二甲苯</w:t>
                  </w:r>
                </w:p>
              </w:tc>
              <w:tc>
                <w:tcPr>
                  <w:tcW w:w="1130" w:type="dxa"/>
                  <w:vAlign w:val="center"/>
                </w:tcPr>
                <w:p w14:paraId="7C573C09">
                  <w:pPr>
                    <w:adjustRightInd w:val="0"/>
                    <w:snapToGrid w:val="0"/>
                    <w:jc w:val="center"/>
                    <w:rPr>
                      <w:rFonts w:ascii="Times New Roman" w:hAnsi="Times New Roman" w:cs="Times New Roman"/>
                      <w:bCs/>
                      <w:spacing w:val="-10"/>
                      <w:szCs w:val="18"/>
                    </w:rPr>
                  </w:pPr>
                  <w:r>
                    <w:rPr>
                      <w:rFonts w:hint="eastAsia" w:ascii="Times New Roman" w:hAnsi="Times New Roman" w:cs="Times New Roman"/>
                      <w:bCs/>
                      <w:spacing w:val="-10"/>
                      <w:szCs w:val="18"/>
                    </w:rPr>
                    <w:t>0.997</w:t>
                  </w:r>
                </w:p>
              </w:tc>
              <w:tc>
                <w:tcPr>
                  <w:tcW w:w="2414" w:type="dxa"/>
                  <w:vMerge w:val="continue"/>
                  <w:vAlign w:val="center"/>
                </w:tcPr>
                <w:p w14:paraId="39A71151">
                  <w:pPr>
                    <w:adjustRightInd w:val="0"/>
                    <w:snapToGrid w:val="0"/>
                    <w:jc w:val="center"/>
                    <w:rPr>
                      <w:rFonts w:ascii="Times New Roman" w:hAnsi="Times New Roman" w:cs="Times New Roman"/>
                      <w:color w:val="000000" w:themeColor="text1"/>
                      <w:szCs w:val="18"/>
                      <w14:textFill>
                        <w14:solidFill>
                          <w14:schemeClr w14:val="tx1"/>
                        </w14:solidFill>
                      </w14:textFill>
                    </w:rPr>
                  </w:pPr>
                </w:p>
              </w:tc>
              <w:tc>
                <w:tcPr>
                  <w:tcW w:w="1974" w:type="dxa"/>
                  <w:vAlign w:val="center"/>
                </w:tcPr>
                <w:p w14:paraId="59502791">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hint="eastAsia" w:ascii="Times New Roman" w:hAnsi="Times New Roman" w:cs="Times New Roman"/>
                      <w:color w:val="000000" w:themeColor="text1"/>
                      <w:szCs w:val="18"/>
                      <w14:textFill>
                        <w14:solidFill>
                          <w14:schemeClr w14:val="tx1"/>
                        </w14:solidFill>
                      </w14:textFill>
                    </w:rPr>
                    <w:t>0.0299</w:t>
                  </w:r>
                </w:p>
              </w:tc>
            </w:tr>
            <w:tr w14:paraId="218B3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3" w:type="dxa"/>
                  <w:gridSpan w:val="2"/>
                  <w:vAlign w:val="center"/>
                </w:tcPr>
                <w:p w14:paraId="546AEB9B">
                  <w:pPr>
                    <w:adjustRightInd w:val="0"/>
                    <w:snapToGrid w:val="0"/>
                    <w:jc w:val="center"/>
                    <w:rPr>
                      <w:rFonts w:ascii="Times New Roman" w:hAnsi="Times New Roman" w:cs="Times New Roman"/>
                      <w:bCs/>
                      <w:spacing w:val="-10"/>
                      <w:szCs w:val="18"/>
                    </w:rPr>
                  </w:pPr>
                  <w:r>
                    <w:rPr>
                      <w:rFonts w:ascii="Times New Roman" w:hAnsi="Times New Roman" w:cs="Times New Roman"/>
                      <w:color w:val="000000" w:themeColor="text1"/>
                      <w:szCs w:val="18"/>
                      <w14:textFill>
                        <w14:solidFill>
                          <w14:schemeClr w14:val="tx1"/>
                        </w14:solidFill>
                      </w14:textFill>
                    </w:rPr>
                    <w:t>合计</w:t>
                  </w:r>
                </w:p>
              </w:tc>
              <w:tc>
                <w:tcPr>
                  <w:tcW w:w="1130" w:type="dxa"/>
                  <w:vAlign w:val="center"/>
                </w:tcPr>
                <w:p w14:paraId="6369236F">
                  <w:pPr>
                    <w:adjustRightInd w:val="0"/>
                    <w:snapToGrid w:val="0"/>
                    <w:jc w:val="center"/>
                    <w:rPr>
                      <w:rFonts w:ascii="Times New Roman" w:hAnsi="Times New Roman" w:cs="Times New Roman"/>
                      <w:bCs/>
                      <w:spacing w:val="-10"/>
                      <w:szCs w:val="18"/>
                    </w:rPr>
                  </w:pPr>
                  <w:r>
                    <w:rPr>
                      <w:rFonts w:hint="eastAsia" w:ascii="Times New Roman" w:hAnsi="Times New Roman" w:cs="Times New Roman"/>
                      <w:bCs/>
                      <w:spacing w:val="-10"/>
                      <w:szCs w:val="18"/>
                    </w:rPr>
                    <w:t>457.524</w:t>
                  </w:r>
                </w:p>
              </w:tc>
              <w:tc>
                <w:tcPr>
                  <w:tcW w:w="2414" w:type="dxa"/>
                  <w:vAlign w:val="center"/>
                </w:tcPr>
                <w:p w14:paraId="53814419">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ascii="Times New Roman" w:hAnsi="Times New Roman" w:cs="Times New Roman"/>
                      <w:color w:val="000000" w:themeColor="text1"/>
                      <w:szCs w:val="18"/>
                      <w14:textFill>
                        <w14:solidFill>
                          <w14:schemeClr w14:val="tx1"/>
                        </w14:solidFill>
                      </w14:textFill>
                    </w:rPr>
                    <w:t>/</w:t>
                  </w:r>
                </w:p>
              </w:tc>
              <w:tc>
                <w:tcPr>
                  <w:tcW w:w="1974" w:type="dxa"/>
                  <w:vAlign w:val="center"/>
                </w:tcPr>
                <w:p w14:paraId="211E46B4">
                  <w:pPr>
                    <w:adjustRightInd w:val="0"/>
                    <w:snapToGrid w:val="0"/>
                    <w:jc w:val="center"/>
                    <w:rPr>
                      <w:rFonts w:ascii="Times New Roman" w:hAnsi="Times New Roman" w:cs="Times New Roman"/>
                      <w:color w:val="000000" w:themeColor="text1"/>
                      <w:szCs w:val="18"/>
                      <w14:textFill>
                        <w14:solidFill>
                          <w14:schemeClr w14:val="tx1"/>
                        </w14:solidFill>
                      </w14:textFill>
                    </w:rPr>
                  </w:pPr>
                  <w:r>
                    <w:rPr>
                      <w:rFonts w:hint="eastAsia" w:ascii="Times New Roman" w:hAnsi="Times New Roman" w:cs="Times New Roman"/>
                      <w:color w:val="000000" w:themeColor="text1"/>
                      <w:szCs w:val="18"/>
                      <w14:textFill>
                        <w14:solidFill>
                          <w14:schemeClr w14:val="tx1"/>
                        </w14:solidFill>
                      </w14:textFill>
                    </w:rPr>
                    <w:t>13.72</w:t>
                  </w:r>
                </w:p>
              </w:tc>
            </w:tr>
          </w:tbl>
          <w:p w14:paraId="546A64A9">
            <w:pPr>
              <w:adjustRightInd w:val="0"/>
              <w:snapToGrid w:val="0"/>
              <w:spacing w:line="360" w:lineRule="auto"/>
              <w:ind w:firstLine="480" w:firstLineChars="2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油气回收装置废气处理系统工艺设置一根排气筒，排气筒高度为15m，内径0.5m，温度25℃，排气筒高度满足《石油化学工业污染物排放标准（含2024年修改单）》（GB31571-2015）（排气筒最低高度不得低于15m）设置的要求。非甲烷总烃去除效率满足《石油化学工业污染物排放标准（含2024年修改单）》（GB31571-2015）表5中非甲烷总烃特别排放限值（去除效率≥97%），排放浓度满足《重污染天气重点行业应急减排措施制定技术指南及相关文件》</w:t>
            </w:r>
            <w:r>
              <w:rPr>
                <w:rFonts w:ascii="Times New Roman" w:hAnsi="Times New Roman" w:cs="Times New Roman"/>
                <w:color w:val="000000" w:themeColor="text1"/>
                <w14:textFill>
                  <w14:solidFill>
                    <w14:schemeClr w14:val="tx1"/>
                  </w14:solidFill>
                </w14:textFill>
              </w:rPr>
              <w:t>炼油与石油化工行业A级企业相关控制要求</w:t>
            </w:r>
            <w:r>
              <w:rPr>
                <w:rFonts w:ascii="Times New Roman" w:hAnsi="Times New Roman" w:cs="Times New Roman"/>
                <w:color w:val="000000" w:themeColor="text1"/>
                <w:szCs w:val="21"/>
                <w14:textFill>
                  <w14:solidFill>
                    <w14:schemeClr w14:val="tx1"/>
                  </w14:solidFill>
                </w14:textFill>
              </w:rPr>
              <w:t>。</w:t>
            </w:r>
          </w:p>
          <w:p w14:paraId="20DDD7BA">
            <w:pPr>
              <w:adjustRightInd w:val="0"/>
              <w:snapToGrid w:val="0"/>
              <w:ind w:firstLine="442" w:firstLineChars="200"/>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b/>
                <w:spacing w:val="-10"/>
                <w:szCs w:val="21"/>
              </w:rPr>
              <w:t>表4-9  大气污染物排放核算表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1559"/>
              <w:gridCol w:w="1292"/>
              <w:gridCol w:w="1134"/>
              <w:gridCol w:w="1134"/>
              <w:gridCol w:w="1134"/>
              <w:gridCol w:w="1134"/>
            </w:tblGrid>
            <w:tr w14:paraId="41543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640549A7">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序号</w:t>
                  </w:r>
                </w:p>
              </w:tc>
              <w:tc>
                <w:tcPr>
                  <w:tcW w:w="1559" w:type="dxa"/>
                  <w:vAlign w:val="center"/>
                </w:tcPr>
                <w:p w14:paraId="39E780EE">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排放口编号</w:t>
                  </w:r>
                </w:p>
              </w:tc>
              <w:tc>
                <w:tcPr>
                  <w:tcW w:w="1292" w:type="dxa"/>
                  <w:vAlign w:val="center"/>
                </w:tcPr>
                <w:p w14:paraId="014A0E92">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产污环节</w:t>
                  </w:r>
                </w:p>
              </w:tc>
              <w:tc>
                <w:tcPr>
                  <w:tcW w:w="1134" w:type="dxa"/>
                  <w:vAlign w:val="center"/>
                </w:tcPr>
                <w:p w14:paraId="111D9DEE">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污染物</w:t>
                  </w:r>
                </w:p>
              </w:tc>
              <w:tc>
                <w:tcPr>
                  <w:tcW w:w="1134" w:type="dxa"/>
                  <w:vAlign w:val="center"/>
                </w:tcPr>
                <w:p w14:paraId="3840715B">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rPr>
                    <w:t>核算排放浓度/（mg/m</w:t>
                  </w:r>
                  <w:r>
                    <w:rPr>
                      <w:rFonts w:ascii="Times New Roman" w:hAnsi="Times New Roman" w:cs="Times New Roman"/>
                      <w:vertAlign w:val="superscript"/>
                    </w:rPr>
                    <w:t>3</w:t>
                  </w:r>
                  <w:r>
                    <w:rPr>
                      <w:rFonts w:ascii="Times New Roman" w:hAnsi="Times New Roman" w:cs="Times New Roman"/>
                    </w:rPr>
                    <w:t>）</w:t>
                  </w:r>
                </w:p>
              </w:tc>
              <w:tc>
                <w:tcPr>
                  <w:tcW w:w="1134" w:type="dxa"/>
                  <w:vAlign w:val="center"/>
                </w:tcPr>
                <w:p w14:paraId="1B497063">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rPr>
                    <w:t>核算排放速率/（kg/h）</w:t>
                  </w:r>
                </w:p>
              </w:tc>
              <w:tc>
                <w:tcPr>
                  <w:tcW w:w="1134" w:type="dxa"/>
                  <w:vAlign w:val="center"/>
                </w:tcPr>
                <w:p w14:paraId="6B694A4C">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rPr>
                    <w:t>核算年排放量/（t/a）</w:t>
                  </w:r>
                </w:p>
              </w:tc>
            </w:tr>
            <w:tr w14:paraId="64FF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6" w:type="dxa"/>
                  <w:gridSpan w:val="7"/>
                  <w:vAlign w:val="center"/>
                </w:tcPr>
                <w:p w14:paraId="36FB6288">
                  <w:pPr>
                    <w:adjustRightInd w:val="0"/>
                    <w:snapToGrid w:val="0"/>
                    <w:spacing w:line="360" w:lineRule="auto"/>
                    <w:jc w:val="center"/>
                    <w:rPr>
                      <w:rFonts w:ascii="Times New Roman" w:hAnsi="Times New Roman" w:eastAsia="等线" w:cs="Times New Roman"/>
                    </w:rPr>
                  </w:pPr>
                  <w:r>
                    <w:rPr>
                      <w:rFonts w:ascii="Times New Roman" w:hAnsi="Times New Roman" w:eastAsia="等线" w:cs="Times New Roman"/>
                    </w:rPr>
                    <w:t>有组织废气</w:t>
                  </w:r>
                </w:p>
              </w:tc>
            </w:tr>
            <w:tr w14:paraId="0DBA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Merge w:val="restart"/>
                  <w:vAlign w:val="center"/>
                </w:tcPr>
                <w:p w14:paraId="570D2512">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w:t>
                  </w:r>
                </w:p>
              </w:tc>
              <w:tc>
                <w:tcPr>
                  <w:tcW w:w="1559" w:type="dxa"/>
                  <w:vMerge w:val="restart"/>
                  <w:vAlign w:val="center"/>
                </w:tcPr>
                <w:p w14:paraId="2E54004D">
                  <w:pPr>
                    <w:adjustRightInd w:val="0"/>
                    <w:snapToGrid w:val="0"/>
                    <w:spacing w:line="360" w:lineRule="auto"/>
                    <w:jc w:val="center"/>
                    <w:rPr>
                      <w:rFonts w:ascii="Times New Roman" w:hAnsi="Times New Roman" w:cs="Times New Roman"/>
                    </w:rPr>
                  </w:pPr>
                  <w:r>
                    <w:rPr>
                      <w:rFonts w:ascii="Times New Roman" w:hAnsi="Times New Roman" w:cs="Times New Roman"/>
                    </w:rPr>
                    <w:t>DA03-001</w:t>
                  </w:r>
                </w:p>
              </w:tc>
              <w:tc>
                <w:tcPr>
                  <w:tcW w:w="1292" w:type="dxa"/>
                  <w:vMerge w:val="restart"/>
                  <w:vAlign w:val="center"/>
                </w:tcPr>
                <w:p w14:paraId="679C5EDD">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rPr>
                    <w:t>罐区、装卸区有组织废气</w:t>
                  </w:r>
                </w:p>
              </w:tc>
              <w:tc>
                <w:tcPr>
                  <w:tcW w:w="1134" w:type="dxa"/>
                  <w:vAlign w:val="center"/>
                </w:tcPr>
                <w:p w14:paraId="74F03CC4">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rPr>
                    <w:t>NMHC</w:t>
                  </w:r>
                </w:p>
              </w:tc>
              <w:tc>
                <w:tcPr>
                  <w:tcW w:w="1134" w:type="dxa"/>
                  <w:vAlign w:val="center"/>
                </w:tcPr>
                <w:p w14:paraId="3F582E67">
                  <w:pPr>
                    <w:adjustRightInd w:val="0"/>
                    <w:snapToGrid w:val="0"/>
                    <w:spacing w:line="360" w:lineRule="auto"/>
                    <w:jc w:val="center"/>
                    <w:rPr>
                      <w:rFonts w:ascii="Times New Roman" w:hAnsi="Times New Roman" w:eastAsia="等线" w:cs="Times New Roman"/>
                      <w:kern w:val="2"/>
                    </w:rPr>
                  </w:pPr>
                  <w:r>
                    <w:rPr>
                      <w:rFonts w:hint="eastAsia" w:ascii="Times New Roman" w:hAnsi="Times New Roman" w:eastAsia="等线" w:cs="Times New Roman"/>
                      <w:kern w:val="2"/>
                    </w:rPr>
                    <w:t>17</w:t>
                  </w:r>
                </w:p>
              </w:tc>
              <w:tc>
                <w:tcPr>
                  <w:tcW w:w="1134" w:type="dxa"/>
                  <w:vAlign w:val="center"/>
                </w:tcPr>
                <w:p w14:paraId="34F9015B">
                  <w:pPr>
                    <w:adjustRightInd w:val="0"/>
                    <w:snapToGrid w:val="0"/>
                    <w:spacing w:line="360" w:lineRule="auto"/>
                    <w:jc w:val="center"/>
                    <w:rPr>
                      <w:rFonts w:ascii="Times New Roman" w:hAnsi="Times New Roman" w:eastAsia="等线" w:cs="Times New Roman"/>
                      <w:kern w:val="2"/>
                    </w:rPr>
                  </w:pPr>
                  <w:r>
                    <w:rPr>
                      <w:rFonts w:hint="eastAsia" w:ascii="Times New Roman" w:hAnsi="Times New Roman" w:eastAsia="等线" w:cs="Times New Roman"/>
                      <w:kern w:val="2"/>
                    </w:rPr>
                    <w:t>1.7</w:t>
                  </w:r>
                </w:p>
              </w:tc>
              <w:tc>
                <w:tcPr>
                  <w:tcW w:w="1134" w:type="dxa"/>
                  <w:vAlign w:val="center"/>
                </w:tcPr>
                <w:p w14:paraId="4FB5D507">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13.6</w:t>
                  </w:r>
                </w:p>
              </w:tc>
            </w:tr>
            <w:tr w14:paraId="3D86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Merge w:val="continue"/>
                  <w:vAlign w:val="center"/>
                </w:tcPr>
                <w:p w14:paraId="08829BD2">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p>
              </w:tc>
              <w:tc>
                <w:tcPr>
                  <w:tcW w:w="1559" w:type="dxa"/>
                  <w:vMerge w:val="continue"/>
                  <w:vAlign w:val="center"/>
                </w:tcPr>
                <w:p w14:paraId="15A089FA">
                  <w:pPr>
                    <w:adjustRightInd w:val="0"/>
                    <w:snapToGrid w:val="0"/>
                    <w:spacing w:line="360" w:lineRule="auto"/>
                    <w:jc w:val="center"/>
                    <w:rPr>
                      <w:rFonts w:ascii="Times New Roman" w:hAnsi="Times New Roman" w:cs="Times New Roman"/>
                    </w:rPr>
                  </w:pPr>
                </w:p>
              </w:tc>
              <w:tc>
                <w:tcPr>
                  <w:tcW w:w="1292" w:type="dxa"/>
                  <w:vMerge w:val="continue"/>
                  <w:vAlign w:val="center"/>
                </w:tcPr>
                <w:p w14:paraId="4ADA089F">
                  <w:pPr>
                    <w:adjustRightInd w:val="0"/>
                    <w:snapToGrid w:val="0"/>
                    <w:spacing w:line="360" w:lineRule="auto"/>
                    <w:jc w:val="center"/>
                    <w:rPr>
                      <w:rFonts w:ascii="Times New Roman" w:hAnsi="Times New Roman" w:cs="Times New Roman"/>
                    </w:rPr>
                  </w:pPr>
                </w:p>
              </w:tc>
              <w:tc>
                <w:tcPr>
                  <w:tcW w:w="1134" w:type="dxa"/>
                  <w:vAlign w:val="center"/>
                </w:tcPr>
                <w:p w14:paraId="29899C92">
                  <w:pPr>
                    <w:adjustRightInd w:val="0"/>
                    <w:snapToGrid w:val="0"/>
                    <w:spacing w:line="360" w:lineRule="auto"/>
                    <w:jc w:val="center"/>
                    <w:rPr>
                      <w:rFonts w:ascii="Times New Roman" w:hAnsi="Times New Roman" w:cs="Times New Roman"/>
                    </w:rPr>
                  </w:pPr>
                  <w:r>
                    <w:rPr>
                      <w:rFonts w:ascii="Times New Roman" w:hAnsi="Times New Roman" w:cs="Times New Roman"/>
                    </w:rPr>
                    <w:t>苯</w:t>
                  </w:r>
                </w:p>
              </w:tc>
              <w:tc>
                <w:tcPr>
                  <w:tcW w:w="1134" w:type="dxa"/>
                  <w:vAlign w:val="center"/>
                </w:tcPr>
                <w:p w14:paraId="1F485A98">
                  <w:pPr>
                    <w:adjustRightInd w:val="0"/>
                    <w:snapToGrid w:val="0"/>
                    <w:spacing w:line="360" w:lineRule="auto"/>
                    <w:jc w:val="center"/>
                    <w:rPr>
                      <w:rFonts w:ascii="Times New Roman" w:hAnsi="Times New Roman" w:eastAsia="等线" w:cs="Times New Roman"/>
                      <w:kern w:val="2"/>
                    </w:rPr>
                  </w:pPr>
                  <w:r>
                    <w:rPr>
                      <w:rFonts w:hint="eastAsia" w:ascii="Times New Roman" w:hAnsi="Times New Roman" w:eastAsia="等线" w:cs="Times New Roman"/>
                      <w:kern w:val="2"/>
                    </w:rPr>
                    <w:t>0.0013</w:t>
                  </w:r>
                </w:p>
              </w:tc>
              <w:tc>
                <w:tcPr>
                  <w:tcW w:w="1134" w:type="dxa"/>
                  <w:vAlign w:val="center"/>
                </w:tcPr>
                <w:p w14:paraId="35C82C9F">
                  <w:pPr>
                    <w:adjustRightInd w:val="0"/>
                    <w:snapToGrid w:val="0"/>
                    <w:spacing w:line="360" w:lineRule="auto"/>
                    <w:jc w:val="center"/>
                    <w:rPr>
                      <w:rFonts w:ascii="Times New Roman" w:hAnsi="Times New Roman" w:eastAsia="等线" w:cs="Times New Roman"/>
                      <w:kern w:val="2"/>
                    </w:rPr>
                  </w:pPr>
                  <w:r>
                    <w:rPr>
                      <w:rFonts w:hint="eastAsia" w:ascii="Times New Roman" w:hAnsi="Times New Roman" w:eastAsia="等线" w:cs="Times New Roman"/>
                      <w:kern w:val="2"/>
                    </w:rPr>
                    <w:t>0.000128</w:t>
                  </w:r>
                </w:p>
              </w:tc>
              <w:tc>
                <w:tcPr>
                  <w:tcW w:w="1134" w:type="dxa"/>
                  <w:vAlign w:val="center"/>
                </w:tcPr>
                <w:p w14:paraId="5B649A77">
                  <w:pPr>
                    <w:adjustRightInd w:val="0"/>
                    <w:snapToGrid w:val="0"/>
                    <w:spacing w:line="360" w:lineRule="auto"/>
                    <w:jc w:val="center"/>
                    <w:rPr>
                      <w:rFonts w:ascii="Times New Roman" w:hAnsi="Times New Roman" w:eastAsia="等线" w:cs="Times New Roman"/>
                    </w:rPr>
                  </w:pPr>
                  <w:r>
                    <w:rPr>
                      <w:rFonts w:hint="eastAsia" w:ascii="Times New Roman" w:hAnsi="Times New Roman" w:eastAsia="等线" w:cs="Times New Roman"/>
                    </w:rPr>
                    <w:t>0.00102</w:t>
                  </w:r>
                </w:p>
              </w:tc>
            </w:tr>
            <w:tr w14:paraId="5182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Merge w:val="continue"/>
                  <w:vAlign w:val="center"/>
                </w:tcPr>
                <w:p w14:paraId="261222CD">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p>
              </w:tc>
              <w:tc>
                <w:tcPr>
                  <w:tcW w:w="1559" w:type="dxa"/>
                  <w:vMerge w:val="continue"/>
                  <w:vAlign w:val="center"/>
                </w:tcPr>
                <w:p w14:paraId="20CDD097">
                  <w:pPr>
                    <w:adjustRightInd w:val="0"/>
                    <w:snapToGrid w:val="0"/>
                    <w:spacing w:line="360" w:lineRule="auto"/>
                    <w:jc w:val="center"/>
                    <w:rPr>
                      <w:rFonts w:ascii="Times New Roman" w:hAnsi="Times New Roman" w:cs="Times New Roman"/>
                    </w:rPr>
                  </w:pPr>
                </w:p>
              </w:tc>
              <w:tc>
                <w:tcPr>
                  <w:tcW w:w="1292" w:type="dxa"/>
                  <w:vMerge w:val="continue"/>
                  <w:vAlign w:val="center"/>
                </w:tcPr>
                <w:p w14:paraId="12C7FA97">
                  <w:pPr>
                    <w:adjustRightInd w:val="0"/>
                    <w:snapToGrid w:val="0"/>
                    <w:spacing w:line="360" w:lineRule="auto"/>
                    <w:jc w:val="center"/>
                    <w:rPr>
                      <w:rFonts w:ascii="Times New Roman" w:hAnsi="Times New Roman" w:cs="Times New Roman"/>
                    </w:rPr>
                  </w:pPr>
                </w:p>
              </w:tc>
              <w:tc>
                <w:tcPr>
                  <w:tcW w:w="1134" w:type="dxa"/>
                  <w:vAlign w:val="center"/>
                </w:tcPr>
                <w:p w14:paraId="1CE51C25">
                  <w:pPr>
                    <w:adjustRightInd w:val="0"/>
                    <w:snapToGrid w:val="0"/>
                    <w:spacing w:line="360" w:lineRule="auto"/>
                    <w:jc w:val="center"/>
                    <w:rPr>
                      <w:rFonts w:ascii="Times New Roman" w:hAnsi="Times New Roman" w:cs="Times New Roman"/>
                    </w:rPr>
                  </w:pPr>
                  <w:r>
                    <w:rPr>
                      <w:rFonts w:ascii="Times New Roman" w:hAnsi="Times New Roman" w:cs="Times New Roman"/>
                    </w:rPr>
                    <w:t>甲苯</w:t>
                  </w:r>
                </w:p>
              </w:tc>
              <w:tc>
                <w:tcPr>
                  <w:tcW w:w="1134" w:type="dxa"/>
                  <w:vAlign w:val="center"/>
                </w:tcPr>
                <w:p w14:paraId="1C756E24">
                  <w:pPr>
                    <w:adjustRightInd w:val="0"/>
                    <w:snapToGrid w:val="0"/>
                    <w:spacing w:line="360" w:lineRule="auto"/>
                    <w:jc w:val="center"/>
                    <w:rPr>
                      <w:rFonts w:ascii="Times New Roman" w:hAnsi="Times New Roman" w:eastAsia="等线" w:cs="Times New Roman"/>
                      <w:kern w:val="2"/>
                    </w:rPr>
                  </w:pPr>
                  <w:r>
                    <w:rPr>
                      <w:rFonts w:hint="eastAsia" w:ascii="Times New Roman" w:hAnsi="Times New Roman" w:eastAsia="等线" w:cs="Times New Roman"/>
                      <w:kern w:val="2"/>
                    </w:rPr>
                    <w:t>0.111</w:t>
                  </w:r>
                </w:p>
              </w:tc>
              <w:tc>
                <w:tcPr>
                  <w:tcW w:w="1134" w:type="dxa"/>
                  <w:vAlign w:val="center"/>
                </w:tcPr>
                <w:p w14:paraId="600F257B">
                  <w:pPr>
                    <w:adjustRightInd w:val="0"/>
                    <w:snapToGrid w:val="0"/>
                    <w:spacing w:line="360" w:lineRule="auto"/>
                    <w:jc w:val="center"/>
                    <w:rPr>
                      <w:rFonts w:ascii="Times New Roman" w:hAnsi="Times New Roman" w:eastAsia="等线" w:cs="Times New Roman"/>
                      <w:kern w:val="2"/>
                    </w:rPr>
                  </w:pPr>
                  <w:r>
                    <w:rPr>
                      <w:rFonts w:hint="eastAsia" w:ascii="Times New Roman" w:hAnsi="Times New Roman" w:eastAsia="等线" w:cs="Times New Roman"/>
                      <w:kern w:val="2"/>
                    </w:rPr>
                    <w:t>0.0111</w:t>
                  </w:r>
                </w:p>
              </w:tc>
              <w:tc>
                <w:tcPr>
                  <w:tcW w:w="1134" w:type="dxa"/>
                  <w:vAlign w:val="center"/>
                </w:tcPr>
                <w:p w14:paraId="401DC7AF">
                  <w:pPr>
                    <w:adjustRightInd w:val="0"/>
                    <w:snapToGrid w:val="0"/>
                    <w:spacing w:line="360" w:lineRule="auto"/>
                    <w:jc w:val="center"/>
                    <w:rPr>
                      <w:rFonts w:ascii="Times New Roman" w:hAnsi="Times New Roman" w:eastAsia="等线" w:cs="Times New Roman"/>
                    </w:rPr>
                  </w:pPr>
                  <w:r>
                    <w:rPr>
                      <w:rFonts w:hint="eastAsia" w:ascii="Times New Roman" w:hAnsi="Times New Roman" w:eastAsia="等线" w:cs="Times New Roman"/>
                    </w:rPr>
                    <w:t>0.0888</w:t>
                  </w:r>
                </w:p>
              </w:tc>
            </w:tr>
            <w:tr w14:paraId="4C45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Merge w:val="continue"/>
                  <w:vAlign w:val="center"/>
                </w:tcPr>
                <w:p w14:paraId="45409029">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p>
              </w:tc>
              <w:tc>
                <w:tcPr>
                  <w:tcW w:w="1559" w:type="dxa"/>
                  <w:vMerge w:val="continue"/>
                  <w:vAlign w:val="center"/>
                </w:tcPr>
                <w:p w14:paraId="58E75567">
                  <w:pPr>
                    <w:adjustRightInd w:val="0"/>
                    <w:snapToGrid w:val="0"/>
                    <w:spacing w:line="360" w:lineRule="auto"/>
                    <w:jc w:val="center"/>
                    <w:rPr>
                      <w:rFonts w:ascii="Times New Roman" w:hAnsi="Times New Roman" w:cs="Times New Roman"/>
                    </w:rPr>
                  </w:pPr>
                </w:p>
              </w:tc>
              <w:tc>
                <w:tcPr>
                  <w:tcW w:w="1292" w:type="dxa"/>
                  <w:vMerge w:val="continue"/>
                  <w:vAlign w:val="center"/>
                </w:tcPr>
                <w:p w14:paraId="3DC42876">
                  <w:pPr>
                    <w:adjustRightInd w:val="0"/>
                    <w:snapToGrid w:val="0"/>
                    <w:spacing w:line="360" w:lineRule="auto"/>
                    <w:jc w:val="center"/>
                    <w:rPr>
                      <w:rFonts w:ascii="Times New Roman" w:hAnsi="Times New Roman" w:cs="Times New Roman"/>
                    </w:rPr>
                  </w:pPr>
                </w:p>
              </w:tc>
              <w:tc>
                <w:tcPr>
                  <w:tcW w:w="1134" w:type="dxa"/>
                  <w:vAlign w:val="center"/>
                </w:tcPr>
                <w:p w14:paraId="2950FAC1">
                  <w:pPr>
                    <w:adjustRightInd w:val="0"/>
                    <w:snapToGrid w:val="0"/>
                    <w:spacing w:line="360" w:lineRule="auto"/>
                    <w:jc w:val="center"/>
                    <w:rPr>
                      <w:rFonts w:ascii="Times New Roman" w:hAnsi="Times New Roman" w:cs="Times New Roman"/>
                    </w:rPr>
                  </w:pPr>
                  <w:r>
                    <w:rPr>
                      <w:rFonts w:ascii="Times New Roman" w:hAnsi="Times New Roman" w:cs="Times New Roman"/>
                    </w:rPr>
                    <w:t>二甲苯</w:t>
                  </w:r>
                </w:p>
              </w:tc>
              <w:tc>
                <w:tcPr>
                  <w:tcW w:w="1134" w:type="dxa"/>
                  <w:vAlign w:val="center"/>
                </w:tcPr>
                <w:p w14:paraId="22B08752">
                  <w:pPr>
                    <w:adjustRightInd w:val="0"/>
                    <w:snapToGrid w:val="0"/>
                    <w:spacing w:line="360" w:lineRule="auto"/>
                    <w:jc w:val="center"/>
                    <w:rPr>
                      <w:rFonts w:ascii="Times New Roman" w:hAnsi="Times New Roman" w:eastAsia="等线" w:cs="Times New Roman"/>
                      <w:kern w:val="2"/>
                    </w:rPr>
                  </w:pPr>
                  <w:r>
                    <w:rPr>
                      <w:rFonts w:hint="eastAsia" w:ascii="Times New Roman" w:hAnsi="Times New Roman" w:eastAsia="等线" w:cs="Times New Roman"/>
                      <w:kern w:val="2"/>
                    </w:rPr>
                    <w:t>0.0423</w:t>
                  </w:r>
                </w:p>
              </w:tc>
              <w:tc>
                <w:tcPr>
                  <w:tcW w:w="1134" w:type="dxa"/>
                  <w:vAlign w:val="center"/>
                </w:tcPr>
                <w:p w14:paraId="69441A05">
                  <w:pPr>
                    <w:adjustRightInd w:val="0"/>
                    <w:snapToGrid w:val="0"/>
                    <w:spacing w:line="360" w:lineRule="auto"/>
                    <w:jc w:val="center"/>
                    <w:rPr>
                      <w:rFonts w:ascii="Times New Roman" w:hAnsi="Times New Roman" w:eastAsia="等线" w:cs="Times New Roman"/>
                      <w:kern w:val="2"/>
                    </w:rPr>
                  </w:pPr>
                  <w:r>
                    <w:rPr>
                      <w:rFonts w:hint="eastAsia" w:ascii="Times New Roman" w:hAnsi="Times New Roman" w:eastAsia="等线" w:cs="Times New Roman"/>
                      <w:kern w:val="2"/>
                    </w:rPr>
                    <w:t>0.004226</w:t>
                  </w:r>
                </w:p>
              </w:tc>
              <w:tc>
                <w:tcPr>
                  <w:tcW w:w="1134" w:type="dxa"/>
                  <w:vAlign w:val="center"/>
                </w:tcPr>
                <w:p w14:paraId="74A72BB9">
                  <w:pPr>
                    <w:adjustRightInd w:val="0"/>
                    <w:snapToGrid w:val="0"/>
                    <w:spacing w:line="360" w:lineRule="auto"/>
                    <w:jc w:val="center"/>
                    <w:rPr>
                      <w:rFonts w:ascii="Times New Roman" w:hAnsi="Times New Roman" w:eastAsia="等线" w:cs="Times New Roman"/>
                    </w:rPr>
                  </w:pPr>
                  <w:r>
                    <w:rPr>
                      <w:rFonts w:hint="eastAsia" w:ascii="Times New Roman" w:hAnsi="Times New Roman" w:eastAsia="等线" w:cs="Times New Roman"/>
                    </w:rPr>
                    <w:t>0.03381</w:t>
                  </w:r>
                </w:p>
              </w:tc>
            </w:tr>
            <w:tr w14:paraId="7717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6" w:type="dxa"/>
                  <w:gridSpan w:val="7"/>
                  <w:vAlign w:val="center"/>
                </w:tcPr>
                <w:p w14:paraId="2F44A26B">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无组织废气</w:t>
                  </w:r>
                </w:p>
              </w:tc>
            </w:tr>
            <w:tr w14:paraId="25099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4B10B409">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序号</w:t>
                  </w:r>
                </w:p>
              </w:tc>
              <w:tc>
                <w:tcPr>
                  <w:tcW w:w="1559" w:type="dxa"/>
                  <w:vAlign w:val="center"/>
                </w:tcPr>
                <w:p w14:paraId="5AD79C81">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排放口编号</w:t>
                  </w:r>
                </w:p>
              </w:tc>
              <w:tc>
                <w:tcPr>
                  <w:tcW w:w="1292" w:type="dxa"/>
                  <w:vAlign w:val="center"/>
                </w:tcPr>
                <w:p w14:paraId="1C9BD589">
                  <w:pPr>
                    <w:adjustRightInd w:val="0"/>
                    <w:snapToGrid w:val="0"/>
                    <w:spacing w:line="360" w:lineRule="auto"/>
                    <w:jc w:val="center"/>
                    <w:rPr>
                      <w:rFonts w:ascii="Times New Roman" w:hAnsi="Times New Roman" w:cs="Times New Roman"/>
                    </w:rPr>
                  </w:pPr>
                  <w:r>
                    <w:rPr>
                      <w:rFonts w:ascii="Times New Roman" w:hAnsi="Times New Roman" w:cs="Times New Roman"/>
                      <w:color w:val="000000" w:themeColor="text1"/>
                      <w14:textFill>
                        <w14:solidFill>
                          <w14:schemeClr w14:val="tx1"/>
                        </w14:solidFill>
                      </w14:textFill>
                    </w:rPr>
                    <w:t>产污环节</w:t>
                  </w:r>
                </w:p>
              </w:tc>
              <w:tc>
                <w:tcPr>
                  <w:tcW w:w="1134" w:type="dxa"/>
                  <w:vAlign w:val="center"/>
                </w:tcPr>
                <w:p w14:paraId="215BA5FD">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污染物</w:t>
                  </w:r>
                </w:p>
              </w:tc>
              <w:tc>
                <w:tcPr>
                  <w:tcW w:w="1134" w:type="dxa"/>
                  <w:vAlign w:val="center"/>
                </w:tcPr>
                <w:p w14:paraId="53FB9DBF">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rPr>
                    <w:t>标准名称</w:t>
                  </w:r>
                </w:p>
              </w:tc>
              <w:tc>
                <w:tcPr>
                  <w:tcW w:w="1134" w:type="dxa"/>
                  <w:vAlign w:val="center"/>
                </w:tcPr>
                <w:p w14:paraId="76DF831F">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rPr>
                    <w:t>浓度限值（mg/m</w:t>
                  </w:r>
                  <w:r>
                    <w:rPr>
                      <w:rFonts w:ascii="Times New Roman" w:hAnsi="Times New Roman" w:cs="Times New Roman"/>
                      <w:vertAlign w:val="superscript"/>
                    </w:rPr>
                    <w:t>3</w:t>
                  </w:r>
                  <w:r>
                    <w:rPr>
                      <w:rFonts w:ascii="Times New Roman" w:hAnsi="Times New Roman" w:cs="Times New Roman"/>
                    </w:rPr>
                    <w:t>）</w:t>
                  </w:r>
                </w:p>
              </w:tc>
              <w:tc>
                <w:tcPr>
                  <w:tcW w:w="1134" w:type="dxa"/>
                  <w:vAlign w:val="center"/>
                </w:tcPr>
                <w:p w14:paraId="77B63B30">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rPr>
                    <w:t>申报年排放量/（t/a）</w:t>
                  </w:r>
                </w:p>
              </w:tc>
            </w:tr>
            <w:tr w14:paraId="1D86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trPr>
              <w:tc>
                <w:tcPr>
                  <w:tcW w:w="549" w:type="dxa"/>
                  <w:vMerge w:val="restart"/>
                  <w:vAlign w:val="center"/>
                </w:tcPr>
                <w:p w14:paraId="62849CBF">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w:t>
                  </w:r>
                </w:p>
              </w:tc>
              <w:tc>
                <w:tcPr>
                  <w:tcW w:w="1559" w:type="dxa"/>
                  <w:vMerge w:val="restart"/>
                  <w:vAlign w:val="center"/>
                </w:tcPr>
                <w:p w14:paraId="147E40F4">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w:t>
                  </w:r>
                </w:p>
              </w:tc>
              <w:tc>
                <w:tcPr>
                  <w:tcW w:w="1292" w:type="dxa"/>
                  <w:vMerge w:val="restart"/>
                  <w:vAlign w:val="center"/>
                </w:tcPr>
                <w:p w14:paraId="4A8E83E4">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rPr>
                    <w:t>罐区、装卸区无组织废气</w:t>
                  </w:r>
                </w:p>
              </w:tc>
              <w:tc>
                <w:tcPr>
                  <w:tcW w:w="1134" w:type="dxa"/>
                  <w:vAlign w:val="center"/>
                </w:tcPr>
                <w:p w14:paraId="5866A4F5">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rPr>
                    <w:t>NMHC</w:t>
                  </w:r>
                </w:p>
              </w:tc>
              <w:tc>
                <w:tcPr>
                  <w:tcW w:w="1134" w:type="dxa"/>
                  <w:vMerge w:val="restart"/>
                  <w:vAlign w:val="center"/>
                </w:tcPr>
                <w:p w14:paraId="74D330C1">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rPr>
                    <w:t>《石油化学工业污染物排放标准》（GB31571-2015，含2024年修改单）表7企业边界大气污染物浓度限值</w:t>
                  </w:r>
                </w:p>
              </w:tc>
              <w:tc>
                <w:tcPr>
                  <w:tcW w:w="1134" w:type="dxa"/>
                  <w:vAlign w:val="center"/>
                </w:tcPr>
                <w:p w14:paraId="65024F93">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4.0</w:t>
                  </w:r>
                </w:p>
              </w:tc>
              <w:tc>
                <w:tcPr>
                  <w:tcW w:w="1134" w:type="dxa"/>
                  <w:vAlign w:val="center"/>
                </w:tcPr>
                <w:p w14:paraId="24B3B729">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0.206</w:t>
                  </w:r>
                </w:p>
              </w:tc>
            </w:tr>
            <w:tr w14:paraId="11E14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8" w:hRule="atLeast"/>
              </w:trPr>
              <w:tc>
                <w:tcPr>
                  <w:tcW w:w="549" w:type="dxa"/>
                  <w:vMerge w:val="continue"/>
                  <w:vAlign w:val="center"/>
                </w:tcPr>
                <w:p w14:paraId="2C9821E2">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p>
              </w:tc>
              <w:tc>
                <w:tcPr>
                  <w:tcW w:w="1559" w:type="dxa"/>
                  <w:vMerge w:val="continue"/>
                  <w:vAlign w:val="center"/>
                </w:tcPr>
                <w:p w14:paraId="6358995D">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p>
              </w:tc>
              <w:tc>
                <w:tcPr>
                  <w:tcW w:w="1292" w:type="dxa"/>
                  <w:vMerge w:val="continue"/>
                  <w:vAlign w:val="center"/>
                </w:tcPr>
                <w:p w14:paraId="590082D0">
                  <w:pPr>
                    <w:adjustRightInd w:val="0"/>
                    <w:snapToGrid w:val="0"/>
                    <w:spacing w:line="360" w:lineRule="auto"/>
                    <w:jc w:val="center"/>
                    <w:rPr>
                      <w:rFonts w:ascii="Times New Roman" w:hAnsi="Times New Roman" w:cs="Times New Roman"/>
                    </w:rPr>
                  </w:pPr>
                </w:p>
              </w:tc>
              <w:tc>
                <w:tcPr>
                  <w:tcW w:w="1134" w:type="dxa"/>
                  <w:vAlign w:val="center"/>
                </w:tcPr>
                <w:p w14:paraId="03A75356">
                  <w:pPr>
                    <w:adjustRightInd w:val="0"/>
                    <w:snapToGrid w:val="0"/>
                    <w:spacing w:line="360" w:lineRule="auto"/>
                    <w:jc w:val="center"/>
                    <w:rPr>
                      <w:rFonts w:ascii="Times New Roman" w:hAnsi="Times New Roman" w:cs="Times New Roman"/>
                    </w:rPr>
                  </w:pPr>
                  <w:r>
                    <w:rPr>
                      <w:rFonts w:hint="eastAsia" w:ascii="Times New Roman" w:hAnsi="Times New Roman" w:cs="Times New Roman"/>
                    </w:rPr>
                    <w:t>苯</w:t>
                  </w:r>
                </w:p>
              </w:tc>
              <w:tc>
                <w:tcPr>
                  <w:tcW w:w="1134" w:type="dxa"/>
                  <w:vMerge w:val="continue"/>
                  <w:vAlign w:val="center"/>
                </w:tcPr>
                <w:p w14:paraId="4534C1B0">
                  <w:pPr>
                    <w:adjustRightInd w:val="0"/>
                    <w:snapToGrid w:val="0"/>
                    <w:spacing w:line="360" w:lineRule="auto"/>
                    <w:jc w:val="center"/>
                    <w:rPr>
                      <w:rFonts w:ascii="Times New Roman" w:hAnsi="Times New Roman" w:cs="Times New Roman"/>
                    </w:rPr>
                  </w:pPr>
                </w:p>
              </w:tc>
              <w:tc>
                <w:tcPr>
                  <w:tcW w:w="1134" w:type="dxa"/>
                  <w:vAlign w:val="center"/>
                </w:tcPr>
                <w:p w14:paraId="13F766AA">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0.4</w:t>
                  </w:r>
                </w:p>
              </w:tc>
              <w:tc>
                <w:tcPr>
                  <w:tcW w:w="1134" w:type="dxa"/>
                  <w:vAlign w:val="center"/>
                </w:tcPr>
                <w:p w14:paraId="152A468D">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bCs/>
                      <w:spacing w:val="-10"/>
                      <w:szCs w:val="21"/>
                    </w:rPr>
                    <w:t>0.000008</w:t>
                  </w:r>
                </w:p>
              </w:tc>
            </w:tr>
            <w:tr w14:paraId="156EC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8" w:hRule="atLeast"/>
              </w:trPr>
              <w:tc>
                <w:tcPr>
                  <w:tcW w:w="549" w:type="dxa"/>
                  <w:vMerge w:val="continue"/>
                  <w:vAlign w:val="center"/>
                </w:tcPr>
                <w:p w14:paraId="0B04D07A">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p>
              </w:tc>
              <w:tc>
                <w:tcPr>
                  <w:tcW w:w="1559" w:type="dxa"/>
                  <w:vMerge w:val="continue"/>
                  <w:vAlign w:val="center"/>
                </w:tcPr>
                <w:p w14:paraId="52BE9264">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p>
              </w:tc>
              <w:tc>
                <w:tcPr>
                  <w:tcW w:w="1292" w:type="dxa"/>
                  <w:vMerge w:val="continue"/>
                  <w:vAlign w:val="center"/>
                </w:tcPr>
                <w:p w14:paraId="7402D766">
                  <w:pPr>
                    <w:adjustRightInd w:val="0"/>
                    <w:snapToGrid w:val="0"/>
                    <w:spacing w:line="360" w:lineRule="auto"/>
                    <w:jc w:val="center"/>
                    <w:rPr>
                      <w:rFonts w:ascii="Times New Roman" w:hAnsi="Times New Roman" w:cs="Times New Roman"/>
                    </w:rPr>
                  </w:pPr>
                </w:p>
              </w:tc>
              <w:tc>
                <w:tcPr>
                  <w:tcW w:w="1134" w:type="dxa"/>
                  <w:vAlign w:val="center"/>
                </w:tcPr>
                <w:p w14:paraId="2C0E526D">
                  <w:pPr>
                    <w:adjustRightInd w:val="0"/>
                    <w:snapToGrid w:val="0"/>
                    <w:spacing w:line="360" w:lineRule="auto"/>
                    <w:jc w:val="center"/>
                    <w:rPr>
                      <w:rFonts w:ascii="Times New Roman" w:hAnsi="Times New Roman" w:cs="Times New Roman"/>
                    </w:rPr>
                  </w:pPr>
                  <w:r>
                    <w:rPr>
                      <w:rFonts w:hint="eastAsia" w:ascii="Times New Roman" w:hAnsi="Times New Roman" w:cs="Times New Roman"/>
                    </w:rPr>
                    <w:t>甲苯</w:t>
                  </w:r>
                </w:p>
              </w:tc>
              <w:tc>
                <w:tcPr>
                  <w:tcW w:w="1134" w:type="dxa"/>
                  <w:vMerge w:val="continue"/>
                  <w:vAlign w:val="center"/>
                </w:tcPr>
                <w:p w14:paraId="3C7CE881">
                  <w:pPr>
                    <w:adjustRightInd w:val="0"/>
                    <w:snapToGrid w:val="0"/>
                    <w:spacing w:line="360" w:lineRule="auto"/>
                    <w:jc w:val="center"/>
                    <w:rPr>
                      <w:rFonts w:ascii="Times New Roman" w:hAnsi="Times New Roman" w:cs="Times New Roman"/>
                    </w:rPr>
                  </w:pPr>
                </w:p>
              </w:tc>
              <w:tc>
                <w:tcPr>
                  <w:tcW w:w="1134" w:type="dxa"/>
                  <w:vAlign w:val="center"/>
                </w:tcPr>
                <w:p w14:paraId="1EF06C97">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0.8</w:t>
                  </w:r>
                </w:p>
              </w:tc>
              <w:tc>
                <w:tcPr>
                  <w:tcW w:w="1134" w:type="dxa"/>
                  <w:vAlign w:val="center"/>
                </w:tcPr>
                <w:p w14:paraId="08829A86">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bCs/>
                      <w:spacing w:val="-10"/>
                      <w:szCs w:val="21"/>
                    </w:rPr>
                    <w:t>0.000664</w:t>
                  </w:r>
                </w:p>
              </w:tc>
            </w:tr>
            <w:tr w14:paraId="48BCE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8" w:hRule="atLeast"/>
              </w:trPr>
              <w:tc>
                <w:tcPr>
                  <w:tcW w:w="549" w:type="dxa"/>
                  <w:vMerge w:val="continue"/>
                  <w:vAlign w:val="center"/>
                </w:tcPr>
                <w:p w14:paraId="56B9E1BE">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p>
              </w:tc>
              <w:tc>
                <w:tcPr>
                  <w:tcW w:w="1559" w:type="dxa"/>
                  <w:vMerge w:val="continue"/>
                  <w:vAlign w:val="center"/>
                </w:tcPr>
                <w:p w14:paraId="341610D6">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p>
              </w:tc>
              <w:tc>
                <w:tcPr>
                  <w:tcW w:w="1292" w:type="dxa"/>
                  <w:vMerge w:val="continue"/>
                  <w:vAlign w:val="center"/>
                </w:tcPr>
                <w:p w14:paraId="4D90C146">
                  <w:pPr>
                    <w:adjustRightInd w:val="0"/>
                    <w:snapToGrid w:val="0"/>
                    <w:spacing w:line="360" w:lineRule="auto"/>
                    <w:jc w:val="center"/>
                    <w:rPr>
                      <w:rFonts w:ascii="Times New Roman" w:hAnsi="Times New Roman" w:cs="Times New Roman"/>
                    </w:rPr>
                  </w:pPr>
                </w:p>
              </w:tc>
              <w:tc>
                <w:tcPr>
                  <w:tcW w:w="1134" w:type="dxa"/>
                  <w:vAlign w:val="center"/>
                </w:tcPr>
                <w:p w14:paraId="45538AF9">
                  <w:pPr>
                    <w:adjustRightInd w:val="0"/>
                    <w:snapToGrid w:val="0"/>
                    <w:spacing w:line="360" w:lineRule="auto"/>
                    <w:jc w:val="center"/>
                    <w:rPr>
                      <w:rFonts w:ascii="Times New Roman" w:hAnsi="Times New Roman" w:cs="Times New Roman"/>
                    </w:rPr>
                  </w:pPr>
                  <w:r>
                    <w:rPr>
                      <w:rFonts w:hint="eastAsia" w:ascii="Times New Roman" w:hAnsi="Times New Roman" w:cs="Times New Roman"/>
                    </w:rPr>
                    <w:t>二甲苯</w:t>
                  </w:r>
                </w:p>
              </w:tc>
              <w:tc>
                <w:tcPr>
                  <w:tcW w:w="1134" w:type="dxa"/>
                  <w:vMerge w:val="continue"/>
                  <w:vAlign w:val="center"/>
                </w:tcPr>
                <w:p w14:paraId="3107458E">
                  <w:pPr>
                    <w:adjustRightInd w:val="0"/>
                    <w:snapToGrid w:val="0"/>
                    <w:spacing w:line="360" w:lineRule="auto"/>
                    <w:jc w:val="center"/>
                    <w:rPr>
                      <w:rFonts w:ascii="Times New Roman" w:hAnsi="Times New Roman" w:cs="Times New Roman"/>
                    </w:rPr>
                  </w:pPr>
                </w:p>
              </w:tc>
              <w:tc>
                <w:tcPr>
                  <w:tcW w:w="1134" w:type="dxa"/>
                  <w:vAlign w:val="center"/>
                </w:tcPr>
                <w:p w14:paraId="7F041CEB">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0.8</w:t>
                  </w:r>
                </w:p>
              </w:tc>
              <w:tc>
                <w:tcPr>
                  <w:tcW w:w="1134" w:type="dxa"/>
                  <w:vAlign w:val="center"/>
                </w:tcPr>
                <w:p w14:paraId="5BD65662">
                  <w:pPr>
                    <w:adjustRightInd w:val="0"/>
                    <w:snapToGrid w:val="0"/>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bCs/>
                      <w:spacing w:val="-10"/>
                      <w:szCs w:val="21"/>
                    </w:rPr>
                    <w:t>0.000253</w:t>
                  </w:r>
                </w:p>
              </w:tc>
            </w:tr>
          </w:tbl>
          <w:p w14:paraId="7FE278DF">
            <w:pPr>
              <w:adjustRightInd w:val="0"/>
              <w:snapToGrid w:val="0"/>
              <w:spacing w:line="360" w:lineRule="auto"/>
              <w:rPr>
                <w:rFonts w:ascii="Times New Roman" w:hAnsi="Times New Roman" w:cs="Times New Roman"/>
                <w:color w:val="000000" w:themeColor="text1"/>
                <w:szCs w:val="21"/>
                <w14:textFill>
                  <w14:solidFill>
                    <w14:schemeClr w14:val="tx1"/>
                  </w14:solidFill>
                </w14:textFill>
              </w:rPr>
            </w:pPr>
          </w:p>
          <w:p w14:paraId="2E32334B">
            <w:pPr>
              <w:adjustRightInd w:val="0"/>
              <w:snapToGrid w:val="0"/>
              <w:spacing w:line="360" w:lineRule="auto"/>
              <w:ind w:firstLine="480" w:firstLineChars="2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本环评依据《排污许可证申请与核发技术规范石化工业》（HJ853-2017）中废气污染防治可行技术参考表，分析本项目拟采取的油气回收设施的可行性。石化工业废气治理可行技术见表4-10。</w:t>
            </w:r>
          </w:p>
          <w:p w14:paraId="14E72AFA">
            <w:pPr>
              <w:adjustRightInd w:val="0"/>
              <w:snapToGrid w:val="0"/>
              <w:ind w:firstLine="442" w:firstLineChars="200"/>
              <w:jc w:val="center"/>
              <w:rPr>
                <w:rFonts w:ascii="Times New Roman" w:hAnsi="Times New Roman" w:cs="Times New Roman"/>
                <w:b/>
                <w:spacing w:val="-10"/>
              </w:rPr>
            </w:pPr>
            <w:r>
              <w:rPr>
                <w:rFonts w:ascii="Times New Roman" w:hAnsi="Times New Roman" w:cs="Times New Roman"/>
                <w:b/>
                <w:spacing w:val="-10"/>
                <w:szCs w:val="21"/>
              </w:rPr>
              <w:t>表4-10  石化工业废气治理可行技术参照表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993"/>
              <w:gridCol w:w="5540"/>
            </w:tblGrid>
            <w:tr w14:paraId="66CD5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3" w:type="dxa"/>
                  <w:vAlign w:val="center"/>
                </w:tcPr>
                <w:p w14:paraId="036872AB">
                  <w:pPr>
                    <w:adjustRightInd w:val="0"/>
                    <w:snapToGrid w:val="0"/>
                    <w:spacing w:line="360" w:lineRule="auto"/>
                    <w:jc w:val="center"/>
                    <w:rPr>
                      <w:rFonts w:ascii="Times New Roman" w:hAnsi="Times New Roman" w:cs="Times New Roman"/>
                      <w:bCs/>
                      <w:spacing w:val="-10"/>
                      <w:szCs w:val="21"/>
                    </w:rPr>
                  </w:pPr>
                  <w:r>
                    <w:rPr>
                      <w:rFonts w:ascii="Times New Roman" w:hAnsi="Times New Roman" w:cs="Times New Roman"/>
                      <w:bCs/>
                      <w:spacing w:val="-10"/>
                      <w:szCs w:val="21"/>
                    </w:rPr>
                    <w:t>产排污环节</w:t>
                  </w:r>
                </w:p>
              </w:tc>
              <w:tc>
                <w:tcPr>
                  <w:tcW w:w="993" w:type="dxa"/>
                  <w:vAlign w:val="center"/>
                </w:tcPr>
                <w:p w14:paraId="5903C64A">
                  <w:pPr>
                    <w:adjustRightInd w:val="0"/>
                    <w:snapToGrid w:val="0"/>
                    <w:spacing w:line="360" w:lineRule="auto"/>
                    <w:jc w:val="center"/>
                    <w:rPr>
                      <w:rFonts w:ascii="Times New Roman" w:hAnsi="Times New Roman" w:cs="Times New Roman"/>
                      <w:bCs/>
                      <w:spacing w:val="-10"/>
                      <w:szCs w:val="21"/>
                    </w:rPr>
                  </w:pPr>
                  <w:r>
                    <w:rPr>
                      <w:rFonts w:ascii="Times New Roman" w:hAnsi="Times New Roman" w:cs="Times New Roman"/>
                      <w:bCs/>
                      <w:spacing w:val="-10"/>
                      <w:szCs w:val="21"/>
                    </w:rPr>
                    <w:t>污染物</w:t>
                  </w:r>
                </w:p>
              </w:tc>
              <w:tc>
                <w:tcPr>
                  <w:tcW w:w="5540" w:type="dxa"/>
                  <w:vAlign w:val="center"/>
                </w:tcPr>
                <w:p w14:paraId="00DAD942">
                  <w:pPr>
                    <w:adjustRightInd w:val="0"/>
                    <w:snapToGrid w:val="0"/>
                    <w:spacing w:line="360" w:lineRule="auto"/>
                    <w:jc w:val="center"/>
                    <w:rPr>
                      <w:rFonts w:ascii="Times New Roman" w:hAnsi="Times New Roman" w:cs="Times New Roman"/>
                      <w:bCs/>
                      <w:spacing w:val="-10"/>
                      <w:szCs w:val="21"/>
                    </w:rPr>
                  </w:pPr>
                  <w:r>
                    <w:rPr>
                      <w:rFonts w:ascii="Times New Roman" w:hAnsi="Times New Roman" w:cs="Times New Roman"/>
                      <w:bCs/>
                      <w:spacing w:val="-10"/>
                      <w:szCs w:val="21"/>
                    </w:rPr>
                    <w:t>可行技术</w:t>
                  </w:r>
                </w:p>
              </w:tc>
            </w:tr>
            <w:tr w14:paraId="0136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3" w:type="dxa"/>
                  <w:vAlign w:val="center"/>
                </w:tcPr>
                <w:p w14:paraId="6F0ECF1C">
                  <w:pPr>
                    <w:adjustRightInd w:val="0"/>
                    <w:snapToGrid w:val="0"/>
                    <w:spacing w:line="360" w:lineRule="auto"/>
                    <w:jc w:val="center"/>
                    <w:rPr>
                      <w:rFonts w:ascii="Times New Roman" w:hAnsi="Times New Roman" w:cs="Times New Roman"/>
                      <w:bCs/>
                      <w:spacing w:val="-10"/>
                      <w:szCs w:val="21"/>
                    </w:rPr>
                  </w:pPr>
                  <w:r>
                    <w:rPr>
                      <w:rFonts w:ascii="Times New Roman" w:hAnsi="Times New Roman" w:cs="Times New Roman"/>
                      <w:bCs/>
                      <w:spacing w:val="-10"/>
                      <w:szCs w:val="21"/>
                    </w:rPr>
                    <w:t>储罐</w:t>
                  </w:r>
                </w:p>
              </w:tc>
              <w:tc>
                <w:tcPr>
                  <w:tcW w:w="993" w:type="dxa"/>
                  <w:vAlign w:val="center"/>
                </w:tcPr>
                <w:p w14:paraId="262C49E1">
                  <w:pPr>
                    <w:adjustRightInd w:val="0"/>
                    <w:snapToGrid w:val="0"/>
                    <w:spacing w:line="360" w:lineRule="auto"/>
                    <w:jc w:val="center"/>
                    <w:rPr>
                      <w:rFonts w:ascii="Times New Roman" w:hAnsi="Times New Roman" w:cs="Times New Roman"/>
                      <w:bCs/>
                      <w:spacing w:val="-10"/>
                      <w:szCs w:val="21"/>
                    </w:rPr>
                  </w:pPr>
                  <w:r>
                    <w:rPr>
                      <w:rFonts w:ascii="Times New Roman" w:hAnsi="Times New Roman" w:cs="Times New Roman"/>
                      <w:bCs/>
                      <w:spacing w:val="-10"/>
                      <w:szCs w:val="21"/>
                    </w:rPr>
                    <w:t>挥发性有机物</w:t>
                  </w:r>
                </w:p>
              </w:tc>
              <w:tc>
                <w:tcPr>
                  <w:tcW w:w="5540" w:type="dxa"/>
                  <w:vAlign w:val="center"/>
                </w:tcPr>
                <w:p w14:paraId="0C1AF503">
                  <w:pPr>
                    <w:adjustRightInd w:val="0"/>
                    <w:snapToGrid w:val="0"/>
                    <w:spacing w:line="360" w:lineRule="auto"/>
                    <w:jc w:val="center"/>
                    <w:rPr>
                      <w:rFonts w:ascii="Times New Roman" w:hAnsi="Times New Roman" w:cs="Times New Roman"/>
                      <w:bCs/>
                      <w:spacing w:val="-10"/>
                      <w:szCs w:val="21"/>
                    </w:rPr>
                  </w:pPr>
                  <w:r>
                    <w:rPr>
                      <w:rFonts w:ascii="Times New Roman" w:hAnsi="Times New Roman" w:cs="Times New Roman"/>
                      <w:bCs/>
                      <w:spacing w:val="-10"/>
                      <w:szCs w:val="21"/>
                    </w:rPr>
                    <w:t>油气平衡、油气回收（冷凝、吸附、吸收、膜分离或组合技术等）、燃烧净化（热力焚烧、催化燃烧、蓄热燃烧）。</w:t>
                  </w:r>
                </w:p>
              </w:tc>
            </w:tr>
            <w:tr w14:paraId="3260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3" w:type="dxa"/>
                  <w:vAlign w:val="center"/>
                </w:tcPr>
                <w:p w14:paraId="17F73C10">
                  <w:pPr>
                    <w:adjustRightInd w:val="0"/>
                    <w:snapToGrid w:val="0"/>
                    <w:spacing w:line="360" w:lineRule="auto"/>
                    <w:jc w:val="center"/>
                    <w:rPr>
                      <w:rFonts w:ascii="Times New Roman" w:hAnsi="Times New Roman" w:cs="Times New Roman"/>
                      <w:bCs/>
                      <w:spacing w:val="-10"/>
                      <w:szCs w:val="21"/>
                    </w:rPr>
                  </w:pPr>
                  <w:r>
                    <w:rPr>
                      <w:rFonts w:ascii="Times New Roman" w:hAnsi="Times New Roman" w:cs="Times New Roman"/>
                      <w:bCs/>
                      <w:spacing w:val="-10"/>
                      <w:szCs w:val="21"/>
                    </w:rPr>
                    <w:t>装载</w:t>
                  </w:r>
                </w:p>
              </w:tc>
              <w:tc>
                <w:tcPr>
                  <w:tcW w:w="993" w:type="dxa"/>
                  <w:vAlign w:val="center"/>
                </w:tcPr>
                <w:p w14:paraId="02C7F1A8">
                  <w:pPr>
                    <w:adjustRightInd w:val="0"/>
                    <w:snapToGrid w:val="0"/>
                    <w:spacing w:line="360" w:lineRule="auto"/>
                    <w:jc w:val="center"/>
                    <w:rPr>
                      <w:rFonts w:ascii="Times New Roman" w:hAnsi="Times New Roman" w:cs="Times New Roman"/>
                      <w:bCs/>
                      <w:spacing w:val="-10"/>
                      <w:szCs w:val="21"/>
                    </w:rPr>
                  </w:pPr>
                  <w:r>
                    <w:rPr>
                      <w:rFonts w:ascii="Times New Roman" w:hAnsi="Times New Roman" w:cs="Times New Roman"/>
                      <w:bCs/>
                      <w:spacing w:val="-10"/>
                      <w:szCs w:val="21"/>
                    </w:rPr>
                    <w:t>挥发性有机物</w:t>
                  </w:r>
                </w:p>
              </w:tc>
              <w:tc>
                <w:tcPr>
                  <w:tcW w:w="5540" w:type="dxa"/>
                  <w:vAlign w:val="center"/>
                </w:tcPr>
                <w:p w14:paraId="4B8E6FB8">
                  <w:pPr>
                    <w:adjustRightInd w:val="0"/>
                    <w:snapToGrid w:val="0"/>
                    <w:spacing w:line="360" w:lineRule="auto"/>
                    <w:jc w:val="center"/>
                    <w:rPr>
                      <w:rFonts w:ascii="Times New Roman" w:hAnsi="Times New Roman" w:cs="Times New Roman"/>
                      <w:bCs/>
                      <w:spacing w:val="-10"/>
                      <w:szCs w:val="21"/>
                    </w:rPr>
                  </w:pPr>
                  <w:r>
                    <w:rPr>
                      <w:rFonts w:ascii="Times New Roman" w:hAnsi="Times New Roman" w:cs="Times New Roman"/>
                      <w:bCs/>
                      <w:spacing w:val="-10"/>
                      <w:szCs w:val="21"/>
                    </w:rPr>
                    <w:t>顶部浸没式或底部装载方式</w:t>
                  </w:r>
                  <w:r>
                    <w:rPr>
                      <w:rFonts w:ascii="Times New Roman" w:hAnsi="Times New Roman" w:cs="Times New Roman"/>
                      <w:b/>
                      <w:bCs/>
                      <w:spacing w:val="-10"/>
                      <w:szCs w:val="21"/>
                    </w:rPr>
                    <w:t>+</w:t>
                  </w:r>
                  <w:r>
                    <w:rPr>
                      <w:rFonts w:ascii="Times New Roman" w:hAnsi="Times New Roman" w:cs="Times New Roman"/>
                      <w:bCs/>
                      <w:spacing w:val="-10"/>
                      <w:szCs w:val="21"/>
                    </w:rPr>
                    <w:t>油气回收或燃烧净化。</w:t>
                  </w:r>
                </w:p>
              </w:tc>
            </w:tr>
          </w:tbl>
          <w:p w14:paraId="388D1C24">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本项目物料装载采用底部装载方式+油气回收处理装置（冷凝+活性炭吸附）；物料储存过程中液体储罐均采用内浮顶罐，并进行氮封，同时配套安装油气回收装置（冷凝+活性炭吸附）。物料装载和物料储存废气治理措施属于《排污许可证申请与核发技术规范石化工业》（HJ853-2017）中废气治理可行性技术方案，措施合理可行。</w:t>
            </w:r>
          </w:p>
          <w:p w14:paraId="1DA114E0">
            <w:pPr>
              <w:adjustRightInd w:val="0"/>
              <w:snapToGrid w:val="0"/>
              <w:spacing w:line="360" w:lineRule="auto"/>
              <w:rPr>
                <w:rFonts w:ascii="Times New Roman" w:hAnsi="Times New Roman" w:cs="Times New Roman"/>
                <w:b/>
                <w:spacing w:val="-10"/>
              </w:rPr>
            </w:pPr>
            <w:r>
              <w:rPr>
                <w:rFonts w:ascii="Times New Roman" w:hAnsi="Times New Roman" w:cs="Times New Roman"/>
                <w:b/>
                <w:spacing w:val="-10"/>
              </w:rPr>
              <w:t>1.3监测要求</w:t>
            </w:r>
          </w:p>
          <w:p w14:paraId="001EEED1">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本项目废气依托一期工程已建油气回收装置治理，废气共用一期排气筒，现有监测方案符合规范要求，监测点位、监测因子、监测频次可覆盖全厂污染源监控需求，本项目延续使用一期现有自行监测方案。项目废气监测工作内容详见表4-11。</w:t>
            </w:r>
          </w:p>
          <w:p w14:paraId="2180180D">
            <w:pPr>
              <w:adjustRightInd w:val="0"/>
              <w:snapToGrid w:val="0"/>
              <w:ind w:firstLine="442" w:firstLineChars="200"/>
              <w:jc w:val="center"/>
              <w:rPr>
                <w:rFonts w:ascii="Times New Roman" w:hAnsi="Times New Roman" w:cs="Times New Roman"/>
                <w:b/>
                <w:spacing w:val="-10"/>
              </w:rPr>
            </w:pPr>
            <w:r>
              <w:rPr>
                <w:rFonts w:ascii="Times New Roman" w:hAnsi="Times New Roman" w:cs="Times New Roman"/>
                <w:b/>
                <w:spacing w:val="-10"/>
                <w:szCs w:val="21"/>
              </w:rPr>
              <w:t>表4-11  废气自行监测要求一览表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2"/>
              <w:gridCol w:w="1912"/>
              <w:gridCol w:w="1587"/>
              <w:gridCol w:w="1587"/>
              <w:gridCol w:w="1588"/>
            </w:tblGrid>
            <w:tr w14:paraId="2076B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1" w:type="dxa"/>
                  <w:gridSpan w:val="3"/>
                </w:tcPr>
                <w:p w14:paraId="4C18D58C">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监测点位</w:t>
                  </w:r>
                </w:p>
              </w:tc>
              <w:tc>
                <w:tcPr>
                  <w:tcW w:w="1587" w:type="dxa"/>
                </w:tcPr>
                <w:p w14:paraId="6FC53180">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监测项目</w:t>
                  </w:r>
                </w:p>
              </w:tc>
              <w:tc>
                <w:tcPr>
                  <w:tcW w:w="1588" w:type="dxa"/>
                </w:tcPr>
                <w:p w14:paraId="7B08ECF0">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监测频次</w:t>
                  </w:r>
                </w:p>
              </w:tc>
            </w:tr>
            <w:tr w14:paraId="5521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262" w:type="dxa"/>
                  <w:vMerge w:val="restart"/>
                </w:tcPr>
                <w:p w14:paraId="3C655CB7">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有组织排放</w:t>
                  </w:r>
                </w:p>
              </w:tc>
              <w:tc>
                <w:tcPr>
                  <w:tcW w:w="1912" w:type="dxa"/>
                  <w:vMerge w:val="restart"/>
                </w:tcPr>
                <w:p w14:paraId="17A2B791">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储运工程</w:t>
                  </w:r>
                </w:p>
              </w:tc>
              <w:tc>
                <w:tcPr>
                  <w:tcW w:w="1587" w:type="dxa"/>
                  <w:vMerge w:val="restart"/>
                </w:tcPr>
                <w:p w14:paraId="5868FC68">
                  <w:pPr>
                    <w:adjustRightInd w:val="0"/>
                    <w:snapToGrid w:val="0"/>
                    <w:rPr>
                      <w:rFonts w:ascii="Times New Roman" w:hAnsi="Times New Roman" w:cs="Times New Roman"/>
                      <w:bCs/>
                      <w:spacing w:val="-10"/>
                      <w:szCs w:val="21"/>
                    </w:rPr>
                  </w:pPr>
                  <w:r>
                    <w:rPr>
                      <w:rFonts w:ascii="Times New Roman" w:hAnsi="Times New Roman" w:cs="Times New Roman"/>
                      <w:szCs w:val="21"/>
                    </w:rPr>
                    <w:t>罐区、装卸区有组织废气</w:t>
                  </w:r>
                </w:p>
              </w:tc>
              <w:tc>
                <w:tcPr>
                  <w:tcW w:w="1587" w:type="dxa"/>
                </w:tcPr>
                <w:p w14:paraId="4EA80D9A">
                  <w:pPr>
                    <w:adjustRightInd w:val="0"/>
                    <w:snapToGrid w:val="0"/>
                    <w:rPr>
                      <w:rFonts w:ascii="Times New Roman" w:hAnsi="Times New Roman" w:cs="Times New Roman"/>
                      <w:bCs/>
                      <w:spacing w:val="-10"/>
                      <w:szCs w:val="21"/>
                    </w:rPr>
                  </w:pPr>
                  <w:r>
                    <w:rPr>
                      <w:rFonts w:ascii="Times New Roman" w:hAnsi="Times New Roman" w:cs="Times New Roman"/>
                      <w:szCs w:val="21"/>
                    </w:rPr>
                    <w:t>NMHC</w:t>
                  </w:r>
                </w:p>
              </w:tc>
              <w:tc>
                <w:tcPr>
                  <w:tcW w:w="1588" w:type="dxa"/>
                </w:tcPr>
                <w:p w14:paraId="201EB566">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月</w:t>
                  </w:r>
                </w:p>
              </w:tc>
            </w:tr>
            <w:tr w14:paraId="1470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262" w:type="dxa"/>
                  <w:vMerge w:val="continue"/>
                </w:tcPr>
                <w:p w14:paraId="3A2AC8FB">
                  <w:pPr>
                    <w:adjustRightInd w:val="0"/>
                    <w:snapToGrid w:val="0"/>
                    <w:rPr>
                      <w:rFonts w:ascii="Times New Roman" w:hAnsi="Times New Roman" w:cs="Times New Roman"/>
                      <w:bCs/>
                      <w:spacing w:val="-10"/>
                      <w:szCs w:val="21"/>
                    </w:rPr>
                  </w:pPr>
                </w:p>
              </w:tc>
              <w:tc>
                <w:tcPr>
                  <w:tcW w:w="1912" w:type="dxa"/>
                  <w:vMerge w:val="continue"/>
                </w:tcPr>
                <w:p w14:paraId="166D288B">
                  <w:pPr>
                    <w:adjustRightInd w:val="0"/>
                    <w:snapToGrid w:val="0"/>
                    <w:rPr>
                      <w:rFonts w:ascii="Times New Roman" w:hAnsi="Times New Roman" w:cs="Times New Roman"/>
                      <w:bCs/>
                      <w:spacing w:val="-10"/>
                      <w:szCs w:val="21"/>
                    </w:rPr>
                  </w:pPr>
                </w:p>
              </w:tc>
              <w:tc>
                <w:tcPr>
                  <w:tcW w:w="1587" w:type="dxa"/>
                  <w:vMerge w:val="continue"/>
                </w:tcPr>
                <w:p w14:paraId="74B90A6D">
                  <w:pPr>
                    <w:adjustRightInd w:val="0"/>
                    <w:snapToGrid w:val="0"/>
                    <w:rPr>
                      <w:rFonts w:ascii="Times New Roman" w:hAnsi="Times New Roman" w:cs="Times New Roman"/>
                      <w:szCs w:val="21"/>
                    </w:rPr>
                  </w:pPr>
                </w:p>
              </w:tc>
              <w:tc>
                <w:tcPr>
                  <w:tcW w:w="1587" w:type="dxa"/>
                </w:tcPr>
                <w:p w14:paraId="79D1DEB2">
                  <w:pPr>
                    <w:adjustRightInd w:val="0"/>
                    <w:snapToGrid w:val="0"/>
                    <w:rPr>
                      <w:rFonts w:ascii="Times New Roman" w:hAnsi="Times New Roman" w:cs="Times New Roman"/>
                      <w:bCs/>
                      <w:spacing w:val="-10"/>
                      <w:szCs w:val="21"/>
                    </w:rPr>
                  </w:pPr>
                  <w:r>
                    <w:rPr>
                      <w:rFonts w:ascii="Times New Roman" w:hAnsi="Times New Roman" w:cs="Times New Roman"/>
                      <w:szCs w:val="21"/>
                    </w:rPr>
                    <w:t>苯、甲苯、二甲苯</w:t>
                  </w:r>
                </w:p>
              </w:tc>
              <w:tc>
                <w:tcPr>
                  <w:tcW w:w="1588" w:type="dxa"/>
                </w:tcPr>
                <w:p w14:paraId="03595079">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半年</w:t>
                  </w:r>
                </w:p>
              </w:tc>
            </w:tr>
            <w:tr w14:paraId="345C9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2" w:type="dxa"/>
                  <w:vMerge w:val="restart"/>
                </w:tcPr>
                <w:p w14:paraId="0BA18E60">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无组织排放</w:t>
                  </w:r>
                </w:p>
              </w:tc>
              <w:tc>
                <w:tcPr>
                  <w:tcW w:w="3499" w:type="dxa"/>
                  <w:gridSpan w:val="2"/>
                </w:tcPr>
                <w:p w14:paraId="509964C0">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企业边界</w:t>
                  </w:r>
                </w:p>
              </w:tc>
              <w:tc>
                <w:tcPr>
                  <w:tcW w:w="1587" w:type="dxa"/>
                </w:tcPr>
                <w:p w14:paraId="27BAEFD8">
                  <w:pPr>
                    <w:adjustRightInd w:val="0"/>
                    <w:snapToGrid w:val="0"/>
                    <w:rPr>
                      <w:rFonts w:ascii="Times New Roman" w:hAnsi="Times New Roman" w:cs="Times New Roman"/>
                      <w:bCs/>
                      <w:spacing w:val="-10"/>
                      <w:szCs w:val="21"/>
                    </w:rPr>
                  </w:pPr>
                  <w:r>
                    <w:rPr>
                      <w:rFonts w:ascii="Times New Roman" w:hAnsi="Times New Roman" w:cs="Times New Roman"/>
                      <w:szCs w:val="21"/>
                    </w:rPr>
                    <w:t>NMHC、苯、甲苯、二甲苯</w:t>
                  </w:r>
                </w:p>
              </w:tc>
              <w:tc>
                <w:tcPr>
                  <w:tcW w:w="1588" w:type="dxa"/>
                </w:tcPr>
                <w:p w14:paraId="498FFFFE">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季度</w:t>
                  </w:r>
                </w:p>
              </w:tc>
            </w:tr>
            <w:tr w14:paraId="5E7F7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2" w:type="dxa"/>
                  <w:vMerge w:val="continue"/>
                </w:tcPr>
                <w:p w14:paraId="5FAF4B69">
                  <w:pPr>
                    <w:adjustRightInd w:val="0"/>
                    <w:snapToGrid w:val="0"/>
                    <w:rPr>
                      <w:rFonts w:ascii="Times New Roman" w:hAnsi="Times New Roman" w:cs="Times New Roman"/>
                      <w:bCs/>
                      <w:spacing w:val="-10"/>
                      <w:szCs w:val="21"/>
                    </w:rPr>
                  </w:pPr>
                </w:p>
              </w:tc>
              <w:tc>
                <w:tcPr>
                  <w:tcW w:w="3499" w:type="dxa"/>
                  <w:gridSpan w:val="2"/>
                </w:tcPr>
                <w:p w14:paraId="33FB4A7A">
                  <w:pPr>
                    <w:adjustRightInd w:val="0"/>
                    <w:snapToGrid w:val="0"/>
                    <w:rPr>
                      <w:rFonts w:ascii="Times New Roman" w:hAnsi="Times New Roman" w:cs="Times New Roman"/>
                      <w:bCs/>
                      <w:spacing w:val="-10"/>
                      <w:szCs w:val="21"/>
                    </w:rPr>
                  </w:pPr>
                  <w:r>
                    <w:rPr>
                      <w:rFonts w:ascii="Times New Roman" w:hAnsi="Times New Roman" w:cs="Times New Roman"/>
                      <w:szCs w:val="21"/>
                    </w:rPr>
                    <w:t>泵、压缩机、搅拌器（机）、阀门、开口阀或开口管线、泄压设备、取样连接系统</w:t>
                  </w:r>
                </w:p>
              </w:tc>
              <w:tc>
                <w:tcPr>
                  <w:tcW w:w="1587" w:type="dxa"/>
                </w:tcPr>
                <w:p w14:paraId="4A64FA45">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挥发性有机物</w:t>
                  </w:r>
                </w:p>
              </w:tc>
              <w:tc>
                <w:tcPr>
                  <w:tcW w:w="1588" w:type="dxa"/>
                </w:tcPr>
                <w:p w14:paraId="1EE1FBA4">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季度</w:t>
                  </w:r>
                </w:p>
              </w:tc>
            </w:tr>
            <w:tr w14:paraId="2526E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2" w:type="dxa"/>
                  <w:vMerge w:val="continue"/>
                </w:tcPr>
                <w:p w14:paraId="7BE2EFEA">
                  <w:pPr>
                    <w:adjustRightInd w:val="0"/>
                    <w:snapToGrid w:val="0"/>
                    <w:rPr>
                      <w:rFonts w:ascii="Times New Roman" w:hAnsi="Times New Roman" w:cs="Times New Roman"/>
                      <w:bCs/>
                      <w:spacing w:val="-10"/>
                      <w:szCs w:val="21"/>
                    </w:rPr>
                  </w:pPr>
                </w:p>
              </w:tc>
              <w:tc>
                <w:tcPr>
                  <w:tcW w:w="3499" w:type="dxa"/>
                  <w:gridSpan w:val="2"/>
                </w:tcPr>
                <w:p w14:paraId="3F4A166F">
                  <w:pPr>
                    <w:adjustRightInd w:val="0"/>
                    <w:snapToGrid w:val="0"/>
                    <w:rPr>
                      <w:rFonts w:ascii="Times New Roman" w:hAnsi="Times New Roman" w:cs="Times New Roman"/>
                      <w:bCs/>
                      <w:spacing w:val="-10"/>
                      <w:szCs w:val="21"/>
                    </w:rPr>
                  </w:pPr>
                  <w:r>
                    <w:rPr>
                      <w:rFonts w:ascii="Times New Roman" w:hAnsi="Times New Roman" w:cs="Times New Roman"/>
                      <w:szCs w:val="21"/>
                    </w:rPr>
                    <w:t>法兰及其他连接件、其他密封设备</w:t>
                  </w:r>
                </w:p>
              </w:tc>
              <w:tc>
                <w:tcPr>
                  <w:tcW w:w="1587" w:type="dxa"/>
                </w:tcPr>
                <w:p w14:paraId="184B857B">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挥发性有机物</w:t>
                  </w:r>
                </w:p>
              </w:tc>
              <w:tc>
                <w:tcPr>
                  <w:tcW w:w="1588" w:type="dxa"/>
                </w:tcPr>
                <w:p w14:paraId="244C7B67">
                  <w:pPr>
                    <w:adjustRightInd w:val="0"/>
                    <w:snapToGrid w:val="0"/>
                    <w:rPr>
                      <w:rFonts w:ascii="Times New Roman" w:hAnsi="Times New Roman" w:cs="Times New Roman"/>
                      <w:bCs/>
                      <w:spacing w:val="-10"/>
                      <w:szCs w:val="21"/>
                    </w:rPr>
                  </w:pPr>
                  <w:r>
                    <w:rPr>
                      <w:rFonts w:ascii="Times New Roman" w:hAnsi="Times New Roman" w:cs="Times New Roman"/>
                      <w:bCs/>
                      <w:spacing w:val="-10"/>
                      <w:szCs w:val="21"/>
                    </w:rPr>
                    <w:t>半年</w:t>
                  </w:r>
                </w:p>
              </w:tc>
            </w:tr>
          </w:tbl>
          <w:p w14:paraId="332541CE">
            <w:pPr>
              <w:adjustRightInd w:val="0"/>
              <w:snapToGrid w:val="0"/>
              <w:spacing w:line="360" w:lineRule="auto"/>
              <w:rPr>
                <w:rFonts w:ascii="Times New Roman" w:hAnsi="Times New Roman" w:cs="Times New Roman"/>
                <w:b/>
                <w:bCs/>
                <w:sz w:val="28"/>
                <w:szCs w:val="28"/>
              </w:rPr>
            </w:pPr>
            <w:r>
              <w:rPr>
                <w:rFonts w:ascii="Times New Roman" w:hAnsi="Times New Roman" w:cs="Times New Roman"/>
                <w:b/>
                <w:spacing w:val="-10"/>
              </w:rPr>
              <w:t>1.4废气达标排放分析</w:t>
            </w:r>
          </w:p>
          <w:p w14:paraId="6819672F">
            <w:pPr>
              <w:adjustRightInd w:val="0"/>
              <w:snapToGrid w:val="0"/>
              <w:spacing w:line="360" w:lineRule="auto"/>
              <w:rPr>
                <w:rFonts w:ascii="Times New Roman" w:hAnsi="Times New Roman" w:cs="Times New Roman"/>
              </w:rPr>
            </w:pPr>
            <w:r>
              <w:rPr>
                <w:rFonts w:ascii="Times New Roman" w:hAnsi="Times New Roman" w:cs="Times New Roman"/>
              </w:rPr>
              <w:t>（1）正常工况达标排放分析</w:t>
            </w:r>
          </w:p>
          <w:p w14:paraId="4E7970E8">
            <w:pPr>
              <w:pStyle w:val="42"/>
              <w:ind w:firstLine="480"/>
            </w:pPr>
            <w:r>
              <w:t>本项目对装载、储存废气采用油气回收装置处理后经过15m高排气筒排放，</w:t>
            </w:r>
            <w:r>
              <w:rPr>
                <w:color w:val="000000"/>
              </w:rPr>
              <w:t>非甲烷总烃执行《石油化学工业污染物排放标准》（GB31571-2015，含 2024 年修改单）表5大气污染物特别排放限值</w:t>
            </w:r>
            <w:r>
              <w:rPr>
                <w:rFonts w:hint="eastAsia"/>
                <w:color w:val="000000"/>
              </w:rPr>
              <w:t>，</w:t>
            </w:r>
            <w:r>
              <w:rPr>
                <w:rFonts w:hint="eastAsia"/>
                <w:color w:val="000000" w:themeColor="text1"/>
                <w14:textFill>
                  <w14:solidFill>
                    <w14:schemeClr w14:val="tx1"/>
                  </w14:solidFill>
                </w14:textFill>
              </w:rPr>
              <w:t>非甲烷总烃排放浓度需满足《重污染天气重点行业应急减排措施制定技术指南（</w:t>
            </w:r>
            <w:r>
              <w:rPr>
                <w:color w:val="000000" w:themeColor="text1"/>
                <w14:textFill>
                  <w14:solidFill>
                    <w14:schemeClr w14:val="tx1"/>
                  </w14:solidFill>
                </w14:textFill>
              </w:rPr>
              <w:t>2020</w:t>
            </w:r>
            <w:r>
              <w:rPr>
                <w:rFonts w:hint="eastAsia"/>
                <w:color w:val="000000" w:themeColor="text1"/>
                <w14:textFill>
                  <w14:solidFill>
                    <w14:schemeClr w14:val="tx1"/>
                  </w14:solidFill>
                </w14:textFill>
              </w:rPr>
              <w:t>年修订版）》炼油与石油化工行业</w:t>
            </w:r>
            <w:r>
              <w:rPr>
                <w:color w:val="000000" w:themeColor="text1"/>
                <w14:textFill>
                  <w14:solidFill>
                    <w14:schemeClr w14:val="tx1"/>
                  </w14:solidFill>
                </w14:textFill>
              </w:rPr>
              <w:t>A</w:t>
            </w:r>
            <w:r>
              <w:rPr>
                <w:rFonts w:hint="eastAsia"/>
                <w:color w:val="000000" w:themeColor="text1"/>
                <w14:textFill>
                  <w14:solidFill>
                    <w14:schemeClr w14:val="tx1"/>
                  </w14:solidFill>
                </w14:textFill>
              </w:rPr>
              <w:t>级企业相关控制要求</w:t>
            </w:r>
            <w:r>
              <w:rPr>
                <w:color w:val="000000"/>
              </w:rPr>
              <w:t>；苯、甲苯、二甲苯《石油化学工业污染物排放标准》（GB31571-2015，含 2024 年修改单）表6大气污染物排放限值。</w:t>
            </w:r>
          </w:p>
          <w:p w14:paraId="7AD7FAA2">
            <w:pPr>
              <w:pStyle w:val="42"/>
              <w:ind w:firstLine="480"/>
            </w:pPr>
            <w:r>
              <w:t>综上所述，项目在做好污染防治措施的情况下，外排的废气对大气环境影响不大。</w:t>
            </w:r>
          </w:p>
          <w:p w14:paraId="796315C5">
            <w:pPr>
              <w:pStyle w:val="42"/>
              <w:ind w:firstLine="199" w:firstLineChars="83"/>
              <w:rPr>
                <w:szCs w:val="24"/>
              </w:rPr>
            </w:pPr>
            <w:r>
              <w:t>（2）非</w:t>
            </w:r>
            <w:r>
              <w:rPr>
                <w:szCs w:val="24"/>
              </w:rPr>
              <w:t>正常工况废气排放分析</w:t>
            </w:r>
          </w:p>
          <w:p w14:paraId="6351EDB0">
            <w:pPr>
              <w:pStyle w:val="42"/>
              <w:ind w:firstLine="480"/>
            </w:pPr>
            <w:r>
              <w:t>非正常排放包括开停车、设备检修、污染物控制不达标、设备运转异常等，项目非正常工况污染源主要为废气治理设施故障导致的废气非正常排放。该情况下的事故污染源源强按照废气设施故障而未进入处理系统的污染物产生量计算，项目非正常排放情况为油气回收系统出现故障时，持续时间约1小时，非正常排放情况见下表。</w:t>
            </w:r>
          </w:p>
          <w:p w14:paraId="4953E234">
            <w:pPr>
              <w:adjustRightInd w:val="0"/>
              <w:snapToGrid w:val="0"/>
              <w:ind w:firstLine="442" w:firstLineChars="200"/>
              <w:jc w:val="center"/>
              <w:rPr>
                <w:rFonts w:ascii="Times New Roman" w:hAnsi="Times New Roman" w:cs="Times New Roman"/>
                <w:b/>
                <w:bCs/>
              </w:rPr>
            </w:pPr>
            <w:r>
              <w:rPr>
                <w:rFonts w:ascii="Times New Roman" w:hAnsi="Times New Roman" w:cs="Times New Roman"/>
                <w:b/>
                <w:spacing w:val="-10"/>
                <w:szCs w:val="21"/>
              </w:rPr>
              <w:t>表4-12  污染源非正常排放参数表</w:t>
            </w:r>
          </w:p>
          <w:tbl>
            <w:tblPr>
              <w:tblStyle w:val="17"/>
              <w:tblW w:w="79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3"/>
              <w:gridCol w:w="1133"/>
              <w:gridCol w:w="980"/>
              <w:gridCol w:w="1288"/>
              <w:gridCol w:w="1134"/>
              <w:gridCol w:w="1134"/>
              <w:gridCol w:w="1134"/>
            </w:tblGrid>
            <w:tr w14:paraId="4A22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3" w:type="dxa"/>
                  <w:vAlign w:val="center"/>
                </w:tcPr>
                <w:p w14:paraId="33FE1B49">
                  <w:pPr>
                    <w:pStyle w:val="42"/>
                    <w:ind w:firstLine="0" w:firstLineChars="0"/>
                    <w:jc w:val="center"/>
                    <w:rPr>
                      <w:sz w:val="21"/>
                    </w:rPr>
                  </w:pPr>
                  <w:r>
                    <w:rPr>
                      <w:sz w:val="21"/>
                    </w:rPr>
                    <w:t>非正常排放源</w:t>
                  </w:r>
                </w:p>
              </w:tc>
              <w:tc>
                <w:tcPr>
                  <w:tcW w:w="1133" w:type="dxa"/>
                  <w:vAlign w:val="center"/>
                </w:tcPr>
                <w:p w14:paraId="36699371">
                  <w:pPr>
                    <w:pStyle w:val="42"/>
                    <w:ind w:firstLine="0" w:firstLineChars="0"/>
                    <w:jc w:val="center"/>
                    <w:rPr>
                      <w:sz w:val="21"/>
                    </w:rPr>
                  </w:pPr>
                  <w:r>
                    <w:rPr>
                      <w:sz w:val="21"/>
                    </w:rPr>
                    <w:t>非正常排放原因</w:t>
                  </w:r>
                </w:p>
              </w:tc>
              <w:tc>
                <w:tcPr>
                  <w:tcW w:w="980" w:type="dxa"/>
                  <w:vAlign w:val="center"/>
                </w:tcPr>
                <w:p w14:paraId="0B4A1A50">
                  <w:pPr>
                    <w:pStyle w:val="42"/>
                    <w:ind w:firstLine="0" w:firstLineChars="0"/>
                    <w:jc w:val="center"/>
                    <w:rPr>
                      <w:sz w:val="21"/>
                    </w:rPr>
                  </w:pPr>
                  <w:r>
                    <w:rPr>
                      <w:sz w:val="21"/>
                    </w:rPr>
                    <w:t>污染物</w:t>
                  </w:r>
                </w:p>
              </w:tc>
              <w:tc>
                <w:tcPr>
                  <w:tcW w:w="1288" w:type="dxa"/>
                  <w:vAlign w:val="center"/>
                </w:tcPr>
                <w:p w14:paraId="34E034BF">
                  <w:pPr>
                    <w:pStyle w:val="42"/>
                    <w:ind w:firstLine="0" w:firstLineChars="0"/>
                    <w:jc w:val="center"/>
                    <w:rPr>
                      <w:sz w:val="21"/>
                    </w:rPr>
                  </w:pPr>
                  <w:r>
                    <w:rPr>
                      <w:sz w:val="21"/>
                    </w:rPr>
                    <w:t>非正常排放浓度</w:t>
                  </w:r>
                  <w:r>
                    <w:rPr>
                      <w:rFonts w:hint="eastAsia"/>
                      <w:sz w:val="21"/>
                    </w:rPr>
                    <w:t>（mg/m</w:t>
                  </w:r>
                  <w:r>
                    <w:rPr>
                      <w:rFonts w:hint="eastAsia"/>
                      <w:sz w:val="21"/>
                      <w:vertAlign w:val="superscript"/>
                    </w:rPr>
                    <w:t>3</w:t>
                  </w:r>
                  <w:r>
                    <w:rPr>
                      <w:rFonts w:hint="eastAsia"/>
                      <w:sz w:val="21"/>
                    </w:rPr>
                    <w:t>）</w:t>
                  </w:r>
                </w:p>
              </w:tc>
              <w:tc>
                <w:tcPr>
                  <w:tcW w:w="1134" w:type="dxa"/>
                  <w:vAlign w:val="center"/>
                </w:tcPr>
                <w:p w14:paraId="18545A62">
                  <w:pPr>
                    <w:pStyle w:val="42"/>
                    <w:ind w:firstLine="0" w:firstLineChars="0"/>
                    <w:jc w:val="center"/>
                    <w:rPr>
                      <w:sz w:val="21"/>
                    </w:rPr>
                  </w:pPr>
                  <w:r>
                    <w:rPr>
                      <w:sz w:val="21"/>
                    </w:rPr>
                    <w:t>非正常排放速率</w:t>
                  </w:r>
                  <w:r>
                    <w:rPr>
                      <w:rFonts w:hint="eastAsia"/>
                      <w:sz w:val="21"/>
                    </w:rPr>
                    <w:t>（kg/h）</w:t>
                  </w:r>
                </w:p>
              </w:tc>
              <w:tc>
                <w:tcPr>
                  <w:tcW w:w="1134" w:type="dxa"/>
                  <w:vAlign w:val="center"/>
                </w:tcPr>
                <w:p w14:paraId="771C10A7">
                  <w:pPr>
                    <w:pStyle w:val="42"/>
                    <w:ind w:firstLine="0" w:firstLineChars="0"/>
                    <w:jc w:val="center"/>
                    <w:rPr>
                      <w:sz w:val="21"/>
                    </w:rPr>
                  </w:pPr>
                  <w:r>
                    <w:rPr>
                      <w:sz w:val="21"/>
                    </w:rPr>
                    <w:t>单次持续时间</w:t>
                  </w:r>
                </w:p>
              </w:tc>
              <w:tc>
                <w:tcPr>
                  <w:tcW w:w="1134" w:type="dxa"/>
                  <w:vAlign w:val="center"/>
                </w:tcPr>
                <w:p w14:paraId="0AB7D992">
                  <w:pPr>
                    <w:pStyle w:val="42"/>
                    <w:ind w:firstLine="0" w:firstLineChars="0"/>
                    <w:jc w:val="center"/>
                    <w:rPr>
                      <w:sz w:val="21"/>
                    </w:rPr>
                  </w:pPr>
                  <w:r>
                    <w:rPr>
                      <w:sz w:val="21"/>
                    </w:rPr>
                    <w:t>应对措施</w:t>
                  </w:r>
                </w:p>
              </w:tc>
            </w:tr>
            <w:tr w14:paraId="41DD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3" w:type="dxa"/>
                  <w:vMerge w:val="restart"/>
                  <w:vAlign w:val="center"/>
                </w:tcPr>
                <w:p w14:paraId="2719A8E6">
                  <w:pPr>
                    <w:pStyle w:val="42"/>
                    <w:ind w:firstLine="0" w:firstLineChars="0"/>
                    <w:jc w:val="center"/>
                    <w:rPr>
                      <w:sz w:val="21"/>
                    </w:rPr>
                  </w:pPr>
                  <w:r>
                    <w:rPr>
                      <w:sz w:val="21"/>
                    </w:rPr>
                    <w:t>油气回收</w:t>
                  </w:r>
                </w:p>
              </w:tc>
              <w:tc>
                <w:tcPr>
                  <w:tcW w:w="1133" w:type="dxa"/>
                  <w:vMerge w:val="restart"/>
                  <w:vAlign w:val="center"/>
                </w:tcPr>
                <w:p w14:paraId="1E715726">
                  <w:pPr>
                    <w:pStyle w:val="42"/>
                    <w:ind w:firstLine="0" w:firstLineChars="0"/>
                    <w:jc w:val="center"/>
                    <w:rPr>
                      <w:sz w:val="21"/>
                    </w:rPr>
                  </w:pPr>
                  <w:r>
                    <w:rPr>
                      <w:sz w:val="21"/>
                    </w:rPr>
                    <w:t>废气处理设施故障导致废气无治理效果</w:t>
                  </w:r>
                </w:p>
              </w:tc>
              <w:tc>
                <w:tcPr>
                  <w:tcW w:w="980" w:type="dxa"/>
                  <w:vAlign w:val="center"/>
                </w:tcPr>
                <w:p w14:paraId="7D290D3D">
                  <w:pPr>
                    <w:pStyle w:val="42"/>
                    <w:ind w:firstLine="0" w:firstLineChars="0"/>
                    <w:jc w:val="center"/>
                    <w:rPr>
                      <w:sz w:val="21"/>
                    </w:rPr>
                  </w:pPr>
                  <w:r>
                    <w:rPr>
                      <w:sz w:val="21"/>
                    </w:rPr>
                    <w:t>非甲烷总烃</w:t>
                  </w:r>
                </w:p>
              </w:tc>
              <w:tc>
                <w:tcPr>
                  <w:tcW w:w="1288" w:type="dxa"/>
                  <w:vAlign w:val="center"/>
                </w:tcPr>
                <w:p w14:paraId="2AEDE575">
                  <w:pPr>
                    <w:pStyle w:val="42"/>
                    <w:ind w:firstLine="0" w:firstLineChars="0"/>
                    <w:jc w:val="center"/>
                    <w:rPr>
                      <w:sz w:val="21"/>
                    </w:rPr>
                  </w:pPr>
                  <w:r>
                    <w:rPr>
                      <w:rFonts w:hint="eastAsia"/>
                      <w:sz w:val="21"/>
                    </w:rPr>
                    <w:t>566.75</w:t>
                  </w:r>
                </w:p>
              </w:tc>
              <w:tc>
                <w:tcPr>
                  <w:tcW w:w="1134" w:type="dxa"/>
                  <w:vAlign w:val="center"/>
                </w:tcPr>
                <w:p w14:paraId="03887C92">
                  <w:pPr>
                    <w:pStyle w:val="42"/>
                    <w:ind w:firstLine="0" w:firstLineChars="0"/>
                    <w:jc w:val="center"/>
                    <w:rPr>
                      <w:sz w:val="21"/>
                    </w:rPr>
                  </w:pPr>
                  <w:r>
                    <w:rPr>
                      <w:rFonts w:hint="eastAsia"/>
                      <w:sz w:val="21"/>
                    </w:rPr>
                    <w:t>56.68</w:t>
                  </w:r>
                </w:p>
              </w:tc>
              <w:tc>
                <w:tcPr>
                  <w:tcW w:w="1134" w:type="dxa"/>
                  <w:vMerge w:val="restart"/>
                  <w:vAlign w:val="center"/>
                </w:tcPr>
                <w:p w14:paraId="261F8FF5">
                  <w:pPr>
                    <w:pStyle w:val="42"/>
                    <w:ind w:firstLine="0" w:firstLineChars="0"/>
                    <w:jc w:val="center"/>
                    <w:rPr>
                      <w:sz w:val="21"/>
                    </w:rPr>
                  </w:pPr>
                  <w:r>
                    <w:rPr>
                      <w:sz w:val="21"/>
                    </w:rPr>
                    <w:t>1h</w:t>
                  </w:r>
                </w:p>
              </w:tc>
              <w:tc>
                <w:tcPr>
                  <w:tcW w:w="1134" w:type="dxa"/>
                  <w:vMerge w:val="restart"/>
                  <w:vAlign w:val="center"/>
                </w:tcPr>
                <w:p w14:paraId="23E27635">
                  <w:pPr>
                    <w:pStyle w:val="42"/>
                    <w:ind w:firstLine="0" w:firstLineChars="0"/>
                    <w:jc w:val="center"/>
                    <w:rPr>
                      <w:sz w:val="21"/>
                    </w:rPr>
                  </w:pPr>
                  <w:r>
                    <w:rPr>
                      <w:sz w:val="21"/>
                    </w:rPr>
                    <w:t>发生事故时停止生产并及时检修</w:t>
                  </w:r>
                </w:p>
              </w:tc>
            </w:tr>
            <w:tr w14:paraId="6105A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3" w:type="dxa"/>
                  <w:vMerge w:val="continue"/>
                  <w:vAlign w:val="center"/>
                </w:tcPr>
                <w:p w14:paraId="6E1D415D">
                  <w:pPr>
                    <w:pStyle w:val="42"/>
                    <w:ind w:firstLine="0" w:firstLineChars="0"/>
                    <w:jc w:val="center"/>
                    <w:rPr>
                      <w:sz w:val="21"/>
                    </w:rPr>
                  </w:pPr>
                </w:p>
              </w:tc>
              <w:tc>
                <w:tcPr>
                  <w:tcW w:w="1133" w:type="dxa"/>
                  <w:vMerge w:val="continue"/>
                  <w:vAlign w:val="center"/>
                </w:tcPr>
                <w:p w14:paraId="736189EA">
                  <w:pPr>
                    <w:pStyle w:val="42"/>
                    <w:ind w:firstLine="0" w:firstLineChars="0"/>
                    <w:jc w:val="center"/>
                    <w:rPr>
                      <w:sz w:val="21"/>
                    </w:rPr>
                  </w:pPr>
                </w:p>
              </w:tc>
              <w:tc>
                <w:tcPr>
                  <w:tcW w:w="980" w:type="dxa"/>
                  <w:vAlign w:val="center"/>
                </w:tcPr>
                <w:p w14:paraId="7FF4BD08">
                  <w:pPr>
                    <w:pStyle w:val="42"/>
                    <w:ind w:firstLine="0" w:firstLineChars="0"/>
                    <w:jc w:val="center"/>
                    <w:rPr>
                      <w:sz w:val="21"/>
                    </w:rPr>
                  </w:pPr>
                  <w:r>
                    <w:rPr>
                      <w:sz w:val="21"/>
                    </w:rPr>
                    <w:t>苯</w:t>
                  </w:r>
                </w:p>
              </w:tc>
              <w:tc>
                <w:tcPr>
                  <w:tcW w:w="1288" w:type="dxa"/>
                  <w:vAlign w:val="center"/>
                </w:tcPr>
                <w:p w14:paraId="6B04D2D1">
                  <w:pPr>
                    <w:pStyle w:val="42"/>
                    <w:ind w:firstLine="0" w:firstLineChars="0"/>
                    <w:jc w:val="center"/>
                    <w:rPr>
                      <w:sz w:val="21"/>
                    </w:rPr>
                  </w:pPr>
                  <w:r>
                    <w:rPr>
                      <w:rFonts w:hint="eastAsia"/>
                      <w:sz w:val="21"/>
                    </w:rPr>
                    <w:t>0.043</w:t>
                  </w:r>
                </w:p>
              </w:tc>
              <w:tc>
                <w:tcPr>
                  <w:tcW w:w="1134" w:type="dxa"/>
                  <w:vAlign w:val="center"/>
                </w:tcPr>
                <w:p w14:paraId="33187FF5">
                  <w:pPr>
                    <w:pStyle w:val="42"/>
                    <w:ind w:firstLine="0" w:firstLineChars="0"/>
                    <w:jc w:val="center"/>
                    <w:rPr>
                      <w:sz w:val="21"/>
                    </w:rPr>
                  </w:pPr>
                  <w:r>
                    <w:rPr>
                      <w:rFonts w:hint="eastAsia"/>
                      <w:sz w:val="21"/>
                    </w:rPr>
                    <w:t>0.0043</w:t>
                  </w:r>
                </w:p>
              </w:tc>
              <w:tc>
                <w:tcPr>
                  <w:tcW w:w="1134" w:type="dxa"/>
                  <w:vMerge w:val="continue"/>
                  <w:vAlign w:val="center"/>
                </w:tcPr>
                <w:p w14:paraId="4DF1A05C">
                  <w:pPr>
                    <w:pStyle w:val="42"/>
                    <w:ind w:firstLine="0" w:firstLineChars="0"/>
                    <w:jc w:val="center"/>
                    <w:rPr>
                      <w:sz w:val="21"/>
                    </w:rPr>
                  </w:pPr>
                </w:p>
              </w:tc>
              <w:tc>
                <w:tcPr>
                  <w:tcW w:w="1134" w:type="dxa"/>
                  <w:vMerge w:val="continue"/>
                  <w:vAlign w:val="center"/>
                </w:tcPr>
                <w:p w14:paraId="49A1D8C4">
                  <w:pPr>
                    <w:pStyle w:val="42"/>
                    <w:ind w:firstLine="0" w:firstLineChars="0"/>
                    <w:jc w:val="center"/>
                    <w:rPr>
                      <w:sz w:val="21"/>
                    </w:rPr>
                  </w:pPr>
                </w:p>
              </w:tc>
            </w:tr>
            <w:tr w14:paraId="2FD7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3" w:type="dxa"/>
                  <w:vMerge w:val="continue"/>
                  <w:vAlign w:val="center"/>
                </w:tcPr>
                <w:p w14:paraId="31ED0A1A">
                  <w:pPr>
                    <w:pStyle w:val="42"/>
                    <w:ind w:firstLine="0" w:firstLineChars="0"/>
                    <w:jc w:val="center"/>
                    <w:rPr>
                      <w:sz w:val="21"/>
                    </w:rPr>
                  </w:pPr>
                </w:p>
              </w:tc>
              <w:tc>
                <w:tcPr>
                  <w:tcW w:w="1133" w:type="dxa"/>
                  <w:vMerge w:val="continue"/>
                  <w:vAlign w:val="center"/>
                </w:tcPr>
                <w:p w14:paraId="6DA94E1A">
                  <w:pPr>
                    <w:pStyle w:val="42"/>
                    <w:ind w:firstLine="0" w:firstLineChars="0"/>
                    <w:jc w:val="center"/>
                    <w:rPr>
                      <w:sz w:val="21"/>
                    </w:rPr>
                  </w:pPr>
                </w:p>
              </w:tc>
              <w:tc>
                <w:tcPr>
                  <w:tcW w:w="980" w:type="dxa"/>
                  <w:vAlign w:val="center"/>
                </w:tcPr>
                <w:p w14:paraId="1326204D">
                  <w:pPr>
                    <w:pStyle w:val="42"/>
                    <w:ind w:firstLine="0" w:firstLineChars="0"/>
                    <w:jc w:val="center"/>
                    <w:rPr>
                      <w:sz w:val="21"/>
                    </w:rPr>
                  </w:pPr>
                  <w:r>
                    <w:rPr>
                      <w:sz w:val="21"/>
                    </w:rPr>
                    <w:t>甲苯</w:t>
                  </w:r>
                </w:p>
              </w:tc>
              <w:tc>
                <w:tcPr>
                  <w:tcW w:w="1288" w:type="dxa"/>
                  <w:vAlign w:val="center"/>
                </w:tcPr>
                <w:p w14:paraId="38B1F055">
                  <w:pPr>
                    <w:pStyle w:val="42"/>
                    <w:ind w:firstLine="0" w:firstLineChars="0"/>
                    <w:jc w:val="center"/>
                    <w:rPr>
                      <w:sz w:val="21"/>
                    </w:rPr>
                  </w:pPr>
                  <w:r>
                    <w:rPr>
                      <w:rFonts w:hint="eastAsia"/>
                      <w:sz w:val="21"/>
                    </w:rPr>
                    <w:t>3.7</w:t>
                  </w:r>
                </w:p>
              </w:tc>
              <w:tc>
                <w:tcPr>
                  <w:tcW w:w="1134" w:type="dxa"/>
                  <w:vAlign w:val="center"/>
                </w:tcPr>
                <w:p w14:paraId="1D5DB5DD">
                  <w:pPr>
                    <w:pStyle w:val="42"/>
                    <w:ind w:firstLine="0" w:firstLineChars="0"/>
                    <w:jc w:val="center"/>
                    <w:rPr>
                      <w:sz w:val="21"/>
                    </w:rPr>
                  </w:pPr>
                  <w:r>
                    <w:rPr>
                      <w:rFonts w:hint="eastAsia"/>
                      <w:sz w:val="21"/>
                    </w:rPr>
                    <w:t>0.37</w:t>
                  </w:r>
                </w:p>
              </w:tc>
              <w:tc>
                <w:tcPr>
                  <w:tcW w:w="1134" w:type="dxa"/>
                  <w:vMerge w:val="continue"/>
                  <w:vAlign w:val="center"/>
                </w:tcPr>
                <w:p w14:paraId="2F168F9E">
                  <w:pPr>
                    <w:pStyle w:val="42"/>
                    <w:ind w:firstLine="0" w:firstLineChars="0"/>
                    <w:jc w:val="center"/>
                    <w:rPr>
                      <w:sz w:val="21"/>
                    </w:rPr>
                  </w:pPr>
                </w:p>
              </w:tc>
              <w:tc>
                <w:tcPr>
                  <w:tcW w:w="1134" w:type="dxa"/>
                  <w:vMerge w:val="continue"/>
                  <w:vAlign w:val="center"/>
                </w:tcPr>
                <w:p w14:paraId="0F9059F2">
                  <w:pPr>
                    <w:pStyle w:val="42"/>
                    <w:ind w:firstLine="0" w:firstLineChars="0"/>
                    <w:jc w:val="center"/>
                    <w:rPr>
                      <w:sz w:val="21"/>
                    </w:rPr>
                  </w:pPr>
                </w:p>
              </w:tc>
            </w:tr>
            <w:tr w14:paraId="7F4A7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3" w:type="dxa"/>
                  <w:vMerge w:val="continue"/>
                  <w:vAlign w:val="center"/>
                </w:tcPr>
                <w:p w14:paraId="6EA31E7E">
                  <w:pPr>
                    <w:pStyle w:val="42"/>
                    <w:ind w:firstLine="0" w:firstLineChars="0"/>
                    <w:jc w:val="center"/>
                    <w:rPr>
                      <w:sz w:val="21"/>
                    </w:rPr>
                  </w:pPr>
                </w:p>
              </w:tc>
              <w:tc>
                <w:tcPr>
                  <w:tcW w:w="1133" w:type="dxa"/>
                  <w:vMerge w:val="continue"/>
                  <w:vAlign w:val="center"/>
                </w:tcPr>
                <w:p w14:paraId="02D5B360">
                  <w:pPr>
                    <w:pStyle w:val="42"/>
                    <w:ind w:firstLine="0" w:firstLineChars="0"/>
                    <w:jc w:val="center"/>
                    <w:rPr>
                      <w:sz w:val="21"/>
                    </w:rPr>
                  </w:pPr>
                </w:p>
              </w:tc>
              <w:tc>
                <w:tcPr>
                  <w:tcW w:w="980" w:type="dxa"/>
                  <w:vAlign w:val="center"/>
                </w:tcPr>
                <w:p w14:paraId="5B4F170E">
                  <w:pPr>
                    <w:pStyle w:val="42"/>
                    <w:ind w:firstLine="0" w:firstLineChars="0"/>
                    <w:jc w:val="center"/>
                    <w:rPr>
                      <w:sz w:val="21"/>
                    </w:rPr>
                  </w:pPr>
                  <w:r>
                    <w:rPr>
                      <w:sz w:val="21"/>
                    </w:rPr>
                    <w:t>二甲苯</w:t>
                  </w:r>
                </w:p>
              </w:tc>
              <w:tc>
                <w:tcPr>
                  <w:tcW w:w="1288" w:type="dxa"/>
                  <w:vAlign w:val="center"/>
                </w:tcPr>
                <w:p w14:paraId="0434623D">
                  <w:pPr>
                    <w:pStyle w:val="42"/>
                    <w:ind w:firstLine="0" w:firstLineChars="0"/>
                    <w:jc w:val="center"/>
                    <w:rPr>
                      <w:sz w:val="21"/>
                    </w:rPr>
                  </w:pPr>
                  <w:r>
                    <w:rPr>
                      <w:rFonts w:hint="eastAsia"/>
                      <w:sz w:val="21"/>
                    </w:rPr>
                    <w:t>1.41</w:t>
                  </w:r>
                </w:p>
              </w:tc>
              <w:tc>
                <w:tcPr>
                  <w:tcW w:w="1134" w:type="dxa"/>
                  <w:vAlign w:val="center"/>
                </w:tcPr>
                <w:p w14:paraId="68A962B9">
                  <w:pPr>
                    <w:pStyle w:val="42"/>
                    <w:ind w:firstLine="0" w:firstLineChars="0"/>
                    <w:jc w:val="center"/>
                    <w:rPr>
                      <w:sz w:val="21"/>
                    </w:rPr>
                  </w:pPr>
                  <w:r>
                    <w:rPr>
                      <w:rFonts w:hint="eastAsia"/>
                      <w:sz w:val="21"/>
                    </w:rPr>
                    <w:t>0.141</w:t>
                  </w:r>
                </w:p>
              </w:tc>
              <w:tc>
                <w:tcPr>
                  <w:tcW w:w="1134" w:type="dxa"/>
                  <w:vMerge w:val="continue"/>
                  <w:vAlign w:val="center"/>
                </w:tcPr>
                <w:p w14:paraId="453D459F">
                  <w:pPr>
                    <w:pStyle w:val="42"/>
                    <w:ind w:firstLine="0" w:firstLineChars="0"/>
                    <w:jc w:val="center"/>
                    <w:rPr>
                      <w:sz w:val="21"/>
                    </w:rPr>
                  </w:pPr>
                </w:p>
              </w:tc>
              <w:tc>
                <w:tcPr>
                  <w:tcW w:w="1134" w:type="dxa"/>
                  <w:vMerge w:val="continue"/>
                  <w:vAlign w:val="center"/>
                </w:tcPr>
                <w:p w14:paraId="5AA4CC9C">
                  <w:pPr>
                    <w:pStyle w:val="42"/>
                    <w:ind w:firstLine="0" w:firstLineChars="0"/>
                    <w:jc w:val="center"/>
                    <w:rPr>
                      <w:sz w:val="21"/>
                    </w:rPr>
                  </w:pPr>
                </w:p>
              </w:tc>
            </w:tr>
          </w:tbl>
          <w:p w14:paraId="132BBD7B">
            <w:pPr>
              <w:pStyle w:val="42"/>
              <w:ind w:firstLine="560"/>
              <w:rPr>
                <w:sz w:val="28"/>
                <w:szCs w:val="28"/>
              </w:rPr>
            </w:pPr>
          </w:p>
          <w:p w14:paraId="394BD319">
            <w:pPr>
              <w:adjustRightInd w:val="0"/>
              <w:snapToGrid w:val="0"/>
              <w:spacing w:line="360" w:lineRule="auto"/>
              <w:rPr>
                <w:rFonts w:ascii="Times New Roman" w:hAnsi="Times New Roman" w:cs="Times New Roman"/>
                <w:b/>
                <w:bCs/>
                <w:sz w:val="28"/>
                <w:szCs w:val="28"/>
              </w:rPr>
            </w:pPr>
            <w:r>
              <w:rPr>
                <w:rFonts w:ascii="Times New Roman" w:hAnsi="Times New Roman" w:cs="Times New Roman"/>
                <w:b/>
                <w:bCs/>
                <w:sz w:val="28"/>
                <w:szCs w:val="28"/>
              </w:rPr>
              <w:t>2、废水影响分析及防治措施</w:t>
            </w:r>
          </w:p>
          <w:p w14:paraId="534C3C95">
            <w:pPr>
              <w:pStyle w:val="42"/>
              <w:ind w:firstLine="480"/>
              <w:rPr>
                <w:color w:val="000000" w:themeColor="text1"/>
                <w14:textFill>
                  <w14:solidFill>
                    <w14:schemeClr w14:val="tx1"/>
                  </w14:solidFill>
                </w14:textFill>
              </w:rPr>
            </w:pPr>
            <w:r>
              <w:t>本项目仅产生地面冲洗水和清罐废水，</w:t>
            </w:r>
            <w:r>
              <w:rPr>
                <w:rFonts w:hint="eastAsia"/>
              </w:rPr>
              <w:t>均为含油废水，</w:t>
            </w:r>
            <w:r>
              <w:rPr>
                <w:color w:val="000000" w:themeColor="text1"/>
                <w14:textFill>
                  <w14:solidFill>
                    <w14:schemeClr w14:val="tx1"/>
                  </w14:solidFill>
                </w14:textFill>
              </w:rPr>
              <w:t>经厂内污水处理站处理后，达标排放至园区污水处理厂</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吉木萨尔县北三台污水处理厂</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p>
          <w:p w14:paraId="2BB670AE">
            <w:pPr>
              <w:pStyle w:val="42"/>
              <w:ind w:firstLine="480"/>
              <w:rPr>
                <w:color w:val="000000" w:themeColor="text1"/>
                <w14:textFill>
                  <w14:solidFill>
                    <w14:schemeClr w14:val="tx1"/>
                  </w14:solidFill>
                </w14:textFill>
              </w:rPr>
            </w:pPr>
            <w:r>
              <w:rPr>
                <w:color w:val="000000" w:themeColor="text1"/>
                <w14:textFill>
                  <w14:solidFill>
                    <w14:schemeClr w14:val="tx1"/>
                  </w14:solidFill>
                </w14:textFill>
              </w:rPr>
              <w:t>本项目</w:t>
            </w:r>
            <w:r>
              <w:rPr>
                <w:rFonts w:hint="eastAsia"/>
                <w:color w:val="000000" w:themeColor="text1"/>
                <w14:textFill>
                  <w14:solidFill>
                    <w14:schemeClr w14:val="tx1"/>
                  </w14:solidFill>
                </w14:textFill>
              </w:rPr>
              <w:t>依托一期建设的污水处理站，该处理站的</w:t>
            </w:r>
            <w:r>
              <w:rPr>
                <w:color w:val="000000" w:themeColor="text1"/>
                <w14:textFill>
                  <w14:solidFill>
                    <w14:schemeClr w14:val="tx1"/>
                  </w14:solidFill>
                </w14:textFill>
              </w:rPr>
              <w:t>处理规模为25m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/h</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含苯废水预处理工艺为“隔油气浮+芬顿反应池+两级气浮”；含油污水预处理工艺为“隔油+两级气浮”；含苯废水、含油污水经预处理后与清净下水、生活污水进入综合废水调节池，综合废水处理工艺为“A2/O系列+二沉池+AOP紫外高级氧化工艺”</w:t>
            </w:r>
            <w:r>
              <w:rPr>
                <w:rFonts w:hint="eastAsia"/>
                <w:color w:val="000000" w:themeColor="text1"/>
                <w14:textFill>
                  <w14:solidFill>
                    <w14:schemeClr w14:val="tx1"/>
                  </w14:solidFill>
                </w14:textFill>
              </w:rPr>
              <w:t>。</w:t>
            </w:r>
          </w:p>
          <w:p w14:paraId="4DDE12AA">
            <w:pPr>
              <w:pStyle w:val="42"/>
              <w:ind w:firstLine="480"/>
              <w:rPr>
                <w:color w:val="000000" w:themeColor="text1"/>
                <w14:textFill>
                  <w14:solidFill>
                    <w14:schemeClr w14:val="tx1"/>
                  </w14:solidFill>
                </w14:textFill>
              </w:rPr>
            </w:pPr>
            <w:r>
              <w:rPr>
                <w:color w:val="000000" w:themeColor="text1"/>
                <w14:textFill>
                  <w14:solidFill>
                    <w14:schemeClr w14:val="tx1"/>
                  </w14:solidFill>
                </w14:textFill>
              </w:rPr>
              <w:t>采用的废水处理工艺均属《排污许可证申请与核发技术规范 石化工业》（HJ853-2017），本项目采用的废水处理方法属于可行技术，被国内化工企业广泛应用，其运行稳定，处理效果有保证，工艺可行。</w:t>
            </w:r>
          </w:p>
          <w:p w14:paraId="7CCD1FD4">
            <w:pPr>
              <w:pStyle w:val="42"/>
              <w:ind w:firstLine="480"/>
              <w:rPr>
                <w:color w:val="000000" w:themeColor="text1"/>
                <w14:textFill>
                  <w14:solidFill>
                    <w14:schemeClr w14:val="tx1"/>
                  </w14:solidFill>
                </w14:textFill>
              </w:rPr>
            </w:pPr>
            <w:r>
              <w:rPr>
                <w:color w:val="000000" w:themeColor="text1"/>
                <w14:textFill>
                  <w14:solidFill>
                    <w14:schemeClr w14:val="tx1"/>
                  </w14:solidFill>
                </w14:textFill>
              </w:rPr>
              <w:t>项目各类废水经污水处理站处理后排入吉木萨尔县北三台循环经济工业园污水处理厂。园区规划环评要求，各企业生产生活废水进入企业自建的污水处理站进行预处理，达到行业排放标准或污水综合排放标准，及污水处理厂纳管标准后统一由污水管网汇入园区污水处理厂进行处理。本项目生产、生活废水经处理可满足《石油化学工业污染物排放标准》（GB31571-2015，含2024年修改单）表1间接排放限值，未作规定的污染物执行《污水综合排放标准》（8978-1996）表4三级标准后，排入园区污水处理厂符合规划环评要求。</w:t>
            </w:r>
          </w:p>
          <w:p w14:paraId="6CF3757A">
            <w:pPr>
              <w:pStyle w:val="42"/>
              <w:ind w:firstLine="480"/>
              <w:rPr>
                <w:color w:val="000000" w:themeColor="text1"/>
                <w14:textFill>
                  <w14:solidFill>
                    <w14:schemeClr w14:val="tx1"/>
                  </w14:solidFill>
                </w14:textFill>
              </w:rPr>
            </w:pPr>
            <w:r>
              <w:rPr>
                <w:bCs/>
              </w:rPr>
              <w:t>厂内污水处理站</w:t>
            </w:r>
            <w:r>
              <w:rPr>
                <w:color w:val="000000" w:themeColor="text1"/>
                <w14:textFill>
                  <w14:solidFill>
                    <w14:schemeClr w14:val="tx1"/>
                  </w14:solidFill>
                </w14:textFill>
              </w:rPr>
              <w:t>处理规模为25m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/h，一期日常排水量22.68m³/h；二期年均新增废水合计77.76m³，折算小时增量仅0.00972m³/h，叠加后全厂连续排水量约22.69m³/h，未超出设施设计负荷。园区污水处理厂规模为10000m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/d（416.67m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/h），处理余量9455.53 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/d（393.98 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/h）。综上所述，从水质和水量上分析，本项目废水排入园区污水处理厂均是可行的。</w:t>
            </w:r>
            <w:r>
              <w:rPr>
                <w:rFonts w:hint="eastAsia"/>
                <w:color w:val="000000" w:themeColor="text1"/>
                <w14:textFill>
                  <w14:solidFill>
                    <w14:schemeClr w14:val="tx1"/>
                  </w14:solidFill>
                </w14:textFill>
              </w:rPr>
              <w:t>污水处理站进出水水质见下表。</w:t>
            </w:r>
          </w:p>
          <w:p w14:paraId="06972EDF">
            <w:pPr>
              <w:adjustRightInd w:val="0"/>
              <w:snapToGrid w:val="0"/>
              <w:ind w:firstLine="442" w:firstLineChars="200"/>
              <w:jc w:val="center"/>
              <w:rPr>
                <w:rFonts w:hint="eastAsia"/>
                <w:b/>
                <w:bCs/>
                <w:color w:val="000000" w:themeColor="text1"/>
                <w14:textFill>
                  <w14:solidFill>
                    <w14:schemeClr w14:val="tx1"/>
                  </w14:solidFill>
                </w14:textFill>
              </w:rPr>
            </w:pPr>
            <w:r>
              <w:rPr>
                <w:rFonts w:hint="eastAsia" w:ascii="Times New Roman" w:hAnsi="Times New Roman" w:cs="Times New Roman"/>
                <w:b/>
                <w:spacing w:val="-10"/>
                <w:szCs w:val="21"/>
              </w:rPr>
              <w:t>表4-13  污水处理废水水质</w:t>
            </w:r>
          </w:p>
          <w:tbl>
            <w:tblPr>
              <w:tblStyle w:val="16"/>
              <w:tblW w:w="6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417"/>
              <w:gridCol w:w="1991"/>
              <w:gridCol w:w="1991"/>
            </w:tblGrid>
            <w:tr w14:paraId="55435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2" w:type="dxa"/>
                  <w:vAlign w:val="center"/>
                </w:tcPr>
                <w:p w14:paraId="3FDC7AA8">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序号</w:t>
                  </w:r>
                </w:p>
              </w:tc>
              <w:tc>
                <w:tcPr>
                  <w:tcW w:w="1417" w:type="dxa"/>
                  <w:vAlign w:val="center"/>
                </w:tcPr>
                <w:p w14:paraId="085A605E">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项目</w:t>
                  </w:r>
                </w:p>
              </w:tc>
              <w:tc>
                <w:tcPr>
                  <w:tcW w:w="1991" w:type="dxa"/>
                  <w:vAlign w:val="center"/>
                </w:tcPr>
                <w:p w14:paraId="0E2FA7C1">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进水水质指标（mg/L）</w:t>
                  </w:r>
                </w:p>
              </w:tc>
              <w:tc>
                <w:tcPr>
                  <w:tcW w:w="1991" w:type="dxa"/>
                  <w:vAlign w:val="center"/>
                </w:tcPr>
                <w:p w14:paraId="1ADBCB58">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外排废水水质（mg/L）</w:t>
                  </w:r>
                </w:p>
              </w:tc>
            </w:tr>
            <w:tr w14:paraId="58D0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2" w:type="dxa"/>
                  <w:vAlign w:val="center"/>
                </w:tcPr>
                <w:p w14:paraId="12FB843C">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1</w:t>
                  </w:r>
                </w:p>
              </w:tc>
              <w:tc>
                <w:tcPr>
                  <w:tcW w:w="1417" w:type="dxa"/>
                  <w:vAlign w:val="center"/>
                </w:tcPr>
                <w:p w14:paraId="560CB6A8">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COD</w:t>
                  </w:r>
                  <w:r>
                    <w:rPr>
                      <w:rFonts w:ascii="Times New Roman" w:hAnsi="Times New Roman" w:cs="Times New Roman"/>
                      <w:bCs/>
                      <w:color w:val="000000" w:themeColor="text1"/>
                      <w:sz w:val="21"/>
                      <w:szCs w:val="21"/>
                      <w:u w:color="000000"/>
                      <w:vertAlign w:val="subscript"/>
                      <w:lang w:bidi="en-US"/>
                      <w14:textFill>
                        <w14:solidFill>
                          <w14:schemeClr w14:val="tx1"/>
                        </w14:solidFill>
                      </w14:textFill>
                    </w:rPr>
                    <w:t>Cr</w:t>
                  </w:r>
                </w:p>
              </w:tc>
              <w:tc>
                <w:tcPr>
                  <w:tcW w:w="1991" w:type="dxa"/>
                  <w:vAlign w:val="center"/>
                </w:tcPr>
                <w:p w14:paraId="40C82219">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3000</w:t>
                  </w:r>
                </w:p>
              </w:tc>
              <w:tc>
                <w:tcPr>
                  <w:tcW w:w="1991" w:type="dxa"/>
                  <w:vAlign w:val="center"/>
                </w:tcPr>
                <w:p w14:paraId="205A4B08">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500</w:t>
                  </w:r>
                </w:p>
              </w:tc>
            </w:tr>
            <w:tr w14:paraId="0984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2" w:type="dxa"/>
                  <w:vAlign w:val="center"/>
                </w:tcPr>
                <w:p w14:paraId="6365D502">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2</w:t>
                  </w:r>
                </w:p>
              </w:tc>
              <w:tc>
                <w:tcPr>
                  <w:tcW w:w="1417" w:type="dxa"/>
                  <w:vAlign w:val="center"/>
                </w:tcPr>
                <w:p w14:paraId="54A99474">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BOD</w:t>
                  </w:r>
                  <w:r>
                    <w:rPr>
                      <w:rFonts w:ascii="Times New Roman" w:hAnsi="Times New Roman" w:cs="Times New Roman"/>
                      <w:bCs/>
                      <w:color w:val="000000" w:themeColor="text1"/>
                      <w:sz w:val="21"/>
                      <w:szCs w:val="21"/>
                      <w:u w:color="000000"/>
                      <w:vertAlign w:val="subscript"/>
                      <w:lang w:bidi="en-US"/>
                      <w14:textFill>
                        <w14:solidFill>
                          <w14:schemeClr w14:val="tx1"/>
                        </w14:solidFill>
                      </w14:textFill>
                    </w:rPr>
                    <w:t>5</w:t>
                  </w:r>
                </w:p>
              </w:tc>
              <w:tc>
                <w:tcPr>
                  <w:tcW w:w="1991" w:type="dxa"/>
                  <w:vAlign w:val="center"/>
                </w:tcPr>
                <w:p w14:paraId="08B1011B">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500</w:t>
                  </w:r>
                </w:p>
              </w:tc>
              <w:tc>
                <w:tcPr>
                  <w:tcW w:w="1991" w:type="dxa"/>
                  <w:vAlign w:val="center"/>
                </w:tcPr>
                <w:p w14:paraId="050E6C96">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300</w:t>
                  </w:r>
                </w:p>
              </w:tc>
            </w:tr>
            <w:tr w14:paraId="5ACD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2" w:type="dxa"/>
                  <w:vAlign w:val="center"/>
                </w:tcPr>
                <w:p w14:paraId="2F2F0C4F">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3</w:t>
                  </w:r>
                </w:p>
              </w:tc>
              <w:tc>
                <w:tcPr>
                  <w:tcW w:w="1417" w:type="dxa"/>
                  <w:vAlign w:val="center"/>
                </w:tcPr>
                <w:p w14:paraId="3AF8068B">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SS</w:t>
                  </w:r>
                </w:p>
              </w:tc>
              <w:tc>
                <w:tcPr>
                  <w:tcW w:w="1991" w:type="dxa"/>
                  <w:vAlign w:val="center"/>
                </w:tcPr>
                <w:p w14:paraId="581FE626">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500</w:t>
                  </w:r>
                </w:p>
              </w:tc>
              <w:tc>
                <w:tcPr>
                  <w:tcW w:w="1991" w:type="dxa"/>
                  <w:vAlign w:val="center"/>
                </w:tcPr>
                <w:p w14:paraId="63374F6F">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w:t>
                  </w:r>
                </w:p>
              </w:tc>
            </w:tr>
            <w:tr w14:paraId="7D72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2" w:type="dxa"/>
                  <w:vAlign w:val="center"/>
                </w:tcPr>
                <w:p w14:paraId="0CB63A14">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4</w:t>
                  </w:r>
                </w:p>
              </w:tc>
              <w:tc>
                <w:tcPr>
                  <w:tcW w:w="1417" w:type="dxa"/>
                  <w:vAlign w:val="center"/>
                </w:tcPr>
                <w:p w14:paraId="45DEC3D8">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NH</w:t>
                  </w:r>
                  <w:r>
                    <w:rPr>
                      <w:rFonts w:ascii="Times New Roman" w:hAnsi="Times New Roman" w:cs="Times New Roman"/>
                      <w:bCs/>
                      <w:color w:val="000000" w:themeColor="text1"/>
                      <w:sz w:val="21"/>
                      <w:szCs w:val="21"/>
                      <w:u w:color="000000"/>
                      <w:vertAlign w:val="subscript"/>
                      <w:lang w:bidi="en-US"/>
                      <w14:textFill>
                        <w14:solidFill>
                          <w14:schemeClr w14:val="tx1"/>
                        </w14:solidFill>
                      </w14:textFill>
                    </w:rPr>
                    <w:t>3</w:t>
                  </w:r>
                  <w:r>
                    <w:rPr>
                      <w:rFonts w:ascii="Times New Roman" w:hAnsi="Times New Roman" w:cs="Times New Roman"/>
                      <w:bCs/>
                      <w:color w:val="000000" w:themeColor="text1"/>
                      <w:sz w:val="21"/>
                      <w:szCs w:val="21"/>
                      <w:u w:color="000000"/>
                      <w:lang w:bidi="en-US"/>
                      <w14:textFill>
                        <w14:solidFill>
                          <w14:schemeClr w14:val="tx1"/>
                        </w14:solidFill>
                      </w14:textFill>
                    </w:rPr>
                    <w:t>-N</w:t>
                  </w:r>
                </w:p>
              </w:tc>
              <w:tc>
                <w:tcPr>
                  <w:tcW w:w="1991" w:type="dxa"/>
                  <w:vAlign w:val="center"/>
                </w:tcPr>
                <w:p w14:paraId="0E0C0040">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hint="eastAsia" w:ascii="Times New Roman" w:hAnsi="Times New Roman" w:cs="Times New Roman"/>
                      <w:bCs/>
                      <w:color w:val="000000" w:themeColor="text1"/>
                      <w:sz w:val="21"/>
                      <w:szCs w:val="21"/>
                      <w:u w:color="000000"/>
                      <w:lang w:bidi="en-US"/>
                      <w14:textFill>
                        <w14:solidFill>
                          <w14:schemeClr w14:val="tx1"/>
                        </w14:solidFill>
                      </w14:textFill>
                    </w:rPr>
                    <w:t>4</w:t>
                  </w:r>
                  <w:r>
                    <w:rPr>
                      <w:rFonts w:ascii="Times New Roman" w:hAnsi="Times New Roman" w:cs="Times New Roman"/>
                      <w:bCs/>
                      <w:color w:val="000000" w:themeColor="text1"/>
                      <w:sz w:val="21"/>
                      <w:szCs w:val="21"/>
                      <w:u w:color="000000"/>
                      <w:lang w:bidi="en-US"/>
                      <w14:textFill>
                        <w14:solidFill>
                          <w14:schemeClr w14:val="tx1"/>
                        </w14:solidFill>
                      </w14:textFill>
                    </w:rPr>
                    <w:t>00</w:t>
                  </w:r>
                </w:p>
              </w:tc>
              <w:tc>
                <w:tcPr>
                  <w:tcW w:w="1991" w:type="dxa"/>
                  <w:vAlign w:val="center"/>
                </w:tcPr>
                <w:p w14:paraId="055B089E">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hint="eastAsia" w:ascii="Times New Roman" w:hAnsi="Times New Roman" w:cs="Times New Roman"/>
                      <w:bCs/>
                      <w:color w:val="000000" w:themeColor="text1"/>
                      <w:sz w:val="21"/>
                      <w:szCs w:val="21"/>
                      <w:u w:color="000000"/>
                      <w:lang w:bidi="en-US"/>
                      <w14:textFill>
                        <w14:solidFill>
                          <w14:schemeClr w14:val="tx1"/>
                        </w14:solidFill>
                      </w14:textFill>
                    </w:rPr>
                    <w:t>2</w:t>
                  </w:r>
                  <w:r>
                    <w:rPr>
                      <w:rFonts w:ascii="Times New Roman" w:hAnsi="Times New Roman" w:cs="Times New Roman"/>
                      <w:bCs/>
                      <w:color w:val="000000" w:themeColor="text1"/>
                      <w:sz w:val="21"/>
                      <w:szCs w:val="21"/>
                      <w:u w:color="000000"/>
                      <w:lang w:bidi="en-US"/>
                      <w14:textFill>
                        <w14:solidFill>
                          <w14:schemeClr w14:val="tx1"/>
                        </w14:solidFill>
                      </w14:textFill>
                    </w:rPr>
                    <w:t>00</w:t>
                  </w:r>
                </w:p>
              </w:tc>
            </w:tr>
            <w:tr w14:paraId="582B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2" w:type="dxa"/>
                  <w:vAlign w:val="center"/>
                </w:tcPr>
                <w:p w14:paraId="2641C0E1">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5</w:t>
                  </w:r>
                </w:p>
              </w:tc>
              <w:tc>
                <w:tcPr>
                  <w:tcW w:w="1417" w:type="dxa"/>
                  <w:vAlign w:val="center"/>
                </w:tcPr>
                <w:p w14:paraId="43914763">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硫化氢</w:t>
                  </w:r>
                </w:p>
              </w:tc>
              <w:tc>
                <w:tcPr>
                  <w:tcW w:w="1991" w:type="dxa"/>
                  <w:vAlign w:val="center"/>
                </w:tcPr>
                <w:p w14:paraId="376C7E07">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50</w:t>
                  </w:r>
                </w:p>
              </w:tc>
              <w:tc>
                <w:tcPr>
                  <w:tcW w:w="1991" w:type="dxa"/>
                  <w:vAlign w:val="center"/>
                </w:tcPr>
                <w:p w14:paraId="40EF3510">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20</w:t>
                  </w:r>
                </w:p>
              </w:tc>
            </w:tr>
            <w:tr w14:paraId="462A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2" w:type="dxa"/>
                  <w:vAlign w:val="center"/>
                </w:tcPr>
                <w:p w14:paraId="1C30D7EB">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6</w:t>
                  </w:r>
                </w:p>
              </w:tc>
              <w:tc>
                <w:tcPr>
                  <w:tcW w:w="1417" w:type="dxa"/>
                  <w:vAlign w:val="center"/>
                </w:tcPr>
                <w:p w14:paraId="18D80A58">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石油类</w:t>
                  </w:r>
                </w:p>
              </w:tc>
              <w:tc>
                <w:tcPr>
                  <w:tcW w:w="1991" w:type="dxa"/>
                  <w:vAlign w:val="center"/>
                </w:tcPr>
                <w:p w14:paraId="33119FBF">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1000</w:t>
                  </w:r>
                </w:p>
              </w:tc>
              <w:tc>
                <w:tcPr>
                  <w:tcW w:w="1991" w:type="dxa"/>
                  <w:vAlign w:val="center"/>
                </w:tcPr>
                <w:p w14:paraId="5268EA72">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1.0</w:t>
                  </w:r>
                </w:p>
              </w:tc>
            </w:tr>
            <w:tr w14:paraId="6C45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2" w:type="dxa"/>
                  <w:vAlign w:val="center"/>
                </w:tcPr>
                <w:p w14:paraId="5AB4AD01">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7</w:t>
                  </w:r>
                </w:p>
              </w:tc>
              <w:tc>
                <w:tcPr>
                  <w:tcW w:w="1417" w:type="dxa"/>
                  <w:vAlign w:val="center"/>
                </w:tcPr>
                <w:p w14:paraId="605DDDFF">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溶解性总固体</w:t>
                  </w:r>
                </w:p>
              </w:tc>
              <w:tc>
                <w:tcPr>
                  <w:tcW w:w="1991" w:type="dxa"/>
                  <w:vAlign w:val="center"/>
                </w:tcPr>
                <w:p w14:paraId="0C1A694A">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≤1000</w:t>
                  </w:r>
                </w:p>
              </w:tc>
              <w:tc>
                <w:tcPr>
                  <w:tcW w:w="1991" w:type="dxa"/>
                  <w:vAlign w:val="center"/>
                </w:tcPr>
                <w:p w14:paraId="25BA5A7A">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0.1</w:t>
                  </w:r>
                </w:p>
              </w:tc>
            </w:tr>
            <w:tr w14:paraId="62AB8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2" w:type="dxa"/>
                  <w:vAlign w:val="center"/>
                </w:tcPr>
                <w:p w14:paraId="52A32698">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8</w:t>
                  </w:r>
                </w:p>
              </w:tc>
              <w:tc>
                <w:tcPr>
                  <w:tcW w:w="1417" w:type="dxa"/>
                  <w:vAlign w:val="center"/>
                </w:tcPr>
                <w:p w14:paraId="580C65C4">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苯</w:t>
                  </w:r>
                </w:p>
              </w:tc>
              <w:tc>
                <w:tcPr>
                  <w:tcW w:w="1991" w:type="dxa"/>
                  <w:vAlign w:val="center"/>
                </w:tcPr>
                <w:p w14:paraId="6EA8F428">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50</w:t>
                  </w:r>
                </w:p>
              </w:tc>
              <w:tc>
                <w:tcPr>
                  <w:tcW w:w="1991" w:type="dxa"/>
                  <w:vAlign w:val="center"/>
                </w:tcPr>
                <w:p w14:paraId="6B3A1CB5">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0.1</w:t>
                  </w:r>
                </w:p>
              </w:tc>
            </w:tr>
            <w:tr w14:paraId="6B504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2" w:type="dxa"/>
                  <w:vAlign w:val="center"/>
                </w:tcPr>
                <w:p w14:paraId="699545D3">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9</w:t>
                  </w:r>
                </w:p>
              </w:tc>
              <w:tc>
                <w:tcPr>
                  <w:tcW w:w="1417" w:type="dxa"/>
                  <w:vAlign w:val="center"/>
                </w:tcPr>
                <w:p w14:paraId="1EA49110">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甲苯</w:t>
                  </w:r>
                </w:p>
              </w:tc>
              <w:tc>
                <w:tcPr>
                  <w:tcW w:w="1991" w:type="dxa"/>
                  <w:vAlign w:val="center"/>
                </w:tcPr>
                <w:p w14:paraId="2A5DCB63">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10</w:t>
                  </w:r>
                </w:p>
              </w:tc>
              <w:tc>
                <w:tcPr>
                  <w:tcW w:w="1991" w:type="dxa"/>
                  <w:vAlign w:val="center"/>
                </w:tcPr>
                <w:p w14:paraId="64F072AF">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0.4</w:t>
                  </w:r>
                </w:p>
              </w:tc>
            </w:tr>
            <w:tr w14:paraId="2D87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2" w:type="dxa"/>
                  <w:vAlign w:val="center"/>
                </w:tcPr>
                <w:p w14:paraId="02C3FF8B">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10</w:t>
                  </w:r>
                </w:p>
              </w:tc>
              <w:tc>
                <w:tcPr>
                  <w:tcW w:w="1417" w:type="dxa"/>
                  <w:vAlign w:val="center"/>
                </w:tcPr>
                <w:p w14:paraId="342F38E9">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二甲苯</w:t>
                  </w:r>
                </w:p>
              </w:tc>
              <w:tc>
                <w:tcPr>
                  <w:tcW w:w="1991" w:type="dxa"/>
                  <w:vAlign w:val="center"/>
                </w:tcPr>
                <w:p w14:paraId="12A70C14">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r>
                    <w:rPr>
                      <w:rFonts w:ascii="Times New Roman" w:hAnsi="Times New Roman" w:cs="Times New Roman"/>
                      <w:bCs/>
                      <w:color w:val="000000" w:themeColor="text1"/>
                      <w:sz w:val="21"/>
                      <w:szCs w:val="21"/>
                      <w:u w:color="000000"/>
                      <w:lang w:bidi="en-US"/>
                      <w14:textFill>
                        <w14:solidFill>
                          <w14:schemeClr w14:val="tx1"/>
                        </w14:solidFill>
                      </w14:textFill>
                    </w:rPr>
                    <w:t>10</w:t>
                  </w:r>
                </w:p>
              </w:tc>
              <w:tc>
                <w:tcPr>
                  <w:tcW w:w="1991" w:type="dxa"/>
                </w:tcPr>
                <w:p w14:paraId="1CDF85F6">
                  <w:pPr>
                    <w:autoSpaceDE w:val="0"/>
                    <w:autoSpaceDN w:val="0"/>
                    <w:adjustRightInd w:val="0"/>
                    <w:jc w:val="center"/>
                    <w:rPr>
                      <w:rFonts w:ascii="Times New Roman" w:hAnsi="Times New Roman" w:cs="Times New Roman"/>
                      <w:bCs/>
                      <w:color w:val="000000" w:themeColor="text1"/>
                      <w:sz w:val="21"/>
                      <w:szCs w:val="21"/>
                      <w:u w:color="000000"/>
                      <w:lang w:bidi="en-US"/>
                      <w14:textFill>
                        <w14:solidFill>
                          <w14:schemeClr w14:val="tx1"/>
                        </w14:solidFill>
                      </w14:textFill>
                    </w:rPr>
                  </w:pPr>
                </w:p>
              </w:tc>
            </w:tr>
          </w:tbl>
          <w:p w14:paraId="63123595">
            <w:pPr>
              <w:pStyle w:val="42"/>
              <w:ind w:firstLine="0" w:firstLineChars="0"/>
              <w:rPr>
                <w:b/>
                <w:bCs/>
                <w:szCs w:val="24"/>
              </w:rPr>
            </w:pPr>
          </w:p>
          <w:p w14:paraId="3943343D">
            <w:pPr>
              <w:pStyle w:val="42"/>
              <w:ind w:firstLineChars="83"/>
              <w:rPr>
                <w:b/>
                <w:bCs/>
                <w:szCs w:val="24"/>
              </w:rPr>
            </w:pPr>
          </w:p>
          <w:p w14:paraId="0CDE974C">
            <w:pPr>
              <w:adjustRightInd w:val="0"/>
              <w:snapToGrid w:val="0"/>
              <w:spacing w:line="360" w:lineRule="auto"/>
              <w:rPr>
                <w:rFonts w:ascii="Times New Roman" w:hAnsi="Times New Roman" w:cs="Times New Roman"/>
                <w:b/>
                <w:bCs/>
                <w:sz w:val="28"/>
                <w:szCs w:val="28"/>
              </w:rPr>
            </w:pPr>
            <w:r>
              <w:rPr>
                <w:rFonts w:ascii="Times New Roman" w:hAnsi="Times New Roman" w:cs="Times New Roman"/>
                <w:b/>
                <w:bCs/>
              </w:rPr>
              <w:t>3、声环境影响分析及防护措施</w:t>
            </w:r>
          </w:p>
          <w:p w14:paraId="1FBF0490">
            <w:pPr>
              <w:adjustRightInd w:val="0"/>
              <w:snapToGrid w:val="0"/>
              <w:spacing w:line="360" w:lineRule="auto"/>
              <w:rPr>
                <w:rFonts w:ascii="Times New Roman" w:hAnsi="Times New Roman" w:cs="Times New Roman"/>
                <w:b/>
                <w:bCs/>
              </w:rPr>
            </w:pPr>
            <w:r>
              <w:rPr>
                <w:rFonts w:ascii="Times New Roman" w:hAnsi="Times New Roman" w:cs="Times New Roman"/>
                <w:b/>
                <w:bCs/>
              </w:rPr>
              <w:t>3.1噪声源强</w:t>
            </w:r>
          </w:p>
          <w:p w14:paraId="6EB5577C">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本项目新增机泵14台（其中操作10台、备用4台），其噪声值一般在80~90dB（A）之间。主要噪声源强见表4-1</w:t>
            </w:r>
            <w:r>
              <w:rPr>
                <w:rFonts w:hint="eastAsia" w:ascii="Times New Roman" w:hAnsi="Times New Roman" w:cs="Times New Roman"/>
                <w:bCs/>
                <w:spacing w:val="-10"/>
              </w:rPr>
              <w:t>4</w:t>
            </w:r>
            <w:r>
              <w:rPr>
                <w:rFonts w:ascii="Times New Roman" w:hAnsi="Times New Roman" w:cs="Times New Roman"/>
                <w:bCs/>
                <w:spacing w:val="-10"/>
              </w:rPr>
              <w:t>。</w:t>
            </w:r>
          </w:p>
          <w:p w14:paraId="51ADB63C">
            <w:pPr>
              <w:adjustRightInd w:val="0"/>
              <w:snapToGrid w:val="0"/>
              <w:ind w:firstLine="442" w:firstLineChars="200"/>
              <w:jc w:val="center"/>
              <w:rPr>
                <w:rFonts w:ascii="Times New Roman" w:hAnsi="Times New Roman" w:cs="Times New Roman"/>
                <w:b/>
              </w:rPr>
            </w:pPr>
            <w:r>
              <w:rPr>
                <w:rFonts w:ascii="Times New Roman" w:hAnsi="Times New Roman" w:cs="Times New Roman"/>
                <w:b/>
                <w:spacing w:val="-10"/>
                <w:szCs w:val="21"/>
              </w:rPr>
              <w:t>表4-1</w:t>
            </w:r>
            <w:r>
              <w:rPr>
                <w:rFonts w:hint="eastAsia" w:ascii="Times New Roman" w:hAnsi="Times New Roman" w:cs="Times New Roman"/>
                <w:b/>
                <w:spacing w:val="-10"/>
                <w:szCs w:val="21"/>
              </w:rPr>
              <w:t>4</w:t>
            </w:r>
            <w:r>
              <w:rPr>
                <w:rFonts w:ascii="Times New Roman" w:hAnsi="Times New Roman" w:cs="Times New Roman"/>
                <w:b/>
                <w:spacing w:val="-10"/>
                <w:szCs w:val="21"/>
              </w:rPr>
              <w:t xml:space="preserve">  主要噪声源强一览表</w:t>
            </w:r>
          </w:p>
          <w:tbl>
            <w:tblPr>
              <w:tblStyle w:val="17"/>
              <w:tblW w:w="7814"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917"/>
              <w:gridCol w:w="708"/>
              <w:gridCol w:w="1134"/>
              <w:gridCol w:w="709"/>
              <w:gridCol w:w="851"/>
              <w:gridCol w:w="708"/>
              <w:gridCol w:w="1134"/>
              <w:gridCol w:w="782"/>
            </w:tblGrid>
            <w:tr w14:paraId="0C324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right"/>
              </w:trPr>
              <w:tc>
                <w:tcPr>
                  <w:tcW w:w="871" w:type="dxa"/>
                  <w:vAlign w:val="center"/>
                </w:tcPr>
                <w:p w14:paraId="52E3A68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设备名称</w:t>
                  </w:r>
                </w:p>
              </w:tc>
              <w:tc>
                <w:tcPr>
                  <w:tcW w:w="917" w:type="dxa"/>
                  <w:vAlign w:val="center"/>
                </w:tcPr>
                <w:p w14:paraId="37D3E2C1">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型号</w:t>
                  </w:r>
                </w:p>
              </w:tc>
              <w:tc>
                <w:tcPr>
                  <w:tcW w:w="708" w:type="dxa"/>
                  <w:vAlign w:val="center"/>
                </w:tcPr>
                <w:p w14:paraId="42B37086">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声源类型</w:t>
                  </w:r>
                </w:p>
              </w:tc>
              <w:tc>
                <w:tcPr>
                  <w:tcW w:w="1134" w:type="dxa"/>
                  <w:vAlign w:val="center"/>
                </w:tcPr>
                <w:p w14:paraId="621E1223">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空间相对位置</w:t>
                  </w:r>
                </w:p>
              </w:tc>
              <w:tc>
                <w:tcPr>
                  <w:tcW w:w="709" w:type="dxa"/>
                  <w:vAlign w:val="center"/>
                </w:tcPr>
                <w:p w14:paraId="027968D6">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数量</w:t>
                  </w:r>
                </w:p>
              </w:tc>
              <w:tc>
                <w:tcPr>
                  <w:tcW w:w="851" w:type="dxa"/>
                  <w:vAlign w:val="center"/>
                </w:tcPr>
                <w:p w14:paraId="06B785A7">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噪声级</w:t>
                  </w:r>
                </w:p>
              </w:tc>
              <w:tc>
                <w:tcPr>
                  <w:tcW w:w="708" w:type="dxa"/>
                  <w:vAlign w:val="center"/>
                </w:tcPr>
                <w:p w14:paraId="498F1C14">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治理措施</w:t>
                  </w:r>
                </w:p>
              </w:tc>
              <w:tc>
                <w:tcPr>
                  <w:tcW w:w="1134" w:type="dxa"/>
                  <w:vAlign w:val="center"/>
                </w:tcPr>
                <w:p w14:paraId="620C9123">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治理后声级</w:t>
                  </w:r>
                </w:p>
              </w:tc>
              <w:tc>
                <w:tcPr>
                  <w:tcW w:w="782" w:type="dxa"/>
                  <w:vAlign w:val="center"/>
                </w:tcPr>
                <w:p w14:paraId="123515E2">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运行时段</w:t>
                  </w:r>
                </w:p>
              </w:tc>
            </w:tr>
            <w:tr w14:paraId="60A00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71" w:type="dxa"/>
                  <w:vAlign w:val="center"/>
                </w:tcPr>
                <w:p w14:paraId="7AC06C68">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MTBE泵</w:t>
                  </w:r>
                </w:p>
              </w:tc>
              <w:tc>
                <w:tcPr>
                  <w:tcW w:w="917" w:type="dxa"/>
                  <w:vAlign w:val="center"/>
                </w:tcPr>
                <w:p w14:paraId="0E9B9C43">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装卸泵</w:t>
                  </w:r>
                </w:p>
              </w:tc>
              <w:tc>
                <w:tcPr>
                  <w:tcW w:w="708" w:type="dxa"/>
                  <w:vAlign w:val="center"/>
                </w:tcPr>
                <w:p w14:paraId="41B92918">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室外</w:t>
                  </w:r>
                </w:p>
              </w:tc>
              <w:tc>
                <w:tcPr>
                  <w:tcW w:w="1134" w:type="dxa"/>
                  <w:vAlign w:val="center"/>
                </w:tcPr>
                <w:p w14:paraId="502459F7">
                  <w:pPr>
                    <w:adjustRightInd w:val="0"/>
                    <w:snapToGrid w:val="0"/>
                    <w:rPr>
                      <w:rFonts w:ascii="Times New Roman" w:hAnsi="Times New Roman" w:cs="Times New Roman"/>
                      <w:sz w:val="21"/>
                      <w:szCs w:val="21"/>
                    </w:rPr>
                  </w:pPr>
                </w:p>
              </w:tc>
              <w:tc>
                <w:tcPr>
                  <w:tcW w:w="709" w:type="dxa"/>
                  <w:vAlign w:val="center"/>
                </w:tcPr>
                <w:p w14:paraId="430BD488">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851" w:type="dxa"/>
                  <w:vAlign w:val="center"/>
                </w:tcPr>
                <w:p w14:paraId="37E53DE6">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90</w:t>
                  </w:r>
                </w:p>
              </w:tc>
              <w:tc>
                <w:tcPr>
                  <w:tcW w:w="708" w:type="dxa"/>
                  <w:vMerge w:val="restart"/>
                  <w:vAlign w:val="center"/>
                </w:tcPr>
                <w:p w14:paraId="708467E2">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低噪声设备、基座减振</w:t>
                  </w:r>
                </w:p>
              </w:tc>
              <w:tc>
                <w:tcPr>
                  <w:tcW w:w="1134" w:type="dxa"/>
                  <w:vAlign w:val="center"/>
                </w:tcPr>
                <w:p w14:paraId="125228B5">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85</w:t>
                  </w:r>
                </w:p>
              </w:tc>
              <w:tc>
                <w:tcPr>
                  <w:tcW w:w="782" w:type="dxa"/>
                  <w:vMerge w:val="restart"/>
                  <w:vAlign w:val="center"/>
                </w:tcPr>
                <w:p w14:paraId="2292464F">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8000h</w:t>
                  </w:r>
                </w:p>
              </w:tc>
            </w:tr>
            <w:tr w14:paraId="241D3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71" w:type="dxa"/>
                  <w:vAlign w:val="center"/>
                </w:tcPr>
                <w:p w14:paraId="3D7D4E3D">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异辛烷泵</w:t>
                  </w:r>
                </w:p>
              </w:tc>
              <w:tc>
                <w:tcPr>
                  <w:tcW w:w="917" w:type="dxa"/>
                  <w:vAlign w:val="center"/>
                </w:tcPr>
                <w:p w14:paraId="13882990">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装卸泵</w:t>
                  </w:r>
                </w:p>
              </w:tc>
              <w:tc>
                <w:tcPr>
                  <w:tcW w:w="708" w:type="dxa"/>
                  <w:vAlign w:val="center"/>
                </w:tcPr>
                <w:p w14:paraId="43357713">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室外</w:t>
                  </w:r>
                </w:p>
              </w:tc>
              <w:tc>
                <w:tcPr>
                  <w:tcW w:w="1134" w:type="dxa"/>
                  <w:vAlign w:val="center"/>
                </w:tcPr>
                <w:p w14:paraId="0E9A2234">
                  <w:pPr>
                    <w:adjustRightInd w:val="0"/>
                    <w:snapToGrid w:val="0"/>
                    <w:rPr>
                      <w:rFonts w:ascii="Times New Roman" w:hAnsi="Times New Roman" w:cs="Times New Roman"/>
                      <w:sz w:val="21"/>
                      <w:szCs w:val="21"/>
                    </w:rPr>
                  </w:pPr>
                </w:p>
              </w:tc>
              <w:tc>
                <w:tcPr>
                  <w:tcW w:w="709" w:type="dxa"/>
                  <w:vAlign w:val="center"/>
                </w:tcPr>
                <w:p w14:paraId="0B2F4ADD">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851" w:type="dxa"/>
                  <w:vAlign w:val="center"/>
                </w:tcPr>
                <w:p w14:paraId="3057A573">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85</w:t>
                  </w:r>
                </w:p>
              </w:tc>
              <w:tc>
                <w:tcPr>
                  <w:tcW w:w="708" w:type="dxa"/>
                  <w:vMerge w:val="continue"/>
                  <w:vAlign w:val="center"/>
                </w:tcPr>
                <w:p w14:paraId="2D730A37">
                  <w:pPr>
                    <w:adjustRightInd w:val="0"/>
                    <w:snapToGrid w:val="0"/>
                    <w:jc w:val="center"/>
                    <w:rPr>
                      <w:rFonts w:ascii="Times New Roman" w:hAnsi="Times New Roman" w:cs="Times New Roman"/>
                      <w:sz w:val="21"/>
                      <w:szCs w:val="21"/>
                    </w:rPr>
                  </w:pPr>
                </w:p>
              </w:tc>
              <w:tc>
                <w:tcPr>
                  <w:tcW w:w="1134" w:type="dxa"/>
                  <w:vAlign w:val="center"/>
                </w:tcPr>
                <w:p w14:paraId="47EDC9CE">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80</w:t>
                  </w:r>
                </w:p>
              </w:tc>
              <w:tc>
                <w:tcPr>
                  <w:tcW w:w="782" w:type="dxa"/>
                  <w:vMerge w:val="continue"/>
                  <w:vAlign w:val="center"/>
                </w:tcPr>
                <w:p w14:paraId="315BA6DD">
                  <w:pPr>
                    <w:adjustRightInd w:val="0"/>
                    <w:snapToGrid w:val="0"/>
                    <w:jc w:val="center"/>
                    <w:rPr>
                      <w:rFonts w:ascii="Times New Roman" w:hAnsi="Times New Roman" w:cs="Times New Roman"/>
                      <w:sz w:val="21"/>
                      <w:szCs w:val="21"/>
                    </w:rPr>
                  </w:pPr>
                </w:p>
              </w:tc>
            </w:tr>
            <w:tr w14:paraId="1150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71" w:type="dxa"/>
                  <w:vAlign w:val="center"/>
                </w:tcPr>
                <w:p w14:paraId="1120D66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轻质石脑油泵</w:t>
                  </w:r>
                </w:p>
              </w:tc>
              <w:tc>
                <w:tcPr>
                  <w:tcW w:w="917" w:type="dxa"/>
                  <w:vAlign w:val="center"/>
                </w:tcPr>
                <w:p w14:paraId="0186DC5A">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装卸泵</w:t>
                  </w:r>
                </w:p>
              </w:tc>
              <w:tc>
                <w:tcPr>
                  <w:tcW w:w="708" w:type="dxa"/>
                  <w:vAlign w:val="center"/>
                </w:tcPr>
                <w:p w14:paraId="48F67C87">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室外</w:t>
                  </w:r>
                </w:p>
              </w:tc>
              <w:tc>
                <w:tcPr>
                  <w:tcW w:w="1134" w:type="dxa"/>
                  <w:vAlign w:val="center"/>
                </w:tcPr>
                <w:p w14:paraId="1C2E8205">
                  <w:pPr>
                    <w:adjustRightInd w:val="0"/>
                    <w:snapToGrid w:val="0"/>
                    <w:rPr>
                      <w:rFonts w:ascii="Times New Roman" w:hAnsi="Times New Roman" w:cs="Times New Roman"/>
                      <w:sz w:val="21"/>
                      <w:szCs w:val="21"/>
                    </w:rPr>
                  </w:pPr>
                </w:p>
              </w:tc>
              <w:tc>
                <w:tcPr>
                  <w:tcW w:w="709" w:type="dxa"/>
                  <w:vAlign w:val="center"/>
                </w:tcPr>
                <w:p w14:paraId="33CEA967">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851" w:type="dxa"/>
                  <w:vAlign w:val="center"/>
                </w:tcPr>
                <w:p w14:paraId="1A45A8CA">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85</w:t>
                  </w:r>
                </w:p>
              </w:tc>
              <w:tc>
                <w:tcPr>
                  <w:tcW w:w="708" w:type="dxa"/>
                  <w:vMerge w:val="continue"/>
                  <w:vAlign w:val="center"/>
                </w:tcPr>
                <w:p w14:paraId="7D691516">
                  <w:pPr>
                    <w:adjustRightInd w:val="0"/>
                    <w:snapToGrid w:val="0"/>
                    <w:jc w:val="center"/>
                    <w:rPr>
                      <w:rFonts w:ascii="Times New Roman" w:hAnsi="Times New Roman" w:cs="Times New Roman"/>
                      <w:sz w:val="21"/>
                      <w:szCs w:val="21"/>
                    </w:rPr>
                  </w:pPr>
                </w:p>
              </w:tc>
              <w:tc>
                <w:tcPr>
                  <w:tcW w:w="1134" w:type="dxa"/>
                  <w:vAlign w:val="center"/>
                </w:tcPr>
                <w:p w14:paraId="787E4457">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80</w:t>
                  </w:r>
                </w:p>
              </w:tc>
              <w:tc>
                <w:tcPr>
                  <w:tcW w:w="782" w:type="dxa"/>
                  <w:vMerge w:val="continue"/>
                  <w:vAlign w:val="center"/>
                </w:tcPr>
                <w:p w14:paraId="435AE6AD">
                  <w:pPr>
                    <w:adjustRightInd w:val="0"/>
                    <w:snapToGrid w:val="0"/>
                    <w:jc w:val="center"/>
                    <w:rPr>
                      <w:rFonts w:ascii="Times New Roman" w:hAnsi="Times New Roman" w:cs="Times New Roman"/>
                      <w:sz w:val="21"/>
                      <w:szCs w:val="21"/>
                    </w:rPr>
                  </w:pPr>
                </w:p>
              </w:tc>
            </w:tr>
            <w:tr w14:paraId="0C889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71" w:type="dxa"/>
                  <w:vAlign w:val="center"/>
                </w:tcPr>
                <w:p w14:paraId="08444C33">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混合芳烃泵</w:t>
                  </w:r>
                </w:p>
              </w:tc>
              <w:tc>
                <w:tcPr>
                  <w:tcW w:w="917" w:type="dxa"/>
                  <w:vAlign w:val="center"/>
                </w:tcPr>
                <w:p w14:paraId="401F1D79">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装卸泵</w:t>
                  </w:r>
                </w:p>
              </w:tc>
              <w:tc>
                <w:tcPr>
                  <w:tcW w:w="708" w:type="dxa"/>
                  <w:vAlign w:val="center"/>
                </w:tcPr>
                <w:p w14:paraId="240AE920">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室外</w:t>
                  </w:r>
                </w:p>
              </w:tc>
              <w:tc>
                <w:tcPr>
                  <w:tcW w:w="1134" w:type="dxa"/>
                  <w:vAlign w:val="center"/>
                </w:tcPr>
                <w:p w14:paraId="673991FD">
                  <w:pPr>
                    <w:adjustRightInd w:val="0"/>
                    <w:snapToGrid w:val="0"/>
                    <w:rPr>
                      <w:rFonts w:ascii="Times New Roman" w:hAnsi="Times New Roman" w:cs="Times New Roman"/>
                      <w:sz w:val="21"/>
                      <w:szCs w:val="21"/>
                    </w:rPr>
                  </w:pPr>
                </w:p>
              </w:tc>
              <w:tc>
                <w:tcPr>
                  <w:tcW w:w="709" w:type="dxa"/>
                  <w:vAlign w:val="center"/>
                </w:tcPr>
                <w:p w14:paraId="3F2C0875">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851" w:type="dxa"/>
                  <w:vAlign w:val="center"/>
                </w:tcPr>
                <w:p w14:paraId="174D58BB">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85</w:t>
                  </w:r>
                </w:p>
              </w:tc>
              <w:tc>
                <w:tcPr>
                  <w:tcW w:w="708" w:type="dxa"/>
                  <w:vMerge w:val="continue"/>
                  <w:vAlign w:val="center"/>
                </w:tcPr>
                <w:p w14:paraId="0D51CAD0">
                  <w:pPr>
                    <w:adjustRightInd w:val="0"/>
                    <w:snapToGrid w:val="0"/>
                    <w:jc w:val="center"/>
                    <w:rPr>
                      <w:rFonts w:ascii="Times New Roman" w:hAnsi="Times New Roman" w:cs="Times New Roman"/>
                      <w:sz w:val="21"/>
                      <w:szCs w:val="21"/>
                    </w:rPr>
                  </w:pPr>
                </w:p>
              </w:tc>
              <w:tc>
                <w:tcPr>
                  <w:tcW w:w="1134" w:type="dxa"/>
                  <w:vAlign w:val="center"/>
                </w:tcPr>
                <w:p w14:paraId="5EFB4F34">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80</w:t>
                  </w:r>
                </w:p>
              </w:tc>
              <w:tc>
                <w:tcPr>
                  <w:tcW w:w="782" w:type="dxa"/>
                  <w:vMerge w:val="continue"/>
                  <w:vAlign w:val="center"/>
                </w:tcPr>
                <w:p w14:paraId="15DE4EFA">
                  <w:pPr>
                    <w:adjustRightInd w:val="0"/>
                    <w:snapToGrid w:val="0"/>
                    <w:jc w:val="center"/>
                    <w:rPr>
                      <w:rFonts w:ascii="Times New Roman" w:hAnsi="Times New Roman" w:cs="Times New Roman"/>
                      <w:sz w:val="21"/>
                      <w:szCs w:val="21"/>
                    </w:rPr>
                  </w:pPr>
                </w:p>
              </w:tc>
            </w:tr>
            <w:tr w14:paraId="6A39D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71" w:type="dxa"/>
                  <w:vAlign w:val="center"/>
                </w:tcPr>
                <w:p w14:paraId="6EF8EF63">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92#汽油泵</w:t>
                  </w:r>
                </w:p>
              </w:tc>
              <w:tc>
                <w:tcPr>
                  <w:tcW w:w="917" w:type="dxa"/>
                  <w:vAlign w:val="center"/>
                </w:tcPr>
                <w:p w14:paraId="03ABFA7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装卸泵</w:t>
                  </w:r>
                </w:p>
              </w:tc>
              <w:tc>
                <w:tcPr>
                  <w:tcW w:w="708" w:type="dxa"/>
                  <w:vAlign w:val="center"/>
                </w:tcPr>
                <w:p w14:paraId="3B1B0846">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室外</w:t>
                  </w:r>
                </w:p>
              </w:tc>
              <w:tc>
                <w:tcPr>
                  <w:tcW w:w="1134" w:type="dxa"/>
                  <w:vAlign w:val="center"/>
                </w:tcPr>
                <w:p w14:paraId="41E8DA9E">
                  <w:pPr>
                    <w:adjustRightInd w:val="0"/>
                    <w:snapToGrid w:val="0"/>
                    <w:rPr>
                      <w:rFonts w:ascii="Times New Roman" w:hAnsi="Times New Roman" w:cs="Times New Roman"/>
                      <w:sz w:val="21"/>
                      <w:szCs w:val="21"/>
                    </w:rPr>
                  </w:pPr>
                </w:p>
              </w:tc>
              <w:tc>
                <w:tcPr>
                  <w:tcW w:w="709" w:type="dxa"/>
                  <w:vAlign w:val="center"/>
                </w:tcPr>
                <w:p w14:paraId="5F049682">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851" w:type="dxa"/>
                  <w:vAlign w:val="center"/>
                </w:tcPr>
                <w:p w14:paraId="4E0EE8A5">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85</w:t>
                  </w:r>
                </w:p>
              </w:tc>
              <w:tc>
                <w:tcPr>
                  <w:tcW w:w="708" w:type="dxa"/>
                  <w:vMerge w:val="continue"/>
                  <w:vAlign w:val="center"/>
                </w:tcPr>
                <w:p w14:paraId="2CFFDF9A">
                  <w:pPr>
                    <w:adjustRightInd w:val="0"/>
                    <w:snapToGrid w:val="0"/>
                    <w:jc w:val="center"/>
                    <w:rPr>
                      <w:rFonts w:ascii="Times New Roman" w:hAnsi="Times New Roman" w:cs="Times New Roman"/>
                      <w:sz w:val="21"/>
                      <w:szCs w:val="21"/>
                    </w:rPr>
                  </w:pPr>
                </w:p>
              </w:tc>
              <w:tc>
                <w:tcPr>
                  <w:tcW w:w="1134" w:type="dxa"/>
                  <w:vAlign w:val="center"/>
                </w:tcPr>
                <w:p w14:paraId="14811A9C">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80</w:t>
                  </w:r>
                </w:p>
              </w:tc>
              <w:tc>
                <w:tcPr>
                  <w:tcW w:w="782" w:type="dxa"/>
                  <w:vMerge w:val="continue"/>
                  <w:vAlign w:val="center"/>
                </w:tcPr>
                <w:p w14:paraId="6F31F2BB">
                  <w:pPr>
                    <w:adjustRightInd w:val="0"/>
                    <w:snapToGrid w:val="0"/>
                    <w:jc w:val="center"/>
                    <w:rPr>
                      <w:rFonts w:ascii="Times New Roman" w:hAnsi="Times New Roman" w:cs="Times New Roman"/>
                      <w:sz w:val="21"/>
                      <w:szCs w:val="21"/>
                    </w:rPr>
                  </w:pPr>
                </w:p>
              </w:tc>
            </w:tr>
            <w:tr w14:paraId="176E9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71" w:type="dxa"/>
                  <w:vAlign w:val="center"/>
                </w:tcPr>
                <w:p w14:paraId="48ECC0D9">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95#汽油泵</w:t>
                  </w:r>
                </w:p>
              </w:tc>
              <w:tc>
                <w:tcPr>
                  <w:tcW w:w="917" w:type="dxa"/>
                  <w:vAlign w:val="center"/>
                </w:tcPr>
                <w:p w14:paraId="04A01B6D">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装卸泵</w:t>
                  </w:r>
                </w:p>
              </w:tc>
              <w:tc>
                <w:tcPr>
                  <w:tcW w:w="708" w:type="dxa"/>
                  <w:vAlign w:val="center"/>
                </w:tcPr>
                <w:p w14:paraId="3C752492">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室外</w:t>
                  </w:r>
                </w:p>
              </w:tc>
              <w:tc>
                <w:tcPr>
                  <w:tcW w:w="1134" w:type="dxa"/>
                  <w:vAlign w:val="center"/>
                </w:tcPr>
                <w:p w14:paraId="3432736D">
                  <w:pPr>
                    <w:adjustRightInd w:val="0"/>
                    <w:snapToGrid w:val="0"/>
                    <w:rPr>
                      <w:rFonts w:ascii="Times New Roman" w:hAnsi="Times New Roman" w:cs="Times New Roman"/>
                      <w:sz w:val="21"/>
                      <w:szCs w:val="21"/>
                    </w:rPr>
                  </w:pPr>
                </w:p>
              </w:tc>
              <w:tc>
                <w:tcPr>
                  <w:tcW w:w="709" w:type="dxa"/>
                  <w:vAlign w:val="center"/>
                </w:tcPr>
                <w:p w14:paraId="3DAF1CC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851" w:type="dxa"/>
                  <w:vAlign w:val="center"/>
                </w:tcPr>
                <w:p w14:paraId="01F0A165">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85</w:t>
                  </w:r>
                </w:p>
              </w:tc>
              <w:tc>
                <w:tcPr>
                  <w:tcW w:w="708" w:type="dxa"/>
                  <w:vMerge w:val="continue"/>
                  <w:vAlign w:val="center"/>
                </w:tcPr>
                <w:p w14:paraId="076C46A8">
                  <w:pPr>
                    <w:adjustRightInd w:val="0"/>
                    <w:snapToGrid w:val="0"/>
                    <w:jc w:val="center"/>
                    <w:rPr>
                      <w:rFonts w:ascii="Times New Roman" w:hAnsi="Times New Roman" w:cs="Times New Roman"/>
                      <w:sz w:val="21"/>
                      <w:szCs w:val="21"/>
                    </w:rPr>
                  </w:pPr>
                </w:p>
              </w:tc>
              <w:tc>
                <w:tcPr>
                  <w:tcW w:w="1134" w:type="dxa"/>
                  <w:vAlign w:val="center"/>
                </w:tcPr>
                <w:p w14:paraId="246FB20D">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80</w:t>
                  </w:r>
                </w:p>
              </w:tc>
              <w:tc>
                <w:tcPr>
                  <w:tcW w:w="782" w:type="dxa"/>
                  <w:vMerge w:val="continue"/>
                  <w:vAlign w:val="center"/>
                </w:tcPr>
                <w:p w14:paraId="5FDF5FE4">
                  <w:pPr>
                    <w:adjustRightInd w:val="0"/>
                    <w:snapToGrid w:val="0"/>
                    <w:jc w:val="center"/>
                    <w:rPr>
                      <w:rFonts w:ascii="Times New Roman" w:hAnsi="Times New Roman" w:cs="Times New Roman"/>
                      <w:sz w:val="21"/>
                      <w:szCs w:val="21"/>
                    </w:rPr>
                  </w:pPr>
                </w:p>
              </w:tc>
            </w:tr>
            <w:tr w14:paraId="090CD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71" w:type="dxa"/>
                  <w:vAlign w:val="center"/>
                </w:tcPr>
                <w:p w14:paraId="095F3DD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轻质燃料油泵</w:t>
                  </w:r>
                </w:p>
              </w:tc>
              <w:tc>
                <w:tcPr>
                  <w:tcW w:w="917" w:type="dxa"/>
                  <w:vAlign w:val="center"/>
                </w:tcPr>
                <w:p w14:paraId="3FD81417">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装卸泵</w:t>
                  </w:r>
                </w:p>
              </w:tc>
              <w:tc>
                <w:tcPr>
                  <w:tcW w:w="708" w:type="dxa"/>
                  <w:vAlign w:val="center"/>
                </w:tcPr>
                <w:p w14:paraId="6BBC3904">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室外</w:t>
                  </w:r>
                </w:p>
              </w:tc>
              <w:tc>
                <w:tcPr>
                  <w:tcW w:w="1134" w:type="dxa"/>
                  <w:vAlign w:val="center"/>
                </w:tcPr>
                <w:p w14:paraId="4E97367E">
                  <w:pPr>
                    <w:adjustRightInd w:val="0"/>
                    <w:snapToGrid w:val="0"/>
                    <w:rPr>
                      <w:rFonts w:ascii="Times New Roman" w:hAnsi="Times New Roman" w:cs="Times New Roman"/>
                      <w:sz w:val="21"/>
                      <w:szCs w:val="21"/>
                    </w:rPr>
                  </w:pPr>
                </w:p>
              </w:tc>
              <w:tc>
                <w:tcPr>
                  <w:tcW w:w="709" w:type="dxa"/>
                  <w:vAlign w:val="center"/>
                </w:tcPr>
                <w:p w14:paraId="25D51E6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851" w:type="dxa"/>
                  <w:vAlign w:val="center"/>
                </w:tcPr>
                <w:p w14:paraId="7BFD1EF3">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85</w:t>
                  </w:r>
                </w:p>
              </w:tc>
              <w:tc>
                <w:tcPr>
                  <w:tcW w:w="708" w:type="dxa"/>
                  <w:vMerge w:val="continue"/>
                  <w:vAlign w:val="center"/>
                </w:tcPr>
                <w:p w14:paraId="38994AF0">
                  <w:pPr>
                    <w:adjustRightInd w:val="0"/>
                    <w:snapToGrid w:val="0"/>
                    <w:jc w:val="center"/>
                    <w:rPr>
                      <w:rFonts w:ascii="Times New Roman" w:hAnsi="Times New Roman" w:cs="Times New Roman"/>
                      <w:sz w:val="21"/>
                      <w:szCs w:val="21"/>
                    </w:rPr>
                  </w:pPr>
                </w:p>
              </w:tc>
              <w:tc>
                <w:tcPr>
                  <w:tcW w:w="1134" w:type="dxa"/>
                  <w:vAlign w:val="center"/>
                </w:tcPr>
                <w:p w14:paraId="013DAB9E">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80</w:t>
                  </w:r>
                </w:p>
              </w:tc>
              <w:tc>
                <w:tcPr>
                  <w:tcW w:w="782" w:type="dxa"/>
                  <w:vMerge w:val="continue"/>
                  <w:vAlign w:val="center"/>
                </w:tcPr>
                <w:p w14:paraId="6BDC9A00">
                  <w:pPr>
                    <w:adjustRightInd w:val="0"/>
                    <w:snapToGrid w:val="0"/>
                    <w:jc w:val="center"/>
                    <w:rPr>
                      <w:rFonts w:ascii="Times New Roman" w:hAnsi="Times New Roman" w:cs="Times New Roman"/>
                      <w:sz w:val="21"/>
                      <w:szCs w:val="21"/>
                    </w:rPr>
                  </w:pPr>
                </w:p>
              </w:tc>
            </w:tr>
            <w:tr w14:paraId="4CA9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71" w:type="dxa"/>
                  <w:vAlign w:val="center"/>
                </w:tcPr>
                <w:p w14:paraId="709CD38D">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煤基柴油泵</w:t>
                  </w:r>
                </w:p>
              </w:tc>
              <w:tc>
                <w:tcPr>
                  <w:tcW w:w="917" w:type="dxa"/>
                  <w:vAlign w:val="center"/>
                </w:tcPr>
                <w:p w14:paraId="6E7462A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装卸泵</w:t>
                  </w:r>
                </w:p>
              </w:tc>
              <w:tc>
                <w:tcPr>
                  <w:tcW w:w="708" w:type="dxa"/>
                  <w:vAlign w:val="center"/>
                </w:tcPr>
                <w:p w14:paraId="036605ED">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室外</w:t>
                  </w:r>
                </w:p>
              </w:tc>
              <w:tc>
                <w:tcPr>
                  <w:tcW w:w="1134" w:type="dxa"/>
                  <w:vAlign w:val="center"/>
                </w:tcPr>
                <w:p w14:paraId="4D1E8C8B">
                  <w:pPr>
                    <w:adjustRightInd w:val="0"/>
                    <w:snapToGrid w:val="0"/>
                    <w:rPr>
                      <w:rFonts w:ascii="Times New Roman" w:hAnsi="Times New Roman" w:cs="Times New Roman"/>
                      <w:sz w:val="21"/>
                      <w:szCs w:val="21"/>
                    </w:rPr>
                  </w:pPr>
                </w:p>
              </w:tc>
              <w:tc>
                <w:tcPr>
                  <w:tcW w:w="709" w:type="dxa"/>
                  <w:vAlign w:val="center"/>
                </w:tcPr>
                <w:p w14:paraId="4B6CC38E">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851" w:type="dxa"/>
                  <w:vAlign w:val="center"/>
                </w:tcPr>
                <w:p w14:paraId="2696F7D4">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85</w:t>
                  </w:r>
                </w:p>
              </w:tc>
              <w:tc>
                <w:tcPr>
                  <w:tcW w:w="708" w:type="dxa"/>
                  <w:vMerge w:val="continue"/>
                  <w:vAlign w:val="center"/>
                </w:tcPr>
                <w:p w14:paraId="08AE404F">
                  <w:pPr>
                    <w:adjustRightInd w:val="0"/>
                    <w:snapToGrid w:val="0"/>
                    <w:jc w:val="center"/>
                    <w:rPr>
                      <w:rFonts w:ascii="Times New Roman" w:hAnsi="Times New Roman" w:cs="Times New Roman"/>
                      <w:sz w:val="21"/>
                      <w:szCs w:val="21"/>
                    </w:rPr>
                  </w:pPr>
                </w:p>
              </w:tc>
              <w:tc>
                <w:tcPr>
                  <w:tcW w:w="1134" w:type="dxa"/>
                  <w:vAlign w:val="center"/>
                </w:tcPr>
                <w:p w14:paraId="75327051">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80</w:t>
                  </w:r>
                </w:p>
              </w:tc>
              <w:tc>
                <w:tcPr>
                  <w:tcW w:w="782" w:type="dxa"/>
                  <w:vMerge w:val="continue"/>
                  <w:vAlign w:val="center"/>
                </w:tcPr>
                <w:p w14:paraId="1FE5C455">
                  <w:pPr>
                    <w:adjustRightInd w:val="0"/>
                    <w:snapToGrid w:val="0"/>
                    <w:jc w:val="center"/>
                    <w:rPr>
                      <w:rFonts w:ascii="Times New Roman" w:hAnsi="Times New Roman" w:cs="Times New Roman"/>
                      <w:sz w:val="21"/>
                      <w:szCs w:val="21"/>
                    </w:rPr>
                  </w:pPr>
                </w:p>
              </w:tc>
            </w:tr>
            <w:tr w14:paraId="4DE6F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71" w:type="dxa"/>
                  <w:vAlign w:val="center"/>
                </w:tcPr>
                <w:p w14:paraId="26A23FBC">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柴油泵</w:t>
                  </w:r>
                </w:p>
              </w:tc>
              <w:tc>
                <w:tcPr>
                  <w:tcW w:w="917" w:type="dxa"/>
                  <w:vAlign w:val="center"/>
                </w:tcPr>
                <w:p w14:paraId="05213832">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装卸泵</w:t>
                  </w:r>
                </w:p>
              </w:tc>
              <w:tc>
                <w:tcPr>
                  <w:tcW w:w="708" w:type="dxa"/>
                  <w:vAlign w:val="center"/>
                </w:tcPr>
                <w:p w14:paraId="5B8D61B8">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室外</w:t>
                  </w:r>
                </w:p>
              </w:tc>
              <w:tc>
                <w:tcPr>
                  <w:tcW w:w="1134" w:type="dxa"/>
                  <w:vAlign w:val="center"/>
                </w:tcPr>
                <w:p w14:paraId="04A1757F">
                  <w:pPr>
                    <w:adjustRightInd w:val="0"/>
                    <w:snapToGrid w:val="0"/>
                    <w:rPr>
                      <w:rFonts w:ascii="Times New Roman" w:hAnsi="Times New Roman" w:cs="Times New Roman"/>
                      <w:sz w:val="21"/>
                      <w:szCs w:val="21"/>
                    </w:rPr>
                  </w:pPr>
                </w:p>
              </w:tc>
              <w:tc>
                <w:tcPr>
                  <w:tcW w:w="709" w:type="dxa"/>
                  <w:vAlign w:val="center"/>
                </w:tcPr>
                <w:p w14:paraId="3973E6AA">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851" w:type="dxa"/>
                  <w:vAlign w:val="center"/>
                </w:tcPr>
                <w:p w14:paraId="2E64D9A8">
                  <w:pPr>
                    <w:adjustRightInd w:val="0"/>
                    <w:snapToGrid w:val="0"/>
                    <w:jc w:val="center"/>
                    <w:rPr>
                      <w:rFonts w:ascii="Times New Roman" w:hAnsi="Times New Roman" w:cs="Times New Roman"/>
                      <w:sz w:val="21"/>
                      <w:szCs w:val="21"/>
                    </w:rPr>
                  </w:pPr>
                  <w:r>
                    <w:rPr>
                      <w:rFonts w:ascii="Times New Roman" w:hAnsi="Times New Roman" w:cs="Times New Roman"/>
                      <w:sz w:val="21"/>
                      <w:szCs w:val="21"/>
                    </w:rPr>
                    <w:t>85</w:t>
                  </w:r>
                </w:p>
              </w:tc>
              <w:tc>
                <w:tcPr>
                  <w:tcW w:w="708" w:type="dxa"/>
                  <w:vMerge w:val="continue"/>
                  <w:vAlign w:val="center"/>
                </w:tcPr>
                <w:p w14:paraId="6DFEC9F6">
                  <w:pPr>
                    <w:adjustRightInd w:val="0"/>
                    <w:snapToGrid w:val="0"/>
                    <w:jc w:val="center"/>
                    <w:rPr>
                      <w:rFonts w:ascii="Times New Roman" w:hAnsi="Times New Roman" w:cs="Times New Roman"/>
                      <w:sz w:val="21"/>
                      <w:szCs w:val="21"/>
                    </w:rPr>
                  </w:pPr>
                </w:p>
              </w:tc>
              <w:tc>
                <w:tcPr>
                  <w:tcW w:w="1134" w:type="dxa"/>
                  <w:vAlign w:val="center"/>
                </w:tcPr>
                <w:p w14:paraId="01242968">
                  <w:pPr>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80</w:t>
                  </w:r>
                </w:p>
              </w:tc>
              <w:tc>
                <w:tcPr>
                  <w:tcW w:w="782" w:type="dxa"/>
                  <w:vMerge w:val="continue"/>
                  <w:vAlign w:val="center"/>
                </w:tcPr>
                <w:p w14:paraId="6296CA97">
                  <w:pPr>
                    <w:adjustRightInd w:val="0"/>
                    <w:snapToGrid w:val="0"/>
                    <w:jc w:val="center"/>
                    <w:rPr>
                      <w:rFonts w:ascii="Times New Roman" w:hAnsi="Times New Roman" w:cs="Times New Roman"/>
                      <w:sz w:val="21"/>
                      <w:szCs w:val="21"/>
                    </w:rPr>
                  </w:pPr>
                </w:p>
              </w:tc>
            </w:tr>
          </w:tbl>
          <w:p w14:paraId="32895CC4">
            <w:pPr>
              <w:adjustRightInd w:val="0"/>
              <w:snapToGrid w:val="0"/>
              <w:spacing w:line="360" w:lineRule="auto"/>
              <w:rPr>
                <w:rFonts w:ascii="Times New Roman" w:hAnsi="Times New Roman" w:cs="Times New Roman"/>
                <w:b/>
                <w:bCs/>
              </w:rPr>
            </w:pPr>
            <w:r>
              <w:rPr>
                <w:rFonts w:ascii="Times New Roman" w:hAnsi="Times New Roman" w:cs="Times New Roman"/>
                <w:b/>
                <w:bCs/>
              </w:rPr>
              <w:t>3.2噪声影响预测</w:t>
            </w:r>
          </w:p>
          <w:p w14:paraId="58B20261">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本次环境噪声影响预测主要是针对主要噪声源对厂界的影响进行预测，由于预测点距声源的距离比声源本身尺寸大得多，因此声源将当作点声源处理。本工程噪声预测时只考虑几何发散引起的A声级衰减，预测模式如下：</w:t>
            </w:r>
          </w:p>
          <w:p w14:paraId="151455DC">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噪声随距离衰减公式为：</w:t>
            </w:r>
          </w:p>
          <w:p w14:paraId="14AF0E8F">
            <w:pPr>
              <w:adjustRightInd w:val="0"/>
              <w:snapToGrid w:val="0"/>
              <w:spacing w:line="360" w:lineRule="auto"/>
              <w:ind w:firstLine="480" w:firstLineChars="200"/>
              <w:rPr>
                <w:rFonts w:ascii="Times New Roman" w:hAnsi="Times New Roman" w:cs="Times New Roman"/>
              </w:rPr>
            </w:pPr>
            <m:oMathPara>
              <m:oMath>
                <m:sSub>
                  <m:sSubPr>
                    <m:ctrlPr>
                      <w:rPr>
                        <w:rFonts w:ascii="Cambria Math" w:hAnsi="Cambria Math" w:cs="Times New Roman"/>
                        <w:i/>
                      </w:rPr>
                    </m:ctrlPr>
                  </m:sSubPr>
                  <m:e>
                    <m:r>
                      <m:rPr/>
                      <w:rPr>
                        <w:rFonts w:ascii="Cambria Math" w:hAnsi="Cambria Math" w:cs="Times New Roman"/>
                      </w:rPr>
                      <m:t>L</m:t>
                    </m:r>
                    <m:ctrlPr>
                      <w:rPr>
                        <w:rFonts w:ascii="Cambria Math" w:hAnsi="Cambria Math" w:cs="Times New Roman"/>
                        <w:i/>
                      </w:rPr>
                    </m:ctrlPr>
                  </m:e>
                  <m:sub>
                    <m:r>
                      <m:rPr/>
                      <w:rPr>
                        <w:rFonts w:ascii="Cambria Math" w:hAnsi="Cambria Math" w:cs="Times New Roman"/>
                      </w:rPr>
                      <m:t>p</m:t>
                    </m:r>
                    <m:ctrlPr>
                      <w:rPr>
                        <w:rFonts w:ascii="Cambria Math" w:hAnsi="Cambria Math" w:cs="Times New Roman"/>
                        <w:i/>
                      </w:rPr>
                    </m:ctrlPr>
                  </m:sub>
                </m:sSub>
                <m:d>
                  <m:dPr>
                    <m:begChr m:val="（"/>
                    <m:endChr m:val="）"/>
                    <m:ctrlPr>
                      <w:rPr>
                        <w:rFonts w:ascii="Cambria Math" w:hAnsi="Cambria Math" w:cs="Times New Roman"/>
                        <w:i/>
                      </w:rPr>
                    </m:ctrlPr>
                  </m:dPr>
                  <m:e>
                    <m:r>
                      <m:rPr/>
                      <w:rPr>
                        <w:rFonts w:ascii="Cambria Math" w:hAnsi="Cambria Math" w:cs="Times New Roman"/>
                      </w:rPr>
                      <m:t>r</m:t>
                    </m:r>
                    <m:ctrlPr>
                      <w:rPr>
                        <w:rFonts w:ascii="Cambria Math" w:hAnsi="Cambria Math" w:cs="Times New Roman"/>
                        <w:i/>
                      </w:rPr>
                    </m:ctrlPr>
                  </m:e>
                </m:d>
                <m:r>
                  <m:rPr/>
                  <w:rPr>
                    <w:rFonts w:ascii="Cambria Math" w:hAnsi="Cambria Math" w:cs="Times New Roman"/>
                  </w:rPr>
                  <m:t>=</m:t>
                </m:r>
                <m:sSub>
                  <m:sSubPr>
                    <m:ctrlPr>
                      <w:rPr>
                        <w:rFonts w:ascii="Cambria Math" w:hAnsi="Cambria Math" w:cs="Times New Roman"/>
                        <w:i/>
                      </w:rPr>
                    </m:ctrlPr>
                  </m:sSubPr>
                  <m:e>
                    <m:r>
                      <m:rPr/>
                      <w:rPr>
                        <w:rFonts w:ascii="Cambria Math" w:hAnsi="Cambria Math" w:cs="Times New Roman"/>
                      </w:rPr>
                      <m:t>L</m:t>
                    </m:r>
                    <m:ctrlPr>
                      <w:rPr>
                        <w:rFonts w:ascii="Cambria Math" w:hAnsi="Cambria Math" w:cs="Times New Roman"/>
                        <w:i/>
                      </w:rPr>
                    </m:ctrlPr>
                  </m:e>
                  <m:sub>
                    <m:r>
                      <m:rPr/>
                      <w:rPr>
                        <w:rFonts w:ascii="Cambria Math" w:hAnsi="Cambria Math" w:cs="Times New Roman"/>
                      </w:rPr>
                      <m:t>p</m:t>
                    </m:r>
                    <m:ctrlPr>
                      <w:rPr>
                        <w:rFonts w:ascii="Cambria Math" w:hAnsi="Cambria Math" w:cs="Times New Roman"/>
                        <w:i/>
                      </w:rPr>
                    </m:ctrlPr>
                  </m:sub>
                </m:sSub>
                <m:d>
                  <m:dPr>
                    <m:begChr m:val="（"/>
                    <m:endChr m:val="）"/>
                    <m:ctrlPr>
                      <w:rPr>
                        <w:rFonts w:ascii="Cambria Math" w:hAnsi="Cambria Math" w:cs="Times New Roman"/>
                        <w:i/>
                      </w:rPr>
                    </m:ctrlPr>
                  </m:dPr>
                  <m:e>
                    <m:sSub>
                      <m:sSubPr>
                        <m:ctrlPr>
                          <w:rPr>
                            <w:rFonts w:ascii="Cambria Math" w:hAnsi="Cambria Math" w:cs="Times New Roman"/>
                            <w:i/>
                          </w:rPr>
                        </m:ctrlPr>
                      </m:sSubPr>
                      <m:e>
                        <m:r>
                          <m:rPr/>
                          <w:rPr>
                            <w:rFonts w:ascii="Cambria Math" w:hAnsi="Cambria Math" w:cs="Times New Roman"/>
                          </w:rPr>
                          <m:t>r</m:t>
                        </m:r>
                        <m:ctrlPr>
                          <w:rPr>
                            <w:rFonts w:ascii="Cambria Math" w:hAnsi="Cambria Math" w:cs="Times New Roman"/>
                            <w:i/>
                          </w:rPr>
                        </m:ctrlPr>
                      </m:e>
                      <m:sub>
                        <m:r>
                          <m:rPr/>
                          <w:rPr>
                            <w:rFonts w:ascii="Cambria Math" w:hAnsi="Cambria Math" w:cs="Times New Roman"/>
                          </w:rPr>
                          <m:t>0</m:t>
                        </m:r>
                        <m:ctrlPr>
                          <w:rPr>
                            <w:rFonts w:ascii="Cambria Math" w:hAnsi="Cambria Math" w:cs="Times New Roman"/>
                            <w:i/>
                          </w:rPr>
                        </m:ctrlPr>
                      </m:sub>
                    </m:sSub>
                    <m:ctrlPr>
                      <w:rPr>
                        <w:rFonts w:ascii="Cambria Math" w:hAnsi="Cambria Math" w:cs="Times New Roman"/>
                        <w:i/>
                      </w:rPr>
                    </m:ctrlPr>
                  </m:e>
                </m:d>
                <m:r>
                  <m:rPr/>
                  <w:rPr>
                    <w:rFonts w:ascii="Cambria Math" w:hAnsi="Cambria Math" w:cs="Times New Roman"/>
                  </w:rPr>
                  <m:t>−201g（r/</m:t>
                </m:r>
                <m:sSub>
                  <m:sSubPr>
                    <m:ctrlPr>
                      <w:rPr>
                        <w:rFonts w:ascii="Cambria Math" w:hAnsi="Cambria Math" w:cs="Times New Roman"/>
                        <w:i/>
                      </w:rPr>
                    </m:ctrlPr>
                  </m:sSubPr>
                  <m:e>
                    <m:r>
                      <m:rPr/>
                      <w:rPr>
                        <w:rFonts w:ascii="Cambria Math" w:hAnsi="Cambria Math" w:cs="Times New Roman"/>
                      </w:rPr>
                      <m:t>r</m:t>
                    </m:r>
                    <m:ctrlPr>
                      <w:rPr>
                        <w:rFonts w:ascii="Cambria Math" w:hAnsi="Cambria Math" w:cs="Times New Roman"/>
                        <w:i/>
                      </w:rPr>
                    </m:ctrlPr>
                  </m:e>
                  <m:sub>
                    <m:r>
                      <m:rPr/>
                      <w:rPr>
                        <w:rFonts w:ascii="Cambria Math" w:hAnsi="Cambria Math" w:cs="Times New Roman"/>
                      </w:rPr>
                      <m:t>0</m:t>
                    </m:r>
                    <m:ctrlPr>
                      <w:rPr>
                        <w:rFonts w:ascii="Cambria Math" w:hAnsi="Cambria Math" w:cs="Times New Roman"/>
                        <w:i/>
                      </w:rPr>
                    </m:ctrlPr>
                  </m:sub>
                </m:sSub>
                <m:r>
                  <m:rPr/>
                  <w:rPr>
                    <w:rFonts w:ascii="Cambria Math" w:hAnsi="Cambria Math" w:cs="Times New Roman"/>
                  </w:rPr>
                  <m:t>）</m:t>
                </m:r>
              </m:oMath>
            </m:oMathPara>
          </w:p>
          <w:p w14:paraId="1ACE327C">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式中：Lp（r）——预测点处声压级，dB；</w:t>
            </w:r>
          </w:p>
          <w:p w14:paraId="7373764E">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Lp（r0）——参考位置r0 处的声压级，dB；</w:t>
            </w:r>
          </w:p>
          <w:p w14:paraId="2F8E79D2">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r——预测点距声源的距离，m；</w:t>
            </w:r>
          </w:p>
          <w:p w14:paraId="3CE6D590">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r0——参考位置距声源的距离，m。</w:t>
            </w:r>
          </w:p>
          <w:p w14:paraId="3A867B6B">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噪声叠加模式：</w:t>
            </w:r>
          </w:p>
          <w:p w14:paraId="203ECFA7">
            <w:pPr>
              <w:adjustRightInd w:val="0"/>
              <w:snapToGrid w:val="0"/>
              <w:spacing w:line="360" w:lineRule="auto"/>
              <w:ind w:firstLine="480" w:firstLineChars="200"/>
              <w:rPr>
                <w:rFonts w:ascii="Times New Roman" w:hAnsi="Times New Roman" w:cs="Times New Roman"/>
              </w:rPr>
            </w:pPr>
            <m:oMathPara>
              <m:oMath>
                <m:sSub>
                  <m:sSubPr>
                    <m:ctrlPr>
                      <w:rPr>
                        <w:rFonts w:ascii="Cambria Math" w:hAnsi="Cambria Math" w:cs="Times New Roman"/>
                        <w:i/>
                      </w:rPr>
                    </m:ctrlPr>
                  </m:sSubPr>
                  <m:e>
                    <m:r>
                      <m:rPr/>
                      <w:rPr>
                        <w:rFonts w:ascii="Cambria Math" w:hAnsi="Cambria Math" w:cs="Times New Roman"/>
                      </w:rPr>
                      <m:t>L</m:t>
                    </m:r>
                    <m:ctrlPr>
                      <w:rPr>
                        <w:rFonts w:ascii="Cambria Math" w:hAnsi="Cambria Math" w:cs="Times New Roman"/>
                        <w:i/>
                      </w:rPr>
                    </m:ctrlPr>
                  </m:e>
                  <m:sub>
                    <m:r>
                      <m:rPr/>
                      <w:rPr>
                        <w:rFonts w:ascii="Cambria Math" w:hAnsi="Cambria Math" w:cs="Times New Roman"/>
                      </w:rPr>
                      <m:t>p总</m:t>
                    </m:r>
                    <m:ctrlPr>
                      <w:rPr>
                        <w:rFonts w:ascii="Cambria Math" w:hAnsi="Cambria Math" w:cs="Times New Roman"/>
                        <w:i/>
                      </w:rPr>
                    </m:ctrlPr>
                  </m:sub>
                </m:sSub>
                <m:r>
                  <m:rPr/>
                  <w:rPr>
                    <w:rFonts w:ascii="Cambria Math" w:hAnsi="Cambria Math" w:cs="Times New Roman"/>
                  </w:rPr>
                  <m:t>=101g(</m:t>
                </m:r>
                <m:sSup>
                  <m:sSupPr>
                    <m:ctrlPr>
                      <w:rPr>
                        <w:rFonts w:ascii="Cambria Math" w:hAnsi="Cambria Math" w:cs="Times New Roman"/>
                        <w:i/>
                      </w:rPr>
                    </m:ctrlPr>
                  </m:sSupPr>
                  <m:e>
                    <m:r>
                      <m:rPr/>
                      <w:rPr>
                        <w:rFonts w:ascii="Cambria Math" w:hAnsi="Cambria Math" w:cs="Times New Roman"/>
                      </w:rPr>
                      <m:t>10</m:t>
                    </m:r>
                    <m:ctrlPr>
                      <w:rPr>
                        <w:rFonts w:ascii="Cambria Math" w:hAnsi="Cambria Math" w:cs="Times New Roman"/>
                        <w:i/>
                      </w:rPr>
                    </m:ctrlPr>
                  </m:e>
                  <m:sup>
                    <m:r>
                      <m:rPr/>
                      <w:rPr>
                        <w:rFonts w:ascii="Cambria Math" w:hAnsi="Cambria Math" w:cs="Times New Roman"/>
                      </w:rPr>
                      <m:t>0.1</m:t>
                    </m:r>
                    <m:sSub>
                      <m:sSubPr>
                        <m:ctrlPr>
                          <w:rPr>
                            <w:rFonts w:ascii="Cambria Math" w:hAnsi="Cambria Math" w:cs="Times New Roman"/>
                            <w:i/>
                          </w:rPr>
                        </m:ctrlPr>
                      </m:sSubPr>
                      <m:e>
                        <m:r>
                          <m:rPr/>
                          <w:rPr>
                            <w:rFonts w:ascii="Cambria Math" w:hAnsi="Cambria Math" w:cs="Times New Roman"/>
                          </w:rPr>
                          <m:t>L</m:t>
                        </m:r>
                        <m:ctrlPr>
                          <w:rPr>
                            <w:rFonts w:ascii="Cambria Math" w:hAnsi="Cambria Math" w:cs="Times New Roman"/>
                            <w:i/>
                          </w:rPr>
                        </m:ctrlPr>
                      </m:e>
                      <m:sub>
                        <m:r>
                          <m:rPr/>
                          <w:rPr>
                            <w:rFonts w:ascii="Cambria Math" w:hAnsi="Cambria Math" w:cs="Times New Roman"/>
                          </w:rPr>
                          <m:t>p1</m:t>
                        </m:r>
                        <m:ctrlPr>
                          <w:rPr>
                            <w:rFonts w:ascii="Cambria Math" w:hAnsi="Cambria Math" w:cs="Times New Roman"/>
                            <w:i/>
                          </w:rPr>
                        </m:ctrlPr>
                      </m:sub>
                    </m:sSub>
                    <m:ctrlPr>
                      <w:rPr>
                        <w:rFonts w:ascii="Cambria Math" w:hAnsi="Cambria Math" w:cs="Times New Roman"/>
                        <w:i/>
                      </w:rPr>
                    </m:ctrlPr>
                  </m:sup>
                </m:sSup>
                <m:r>
                  <m:rPr/>
                  <w:rPr>
                    <w:rFonts w:ascii="Cambria Math" w:hAnsi="Cambria Math" w:cs="Times New Roman"/>
                  </w:rPr>
                  <m:t>+</m:t>
                </m:r>
                <m:sSup>
                  <m:sSupPr>
                    <m:ctrlPr>
                      <w:rPr>
                        <w:rFonts w:ascii="Cambria Math" w:hAnsi="Cambria Math" w:cs="Times New Roman"/>
                        <w:i/>
                      </w:rPr>
                    </m:ctrlPr>
                  </m:sSupPr>
                  <m:e>
                    <m:r>
                      <m:rPr/>
                      <w:rPr>
                        <w:rFonts w:ascii="Cambria Math" w:hAnsi="Cambria Math" w:cs="Times New Roman"/>
                      </w:rPr>
                      <m:t>10</m:t>
                    </m:r>
                    <m:ctrlPr>
                      <w:rPr>
                        <w:rFonts w:ascii="Cambria Math" w:hAnsi="Cambria Math" w:cs="Times New Roman"/>
                        <w:i/>
                      </w:rPr>
                    </m:ctrlPr>
                  </m:e>
                  <m:sup>
                    <m:r>
                      <m:rPr/>
                      <w:rPr>
                        <w:rFonts w:ascii="Cambria Math" w:hAnsi="Cambria Math" w:cs="Times New Roman"/>
                      </w:rPr>
                      <m:t>0.1</m:t>
                    </m:r>
                    <m:sSub>
                      <m:sSubPr>
                        <m:ctrlPr>
                          <w:rPr>
                            <w:rFonts w:ascii="Cambria Math" w:hAnsi="Cambria Math" w:cs="Times New Roman"/>
                            <w:i/>
                          </w:rPr>
                        </m:ctrlPr>
                      </m:sSubPr>
                      <m:e>
                        <m:r>
                          <m:rPr/>
                          <w:rPr>
                            <w:rFonts w:ascii="Cambria Math" w:hAnsi="Cambria Math" w:cs="Times New Roman"/>
                          </w:rPr>
                          <m:t>L</m:t>
                        </m:r>
                        <m:ctrlPr>
                          <w:rPr>
                            <w:rFonts w:ascii="Cambria Math" w:hAnsi="Cambria Math" w:cs="Times New Roman"/>
                            <w:i/>
                          </w:rPr>
                        </m:ctrlPr>
                      </m:e>
                      <m:sub>
                        <m:r>
                          <m:rPr/>
                          <w:rPr>
                            <w:rFonts w:ascii="Cambria Math" w:hAnsi="Cambria Math" w:cs="Times New Roman"/>
                          </w:rPr>
                          <m:t>p2</m:t>
                        </m:r>
                        <m:ctrlPr>
                          <w:rPr>
                            <w:rFonts w:ascii="Cambria Math" w:hAnsi="Cambria Math" w:cs="Times New Roman"/>
                            <w:i/>
                          </w:rPr>
                        </m:ctrlPr>
                      </m:sub>
                    </m:sSub>
                    <m:ctrlPr>
                      <w:rPr>
                        <w:rFonts w:ascii="Cambria Math" w:hAnsi="Cambria Math" w:cs="Times New Roman"/>
                        <w:i/>
                      </w:rPr>
                    </m:ctrlPr>
                  </m:sup>
                </m:sSup>
                <m:r>
                  <m:rPr/>
                  <w:rPr>
                    <w:rFonts w:ascii="Cambria Math" w:hAnsi="Cambria Math" w:cs="Times New Roman"/>
                  </w:rPr>
                  <m:t>+…+</m:t>
                </m:r>
                <m:sSup>
                  <m:sSupPr>
                    <m:ctrlPr>
                      <w:rPr>
                        <w:rFonts w:ascii="Cambria Math" w:hAnsi="Cambria Math" w:cs="Times New Roman"/>
                        <w:i/>
                      </w:rPr>
                    </m:ctrlPr>
                  </m:sSupPr>
                  <m:e>
                    <m:r>
                      <m:rPr/>
                      <w:rPr>
                        <w:rFonts w:ascii="Cambria Math" w:hAnsi="Cambria Math" w:cs="Times New Roman"/>
                      </w:rPr>
                      <m:t>10</m:t>
                    </m:r>
                    <m:ctrlPr>
                      <w:rPr>
                        <w:rFonts w:ascii="Cambria Math" w:hAnsi="Cambria Math" w:cs="Times New Roman"/>
                        <w:i/>
                      </w:rPr>
                    </m:ctrlPr>
                  </m:e>
                  <m:sup>
                    <m:r>
                      <m:rPr/>
                      <w:rPr>
                        <w:rFonts w:ascii="Cambria Math" w:hAnsi="Cambria Math" w:cs="Times New Roman"/>
                      </w:rPr>
                      <m:t>0.1</m:t>
                    </m:r>
                    <m:sSub>
                      <m:sSubPr>
                        <m:ctrlPr>
                          <w:rPr>
                            <w:rFonts w:ascii="Cambria Math" w:hAnsi="Cambria Math" w:cs="Times New Roman"/>
                            <w:i/>
                          </w:rPr>
                        </m:ctrlPr>
                      </m:sSubPr>
                      <m:e>
                        <m:r>
                          <m:rPr/>
                          <w:rPr>
                            <w:rFonts w:ascii="Cambria Math" w:hAnsi="Cambria Math" w:cs="Times New Roman"/>
                          </w:rPr>
                          <m:t>L</m:t>
                        </m:r>
                        <m:ctrlPr>
                          <w:rPr>
                            <w:rFonts w:ascii="Cambria Math" w:hAnsi="Cambria Math" w:cs="Times New Roman"/>
                            <w:i/>
                          </w:rPr>
                        </m:ctrlPr>
                      </m:e>
                      <m:sub>
                        <m:r>
                          <m:rPr/>
                          <w:rPr>
                            <w:rFonts w:ascii="Cambria Math" w:hAnsi="Cambria Math" w:cs="Times New Roman"/>
                          </w:rPr>
                          <m:t>pn</m:t>
                        </m:r>
                        <m:ctrlPr>
                          <w:rPr>
                            <w:rFonts w:ascii="Cambria Math" w:hAnsi="Cambria Math" w:cs="Times New Roman"/>
                            <w:i/>
                          </w:rPr>
                        </m:ctrlPr>
                      </m:sub>
                    </m:sSub>
                    <m:ctrlPr>
                      <w:rPr>
                        <w:rFonts w:ascii="Cambria Math" w:hAnsi="Cambria Math" w:cs="Times New Roman"/>
                        <w:i/>
                      </w:rPr>
                    </m:ctrlPr>
                  </m:sup>
                </m:sSup>
                <m:r>
                  <m:rPr/>
                  <w:rPr>
                    <w:rFonts w:ascii="Cambria Math" w:hAnsi="Cambria Math" w:cs="Times New Roman"/>
                  </w:rPr>
                  <m:t>)</m:t>
                </m:r>
              </m:oMath>
            </m:oMathPara>
          </w:p>
          <w:p w14:paraId="04BBA5C9">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式中：Lp总——各点声源叠加后总声级，dB(A)；</w:t>
            </w:r>
          </w:p>
          <w:p w14:paraId="4D3489F0">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L</w:t>
            </w:r>
            <w:r>
              <w:rPr>
                <w:rFonts w:ascii="Times New Roman" w:hAnsi="Times New Roman" w:cs="Times New Roman"/>
                <w:vertAlign w:val="subscript"/>
              </w:rPr>
              <w:t>p1</w:t>
            </w:r>
            <w:r>
              <w:rPr>
                <w:rFonts w:ascii="Times New Roman" w:hAnsi="Times New Roman" w:cs="Times New Roman"/>
              </w:rPr>
              <w:t>、L</w:t>
            </w:r>
            <w:r>
              <w:rPr>
                <w:rFonts w:ascii="Times New Roman" w:hAnsi="Times New Roman" w:cs="Times New Roman"/>
                <w:vertAlign w:val="subscript"/>
              </w:rPr>
              <w:t>p2</w:t>
            </w:r>
            <w:r>
              <w:rPr>
                <w:rFonts w:ascii="Times New Roman" w:hAnsi="Times New Roman" w:cs="Times New Roman"/>
              </w:rPr>
              <w:t>…L</w:t>
            </w:r>
            <w:r>
              <w:rPr>
                <w:rFonts w:ascii="Times New Roman" w:hAnsi="Times New Roman" w:cs="Times New Roman"/>
                <w:vertAlign w:val="subscript"/>
              </w:rPr>
              <w:t>pn</w:t>
            </w:r>
            <w:r>
              <w:rPr>
                <w:rFonts w:ascii="Times New Roman" w:hAnsi="Times New Roman" w:cs="Times New Roman"/>
              </w:rPr>
              <w:t>——第1、2…n 个声源到P点的声压级，dB(A)。</w:t>
            </w:r>
          </w:p>
          <w:p w14:paraId="09AE50C9">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预测点的预测声级计算公式：</w:t>
            </w:r>
          </w:p>
          <w:p w14:paraId="4B3350C8">
            <w:pPr>
              <w:adjustRightInd w:val="0"/>
              <w:snapToGrid w:val="0"/>
              <w:spacing w:line="360" w:lineRule="auto"/>
              <w:ind w:firstLine="480" w:firstLineChars="200"/>
              <w:rPr>
                <w:rFonts w:ascii="Times New Roman" w:hAnsi="Times New Roman" w:cs="Times New Roman"/>
              </w:rPr>
            </w:pPr>
            <m:oMathPara>
              <m:oMath>
                <m:r>
                  <m:rPr/>
                  <w:rPr>
                    <w:rFonts w:ascii="Cambria Math" w:hAnsi="Cambria Math" w:cs="Times New Roman"/>
                  </w:rPr>
                  <m:t>L=101g</m:t>
                </m:r>
                <m:d>
                  <m:dPr>
                    <m:ctrlPr>
                      <w:rPr>
                        <w:rFonts w:ascii="Cambria Math" w:hAnsi="Cambria Math" w:cs="Times New Roman"/>
                        <w:i/>
                      </w:rPr>
                    </m:ctrlPr>
                  </m:dPr>
                  <m:e>
                    <m:sSup>
                      <m:sSupPr>
                        <m:ctrlPr>
                          <w:rPr>
                            <w:rFonts w:ascii="Cambria Math" w:hAnsi="Cambria Math" w:cs="Times New Roman"/>
                            <w:i/>
                          </w:rPr>
                        </m:ctrlPr>
                      </m:sSupPr>
                      <m:e>
                        <m:r>
                          <m:rPr/>
                          <w:rPr>
                            <w:rFonts w:ascii="Cambria Math" w:hAnsi="Cambria Math" w:cs="Times New Roman"/>
                          </w:rPr>
                          <m:t>10</m:t>
                        </m:r>
                        <m:ctrlPr>
                          <w:rPr>
                            <w:rFonts w:ascii="Cambria Math" w:hAnsi="Cambria Math" w:cs="Times New Roman"/>
                            <w:i/>
                          </w:rPr>
                        </m:ctrlPr>
                      </m:e>
                      <m:sup>
                        <m:r>
                          <m:rPr/>
                          <w:rPr>
                            <w:rFonts w:ascii="Cambria Math" w:hAnsi="Cambria Math" w:cs="Times New Roman"/>
                          </w:rPr>
                          <m:t>0.1Lg</m:t>
                        </m:r>
                        <m:ctrlPr>
                          <w:rPr>
                            <w:rFonts w:ascii="Cambria Math" w:hAnsi="Cambria Math" w:cs="Times New Roman"/>
                            <w:i/>
                          </w:rPr>
                        </m:ctrlPr>
                      </m:sup>
                    </m:sSup>
                    <m:r>
                      <m:rPr/>
                      <w:rPr>
                        <w:rFonts w:ascii="Cambria Math" w:hAnsi="Cambria Math" w:cs="Times New Roman"/>
                      </w:rPr>
                      <m:t>+</m:t>
                    </m:r>
                    <m:sSup>
                      <m:sSupPr>
                        <m:ctrlPr>
                          <w:rPr>
                            <w:rFonts w:ascii="Cambria Math" w:hAnsi="Cambria Math" w:cs="Times New Roman"/>
                            <w:i/>
                          </w:rPr>
                        </m:ctrlPr>
                      </m:sSupPr>
                      <m:e>
                        <m:r>
                          <m:rPr/>
                          <w:rPr>
                            <w:rFonts w:ascii="Cambria Math" w:hAnsi="Cambria Math" w:cs="Times New Roman"/>
                          </w:rPr>
                          <m:t>10</m:t>
                        </m:r>
                        <m:ctrlPr>
                          <w:rPr>
                            <w:rFonts w:ascii="Cambria Math" w:hAnsi="Cambria Math" w:cs="Times New Roman"/>
                            <w:i/>
                          </w:rPr>
                        </m:ctrlPr>
                      </m:e>
                      <m:sup>
                        <m:r>
                          <m:rPr/>
                          <w:rPr>
                            <w:rFonts w:ascii="Cambria Math" w:hAnsi="Cambria Math" w:cs="Times New Roman"/>
                          </w:rPr>
                          <m:t>0.1Lb</m:t>
                        </m:r>
                        <m:ctrlPr>
                          <w:rPr>
                            <w:rFonts w:ascii="Cambria Math" w:hAnsi="Cambria Math" w:cs="Times New Roman"/>
                            <w:i/>
                          </w:rPr>
                        </m:ctrlPr>
                      </m:sup>
                    </m:sSup>
                    <m:ctrlPr>
                      <w:rPr>
                        <w:rFonts w:ascii="Cambria Math" w:hAnsi="Cambria Math" w:cs="Times New Roman"/>
                        <w:i/>
                      </w:rPr>
                    </m:ctrlPr>
                  </m:e>
                </m:d>
              </m:oMath>
            </m:oMathPara>
          </w:p>
          <w:p w14:paraId="64C3B066">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式中：L——预测点的预测声级，dB(A)；</w:t>
            </w:r>
          </w:p>
          <w:p w14:paraId="42531A6B">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L</w:t>
            </w:r>
            <w:r>
              <w:rPr>
                <w:rFonts w:ascii="Times New Roman" w:hAnsi="Times New Roman" w:cs="Times New Roman"/>
                <w:vertAlign w:val="subscript"/>
              </w:rPr>
              <w:t>g</w:t>
            </w:r>
            <w:r>
              <w:rPr>
                <w:rFonts w:ascii="Times New Roman" w:hAnsi="Times New Roman" w:cs="Times New Roman"/>
              </w:rPr>
              <w:t>——声源在预测点的贡献值，dB(A)；</w:t>
            </w:r>
          </w:p>
          <w:p w14:paraId="72031601">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L</w:t>
            </w:r>
            <w:r>
              <w:rPr>
                <w:rFonts w:ascii="Times New Roman" w:hAnsi="Times New Roman" w:cs="Times New Roman"/>
                <w:vertAlign w:val="subscript"/>
              </w:rPr>
              <w:t>b</w:t>
            </w:r>
            <w:r>
              <w:rPr>
                <w:rFonts w:ascii="Times New Roman" w:hAnsi="Times New Roman" w:cs="Times New Roman"/>
              </w:rPr>
              <w:t>——预测点的背景值，dB(A)。</w:t>
            </w:r>
          </w:p>
          <w:p w14:paraId="7B550B94">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运用上述计算模式，先将项目的各噪声源按照点声源随距离衰减公式计算各噪声源传到某一定点的声级，然后将其进行叠加即为该定点的噪声影响值。项目各厂界贡献值见表4-1</w:t>
            </w:r>
            <w:r>
              <w:rPr>
                <w:rFonts w:hint="eastAsia" w:ascii="Times New Roman" w:hAnsi="Times New Roman" w:cs="Times New Roman"/>
                <w:bCs/>
                <w:spacing w:val="-10"/>
              </w:rPr>
              <w:t>5</w:t>
            </w:r>
            <w:r>
              <w:rPr>
                <w:rFonts w:ascii="Times New Roman" w:hAnsi="Times New Roman" w:cs="Times New Roman"/>
                <w:bCs/>
                <w:spacing w:val="-10"/>
              </w:rPr>
              <w:t>。</w:t>
            </w:r>
          </w:p>
          <w:p w14:paraId="625926C8">
            <w:pPr>
              <w:adjustRightInd w:val="0"/>
              <w:snapToGrid w:val="0"/>
              <w:ind w:firstLine="442" w:firstLineChars="200"/>
              <w:jc w:val="center"/>
              <w:rPr>
                <w:rFonts w:ascii="Times New Roman" w:hAnsi="Times New Roman" w:cs="Times New Roman"/>
                <w:b/>
                <w:bCs/>
              </w:rPr>
            </w:pPr>
            <w:r>
              <w:rPr>
                <w:rFonts w:ascii="Times New Roman" w:hAnsi="Times New Roman" w:cs="Times New Roman"/>
                <w:b/>
                <w:spacing w:val="-10"/>
                <w:szCs w:val="21"/>
              </w:rPr>
              <w:t>表4-1</w:t>
            </w:r>
            <w:r>
              <w:rPr>
                <w:rFonts w:hint="eastAsia" w:ascii="Times New Roman" w:hAnsi="Times New Roman" w:cs="Times New Roman"/>
                <w:b/>
                <w:spacing w:val="-10"/>
                <w:szCs w:val="21"/>
              </w:rPr>
              <w:t>5</w:t>
            </w:r>
            <w:r>
              <w:rPr>
                <w:rFonts w:ascii="Times New Roman" w:hAnsi="Times New Roman" w:cs="Times New Roman"/>
                <w:b/>
                <w:spacing w:val="-10"/>
                <w:szCs w:val="21"/>
              </w:rPr>
              <w:t xml:space="preserve">  厂界噪声预测结果</w:t>
            </w:r>
          </w:p>
          <w:tbl>
            <w:tblPr>
              <w:tblStyle w:val="17"/>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8"/>
              <w:gridCol w:w="992"/>
              <w:gridCol w:w="1559"/>
              <w:gridCol w:w="1559"/>
              <w:gridCol w:w="1276"/>
              <w:gridCol w:w="1276"/>
            </w:tblGrid>
            <w:tr w14:paraId="2DF56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8" w:type="dxa"/>
                </w:tcPr>
                <w:p w14:paraId="404255DF">
                  <w:pPr>
                    <w:widowControl w:val="0"/>
                    <w:jc w:val="both"/>
                    <w:rPr>
                      <w:rFonts w:ascii="Times New Roman" w:hAnsi="Times New Roman" w:cs="Times New Roman"/>
                    </w:rPr>
                  </w:pPr>
                  <w:r>
                    <w:rPr>
                      <w:rFonts w:ascii="Times New Roman" w:hAnsi="Times New Roman" w:cs="Times New Roman"/>
                    </w:rPr>
                    <w:t>点名称</w:t>
                  </w:r>
                </w:p>
              </w:tc>
              <w:tc>
                <w:tcPr>
                  <w:tcW w:w="992" w:type="dxa"/>
                </w:tcPr>
                <w:p w14:paraId="4BE53523">
                  <w:pPr>
                    <w:widowControl w:val="0"/>
                    <w:jc w:val="both"/>
                    <w:rPr>
                      <w:rFonts w:ascii="Times New Roman" w:hAnsi="Times New Roman" w:cs="Times New Roman"/>
                    </w:rPr>
                  </w:pPr>
                  <w:r>
                    <w:rPr>
                      <w:rFonts w:ascii="Times New Roman" w:hAnsi="Times New Roman" w:cs="Times New Roman"/>
                    </w:rPr>
                    <w:t>噪声时段</w:t>
                  </w:r>
                </w:p>
              </w:tc>
              <w:tc>
                <w:tcPr>
                  <w:tcW w:w="1559" w:type="dxa"/>
                </w:tcPr>
                <w:p w14:paraId="3334537C">
                  <w:pPr>
                    <w:widowControl w:val="0"/>
                    <w:jc w:val="both"/>
                    <w:rPr>
                      <w:rFonts w:ascii="Times New Roman" w:hAnsi="Times New Roman" w:cs="Times New Roman"/>
                    </w:rPr>
                  </w:pPr>
                  <w:r>
                    <w:rPr>
                      <w:rFonts w:ascii="Times New Roman" w:hAnsi="Times New Roman" w:cs="Times New Roman"/>
                    </w:rPr>
                    <w:t>贡献值dB (A)</w:t>
                  </w:r>
                </w:p>
              </w:tc>
              <w:tc>
                <w:tcPr>
                  <w:tcW w:w="1559" w:type="dxa"/>
                </w:tcPr>
                <w:p w14:paraId="797398BB">
                  <w:pPr>
                    <w:widowControl w:val="0"/>
                    <w:jc w:val="both"/>
                    <w:rPr>
                      <w:rFonts w:ascii="Times New Roman" w:hAnsi="Times New Roman" w:cs="Times New Roman"/>
                    </w:rPr>
                  </w:pPr>
                  <w:r>
                    <w:rPr>
                      <w:rFonts w:ascii="Times New Roman" w:hAnsi="Times New Roman" w:cs="Times New Roman"/>
                    </w:rPr>
                    <w:t>评价标准dB (A)</w:t>
                  </w:r>
                </w:p>
              </w:tc>
              <w:tc>
                <w:tcPr>
                  <w:tcW w:w="1276" w:type="dxa"/>
                </w:tcPr>
                <w:p w14:paraId="62B73238">
                  <w:pPr>
                    <w:widowControl w:val="0"/>
                    <w:jc w:val="both"/>
                    <w:rPr>
                      <w:rFonts w:ascii="Times New Roman" w:hAnsi="Times New Roman" w:cs="Times New Roman"/>
                    </w:rPr>
                  </w:pPr>
                  <w:r>
                    <w:rPr>
                      <w:rFonts w:ascii="Times New Roman" w:hAnsi="Times New Roman" w:cs="Times New Roman"/>
                    </w:rPr>
                    <w:t>占标率 (%)</w:t>
                  </w:r>
                </w:p>
              </w:tc>
              <w:tc>
                <w:tcPr>
                  <w:tcW w:w="1276" w:type="dxa"/>
                </w:tcPr>
                <w:p w14:paraId="290E8AF4">
                  <w:pPr>
                    <w:widowControl w:val="0"/>
                    <w:jc w:val="both"/>
                    <w:rPr>
                      <w:rFonts w:ascii="Times New Roman" w:hAnsi="Times New Roman" w:cs="Times New Roman"/>
                    </w:rPr>
                  </w:pPr>
                  <w:r>
                    <w:rPr>
                      <w:rFonts w:ascii="Times New Roman" w:hAnsi="Times New Roman" w:cs="Times New Roman"/>
                    </w:rPr>
                    <w:t>是否超标</w:t>
                  </w:r>
                </w:p>
              </w:tc>
            </w:tr>
            <w:tr w14:paraId="6B4F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8" w:type="dxa"/>
                </w:tcPr>
                <w:p w14:paraId="3ABFFA0B">
                  <w:pPr>
                    <w:widowControl w:val="0"/>
                    <w:jc w:val="both"/>
                    <w:rPr>
                      <w:rFonts w:ascii="Times New Roman" w:hAnsi="Times New Roman" w:cs="Times New Roman"/>
                    </w:rPr>
                  </w:pPr>
                  <w:r>
                    <w:rPr>
                      <w:rFonts w:ascii="Times New Roman" w:hAnsi="Times New Roman" w:cs="Times New Roman"/>
                    </w:rPr>
                    <w:t>厂界1#</w:t>
                  </w:r>
                </w:p>
              </w:tc>
              <w:tc>
                <w:tcPr>
                  <w:tcW w:w="992" w:type="dxa"/>
                </w:tcPr>
                <w:p w14:paraId="71E85A99">
                  <w:pPr>
                    <w:widowControl w:val="0"/>
                    <w:jc w:val="both"/>
                    <w:rPr>
                      <w:rFonts w:ascii="Times New Roman" w:hAnsi="Times New Roman" w:cs="Times New Roman"/>
                    </w:rPr>
                  </w:pPr>
                  <w:r>
                    <w:rPr>
                      <w:rFonts w:ascii="Times New Roman" w:hAnsi="Times New Roman" w:cs="Times New Roman"/>
                    </w:rPr>
                    <w:t>昼间</w:t>
                  </w:r>
                </w:p>
              </w:tc>
              <w:tc>
                <w:tcPr>
                  <w:tcW w:w="1559" w:type="dxa"/>
                </w:tcPr>
                <w:p w14:paraId="79E8A148">
                  <w:pPr>
                    <w:widowControl w:val="0"/>
                    <w:jc w:val="both"/>
                    <w:rPr>
                      <w:rFonts w:ascii="Times New Roman" w:hAnsi="Times New Roman" w:cs="Times New Roman"/>
                    </w:rPr>
                  </w:pPr>
                  <w:r>
                    <w:rPr>
                      <w:rFonts w:ascii="Times New Roman" w:hAnsi="Times New Roman" w:cs="Times New Roman"/>
                    </w:rPr>
                    <w:t>49.14</w:t>
                  </w:r>
                </w:p>
              </w:tc>
              <w:tc>
                <w:tcPr>
                  <w:tcW w:w="1559" w:type="dxa"/>
                </w:tcPr>
                <w:p w14:paraId="6C80312D">
                  <w:pPr>
                    <w:widowControl w:val="0"/>
                    <w:jc w:val="both"/>
                    <w:rPr>
                      <w:rFonts w:ascii="Times New Roman" w:hAnsi="Times New Roman" w:cs="Times New Roman"/>
                    </w:rPr>
                  </w:pPr>
                  <w:r>
                    <w:rPr>
                      <w:rFonts w:ascii="Times New Roman" w:hAnsi="Times New Roman" w:cs="Times New Roman"/>
                    </w:rPr>
                    <w:t>65</w:t>
                  </w:r>
                </w:p>
              </w:tc>
              <w:tc>
                <w:tcPr>
                  <w:tcW w:w="1276" w:type="dxa"/>
                </w:tcPr>
                <w:p w14:paraId="0CEB8C74">
                  <w:pPr>
                    <w:widowControl w:val="0"/>
                    <w:jc w:val="both"/>
                    <w:rPr>
                      <w:rFonts w:ascii="Times New Roman" w:hAnsi="Times New Roman" w:cs="Times New Roman"/>
                    </w:rPr>
                  </w:pPr>
                  <w:r>
                    <w:rPr>
                      <w:rFonts w:ascii="Times New Roman" w:hAnsi="Times New Roman" w:cs="Times New Roman"/>
                    </w:rPr>
                    <w:t>75.6</w:t>
                  </w:r>
                </w:p>
              </w:tc>
              <w:tc>
                <w:tcPr>
                  <w:tcW w:w="1276" w:type="dxa"/>
                </w:tcPr>
                <w:p w14:paraId="4377F06B">
                  <w:pPr>
                    <w:widowControl w:val="0"/>
                    <w:jc w:val="both"/>
                    <w:rPr>
                      <w:rFonts w:ascii="Times New Roman" w:hAnsi="Times New Roman" w:cs="Times New Roman"/>
                    </w:rPr>
                  </w:pPr>
                  <w:r>
                    <w:rPr>
                      <w:rFonts w:ascii="Times New Roman" w:hAnsi="Times New Roman" w:cs="Times New Roman"/>
                    </w:rPr>
                    <w:t>达标</w:t>
                  </w:r>
                </w:p>
              </w:tc>
            </w:tr>
            <w:tr w14:paraId="74DC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8" w:type="dxa"/>
                </w:tcPr>
                <w:p w14:paraId="52DE49AD">
                  <w:pPr>
                    <w:widowControl w:val="0"/>
                    <w:jc w:val="both"/>
                    <w:rPr>
                      <w:rFonts w:ascii="Times New Roman" w:hAnsi="Times New Roman" w:cs="Times New Roman"/>
                    </w:rPr>
                  </w:pPr>
                  <w:r>
                    <w:rPr>
                      <w:rFonts w:ascii="Times New Roman" w:hAnsi="Times New Roman" w:cs="Times New Roman"/>
                    </w:rPr>
                    <w:t>厂界1#</w:t>
                  </w:r>
                </w:p>
              </w:tc>
              <w:tc>
                <w:tcPr>
                  <w:tcW w:w="992" w:type="dxa"/>
                </w:tcPr>
                <w:p w14:paraId="34BD6085">
                  <w:pPr>
                    <w:widowControl w:val="0"/>
                    <w:jc w:val="both"/>
                    <w:rPr>
                      <w:rFonts w:ascii="Times New Roman" w:hAnsi="Times New Roman" w:cs="Times New Roman"/>
                    </w:rPr>
                  </w:pPr>
                  <w:r>
                    <w:rPr>
                      <w:rFonts w:ascii="Times New Roman" w:hAnsi="Times New Roman" w:cs="Times New Roman"/>
                    </w:rPr>
                    <w:t>夜间</w:t>
                  </w:r>
                </w:p>
              </w:tc>
              <w:tc>
                <w:tcPr>
                  <w:tcW w:w="1559" w:type="dxa"/>
                </w:tcPr>
                <w:p w14:paraId="602C8CA8">
                  <w:pPr>
                    <w:widowControl w:val="0"/>
                    <w:jc w:val="both"/>
                    <w:rPr>
                      <w:rFonts w:ascii="Times New Roman" w:hAnsi="Times New Roman" w:cs="Times New Roman"/>
                    </w:rPr>
                  </w:pPr>
                  <w:r>
                    <w:rPr>
                      <w:rFonts w:ascii="Times New Roman" w:hAnsi="Times New Roman" w:cs="Times New Roman"/>
                    </w:rPr>
                    <w:t>49.14</w:t>
                  </w:r>
                </w:p>
              </w:tc>
              <w:tc>
                <w:tcPr>
                  <w:tcW w:w="1559" w:type="dxa"/>
                </w:tcPr>
                <w:p w14:paraId="281CE7AB">
                  <w:pPr>
                    <w:widowControl w:val="0"/>
                    <w:jc w:val="both"/>
                    <w:rPr>
                      <w:rFonts w:ascii="Times New Roman" w:hAnsi="Times New Roman" w:cs="Times New Roman"/>
                    </w:rPr>
                  </w:pPr>
                  <w:r>
                    <w:rPr>
                      <w:rFonts w:ascii="Times New Roman" w:hAnsi="Times New Roman" w:cs="Times New Roman"/>
                    </w:rPr>
                    <w:t>55</w:t>
                  </w:r>
                </w:p>
              </w:tc>
              <w:tc>
                <w:tcPr>
                  <w:tcW w:w="1276" w:type="dxa"/>
                </w:tcPr>
                <w:p w14:paraId="77F04E67">
                  <w:pPr>
                    <w:widowControl w:val="0"/>
                    <w:jc w:val="both"/>
                    <w:rPr>
                      <w:rFonts w:ascii="Times New Roman" w:hAnsi="Times New Roman" w:cs="Times New Roman"/>
                    </w:rPr>
                  </w:pPr>
                  <w:r>
                    <w:rPr>
                      <w:rFonts w:ascii="Times New Roman" w:hAnsi="Times New Roman" w:cs="Times New Roman"/>
                    </w:rPr>
                    <w:t>89.3</w:t>
                  </w:r>
                </w:p>
              </w:tc>
              <w:tc>
                <w:tcPr>
                  <w:tcW w:w="1276" w:type="dxa"/>
                </w:tcPr>
                <w:p w14:paraId="58FCC9F7">
                  <w:pPr>
                    <w:widowControl w:val="0"/>
                    <w:jc w:val="both"/>
                    <w:rPr>
                      <w:rFonts w:ascii="Times New Roman" w:hAnsi="Times New Roman" w:cs="Times New Roman"/>
                    </w:rPr>
                  </w:pPr>
                  <w:r>
                    <w:rPr>
                      <w:rFonts w:ascii="Times New Roman" w:hAnsi="Times New Roman" w:cs="Times New Roman"/>
                    </w:rPr>
                    <w:t>达标</w:t>
                  </w:r>
                </w:p>
              </w:tc>
            </w:tr>
            <w:tr w14:paraId="7123F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8" w:type="dxa"/>
                </w:tcPr>
                <w:p w14:paraId="5AC9F73E">
                  <w:pPr>
                    <w:widowControl w:val="0"/>
                    <w:jc w:val="both"/>
                    <w:rPr>
                      <w:rFonts w:ascii="Times New Roman" w:hAnsi="Times New Roman" w:cs="Times New Roman"/>
                    </w:rPr>
                  </w:pPr>
                  <w:r>
                    <w:rPr>
                      <w:rFonts w:ascii="Times New Roman" w:hAnsi="Times New Roman" w:cs="Times New Roman"/>
                    </w:rPr>
                    <w:t>厂界2#</w:t>
                  </w:r>
                </w:p>
              </w:tc>
              <w:tc>
                <w:tcPr>
                  <w:tcW w:w="992" w:type="dxa"/>
                </w:tcPr>
                <w:p w14:paraId="111EE55C">
                  <w:pPr>
                    <w:widowControl w:val="0"/>
                    <w:jc w:val="both"/>
                    <w:rPr>
                      <w:rFonts w:ascii="Times New Roman" w:hAnsi="Times New Roman" w:cs="Times New Roman"/>
                    </w:rPr>
                  </w:pPr>
                  <w:r>
                    <w:rPr>
                      <w:rFonts w:ascii="Times New Roman" w:hAnsi="Times New Roman" w:cs="Times New Roman"/>
                    </w:rPr>
                    <w:t>昼间</w:t>
                  </w:r>
                </w:p>
              </w:tc>
              <w:tc>
                <w:tcPr>
                  <w:tcW w:w="1559" w:type="dxa"/>
                </w:tcPr>
                <w:p w14:paraId="6951BA1C">
                  <w:pPr>
                    <w:widowControl w:val="0"/>
                    <w:jc w:val="both"/>
                    <w:rPr>
                      <w:rFonts w:ascii="Times New Roman" w:hAnsi="Times New Roman" w:cs="Times New Roman"/>
                    </w:rPr>
                  </w:pPr>
                  <w:r>
                    <w:rPr>
                      <w:rFonts w:ascii="Times New Roman" w:hAnsi="Times New Roman" w:cs="Times New Roman"/>
                    </w:rPr>
                    <w:t>49.18</w:t>
                  </w:r>
                </w:p>
              </w:tc>
              <w:tc>
                <w:tcPr>
                  <w:tcW w:w="1559" w:type="dxa"/>
                </w:tcPr>
                <w:p w14:paraId="7F5DAD25">
                  <w:pPr>
                    <w:widowControl w:val="0"/>
                    <w:jc w:val="both"/>
                    <w:rPr>
                      <w:rFonts w:ascii="Times New Roman" w:hAnsi="Times New Roman" w:cs="Times New Roman"/>
                    </w:rPr>
                  </w:pPr>
                  <w:r>
                    <w:rPr>
                      <w:rFonts w:ascii="Times New Roman" w:hAnsi="Times New Roman" w:cs="Times New Roman"/>
                    </w:rPr>
                    <w:t>65</w:t>
                  </w:r>
                </w:p>
              </w:tc>
              <w:tc>
                <w:tcPr>
                  <w:tcW w:w="1276" w:type="dxa"/>
                </w:tcPr>
                <w:p w14:paraId="47C850A3">
                  <w:pPr>
                    <w:widowControl w:val="0"/>
                    <w:jc w:val="both"/>
                    <w:rPr>
                      <w:rFonts w:ascii="Times New Roman" w:hAnsi="Times New Roman" w:cs="Times New Roman"/>
                    </w:rPr>
                  </w:pPr>
                  <w:r>
                    <w:rPr>
                      <w:rFonts w:ascii="Times New Roman" w:hAnsi="Times New Roman" w:cs="Times New Roman"/>
                    </w:rPr>
                    <w:t>75.7</w:t>
                  </w:r>
                </w:p>
              </w:tc>
              <w:tc>
                <w:tcPr>
                  <w:tcW w:w="1276" w:type="dxa"/>
                </w:tcPr>
                <w:p w14:paraId="6ACA6224">
                  <w:pPr>
                    <w:widowControl w:val="0"/>
                    <w:jc w:val="both"/>
                    <w:rPr>
                      <w:rFonts w:ascii="Times New Roman" w:hAnsi="Times New Roman" w:cs="Times New Roman"/>
                    </w:rPr>
                  </w:pPr>
                  <w:r>
                    <w:rPr>
                      <w:rFonts w:ascii="Times New Roman" w:hAnsi="Times New Roman" w:cs="Times New Roman"/>
                    </w:rPr>
                    <w:t>达标</w:t>
                  </w:r>
                </w:p>
              </w:tc>
            </w:tr>
            <w:tr w14:paraId="1AE1F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8" w:type="dxa"/>
                </w:tcPr>
                <w:p w14:paraId="0B1F74D6">
                  <w:pPr>
                    <w:widowControl w:val="0"/>
                    <w:jc w:val="both"/>
                    <w:rPr>
                      <w:rFonts w:ascii="Times New Roman" w:hAnsi="Times New Roman" w:cs="Times New Roman"/>
                    </w:rPr>
                  </w:pPr>
                  <w:r>
                    <w:rPr>
                      <w:rFonts w:ascii="Times New Roman" w:hAnsi="Times New Roman" w:cs="Times New Roman"/>
                    </w:rPr>
                    <w:t>厂界2#</w:t>
                  </w:r>
                </w:p>
              </w:tc>
              <w:tc>
                <w:tcPr>
                  <w:tcW w:w="992" w:type="dxa"/>
                </w:tcPr>
                <w:p w14:paraId="50D1FCB3">
                  <w:pPr>
                    <w:widowControl w:val="0"/>
                    <w:jc w:val="both"/>
                    <w:rPr>
                      <w:rFonts w:ascii="Times New Roman" w:hAnsi="Times New Roman" w:cs="Times New Roman"/>
                    </w:rPr>
                  </w:pPr>
                  <w:r>
                    <w:rPr>
                      <w:rFonts w:ascii="Times New Roman" w:hAnsi="Times New Roman" w:cs="Times New Roman"/>
                    </w:rPr>
                    <w:t>夜间</w:t>
                  </w:r>
                </w:p>
              </w:tc>
              <w:tc>
                <w:tcPr>
                  <w:tcW w:w="1559" w:type="dxa"/>
                </w:tcPr>
                <w:p w14:paraId="22D83965">
                  <w:pPr>
                    <w:widowControl w:val="0"/>
                    <w:jc w:val="both"/>
                    <w:rPr>
                      <w:rFonts w:ascii="Times New Roman" w:hAnsi="Times New Roman" w:cs="Times New Roman"/>
                    </w:rPr>
                  </w:pPr>
                  <w:r>
                    <w:rPr>
                      <w:rFonts w:ascii="Times New Roman" w:hAnsi="Times New Roman" w:cs="Times New Roman"/>
                    </w:rPr>
                    <w:t>49.18</w:t>
                  </w:r>
                </w:p>
              </w:tc>
              <w:tc>
                <w:tcPr>
                  <w:tcW w:w="1559" w:type="dxa"/>
                </w:tcPr>
                <w:p w14:paraId="5C1E8D6A">
                  <w:pPr>
                    <w:widowControl w:val="0"/>
                    <w:jc w:val="both"/>
                    <w:rPr>
                      <w:rFonts w:ascii="Times New Roman" w:hAnsi="Times New Roman" w:cs="Times New Roman"/>
                    </w:rPr>
                  </w:pPr>
                  <w:r>
                    <w:rPr>
                      <w:rFonts w:ascii="Times New Roman" w:hAnsi="Times New Roman" w:cs="Times New Roman"/>
                    </w:rPr>
                    <w:t>55</w:t>
                  </w:r>
                </w:p>
              </w:tc>
              <w:tc>
                <w:tcPr>
                  <w:tcW w:w="1276" w:type="dxa"/>
                </w:tcPr>
                <w:p w14:paraId="1B23FE6A">
                  <w:pPr>
                    <w:widowControl w:val="0"/>
                    <w:jc w:val="both"/>
                    <w:rPr>
                      <w:rFonts w:ascii="Times New Roman" w:hAnsi="Times New Roman" w:cs="Times New Roman"/>
                    </w:rPr>
                  </w:pPr>
                  <w:r>
                    <w:rPr>
                      <w:rFonts w:ascii="Times New Roman" w:hAnsi="Times New Roman" w:cs="Times New Roman"/>
                    </w:rPr>
                    <w:t>89.4</w:t>
                  </w:r>
                </w:p>
              </w:tc>
              <w:tc>
                <w:tcPr>
                  <w:tcW w:w="1276" w:type="dxa"/>
                </w:tcPr>
                <w:p w14:paraId="4EE3F95B">
                  <w:pPr>
                    <w:widowControl w:val="0"/>
                    <w:jc w:val="both"/>
                    <w:rPr>
                      <w:rFonts w:ascii="Times New Roman" w:hAnsi="Times New Roman" w:cs="Times New Roman"/>
                    </w:rPr>
                  </w:pPr>
                  <w:r>
                    <w:rPr>
                      <w:rFonts w:ascii="Times New Roman" w:hAnsi="Times New Roman" w:cs="Times New Roman"/>
                    </w:rPr>
                    <w:t>达标</w:t>
                  </w:r>
                </w:p>
              </w:tc>
            </w:tr>
            <w:tr w14:paraId="765D7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8" w:type="dxa"/>
                </w:tcPr>
                <w:p w14:paraId="68FB76DF">
                  <w:pPr>
                    <w:widowControl w:val="0"/>
                    <w:jc w:val="both"/>
                    <w:rPr>
                      <w:rFonts w:ascii="Times New Roman" w:hAnsi="Times New Roman" w:cs="Times New Roman"/>
                    </w:rPr>
                  </w:pPr>
                  <w:r>
                    <w:rPr>
                      <w:rFonts w:ascii="Times New Roman" w:hAnsi="Times New Roman" w:cs="Times New Roman"/>
                    </w:rPr>
                    <w:t>厂界3#</w:t>
                  </w:r>
                </w:p>
              </w:tc>
              <w:tc>
                <w:tcPr>
                  <w:tcW w:w="992" w:type="dxa"/>
                </w:tcPr>
                <w:p w14:paraId="120C3702">
                  <w:pPr>
                    <w:widowControl w:val="0"/>
                    <w:jc w:val="both"/>
                    <w:rPr>
                      <w:rFonts w:ascii="Times New Roman" w:hAnsi="Times New Roman" w:cs="Times New Roman"/>
                    </w:rPr>
                  </w:pPr>
                  <w:r>
                    <w:rPr>
                      <w:rFonts w:ascii="Times New Roman" w:hAnsi="Times New Roman" w:cs="Times New Roman"/>
                    </w:rPr>
                    <w:t>昼间</w:t>
                  </w:r>
                </w:p>
              </w:tc>
              <w:tc>
                <w:tcPr>
                  <w:tcW w:w="1559" w:type="dxa"/>
                </w:tcPr>
                <w:p w14:paraId="79A71413">
                  <w:pPr>
                    <w:widowControl w:val="0"/>
                    <w:jc w:val="both"/>
                    <w:rPr>
                      <w:rFonts w:ascii="Times New Roman" w:hAnsi="Times New Roman" w:cs="Times New Roman"/>
                    </w:rPr>
                  </w:pPr>
                  <w:r>
                    <w:rPr>
                      <w:rFonts w:ascii="Times New Roman" w:hAnsi="Times New Roman" w:cs="Times New Roman"/>
                    </w:rPr>
                    <w:t>48.76</w:t>
                  </w:r>
                </w:p>
              </w:tc>
              <w:tc>
                <w:tcPr>
                  <w:tcW w:w="1559" w:type="dxa"/>
                </w:tcPr>
                <w:p w14:paraId="19BA20A1">
                  <w:pPr>
                    <w:widowControl w:val="0"/>
                    <w:jc w:val="both"/>
                    <w:rPr>
                      <w:rFonts w:ascii="Times New Roman" w:hAnsi="Times New Roman" w:cs="Times New Roman"/>
                    </w:rPr>
                  </w:pPr>
                  <w:r>
                    <w:rPr>
                      <w:rFonts w:ascii="Times New Roman" w:hAnsi="Times New Roman" w:cs="Times New Roman"/>
                    </w:rPr>
                    <w:t>65</w:t>
                  </w:r>
                </w:p>
              </w:tc>
              <w:tc>
                <w:tcPr>
                  <w:tcW w:w="1276" w:type="dxa"/>
                </w:tcPr>
                <w:p w14:paraId="1482808E">
                  <w:pPr>
                    <w:widowControl w:val="0"/>
                    <w:jc w:val="both"/>
                    <w:rPr>
                      <w:rFonts w:ascii="Times New Roman" w:hAnsi="Times New Roman" w:cs="Times New Roman"/>
                    </w:rPr>
                  </w:pPr>
                  <w:r>
                    <w:rPr>
                      <w:rFonts w:ascii="Times New Roman" w:hAnsi="Times New Roman" w:cs="Times New Roman"/>
                    </w:rPr>
                    <w:t>75.0</w:t>
                  </w:r>
                </w:p>
              </w:tc>
              <w:tc>
                <w:tcPr>
                  <w:tcW w:w="1276" w:type="dxa"/>
                </w:tcPr>
                <w:p w14:paraId="6D8A86AC">
                  <w:pPr>
                    <w:widowControl w:val="0"/>
                    <w:jc w:val="both"/>
                    <w:rPr>
                      <w:rFonts w:ascii="Times New Roman" w:hAnsi="Times New Roman" w:cs="Times New Roman"/>
                    </w:rPr>
                  </w:pPr>
                  <w:r>
                    <w:rPr>
                      <w:rFonts w:ascii="Times New Roman" w:hAnsi="Times New Roman" w:cs="Times New Roman"/>
                    </w:rPr>
                    <w:t>达标</w:t>
                  </w:r>
                </w:p>
              </w:tc>
            </w:tr>
            <w:tr w14:paraId="6CE58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8" w:type="dxa"/>
                </w:tcPr>
                <w:p w14:paraId="79FC1990">
                  <w:pPr>
                    <w:widowControl w:val="0"/>
                    <w:jc w:val="both"/>
                    <w:rPr>
                      <w:rFonts w:ascii="Times New Roman" w:hAnsi="Times New Roman" w:cs="Times New Roman"/>
                    </w:rPr>
                  </w:pPr>
                  <w:r>
                    <w:rPr>
                      <w:rFonts w:ascii="Times New Roman" w:hAnsi="Times New Roman" w:cs="Times New Roman"/>
                    </w:rPr>
                    <w:t>厂界3#</w:t>
                  </w:r>
                </w:p>
              </w:tc>
              <w:tc>
                <w:tcPr>
                  <w:tcW w:w="992" w:type="dxa"/>
                </w:tcPr>
                <w:p w14:paraId="576D9249">
                  <w:pPr>
                    <w:widowControl w:val="0"/>
                    <w:jc w:val="both"/>
                    <w:rPr>
                      <w:rFonts w:ascii="Times New Roman" w:hAnsi="Times New Roman" w:cs="Times New Roman"/>
                    </w:rPr>
                  </w:pPr>
                  <w:r>
                    <w:rPr>
                      <w:rFonts w:ascii="Times New Roman" w:hAnsi="Times New Roman" w:cs="Times New Roman"/>
                    </w:rPr>
                    <w:t>夜间</w:t>
                  </w:r>
                </w:p>
              </w:tc>
              <w:tc>
                <w:tcPr>
                  <w:tcW w:w="1559" w:type="dxa"/>
                </w:tcPr>
                <w:p w14:paraId="2191E6CB">
                  <w:pPr>
                    <w:widowControl w:val="0"/>
                    <w:jc w:val="both"/>
                    <w:rPr>
                      <w:rFonts w:ascii="Times New Roman" w:hAnsi="Times New Roman" w:cs="Times New Roman"/>
                    </w:rPr>
                  </w:pPr>
                  <w:r>
                    <w:rPr>
                      <w:rFonts w:ascii="Times New Roman" w:hAnsi="Times New Roman" w:cs="Times New Roman"/>
                    </w:rPr>
                    <w:t>48.76</w:t>
                  </w:r>
                </w:p>
              </w:tc>
              <w:tc>
                <w:tcPr>
                  <w:tcW w:w="1559" w:type="dxa"/>
                </w:tcPr>
                <w:p w14:paraId="754FBF47">
                  <w:pPr>
                    <w:widowControl w:val="0"/>
                    <w:jc w:val="both"/>
                    <w:rPr>
                      <w:rFonts w:ascii="Times New Roman" w:hAnsi="Times New Roman" w:cs="Times New Roman"/>
                    </w:rPr>
                  </w:pPr>
                  <w:r>
                    <w:rPr>
                      <w:rFonts w:ascii="Times New Roman" w:hAnsi="Times New Roman" w:cs="Times New Roman"/>
                    </w:rPr>
                    <w:t>55</w:t>
                  </w:r>
                </w:p>
              </w:tc>
              <w:tc>
                <w:tcPr>
                  <w:tcW w:w="1276" w:type="dxa"/>
                </w:tcPr>
                <w:p w14:paraId="0F69F637">
                  <w:pPr>
                    <w:widowControl w:val="0"/>
                    <w:jc w:val="both"/>
                    <w:rPr>
                      <w:rFonts w:ascii="Times New Roman" w:hAnsi="Times New Roman" w:cs="Times New Roman"/>
                    </w:rPr>
                  </w:pPr>
                  <w:r>
                    <w:rPr>
                      <w:rFonts w:ascii="Times New Roman" w:hAnsi="Times New Roman" w:cs="Times New Roman"/>
                    </w:rPr>
                    <w:t>88.7</w:t>
                  </w:r>
                </w:p>
              </w:tc>
              <w:tc>
                <w:tcPr>
                  <w:tcW w:w="1276" w:type="dxa"/>
                </w:tcPr>
                <w:p w14:paraId="6F17535A">
                  <w:pPr>
                    <w:widowControl w:val="0"/>
                    <w:jc w:val="both"/>
                    <w:rPr>
                      <w:rFonts w:ascii="Times New Roman" w:hAnsi="Times New Roman" w:cs="Times New Roman"/>
                    </w:rPr>
                  </w:pPr>
                  <w:r>
                    <w:rPr>
                      <w:rFonts w:ascii="Times New Roman" w:hAnsi="Times New Roman" w:cs="Times New Roman"/>
                    </w:rPr>
                    <w:t>达标</w:t>
                  </w:r>
                </w:p>
              </w:tc>
            </w:tr>
            <w:tr w14:paraId="72D9E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8" w:type="dxa"/>
                </w:tcPr>
                <w:p w14:paraId="3C63D334">
                  <w:pPr>
                    <w:widowControl w:val="0"/>
                    <w:jc w:val="both"/>
                    <w:rPr>
                      <w:rFonts w:ascii="Times New Roman" w:hAnsi="Times New Roman" w:cs="Times New Roman"/>
                    </w:rPr>
                  </w:pPr>
                  <w:r>
                    <w:rPr>
                      <w:rFonts w:ascii="Times New Roman" w:hAnsi="Times New Roman" w:cs="Times New Roman"/>
                    </w:rPr>
                    <w:t>厂界4#</w:t>
                  </w:r>
                </w:p>
              </w:tc>
              <w:tc>
                <w:tcPr>
                  <w:tcW w:w="992" w:type="dxa"/>
                </w:tcPr>
                <w:p w14:paraId="5CAA3B3E">
                  <w:pPr>
                    <w:widowControl w:val="0"/>
                    <w:jc w:val="both"/>
                    <w:rPr>
                      <w:rFonts w:ascii="Times New Roman" w:hAnsi="Times New Roman" w:cs="Times New Roman"/>
                    </w:rPr>
                  </w:pPr>
                  <w:r>
                    <w:rPr>
                      <w:rFonts w:ascii="Times New Roman" w:hAnsi="Times New Roman" w:cs="Times New Roman"/>
                    </w:rPr>
                    <w:t>昼间</w:t>
                  </w:r>
                </w:p>
              </w:tc>
              <w:tc>
                <w:tcPr>
                  <w:tcW w:w="1559" w:type="dxa"/>
                </w:tcPr>
                <w:p w14:paraId="09AFB310">
                  <w:pPr>
                    <w:widowControl w:val="0"/>
                    <w:jc w:val="both"/>
                    <w:rPr>
                      <w:rFonts w:ascii="Times New Roman" w:hAnsi="Times New Roman" w:cs="Times New Roman"/>
                    </w:rPr>
                  </w:pPr>
                  <w:r>
                    <w:rPr>
                      <w:rFonts w:ascii="Times New Roman" w:hAnsi="Times New Roman" w:cs="Times New Roman"/>
                    </w:rPr>
                    <w:t>48.94</w:t>
                  </w:r>
                </w:p>
              </w:tc>
              <w:tc>
                <w:tcPr>
                  <w:tcW w:w="1559" w:type="dxa"/>
                </w:tcPr>
                <w:p w14:paraId="347511C1">
                  <w:pPr>
                    <w:widowControl w:val="0"/>
                    <w:jc w:val="both"/>
                    <w:rPr>
                      <w:rFonts w:ascii="Times New Roman" w:hAnsi="Times New Roman" w:cs="Times New Roman"/>
                    </w:rPr>
                  </w:pPr>
                  <w:r>
                    <w:rPr>
                      <w:rFonts w:ascii="Times New Roman" w:hAnsi="Times New Roman" w:cs="Times New Roman"/>
                    </w:rPr>
                    <w:t>65</w:t>
                  </w:r>
                </w:p>
              </w:tc>
              <w:tc>
                <w:tcPr>
                  <w:tcW w:w="1276" w:type="dxa"/>
                </w:tcPr>
                <w:p w14:paraId="0A36E1A6">
                  <w:pPr>
                    <w:widowControl w:val="0"/>
                    <w:jc w:val="both"/>
                    <w:rPr>
                      <w:rFonts w:ascii="Times New Roman" w:hAnsi="Times New Roman" w:cs="Times New Roman"/>
                    </w:rPr>
                  </w:pPr>
                  <w:r>
                    <w:rPr>
                      <w:rFonts w:ascii="Times New Roman" w:hAnsi="Times New Roman" w:cs="Times New Roman"/>
                    </w:rPr>
                    <w:t>75.3</w:t>
                  </w:r>
                </w:p>
              </w:tc>
              <w:tc>
                <w:tcPr>
                  <w:tcW w:w="1276" w:type="dxa"/>
                </w:tcPr>
                <w:p w14:paraId="767B4A2F">
                  <w:pPr>
                    <w:widowControl w:val="0"/>
                    <w:jc w:val="both"/>
                    <w:rPr>
                      <w:rFonts w:ascii="Times New Roman" w:hAnsi="Times New Roman" w:cs="Times New Roman"/>
                    </w:rPr>
                  </w:pPr>
                  <w:r>
                    <w:rPr>
                      <w:rFonts w:ascii="Times New Roman" w:hAnsi="Times New Roman" w:cs="Times New Roman"/>
                    </w:rPr>
                    <w:t>达标</w:t>
                  </w:r>
                </w:p>
              </w:tc>
            </w:tr>
            <w:tr w14:paraId="29EA1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8" w:type="dxa"/>
                </w:tcPr>
                <w:p w14:paraId="2C4E3BAE">
                  <w:pPr>
                    <w:widowControl w:val="0"/>
                    <w:jc w:val="both"/>
                    <w:rPr>
                      <w:rFonts w:ascii="Times New Roman" w:hAnsi="Times New Roman" w:cs="Times New Roman"/>
                    </w:rPr>
                  </w:pPr>
                  <w:r>
                    <w:rPr>
                      <w:rFonts w:ascii="Times New Roman" w:hAnsi="Times New Roman" w:cs="Times New Roman"/>
                    </w:rPr>
                    <w:t>厂界4#</w:t>
                  </w:r>
                </w:p>
              </w:tc>
              <w:tc>
                <w:tcPr>
                  <w:tcW w:w="992" w:type="dxa"/>
                </w:tcPr>
                <w:p w14:paraId="50543D7B">
                  <w:pPr>
                    <w:widowControl w:val="0"/>
                    <w:jc w:val="both"/>
                    <w:rPr>
                      <w:rFonts w:ascii="Times New Roman" w:hAnsi="Times New Roman" w:cs="Times New Roman"/>
                    </w:rPr>
                  </w:pPr>
                  <w:r>
                    <w:rPr>
                      <w:rFonts w:ascii="Times New Roman" w:hAnsi="Times New Roman" w:cs="Times New Roman"/>
                    </w:rPr>
                    <w:t>夜间</w:t>
                  </w:r>
                </w:p>
              </w:tc>
              <w:tc>
                <w:tcPr>
                  <w:tcW w:w="1559" w:type="dxa"/>
                </w:tcPr>
                <w:p w14:paraId="4AC76529">
                  <w:pPr>
                    <w:widowControl w:val="0"/>
                    <w:jc w:val="both"/>
                    <w:rPr>
                      <w:rFonts w:ascii="Times New Roman" w:hAnsi="Times New Roman" w:cs="Times New Roman"/>
                    </w:rPr>
                  </w:pPr>
                  <w:r>
                    <w:rPr>
                      <w:rFonts w:ascii="Times New Roman" w:hAnsi="Times New Roman" w:cs="Times New Roman"/>
                    </w:rPr>
                    <w:t>48.94</w:t>
                  </w:r>
                </w:p>
              </w:tc>
              <w:tc>
                <w:tcPr>
                  <w:tcW w:w="1559" w:type="dxa"/>
                </w:tcPr>
                <w:p w14:paraId="5E80A8B0">
                  <w:pPr>
                    <w:widowControl w:val="0"/>
                    <w:jc w:val="both"/>
                    <w:rPr>
                      <w:rFonts w:ascii="Times New Roman" w:hAnsi="Times New Roman" w:cs="Times New Roman"/>
                    </w:rPr>
                  </w:pPr>
                  <w:r>
                    <w:rPr>
                      <w:rFonts w:ascii="Times New Roman" w:hAnsi="Times New Roman" w:cs="Times New Roman"/>
                    </w:rPr>
                    <w:t>55</w:t>
                  </w:r>
                </w:p>
              </w:tc>
              <w:tc>
                <w:tcPr>
                  <w:tcW w:w="1276" w:type="dxa"/>
                </w:tcPr>
                <w:p w14:paraId="08D45D21">
                  <w:pPr>
                    <w:widowControl w:val="0"/>
                    <w:jc w:val="both"/>
                    <w:rPr>
                      <w:rFonts w:ascii="Times New Roman" w:hAnsi="Times New Roman" w:cs="Times New Roman"/>
                    </w:rPr>
                  </w:pPr>
                  <w:r>
                    <w:rPr>
                      <w:rFonts w:ascii="Times New Roman" w:hAnsi="Times New Roman" w:cs="Times New Roman"/>
                    </w:rPr>
                    <w:t>89.0</w:t>
                  </w:r>
                </w:p>
              </w:tc>
              <w:tc>
                <w:tcPr>
                  <w:tcW w:w="1276" w:type="dxa"/>
                </w:tcPr>
                <w:p w14:paraId="560571C3">
                  <w:pPr>
                    <w:widowControl w:val="0"/>
                    <w:jc w:val="both"/>
                    <w:rPr>
                      <w:rFonts w:ascii="Times New Roman" w:hAnsi="Times New Roman" w:cs="Times New Roman"/>
                    </w:rPr>
                  </w:pPr>
                  <w:r>
                    <w:rPr>
                      <w:rFonts w:ascii="Times New Roman" w:hAnsi="Times New Roman" w:cs="Times New Roman"/>
                    </w:rPr>
                    <w:t>达标</w:t>
                  </w:r>
                </w:p>
              </w:tc>
            </w:tr>
          </w:tbl>
          <w:p w14:paraId="61922FD8">
            <w:pPr>
              <w:adjustRightInd w:val="0"/>
              <w:snapToGrid w:val="0"/>
              <w:spacing w:line="360" w:lineRule="auto"/>
              <w:ind w:firstLine="440" w:firstLineChars="200"/>
              <w:rPr>
                <w:rFonts w:ascii="Times New Roman" w:hAnsi="Times New Roman" w:cs="Times New Roman"/>
                <w:bCs/>
                <w:spacing w:val="-10"/>
              </w:rPr>
            </w:pPr>
          </w:p>
          <w:p w14:paraId="39066CE0">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根据《环境影响评价技术导则 声环境》（HJ2.4-2021）可知，进行边界噪声评价时，预测和评价项目厂界噪声贡献值，评价其超标和达标情况。由上表可知，项目投入运营后，各厂界噪声贡献值可以达到《工业企业厂界环境噪声排放标准》（GB12348-2008）3类区标准限值，厂界达标。</w:t>
            </w:r>
          </w:p>
          <w:p w14:paraId="699EDBBB">
            <w:pPr>
              <w:adjustRightInd w:val="0"/>
              <w:snapToGrid w:val="0"/>
              <w:spacing w:line="360" w:lineRule="auto"/>
              <w:ind w:firstLine="440" w:firstLineChars="200"/>
              <w:rPr>
                <w:rFonts w:ascii="Times New Roman" w:hAnsi="Times New Roman" w:cs="Times New Roman"/>
                <w:bCs/>
                <w:spacing w:val="-10"/>
              </w:rPr>
            </w:pPr>
          </w:p>
          <w:p w14:paraId="4F9E951C">
            <w:pPr>
              <w:adjustRightInd w:val="0"/>
              <w:snapToGrid w:val="0"/>
              <w:spacing w:line="360" w:lineRule="auto"/>
              <w:rPr>
                <w:rFonts w:ascii="Times New Roman" w:hAnsi="Times New Roman" w:cs="Times New Roman"/>
                <w:b/>
                <w:bCs/>
              </w:rPr>
            </w:pPr>
            <w:r>
              <w:rPr>
                <w:rFonts w:ascii="Times New Roman" w:hAnsi="Times New Roman" w:cs="Times New Roman"/>
                <w:b/>
                <w:bCs/>
              </w:rPr>
              <w:t>3.3防治措施</w:t>
            </w:r>
          </w:p>
          <w:p w14:paraId="12F22AB7">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为有效降低设备噪声，建设单位需采取的噪声减缓措施如下：</w:t>
            </w:r>
          </w:p>
          <w:p w14:paraId="6F5D70CA">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（1）加强管理</w:t>
            </w:r>
          </w:p>
          <w:p w14:paraId="3F17A5BA">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建立设备定期维护，保养的管理制度，以防止设备故障形成的非正常生产噪声，同时确保环保措施发挥最佳有效的功能；加强职工环保意识教育，提倡文明生产，防止人为噪声；强化行车管理制度，设置降噪标准，进入场区低速行驶，最大限度减少流动噪声源。厂区道路全线设置限速5km/h、禁止鸣笛标识，罐车进出厂区安排专人引导，夜间22:00- 次日6:00尽量减少装卸作业，降低偶发高噪声影响。</w:t>
            </w:r>
          </w:p>
          <w:p w14:paraId="4C08248B">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（2）合理进行厂区总平面布置</w:t>
            </w:r>
          </w:p>
          <w:p w14:paraId="11AFBB29">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将主要噪声源远离办公生活区布设，增大了办公生活区与生产设备之间的距离。同时，根据噪声源的声频特性，对泵类等设备采取基座减振，加强车辆进出管理，禁止鸣笛，限制车速等。高噪声泵组区域周边种植乔灌结合隔声绿化带，利用植被衰减噪声</w:t>
            </w:r>
            <w:r>
              <w:rPr>
                <w:rFonts w:hint="eastAsia" w:ascii="Times New Roman" w:hAnsi="Times New Roman" w:cs="Times New Roman"/>
              </w:rPr>
              <w:t>。</w:t>
            </w:r>
          </w:p>
          <w:p w14:paraId="62538895">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（3）运输组织</w:t>
            </w:r>
          </w:p>
          <w:p w14:paraId="34284E7B">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本工程运营期运输量较大，运输车辆频繁进出现场对周围企业和居民出行带来一定的影响。运输作业应制定完善的运输组织方案，运输车辆行驶路线应尽量避开人口聚集区，避免对区域交通产生较大影响，运输时间应避开周边居民作息时间段。运输车辆在途经沿线居民区时，应降低车速，以减少运输作业对居民的影响。同时，本环评要求运输车辆还应严格落实以下要求：</w:t>
            </w:r>
          </w:p>
          <w:p w14:paraId="09579071">
            <w:pPr>
              <w:adjustRightInd w:val="0"/>
              <w:snapToGrid w:val="0"/>
              <w:spacing w:line="360" w:lineRule="auto"/>
              <w:ind w:firstLine="480" w:firstLineChars="200"/>
              <w:rPr>
                <w:rFonts w:ascii="Times New Roman" w:hAnsi="Times New Roman" w:cs="Times New Roman"/>
              </w:rPr>
            </w:pPr>
            <w:r>
              <w:rPr>
                <w:rFonts w:ascii="Cambria Math" w:hAnsi="Cambria Math" w:cs="Cambria Math"/>
              </w:rPr>
              <w:t>①</w:t>
            </w:r>
            <w:r>
              <w:rPr>
                <w:rFonts w:ascii="Times New Roman" w:hAnsi="Times New Roman" w:cs="Times New Roman"/>
              </w:rPr>
              <w:t>原辅材料采用专用的运输车辆，途经居民等环境敏感点时减速慢行。</w:t>
            </w:r>
          </w:p>
          <w:p w14:paraId="51738A64">
            <w:pPr>
              <w:adjustRightInd w:val="0"/>
              <w:snapToGrid w:val="0"/>
              <w:spacing w:line="360" w:lineRule="auto"/>
              <w:ind w:firstLine="480" w:firstLineChars="200"/>
              <w:rPr>
                <w:rFonts w:ascii="Times New Roman" w:hAnsi="Times New Roman" w:cs="Times New Roman"/>
              </w:rPr>
            </w:pPr>
            <w:r>
              <w:rPr>
                <w:rFonts w:ascii="Cambria Math" w:hAnsi="Cambria Math" w:cs="Cambria Math"/>
              </w:rPr>
              <w:t>②</w:t>
            </w:r>
            <w:r>
              <w:rPr>
                <w:rFonts w:ascii="Times New Roman" w:hAnsi="Times New Roman" w:cs="Times New Roman"/>
              </w:rPr>
              <w:t>必须保持运输车辆车况良好，车容车貌整洁。</w:t>
            </w:r>
          </w:p>
          <w:p w14:paraId="62D19801">
            <w:pPr>
              <w:adjustRightInd w:val="0"/>
              <w:snapToGrid w:val="0"/>
              <w:spacing w:line="360" w:lineRule="auto"/>
              <w:ind w:firstLine="480" w:firstLineChars="200"/>
              <w:rPr>
                <w:rFonts w:ascii="Times New Roman" w:hAnsi="Times New Roman" w:cs="Times New Roman"/>
              </w:rPr>
            </w:pPr>
            <w:r>
              <w:rPr>
                <w:rFonts w:hint="eastAsia" w:ascii="Times New Roman" w:hAnsi="Times New Roman" w:cs="Times New Roman"/>
              </w:rPr>
              <w:t>（4）监测管理</w:t>
            </w:r>
          </w:p>
          <w:p w14:paraId="2C292BB2">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严格执行季度昼、夜间厂界噪声监测，监测台账同步归档至环保档案。</w:t>
            </w:r>
          </w:p>
          <w:p w14:paraId="39519241">
            <w:pPr>
              <w:adjustRightInd w:val="0"/>
              <w:snapToGrid w:val="0"/>
              <w:spacing w:line="360" w:lineRule="auto"/>
              <w:rPr>
                <w:rFonts w:ascii="Times New Roman" w:hAnsi="Times New Roman" w:cs="Times New Roman"/>
                <w:b/>
                <w:bCs/>
              </w:rPr>
            </w:pPr>
            <w:r>
              <w:rPr>
                <w:rFonts w:ascii="Times New Roman" w:hAnsi="Times New Roman" w:cs="Times New Roman"/>
                <w:b/>
                <w:bCs/>
              </w:rPr>
              <w:t>3.4噪声污染源监测计划</w:t>
            </w:r>
          </w:p>
          <w:p w14:paraId="6334E998">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现有工程（一期）目前处于调试收尾阶段，尚未竣工投产，其环评批复所列的噪声自行监测方案尚未实际执行，无有效实测数据可供直接引用。</w:t>
            </w:r>
          </w:p>
          <w:p w14:paraId="42869D0E">
            <w:pPr>
              <w:adjustRightInd w:val="0"/>
              <w:snapToGrid w:val="0"/>
              <w:spacing w:line="360" w:lineRule="auto"/>
              <w:ind w:firstLine="480" w:firstLineChars="200"/>
              <w:jc w:val="both"/>
              <w:rPr>
                <w:rFonts w:ascii="Times New Roman" w:hAnsi="Times New Roman" w:cs="Times New Roman"/>
              </w:rPr>
            </w:pPr>
            <w:r>
              <w:rPr>
                <w:rFonts w:ascii="Times New Roman" w:hAnsi="Times New Roman" w:cs="Times New Roman"/>
              </w:rPr>
              <w:t>经核实，一期环评确定的噪声监测方案在监测因子（等效连续A声级Leq，昼、夜）、监测频次（1次/季度，昼夜各1次）、执行标准（GB12348-2008 3类）方面，与《排污单位自行监测技术指南 石油化学工业》（HJ 947-2018）及《排污单位自行监测技术指南 总则》（HJ 819-2017）要求一致，本项目可沿用其监测因子与频次，项目噪声监测计划详见表4-1</w:t>
            </w:r>
            <w:r>
              <w:rPr>
                <w:rFonts w:hint="eastAsia" w:ascii="Times New Roman" w:hAnsi="Times New Roman" w:cs="Times New Roman"/>
              </w:rPr>
              <w:t>6</w:t>
            </w:r>
            <w:r>
              <w:rPr>
                <w:rFonts w:ascii="Times New Roman" w:hAnsi="Times New Roman" w:cs="Times New Roman"/>
              </w:rPr>
              <w:t>。</w:t>
            </w:r>
          </w:p>
          <w:p w14:paraId="68F37B75">
            <w:pPr>
              <w:adjustRightInd w:val="0"/>
              <w:snapToGrid w:val="0"/>
              <w:ind w:firstLine="442" w:firstLineChars="200"/>
              <w:jc w:val="center"/>
              <w:rPr>
                <w:rFonts w:ascii="Times New Roman" w:hAnsi="Times New Roman" w:cs="Times New Roman"/>
                <w:b/>
                <w:bCs/>
              </w:rPr>
            </w:pPr>
            <w:r>
              <w:rPr>
                <w:rFonts w:ascii="Times New Roman" w:hAnsi="Times New Roman" w:cs="Times New Roman"/>
                <w:b/>
                <w:spacing w:val="-10"/>
                <w:szCs w:val="21"/>
              </w:rPr>
              <w:t>表4-1</w:t>
            </w:r>
            <w:r>
              <w:rPr>
                <w:rFonts w:hint="eastAsia" w:ascii="Times New Roman" w:hAnsi="Times New Roman" w:cs="Times New Roman"/>
                <w:b/>
                <w:spacing w:val="-10"/>
                <w:szCs w:val="21"/>
              </w:rPr>
              <w:t>6</w:t>
            </w:r>
            <w:r>
              <w:rPr>
                <w:rFonts w:ascii="Times New Roman" w:hAnsi="Times New Roman" w:cs="Times New Roman"/>
                <w:b/>
                <w:spacing w:val="-10"/>
                <w:szCs w:val="21"/>
              </w:rPr>
              <w:t xml:space="preserve">  噪声监测方案</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8"/>
              <w:gridCol w:w="1418"/>
              <w:gridCol w:w="1417"/>
              <w:gridCol w:w="1276"/>
              <w:gridCol w:w="2847"/>
            </w:tblGrid>
            <w:tr w14:paraId="343BD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78" w:type="dxa"/>
                  <w:vAlign w:val="center"/>
                </w:tcPr>
                <w:p w14:paraId="2F205629">
                  <w:pPr>
                    <w:adjustRightInd w:val="0"/>
                    <w:snapToGrid w:val="0"/>
                    <w:spacing w:line="360" w:lineRule="auto"/>
                    <w:jc w:val="center"/>
                    <w:rPr>
                      <w:rFonts w:ascii="Times New Roman" w:hAnsi="Times New Roman" w:cs="Times New Roman"/>
                      <w:szCs w:val="21"/>
                    </w:rPr>
                  </w:pPr>
                  <w:r>
                    <w:rPr>
                      <w:rFonts w:ascii="Times New Roman" w:hAnsi="Times New Roman" w:cs="Times New Roman"/>
                      <w:szCs w:val="21"/>
                    </w:rPr>
                    <w:t>类别</w:t>
                  </w:r>
                </w:p>
              </w:tc>
              <w:tc>
                <w:tcPr>
                  <w:tcW w:w="1418" w:type="dxa"/>
                  <w:vAlign w:val="center"/>
                </w:tcPr>
                <w:p w14:paraId="06961ED7">
                  <w:pPr>
                    <w:adjustRightInd w:val="0"/>
                    <w:snapToGrid w:val="0"/>
                    <w:spacing w:line="360" w:lineRule="auto"/>
                    <w:jc w:val="center"/>
                    <w:rPr>
                      <w:rFonts w:ascii="Times New Roman" w:hAnsi="Times New Roman" w:cs="Times New Roman"/>
                      <w:szCs w:val="21"/>
                    </w:rPr>
                  </w:pPr>
                  <w:r>
                    <w:rPr>
                      <w:rFonts w:ascii="Times New Roman" w:hAnsi="Times New Roman" w:cs="Times New Roman"/>
                      <w:szCs w:val="21"/>
                    </w:rPr>
                    <w:t>监测因子</w:t>
                  </w:r>
                </w:p>
              </w:tc>
              <w:tc>
                <w:tcPr>
                  <w:tcW w:w="1417" w:type="dxa"/>
                  <w:vAlign w:val="center"/>
                </w:tcPr>
                <w:p w14:paraId="4829DD92">
                  <w:pPr>
                    <w:adjustRightInd w:val="0"/>
                    <w:snapToGrid w:val="0"/>
                    <w:spacing w:line="360" w:lineRule="auto"/>
                    <w:jc w:val="center"/>
                    <w:rPr>
                      <w:rFonts w:ascii="Times New Roman" w:hAnsi="Times New Roman" w:cs="Times New Roman"/>
                      <w:szCs w:val="21"/>
                    </w:rPr>
                  </w:pPr>
                  <w:r>
                    <w:rPr>
                      <w:rFonts w:ascii="Times New Roman" w:hAnsi="Times New Roman" w:cs="Times New Roman"/>
                      <w:szCs w:val="21"/>
                    </w:rPr>
                    <w:t>监测点位</w:t>
                  </w:r>
                </w:p>
              </w:tc>
              <w:tc>
                <w:tcPr>
                  <w:tcW w:w="1276" w:type="dxa"/>
                  <w:vAlign w:val="center"/>
                </w:tcPr>
                <w:p w14:paraId="0925FE1D">
                  <w:pPr>
                    <w:adjustRightInd w:val="0"/>
                    <w:snapToGrid w:val="0"/>
                    <w:spacing w:line="360" w:lineRule="auto"/>
                    <w:jc w:val="center"/>
                    <w:rPr>
                      <w:rFonts w:ascii="Times New Roman" w:hAnsi="Times New Roman" w:cs="Times New Roman"/>
                      <w:szCs w:val="21"/>
                    </w:rPr>
                  </w:pPr>
                  <w:r>
                    <w:rPr>
                      <w:rFonts w:ascii="Times New Roman" w:hAnsi="Times New Roman" w:cs="Times New Roman"/>
                      <w:szCs w:val="21"/>
                    </w:rPr>
                    <w:t>监测频次</w:t>
                  </w:r>
                </w:p>
              </w:tc>
              <w:tc>
                <w:tcPr>
                  <w:tcW w:w="2847" w:type="dxa"/>
                  <w:vAlign w:val="center"/>
                </w:tcPr>
                <w:p w14:paraId="11924A5F">
                  <w:pPr>
                    <w:adjustRightInd w:val="0"/>
                    <w:snapToGrid w:val="0"/>
                    <w:spacing w:line="360" w:lineRule="auto"/>
                    <w:jc w:val="center"/>
                    <w:rPr>
                      <w:rFonts w:ascii="Times New Roman" w:hAnsi="Times New Roman" w:cs="Times New Roman"/>
                      <w:szCs w:val="21"/>
                    </w:rPr>
                  </w:pPr>
                  <w:r>
                    <w:rPr>
                      <w:rFonts w:ascii="Times New Roman" w:hAnsi="Times New Roman" w:cs="Times New Roman"/>
                      <w:szCs w:val="21"/>
                    </w:rPr>
                    <w:t>执行标准</w:t>
                  </w:r>
                </w:p>
              </w:tc>
            </w:tr>
            <w:tr w14:paraId="0D198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dxa"/>
                  <w:vAlign w:val="center"/>
                </w:tcPr>
                <w:p w14:paraId="7771F761">
                  <w:pPr>
                    <w:adjustRightInd w:val="0"/>
                    <w:snapToGrid w:val="0"/>
                    <w:spacing w:line="360" w:lineRule="auto"/>
                    <w:jc w:val="center"/>
                    <w:rPr>
                      <w:rFonts w:ascii="Times New Roman" w:hAnsi="Times New Roman" w:cs="Times New Roman"/>
                      <w:szCs w:val="21"/>
                    </w:rPr>
                  </w:pPr>
                  <w:r>
                    <w:rPr>
                      <w:rFonts w:ascii="Times New Roman" w:hAnsi="Times New Roman" w:cs="Times New Roman"/>
                      <w:szCs w:val="21"/>
                    </w:rPr>
                    <w:t>噪声</w:t>
                  </w:r>
                </w:p>
              </w:tc>
              <w:tc>
                <w:tcPr>
                  <w:tcW w:w="1418" w:type="dxa"/>
                  <w:vAlign w:val="center"/>
                </w:tcPr>
                <w:p w14:paraId="59B77086">
                  <w:pPr>
                    <w:adjustRightInd w:val="0"/>
                    <w:snapToGrid w:val="0"/>
                    <w:spacing w:line="360" w:lineRule="auto"/>
                    <w:jc w:val="center"/>
                    <w:rPr>
                      <w:rFonts w:ascii="Times New Roman" w:hAnsi="Times New Roman" w:cs="Times New Roman"/>
                      <w:szCs w:val="21"/>
                    </w:rPr>
                  </w:pPr>
                  <w:r>
                    <w:rPr>
                      <w:rFonts w:ascii="Times New Roman" w:hAnsi="Times New Roman" w:cs="Times New Roman"/>
                      <w:szCs w:val="21"/>
                    </w:rPr>
                    <w:t>Leq（A）</w:t>
                  </w:r>
                </w:p>
                <w:p w14:paraId="6A2C38F9">
                  <w:pPr>
                    <w:adjustRightInd w:val="0"/>
                    <w:snapToGrid w:val="0"/>
                    <w:spacing w:line="360" w:lineRule="auto"/>
                    <w:jc w:val="center"/>
                    <w:rPr>
                      <w:rFonts w:ascii="Times New Roman" w:hAnsi="Times New Roman" w:cs="Times New Roman"/>
                      <w:szCs w:val="21"/>
                    </w:rPr>
                  </w:pPr>
                  <w:r>
                    <w:rPr>
                      <w:rFonts w:ascii="Times New Roman" w:hAnsi="Times New Roman" w:cs="Times New Roman"/>
                      <w:szCs w:val="21"/>
                    </w:rPr>
                    <w:t>昼、夜</w:t>
                  </w:r>
                </w:p>
              </w:tc>
              <w:tc>
                <w:tcPr>
                  <w:tcW w:w="1417" w:type="dxa"/>
                  <w:vAlign w:val="center"/>
                </w:tcPr>
                <w:p w14:paraId="3D92A8A9">
                  <w:pPr>
                    <w:adjustRightInd w:val="0"/>
                    <w:snapToGrid w:val="0"/>
                    <w:spacing w:line="360" w:lineRule="auto"/>
                    <w:jc w:val="center"/>
                    <w:rPr>
                      <w:rFonts w:ascii="Times New Roman" w:hAnsi="Times New Roman" w:cs="Times New Roman"/>
                      <w:szCs w:val="21"/>
                    </w:rPr>
                  </w:pPr>
                  <w:r>
                    <w:rPr>
                      <w:rFonts w:ascii="Times New Roman" w:hAnsi="Times New Roman" w:cs="Times New Roman"/>
                      <w:szCs w:val="21"/>
                    </w:rPr>
                    <w:t>厂界东、南、西、北侧各设1个测点，共4个</w:t>
                  </w:r>
                </w:p>
              </w:tc>
              <w:tc>
                <w:tcPr>
                  <w:tcW w:w="1276" w:type="dxa"/>
                  <w:vAlign w:val="center"/>
                </w:tcPr>
                <w:p w14:paraId="3E5D2D11">
                  <w:pPr>
                    <w:adjustRightInd w:val="0"/>
                    <w:snapToGrid w:val="0"/>
                    <w:spacing w:line="360" w:lineRule="auto"/>
                    <w:jc w:val="center"/>
                    <w:rPr>
                      <w:rFonts w:ascii="Times New Roman" w:hAnsi="Times New Roman" w:cs="Times New Roman"/>
                      <w:szCs w:val="21"/>
                    </w:rPr>
                  </w:pPr>
                  <w:r>
                    <w:rPr>
                      <w:rFonts w:ascii="Times New Roman" w:hAnsi="Times New Roman" w:cs="Times New Roman"/>
                      <w:szCs w:val="21"/>
                    </w:rPr>
                    <w:t>1次/季度</w:t>
                  </w:r>
                </w:p>
              </w:tc>
              <w:tc>
                <w:tcPr>
                  <w:tcW w:w="2847" w:type="dxa"/>
                  <w:vAlign w:val="center"/>
                </w:tcPr>
                <w:p w14:paraId="61F4DCC9">
                  <w:pPr>
                    <w:adjustRightInd w:val="0"/>
                    <w:snapToGrid w:val="0"/>
                    <w:spacing w:line="360" w:lineRule="auto"/>
                    <w:jc w:val="center"/>
                    <w:rPr>
                      <w:rFonts w:ascii="Times New Roman" w:hAnsi="Times New Roman" w:cs="Times New Roman"/>
                      <w:szCs w:val="21"/>
                    </w:rPr>
                  </w:pPr>
                  <w:r>
                    <w:rPr>
                      <w:rFonts w:ascii="Times New Roman" w:hAnsi="Times New Roman" w:cs="Times New Roman"/>
                      <w:szCs w:val="21"/>
                    </w:rPr>
                    <w:t>《工业企业厂界环境噪声排放标准》（GB12348-2008）</w:t>
                  </w:r>
                  <w:r>
                    <w:rPr>
                      <w:rFonts w:hint="eastAsia" w:ascii="Times New Roman" w:hAnsi="Times New Roman" w:cs="Times New Roman"/>
                      <w:szCs w:val="21"/>
                    </w:rPr>
                    <w:t>3类标准</w:t>
                  </w:r>
                </w:p>
                <w:p w14:paraId="6CE34026">
                  <w:pPr>
                    <w:adjustRightInd w:val="0"/>
                    <w:snapToGrid w:val="0"/>
                    <w:spacing w:line="360" w:lineRule="auto"/>
                    <w:jc w:val="center"/>
                    <w:rPr>
                      <w:rFonts w:ascii="Times New Roman" w:hAnsi="Times New Roman" w:cs="Times New Roman"/>
                      <w:szCs w:val="21"/>
                    </w:rPr>
                  </w:pPr>
                  <w:r>
                    <w:rPr>
                      <w:rFonts w:hint="eastAsia" w:ascii="Times New Roman" w:hAnsi="Times New Roman" w:cs="Times New Roman"/>
                      <w:szCs w:val="21"/>
                    </w:rPr>
                    <w:t>昼间6</w:t>
                  </w:r>
                  <w:r>
                    <w:rPr>
                      <w:rFonts w:ascii="Times New Roman" w:hAnsi="Times New Roman" w:cs="Times New Roman"/>
                      <w:szCs w:val="21"/>
                    </w:rPr>
                    <w:t>5dB（A）</w:t>
                  </w:r>
                </w:p>
                <w:p w14:paraId="1796BE91">
                  <w:pPr>
                    <w:adjustRightInd w:val="0"/>
                    <w:snapToGrid w:val="0"/>
                    <w:spacing w:line="360" w:lineRule="auto"/>
                    <w:jc w:val="center"/>
                    <w:rPr>
                      <w:rFonts w:ascii="Times New Roman" w:hAnsi="Times New Roman" w:cs="Times New Roman"/>
                      <w:szCs w:val="21"/>
                    </w:rPr>
                  </w:pPr>
                  <w:r>
                    <w:rPr>
                      <w:rFonts w:ascii="Times New Roman" w:hAnsi="Times New Roman" w:cs="Times New Roman"/>
                      <w:szCs w:val="21"/>
                    </w:rPr>
                    <w:t>夜间55dB（A）</w:t>
                  </w:r>
                </w:p>
              </w:tc>
            </w:tr>
          </w:tbl>
          <w:p w14:paraId="5BF5C493">
            <w:pPr>
              <w:adjustRightInd w:val="0"/>
              <w:snapToGrid w:val="0"/>
              <w:spacing w:line="360" w:lineRule="auto"/>
              <w:ind w:firstLine="480" w:firstLineChars="200"/>
              <w:rPr>
                <w:rFonts w:ascii="Times New Roman" w:hAnsi="Times New Roman" w:cs="Times New Roman"/>
              </w:rPr>
            </w:pPr>
          </w:p>
          <w:p w14:paraId="7ADE70B6">
            <w:pPr>
              <w:adjustRightInd w:val="0"/>
              <w:snapToGrid w:val="0"/>
              <w:spacing w:line="360" w:lineRule="auto"/>
              <w:rPr>
                <w:rFonts w:ascii="Times New Roman" w:hAnsi="Times New Roman" w:cs="Times New Roman"/>
                <w:b/>
                <w:bCs/>
              </w:rPr>
            </w:pPr>
            <w:r>
              <w:rPr>
                <w:rFonts w:ascii="Times New Roman" w:hAnsi="Times New Roman" w:cs="Times New Roman"/>
                <w:b/>
                <w:bCs/>
              </w:rPr>
              <w:t>4、固体废物环境影响分析及防护措施</w:t>
            </w:r>
          </w:p>
          <w:p w14:paraId="1AA60CCC">
            <w:pPr>
              <w:adjustRightInd w:val="0"/>
              <w:snapToGrid w:val="0"/>
              <w:spacing w:line="360" w:lineRule="auto"/>
              <w:rPr>
                <w:rFonts w:ascii="Times New Roman" w:hAnsi="Times New Roman" w:cs="Times New Roman"/>
                <w:b/>
                <w:bCs/>
                <w:sz w:val="28"/>
                <w:szCs w:val="28"/>
              </w:rPr>
            </w:pPr>
            <w:r>
              <w:rPr>
                <w:rFonts w:ascii="Times New Roman" w:hAnsi="Times New Roman" w:cs="Times New Roman"/>
                <w:b/>
                <w:bCs/>
              </w:rPr>
              <w:t>4.1固体废物产生情况</w:t>
            </w:r>
          </w:p>
          <w:p w14:paraId="4AC8565A">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（1）生活垃圾</w:t>
            </w:r>
          </w:p>
          <w:p w14:paraId="7139496F">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本项目不新增员工人数，因此不新增生活垃圾。</w:t>
            </w:r>
          </w:p>
          <w:p w14:paraId="432E6910">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（2）危险废物</w:t>
            </w:r>
          </w:p>
          <w:p w14:paraId="35F8DEF8">
            <w:pPr>
              <w:adjustRightInd w:val="0"/>
              <w:snapToGrid w:val="0"/>
              <w:spacing w:line="360" w:lineRule="auto"/>
              <w:ind w:firstLine="440" w:firstLineChars="200"/>
              <w:rPr>
                <w:rFonts w:ascii="Times New Roman" w:hAnsi="Times New Roman" w:cs="Times New Roman"/>
                <w:spacing w:val="-10"/>
              </w:rPr>
            </w:pPr>
            <w:r>
              <w:rPr>
                <w:rFonts w:ascii="Cambria Math" w:hAnsi="Cambria Math" w:cs="Cambria Math"/>
                <w:spacing w:val="-10"/>
              </w:rPr>
              <w:t>①</w:t>
            </w:r>
            <w:r>
              <w:rPr>
                <w:rFonts w:ascii="Times New Roman" w:hAnsi="Times New Roman" w:cs="Times New Roman"/>
                <w:spacing w:val="-10"/>
              </w:rPr>
              <w:t>废活性炭</w:t>
            </w:r>
          </w:p>
          <w:p w14:paraId="5EDF04B5">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油气回收装置中的活性炭吸附装置配备氮气置换抽真空再生系统，定期对活性炭进行再生；建设单位化验部门每半月监测一次活性炭吸附性能，出现异常及时进行更换，更换量为1t/次，类比同类型调和项目</w:t>
            </w:r>
            <w:r>
              <w:rPr>
                <w:rFonts w:hint="eastAsia" w:ascii="Times New Roman" w:hAnsi="Times New Roman" w:cs="Times New Roman"/>
                <w:spacing w:val="-10"/>
              </w:rPr>
              <w:t>，3~4月更换一次，本项目废活性炭总产生量约为3t/a。</w:t>
            </w:r>
            <w:r>
              <w:rPr>
                <w:rFonts w:ascii="Times New Roman" w:hAnsi="Times New Roman" w:cs="Times New Roman"/>
                <w:spacing w:val="-10"/>
              </w:rPr>
              <w:t>废活性炭物理性质为固态黑色颗粒，废活性炭由密闭桶装收集；禁止与氧化剂、强氧化性废物混存；库房内分区存放；定期检测包装完整性；建立出入库台账；委托有资质单位处置。</w:t>
            </w:r>
          </w:p>
          <w:p w14:paraId="51B47182">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根据《国家危险废物名录(2025年版)》本项目废活性炭属于HW49 其他废物中的烟气、VOCs治理过程产生的废活性炭，化学原料和化学制品脱色、除杂、净化过程产生的废活性炭，危废代码为900-039-49。</w:t>
            </w:r>
          </w:p>
          <w:p w14:paraId="7E55E816">
            <w:pPr>
              <w:adjustRightInd w:val="0"/>
              <w:snapToGrid w:val="0"/>
              <w:spacing w:line="360" w:lineRule="auto"/>
              <w:ind w:firstLine="440" w:firstLineChars="200"/>
              <w:rPr>
                <w:rFonts w:ascii="Times New Roman" w:hAnsi="Times New Roman" w:cs="Times New Roman"/>
                <w:spacing w:val="-10"/>
              </w:rPr>
            </w:pPr>
            <w:r>
              <w:rPr>
                <w:rFonts w:ascii="Cambria Math" w:hAnsi="Cambria Math" w:cs="Cambria Math"/>
                <w:spacing w:val="-10"/>
              </w:rPr>
              <w:t>②</w:t>
            </w:r>
            <w:r>
              <w:rPr>
                <w:rFonts w:ascii="Times New Roman" w:hAnsi="Times New Roman" w:cs="Times New Roman"/>
                <w:spacing w:val="-10"/>
              </w:rPr>
              <w:t>废检测管、吸管、试剂瓶</w:t>
            </w:r>
          </w:p>
          <w:p w14:paraId="2DD93BEF">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本项目会对原料、产品定期进行测定，测定项目包括目标物质含量、含水量等，本项目原料、产品均为液态，因此测定过程较简单，无需配液，直接取待测样品放入检测仪器即可。检测过程中会产生废弃检测管、吸管、试剂瓶等，根据建设单位提供的资料，实验室检测年用检测管约2000根，总重约2kg/a，年用吸管约1800根，总重约2.7kg/a，年用试剂瓶约800个，总重约5.6kg/a。其中废检测管及废吸管为固态塑料载体，应分类收集于专用防渗漏容器；破损检测管单独封装；不得与其他不相容危废混放；做好台账记录；交由资质单位处置。废试剂瓶为固态玻璃载体，应清空残留，密封存放；破碎试剂瓶单独收纳；严禁混存强反应性废物；落实台账管理；交由资质单位处置。</w:t>
            </w:r>
          </w:p>
          <w:p w14:paraId="63FA2936">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根据《国家危险废物名录(2025年版)》本项目实验室危废属于HW</w:t>
            </w:r>
            <w:r>
              <w:rPr>
                <w:rFonts w:hint="eastAsia" w:ascii="Times New Roman" w:hAnsi="Times New Roman" w:cs="Times New Roman"/>
                <w:spacing w:val="-10"/>
              </w:rPr>
              <w:t>49其他</w:t>
            </w:r>
            <w:r>
              <w:rPr>
                <w:rFonts w:ascii="Times New Roman" w:hAnsi="Times New Roman" w:cs="Times New Roman"/>
                <w:spacing w:val="-10"/>
              </w:rPr>
              <w:t>废物，危废代码为900-</w:t>
            </w:r>
            <w:r>
              <w:rPr>
                <w:rFonts w:hint="eastAsia" w:ascii="Times New Roman" w:hAnsi="Times New Roman" w:cs="Times New Roman"/>
                <w:spacing w:val="-10"/>
              </w:rPr>
              <w:t>047</w:t>
            </w:r>
            <w:r>
              <w:rPr>
                <w:rFonts w:ascii="Times New Roman" w:hAnsi="Times New Roman" w:cs="Times New Roman"/>
                <w:spacing w:val="-10"/>
              </w:rPr>
              <w:t>-</w:t>
            </w:r>
            <w:r>
              <w:rPr>
                <w:rFonts w:hint="eastAsia" w:ascii="Times New Roman" w:hAnsi="Times New Roman" w:cs="Times New Roman"/>
                <w:spacing w:val="-10"/>
              </w:rPr>
              <w:t>49</w:t>
            </w:r>
            <w:r>
              <w:rPr>
                <w:rFonts w:ascii="Times New Roman" w:hAnsi="Times New Roman" w:cs="Times New Roman"/>
                <w:spacing w:val="-10"/>
              </w:rPr>
              <w:t>。</w:t>
            </w:r>
          </w:p>
          <w:p w14:paraId="71176A80">
            <w:pPr>
              <w:adjustRightInd w:val="0"/>
              <w:snapToGrid w:val="0"/>
              <w:spacing w:line="360" w:lineRule="auto"/>
              <w:ind w:firstLine="440" w:firstLineChars="200"/>
              <w:rPr>
                <w:rFonts w:ascii="Times New Roman" w:hAnsi="Times New Roman" w:cs="Times New Roman"/>
                <w:spacing w:val="-10"/>
              </w:rPr>
            </w:pPr>
            <w:r>
              <w:rPr>
                <w:rFonts w:ascii="Cambria Math" w:hAnsi="Cambria Math" w:cs="Cambria Math"/>
                <w:spacing w:val="-10"/>
              </w:rPr>
              <w:t>③</w:t>
            </w:r>
            <w:r>
              <w:rPr>
                <w:rFonts w:ascii="Times New Roman" w:hAnsi="Times New Roman" w:cs="Times New Roman"/>
                <w:spacing w:val="-10"/>
              </w:rPr>
              <w:t>清罐油泥</w:t>
            </w:r>
          </w:p>
          <w:p w14:paraId="3919CFD8">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汽油、柴油、混合芳烃等轻质油品长期静置，微量杂质、胶质、冷凝水在罐底累积形成油泥，类比同类型调和项目，沉积油泥体积占储罐总容积</w:t>
            </w:r>
            <w:r>
              <w:rPr>
                <w:rFonts w:hint="eastAsia" w:ascii="Times New Roman" w:hAnsi="Times New Roman" w:cs="Times New Roman"/>
                <w:spacing w:val="-10"/>
              </w:rPr>
              <w:t>0.1</w:t>
            </w:r>
            <w:r>
              <w:rPr>
                <w:rFonts w:ascii="Times New Roman" w:hAnsi="Times New Roman" w:cs="Times New Roman"/>
                <w:spacing w:val="-10"/>
              </w:rPr>
              <w:t>%</w:t>
            </w:r>
            <w:r>
              <w:rPr>
                <w:rFonts w:hint="eastAsia" w:ascii="Times New Roman" w:hAnsi="Times New Roman" w:cs="Times New Roman"/>
                <w:spacing w:val="-10"/>
              </w:rPr>
              <w:t>~0.2%</w:t>
            </w:r>
            <w:r>
              <w:rPr>
                <w:rFonts w:ascii="Times New Roman" w:hAnsi="Times New Roman" w:cs="Times New Roman"/>
                <w:spacing w:val="-10"/>
              </w:rPr>
              <w:t>，本次核算取中间值</w:t>
            </w:r>
            <w:r>
              <w:rPr>
                <w:rFonts w:hint="eastAsia" w:ascii="Times New Roman" w:hAnsi="Times New Roman" w:cs="Times New Roman"/>
                <w:spacing w:val="-10"/>
              </w:rPr>
              <w:t>0.1</w:t>
            </w:r>
            <w:r>
              <w:rPr>
                <w:rFonts w:ascii="Times New Roman" w:hAnsi="Times New Roman" w:cs="Times New Roman"/>
                <w:spacing w:val="-10"/>
              </w:rPr>
              <w:t>5%，单次清罐油泥总量约21</w:t>
            </w:r>
            <w:r>
              <w:rPr>
                <w:rFonts w:hint="eastAsia" w:ascii="Times New Roman" w:hAnsi="Times New Roman" w:cs="Times New Roman"/>
                <w:spacing w:val="-10"/>
              </w:rPr>
              <w:t>.</w:t>
            </w:r>
            <w:r>
              <w:rPr>
                <w:rFonts w:ascii="Times New Roman" w:hAnsi="Times New Roman" w:cs="Times New Roman"/>
                <w:spacing w:val="-10"/>
              </w:rPr>
              <w:t>1t，年均产生4</w:t>
            </w:r>
            <w:r>
              <w:rPr>
                <w:rFonts w:hint="eastAsia" w:ascii="Times New Roman" w:hAnsi="Times New Roman" w:cs="Times New Roman"/>
                <w:spacing w:val="-10"/>
              </w:rPr>
              <w:t>.</w:t>
            </w:r>
            <w:r>
              <w:rPr>
                <w:rFonts w:ascii="Times New Roman" w:hAnsi="Times New Roman" w:cs="Times New Roman"/>
                <w:spacing w:val="-10"/>
              </w:rPr>
              <w:t>22t。清罐油泥为半固态粘稠油泥，应采用密闭防渗专用桶盛装；库房防渗围堰内分区堆放；严防泄漏溢出；缩短厂内暂存周期；建立完整台账；委托有处置资质单位处置。</w:t>
            </w:r>
          </w:p>
          <w:p w14:paraId="104A5846">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根据《国家危险废物名录(2025年版)》罐底油泥属于HW08 废矿物油与含矿物油废物中的废燃料油及燃料油储存过程中产生的油泥，危废代码为900-221-08。</w:t>
            </w:r>
          </w:p>
          <w:p w14:paraId="2160B2A3">
            <w:pPr>
              <w:adjustRightInd w:val="0"/>
              <w:snapToGrid w:val="0"/>
              <w:ind w:firstLine="442" w:firstLineChars="200"/>
              <w:jc w:val="center"/>
              <w:rPr>
                <w:rFonts w:ascii="Times New Roman" w:hAnsi="Times New Roman" w:cs="Times New Roman"/>
                <w:spacing w:val="-10"/>
              </w:rPr>
            </w:pPr>
            <w:r>
              <w:rPr>
                <w:rFonts w:ascii="Times New Roman" w:hAnsi="Times New Roman" w:cs="Times New Roman"/>
                <w:b/>
                <w:spacing w:val="-10"/>
                <w:szCs w:val="21"/>
              </w:rPr>
              <w:t>表4-1</w:t>
            </w:r>
            <w:r>
              <w:rPr>
                <w:rFonts w:hint="eastAsia" w:ascii="Times New Roman" w:hAnsi="Times New Roman" w:cs="Times New Roman"/>
                <w:b/>
                <w:spacing w:val="-10"/>
                <w:szCs w:val="21"/>
              </w:rPr>
              <w:t>7</w:t>
            </w:r>
            <w:r>
              <w:rPr>
                <w:rFonts w:ascii="Times New Roman" w:hAnsi="Times New Roman" w:cs="Times New Roman"/>
                <w:b/>
                <w:spacing w:val="-10"/>
                <w:szCs w:val="21"/>
              </w:rPr>
              <w:t xml:space="preserve">  危险废物汇总表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2"/>
              <w:gridCol w:w="1322"/>
              <w:gridCol w:w="1323"/>
              <w:gridCol w:w="1323"/>
              <w:gridCol w:w="1323"/>
              <w:gridCol w:w="1323"/>
            </w:tblGrid>
            <w:tr w14:paraId="452CA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dxa"/>
                </w:tcPr>
                <w:p w14:paraId="3C16EED5">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危废名称</w:t>
                  </w:r>
                </w:p>
              </w:tc>
              <w:tc>
                <w:tcPr>
                  <w:tcW w:w="1322" w:type="dxa"/>
                </w:tcPr>
                <w:p w14:paraId="56D53320">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危废类别</w:t>
                  </w:r>
                </w:p>
              </w:tc>
              <w:tc>
                <w:tcPr>
                  <w:tcW w:w="1323" w:type="dxa"/>
                </w:tcPr>
                <w:p w14:paraId="4C1732FB">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危险废物代码</w:t>
                  </w:r>
                </w:p>
              </w:tc>
              <w:tc>
                <w:tcPr>
                  <w:tcW w:w="1323" w:type="dxa"/>
                </w:tcPr>
                <w:p w14:paraId="310BB7A7">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产生量（t/a）</w:t>
                  </w:r>
                </w:p>
              </w:tc>
              <w:tc>
                <w:tcPr>
                  <w:tcW w:w="1323" w:type="dxa"/>
                </w:tcPr>
                <w:p w14:paraId="29914DCC">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产生装置</w:t>
                  </w:r>
                </w:p>
              </w:tc>
              <w:tc>
                <w:tcPr>
                  <w:tcW w:w="1323" w:type="dxa"/>
                </w:tcPr>
                <w:p w14:paraId="46625391">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防治措施</w:t>
                  </w:r>
                </w:p>
              </w:tc>
            </w:tr>
            <w:tr w14:paraId="2866E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dxa"/>
                </w:tcPr>
                <w:p w14:paraId="5E1A4008">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废活性炭</w:t>
                  </w:r>
                </w:p>
              </w:tc>
              <w:tc>
                <w:tcPr>
                  <w:tcW w:w="1322" w:type="dxa"/>
                </w:tcPr>
                <w:p w14:paraId="30175D4E">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HW49</w:t>
                  </w:r>
                </w:p>
              </w:tc>
              <w:tc>
                <w:tcPr>
                  <w:tcW w:w="1323" w:type="dxa"/>
                </w:tcPr>
                <w:p w14:paraId="0B63507B">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900-039-49</w:t>
                  </w:r>
                </w:p>
              </w:tc>
              <w:tc>
                <w:tcPr>
                  <w:tcW w:w="1323" w:type="dxa"/>
                </w:tcPr>
                <w:p w14:paraId="7C133BAC">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3</w:t>
                  </w:r>
                </w:p>
              </w:tc>
              <w:tc>
                <w:tcPr>
                  <w:tcW w:w="1323" w:type="dxa"/>
                </w:tcPr>
                <w:p w14:paraId="08E53025">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油气回收</w:t>
                  </w:r>
                </w:p>
              </w:tc>
              <w:tc>
                <w:tcPr>
                  <w:tcW w:w="1323" w:type="dxa"/>
                  <w:vMerge w:val="restart"/>
                </w:tcPr>
                <w:p w14:paraId="5B74BC41">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暂存于危险废物贮存库，</w:t>
                  </w:r>
                  <w:r>
                    <w:rPr>
                      <w:rFonts w:ascii="Times New Roman" w:hAnsi="Times New Roman" w:cs="Times New Roman"/>
                      <w:bCs/>
                      <w:sz w:val="21"/>
                      <w:szCs w:val="21"/>
                      <w:lang w:bidi="en-US"/>
                    </w:rPr>
                    <w:t>定期交由资质单位处置</w:t>
                  </w:r>
                </w:p>
              </w:tc>
            </w:tr>
            <w:tr w14:paraId="52F38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dxa"/>
                </w:tcPr>
                <w:p w14:paraId="0703EE2F">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废检测管</w:t>
                  </w:r>
                </w:p>
              </w:tc>
              <w:tc>
                <w:tcPr>
                  <w:tcW w:w="1322" w:type="dxa"/>
                </w:tcPr>
                <w:p w14:paraId="3CD536F3">
                  <w:pPr>
                    <w:adjustRightInd w:val="0"/>
                    <w:snapToGrid w:val="0"/>
                    <w:spacing w:line="360" w:lineRule="auto"/>
                    <w:rPr>
                      <w:rFonts w:ascii="Times New Roman" w:hAnsi="Times New Roman" w:cs="Times New Roman"/>
                      <w:bCs/>
                      <w:sz w:val="21"/>
                      <w:szCs w:val="21"/>
                    </w:rPr>
                  </w:pPr>
                  <w:r>
                    <w:rPr>
                      <w:rFonts w:ascii="Times New Roman" w:hAnsi="Times New Roman" w:cs="Times New Roman"/>
                      <w:spacing w:val="-10"/>
                      <w:sz w:val="21"/>
                      <w:szCs w:val="21"/>
                    </w:rPr>
                    <w:t>HW08</w:t>
                  </w:r>
                </w:p>
              </w:tc>
              <w:tc>
                <w:tcPr>
                  <w:tcW w:w="1323" w:type="dxa"/>
                </w:tcPr>
                <w:p w14:paraId="5AA9D2C1">
                  <w:pPr>
                    <w:adjustRightInd w:val="0"/>
                    <w:snapToGrid w:val="0"/>
                    <w:spacing w:line="360" w:lineRule="auto"/>
                    <w:rPr>
                      <w:rFonts w:ascii="Times New Roman" w:hAnsi="Times New Roman" w:cs="Times New Roman"/>
                      <w:bCs/>
                      <w:sz w:val="21"/>
                      <w:szCs w:val="21"/>
                    </w:rPr>
                  </w:pPr>
                  <w:r>
                    <w:rPr>
                      <w:rFonts w:ascii="Times New Roman" w:hAnsi="Times New Roman" w:cs="Times New Roman"/>
                      <w:spacing w:val="-10"/>
                      <w:sz w:val="21"/>
                      <w:szCs w:val="21"/>
                    </w:rPr>
                    <w:t>900-249-08</w:t>
                  </w:r>
                </w:p>
              </w:tc>
              <w:tc>
                <w:tcPr>
                  <w:tcW w:w="1323" w:type="dxa"/>
                </w:tcPr>
                <w:p w14:paraId="40072515">
                  <w:pPr>
                    <w:adjustRightInd w:val="0"/>
                    <w:snapToGrid w:val="0"/>
                    <w:spacing w:line="360" w:lineRule="auto"/>
                    <w:rPr>
                      <w:rFonts w:ascii="Times New Roman" w:hAnsi="Times New Roman" w:cs="Times New Roman"/>
                      <w:bCs/>
                      <w:sz w:val="21"/>
                      <w:szCs w:val="21"/>
                    </w:rPr>
                  </w:pPr>
                  <w:r>
                    <w:rPr>
                      <w:rFonts w:ascii="Times New Roman" w:hAnsi="Times New Roman" w:cs="Times New Roman"/>
                      <w:spacing w:val="-10"/>
                      <w:sz w:val="21"/>
                      <w:szCs w:val="21"/>
                    </w:rPr>
                    <w:t>2kg/a</w:t>
                  </w:r>
                </w:p>
              </w:tc>
              <w:tc>
                <w:tcPr>
                  <w:tcW w:w="1323" w:type="dxa"/>
                </w:tcPr>
                <w:p w14:paraId="6D2670D7">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实验室</w:t>
                  </w:r>
                </w:p>
              </w:tc>
              <w:tc>
                <w:tcPr>
                  <w:tcW w:w="1323" w:type="dxa"/>
                  <w:vMerge w:val="continue"/>
                </w:tcPr>
                <w:p w14:paraId="76C3DC9E">
                  <w:pPr>
                    <w:adjustRightInd w:val="0"/>
                    <w:snapToGrid w:val="0"/>
                    <w:spacing w:line="360" w:lineRule="auto"/>
                    <w:rPr>
                      <w:rFonts w:ascii="Times New Roman" w:hAnsi="Times New Roman" w:cs="Times New Roman"/>
                      <w:bCs/>
                      <w:sz w:val="21"/>
                      <w:szCs w:val="21"/>
                    </w:rPr>
                  </w:pPr>
                </w:p>
              </w:tc>
            </w:tr>
            <w:tr w14:paraId="0E523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dxa"/>
                </w:tcPr>
                <w:p w14:paraId="2D41EABA">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废吸管</w:t>
                  </w:r>
                </w:p>
              </w:tc>
              <w:tc>
                <w:tcPr>
                  <w:tcW w:w="1322" w:type="dxa"/>
                </w:tcPr>
                <w:p w14:paraId="54D6A3CE">
                  <w:pPr>
                    <w:adjustRightInd w:val="0"/>
                    <w:snapToGrid w:val="0"/>
                    <w:spacing w:line="360" w:lineRule="auto"/>
                    <w:rPr>
                      <w:rFonts w:ascii="Times New Roman" w:hAnsi="Times New Roman" w:cs="Times New Roman"/>
                      <w:bCs/>
                      <w:sz w:val="21"/>
                      <w:szCs w:val="21"/>
                    </w:rPr>
                  </w:pPr>
                  <w:r>
                    <w:rPr>
                      <w:rFonts w:ascii="Times New Roman" w:hAnsi="Times New Roman" w:cs="Times New Roman"/>
                      <w:spacing w:val="-10"/>
                      <w:sz w:val="21"/>
                      <w:szCs w:val="21"/>
                    </w:rPr>
                    <w:t>HW08</w:t>
                  </w:r>
                </w:p>
              </w:tc>
              <w:tc>
                <w:tcPr>
                  <w:tcW w:w="1323" w:type="dxa"/>
                </w:tcPr>
                <w:p w14:paraId="4957058E">
                  <w:pPr>
                    <w:adjustRightInd w:val="0"/>
                    <w:snapToGrid w:val="0"/>
                    <w:spacing w:line="360" w:lineRule="auto"/>
                    <w:rPr>
                      <w:rFonts w:ascii="Times New Roman" w:hAnsi="Times New Roman" w:cs="Times New Roman"/>
                      <w:bCs/>
                      <w:sz w:val="21"/>
                      <w:szCs w:val="21"/>
                    </w:rPr>
                  </w:pPr>
                  <w:r>
                    <w:rPr>
                      <w:rFonts w:ascii="Times New Roman" w:hAnsi="Times New Roman" w:cs="Times New Roman"/>
                      <w:spacing w:val="-10"/>
                      <w:sz w:val="21"/>
                      <w:szCs w:val="21"/>
                    </w:rPr>
                    <w:t>900-249-08</w:t>
                  </w:r>
                </w:p>
              </w:tc>
              <w:tc>
                <w:tcPr>
                  <w:tcW w:w="1323" w:type="dxa"/>
                </w:tcPr>
                <w:p w14:paraId="2A7CEBC2">
                  <w:pPr>
                    <w:adjustRightInd w:val="0"/>
                    <w:snapToGrid w:val="0"/>
                    <w:spacing w:line="360" w:lineRule="auto"/>
                    <w:rPr>
                      <w:rFonts w:ascii="Times New Roman" w:hAnsi="Times New Roman" w:cs="Times New Roman"/>
                      <w:bCs/>
                      <w:sz w:val="21"/>
                      <w:szCs w:val="21"/>
                    </w:rPr>
                  </w:pPr>
                  <w:r>
                    <w:rPr>
                      <w:rFonts w:ascii="Times New Roman" w:hAnsi="Times New Roman" w:cs="Times New Roman"/>
                      <w:spacing w:val="-10"/>
                      <w:sz w:val="21"/>
                      <w:szCs w:val="21"/>
                    </w:rPr>
                    <w:t>2.7kg/a</w:t>
                  </w:r>
                </w:p>
              </w:tc>
              <w:tc>
                <w:tcPr>
                  <w:tcW w:w="1323" w:type="dxa"/>
                </w:tcPr>
                <w:p w14:paraId="156D3CC8">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实验室</w:t>
                  </w:r>
                </w:p>
              </w:tc>
              <w:tc>
                <w:tcPr>
                  <w:tcW w:w="1323" w:type="dxa"/>
                  <w:vMerge w:val="continue"/>
                </w:tcPr>
                <w:p w14:paraId="1AC18D30">
                  <w:pPr>
                    <w:adjustRightInd w:val="0"/>
                    <w:snapToGrid w:val="0"/>
                    <w:spacing w:line="360" w:lineRule="auto"/>
                    <w:rPr>
                      <w:rFonts w:ascii="Times New Roman" w:hAnsi="Times New Roman" w:cs="Times New Roman"/>
                      <w:bCs/>
                      <w:sz w:val="21"/>
                      <w:szCs w:val="21"/>
                    </w:rPr>
                  </w:pPr>
                </w:p>
              </w:tc>
            </w:tr>
            <w:tr w14:paraId="1EE3F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dxa"/>
                </w:tcPr>
                <w:p w14:paraId="041534D9">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废试剂瓶</w:t>
                  </w:r>
                </w:p>
              </w:tc>
              <w:tc>
                <w:tcPr>
                  <w:tcW w:w="1322" w:type="dxa"/>
                </w:tcPr>
                <w:p w14:paraId="3C992D3E">
                  <w:pPr>
                    <w:adjustRightInd w:val="0"/>
                    <w:snapToGrid w:val="0"/>
                    <w:spacing w:line="360" w:lineRule="auto"/>
                    <w:rPr>
                      <w:rFonts w:ascii="Times New Roman" w:hAnsi="Times New Roman" w:cs="Times New Roman"/>
                      <w:bCs/>
                      <w:sz w:val="21"/>
                      <w:szCs w:val="21"/>
                    </w:rPr>
                  </w:pPr>
                  <w:r>
                    <w:rPr>
                      <w:rFonts w:ascii="Times New Roman" w:hAnsi="Times New Roman" w:cs="Times New Roman"/>
                      <w:spacing w:val="-10"/>
                      <w:sz w:val="21"/>
                      <w:szCs w:val="21"/>
                    </w:rPr>
                    <w:t>HW08</w:t>
                  </w:r>
                </w:p>
              </w:tc>
              <w:tc>
                <w:tcPr>
                  <w:tcW w:w="1323" w:type="dxa"/>
                </w:tcPr>
                <w:p w14:paraId="5B697724">
                  <w:pPr>
                    <w:adjustRightInd w:val="0"/>
                    <w:snapToGrid w:val="0"/>
                    <w:spacing w:line="360" w:lineRule="auto"/>
                    <w:rPr>
                      <w:rFonts w:ascii="Times New Roman" w:hAnsi="Times New Roman" w:cs="Times New Roman"/>
                      <w:bCs/>
                      <w:sz w:val="21"/>
                      <w:szCs w:val="21"/>
                    </w:rPr>
                  </w:pPr>
                  <w:r>
                    <w:rPr>
                      <w:rFonts w:ascii="Times New Roman" w:hAnsi="Times New Roman" w:cs="Times New Roman"/>
                      <w:spacing w:val="-10"/>
                      <w:sz w:val="21"/>
                      <w:szCs w:val="21"/>
                    </w:rPr>
                    <w:t>900-249-08</w:t>
                  </w:r>
                </w:p>
              </w:tc>
              <w:tc>
                <w:tcPr>
                  <w:tcW w:w="1323" w:type="dxa"/>
                </w:tcPr>
                <w:p w14:paraId="780C9530">
                  <w:pPr>
                    <w:adjustRightInd w:val="0"/>
                    <w:snapToGrid w:val="0"/>
                    <w:spacing w:line="360" w:lineRule="auto"/>
                    <w:rPr>
                      <w:rFonts w:ascii="Times New Roman" w:hAnsi="Times New Roman" w:cs="Times New Roman"/>
                      <w:bCs/>
                      <w:sz w:val="21"/>
                      <w:szCs w:val="21"/>
                    </w:rPr>
                  </w:pPr>
                  <w:r>
                    <w:rPr>
                      <w:rFonts w:ascii="Times New Roman" w:hAnsi="Times New Roman" w:cs="Times New Roman"/>
                      <w:spacing w:val="-10"/>
                      <w:sz w:val="21"/>
                      <w:szCs w:val="21"/>
                    </w:rPr>
                    <w:t>5.6kg/a</w:t>
                  </w:r>
                </w:p>
              </w:tc>
              <w:tc>
                <w:tcPr>
                  <w:tcW w:w="1323" w:type="dxa"/>
                </w:tcPr>
                <w:p w14:paraId="15C44EF9">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实验室</w:t>
                  </w:r>
                </w:p>
              </w:tc>
              <w:tc>
                <w:tcPr>
                  <w:tcW w:w="1323" w:type="dxa"/>
                  <w:vMerge w:val="continue"/>
                </w:tcPr>
                <w:p w14:paraId="271655BD">
                  <w:pPr>
                    <w:adjustRightInd w:val="0"/>
                    <w:snapToGrid w:val="0"/>
                    <w:spacing w:line="360" w:lineRule="auto"/>
                    <w:rPr>
                      <w:rFonts w:ascii="Times New Roman" w:hAnsi="Times New Roman" w:cs="Times New Roman"/>
                      <w:bCs/>
                      <w:sz w:val="21"/>
                      <w:szCs w:val="21"/>
                    </w:rPr>
                  </w:pPr>
                </w:p>
              </w:tc>
            </w:tr>
            <w:tr w14:paraId="33CD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dxa"/>
                </w:tcPr>
                <w:p w14:paraId="0FAB0B51">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清罐油泥</w:t>
                  </w:r>
                </w:p>
              </w:tc>
              <w:tc>
                <w:tcPr>
                  <w:tcW w:w="1322" w:type="dxa"/>
                </w:tcPr>
                <w:p w14:paraId="2FDDE2CA">
                  <w:pPr>
                    <w:adjustRightInd w:val="0"/>
                    <w:snapToGrid w:val="0"/>
                    <w:spacing w:line="360" w:lineRule="auto"/>
                    <w:rPr>
                      <w:rFonts w:ascii="Times New Roman" w:hAnsi="Times New Roman" w:cs="Times New Roman"/>
                      <w:spacing w:val="-10"/>
                      <w:sz w:val="21"/>
                      <w:szCs w:val="21"/>
                    </w:rPr>
                  </w:pPr>
                  <w:r>
                    <w:rPr>
                      <w:rFonts w:ascii="Times New Roman" w:hAnsi="Times New Roman" w:cs="Times New Roman"/>
                      <w:spacing w:val="-10"/>
                      <w:sz w:val="21"/>
                      <w:szCs w:val="21"/>
                    </w:rPr>
                    <w:t>HW08</w:t>
                  </w:r>
                </w:p>
              </w:tc>
              <w:tc>
                <w:tcPr>
                  <w:tcW w:w="1323" w:type="dxa"/>
                </w:tcPr>
                <w:p w14:paraId="6E523A58">
                  <w:pPr>
                    <w:adjustRightInd w:val="0"/>
                    <w:snapToGrid w:val="0"/>
                    <w:spacing w:line="360" w:lineRule="auto"/>
                    <w:rPr>
                      <w:rFonts w:ascii="Times New Roman" w:hAnsi="Times New Roman" w:cs="Times New Roman"/>
                      <w:spacing w:val="-10"/>
                      <w:sz w:val="21"/>
                      <w:szCs w:val="21"/>
                    </w:rPr>
                  </w:pPr>
                  <w:r>
                    <w:rPr>
                      <w:rFonts w:ascii="Times New Roman" w:hAnsi="Times New Roman" w:cs="Times New Roman"/>
                      <w:spacing w:val="-10"/>
                      <w:sz w:val="21"/>
                      <w:szCs w:val="21"/>
                    </w:rPr>
                    <w:t>900-221-08</w:t>
                  </w:r>
                </w:p>
              </w:tc>
              <w:tc>
                <w:tcPr>
                  <w:tcW w:w="1323" w:type="dxa"/>
                </w:tcPr>
                <w:p w14:paraId="63952F70">
                  <w:pPr>
                    <w:adjustRightInd w:val="0"/>
                    <w:snapToGrid w:val="0"/>
                    <w:spacing w:line="360" w:lineRule="auto"/>
                    <w:rPr>
                      <w:rFonts w:ascii="Times New Roman" w:hAnsi="Times New Roman" w:cs="Times New Roman"/>
                      <w:spacing w:val="-10"/>
                      <w:sz w:val="21"/>
                      <w:szCs w:val="21"/>
                    </w:rPr>
                  </w:pPr>
                  <w:r>
                    <w:rPr>
                      <w:rFonts w:hint="eastAsia" w:ascii="Times New Roman" w:hAnsi="Times New Roman" w:cs="Times New Roman"/>
                      <w:spacing w:val="-10"/>
                      <w:sz w:val="21"/>
                      <w:szCs w:val="21"/>
                    </w:rPr>
                    <w:t>4.22</w:t>
                  </w:r>
                </w:p>
              </w:tc>
              <w:tc>
                <w:tcPr>
                  <w:tcW w:w="1323" w:type="dxa"/>
                </w:tcPr>
                <w:p w14:paraId="6D49C40F">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储罐</w:t>
                  </w:r>
                </w:p>
              </w:tc>
              <w:tc>
                <w:tcPr>
                  <w:tcW w:w="1323" w:type="dxa"/>
                </w:tcPr>
                <w:p w14:paraId="41F374A0">
                  <w:pPr>
                    <w:adjustRightInd w:val="0"/>
                    <w:snapToGrid w:val="0"/>
                    <w:spacing w:line="360" w:lineRule="auto"/>
                    <w:rPr>
                      <w:rFonts w:ascii="Times New Roman" w:hAnsi="Times New Roman" w:cs="Times New Roman"/>
                      <w:bCs/>
                      <w:sz w:val="21"/>
                      <w:szCs w:val="21"/>
                    </w:rPr>
                  </w:pPr>
                  <w:r>
                    <w:rPr>
                      <w:rFonts w:ascii="Times New Roman" w:hAnsi="Times New Roman" w:cs="Times New Roman"/>
                      <w:bCs/>
                      <w:sz w:val="21"/>
                      <w:szCs w:val="21"/>
                    </w:rPr>
                    <w:t>密闭吨桶收集，暂存于危废贮存库围堰区内，定期交由具备资质单位处置</w:t>
                  </w:r>
                </w:p>
              </w:tc>
            </w:tr>
          </w:tbl>
          <w:p w14:paraId="1FBB62D5">
            <w:pPr>
              <w:adjustRightInd w:val="0"/>
              <w:snapToGrid w:val="0"/>
              <w:spacing w:line="360" w:lineRule="auto"/>
              <w:ind w:firstLine="440" w:firstLineChars="200"/>
              <w:rPr>
                <w:rFonts w:ascii="Times New Roman" w:hAnsi="Times New Roman" w:cs="Times New Roman"/>
                <w:spacing w:val="-10"/>
              </w:rPr>
            </w:pPr>
          </w:p>
          <w:p w14:paraId="4AB28146">
            <w:pPr>
              <w:adjustRightInd w:val="0"/>
              <w:snapToGrid w:val="0"/>
              <w:spacing w:line="360" w:lineRule="auto"/>
              <w:rPr>
                <w:rFonts w:ascii="Times New Roman" w:hAnsi="Times New Roman" w:cs="Times New Roman"/>
                <w:b/>
                <w:bCs/>
                <w:spacing w:val="-10"/>
              </w:rPr>
            </w:pPr>
            <w:r>
              <w:rPr>
                <w:rFonts w:ascii="Times New Roman" w:hAnsi="Times New Roman" w:cs="Times New Roman"/>
                <w:b/>
                <w:bCs/>
                <w:spacing w:val="-10"/>
              </w:rPr>
              <w:t>4.2危险废物污染防治措施</w:t>
            </w:r>
          </w:p>
          <w:p w14:paraId="7F2D7781">
            <w:pPr>
              <w:adjustRightInd w:val="0"/>
              <w:snapToGrid w:val="0"/>
              <w:spacing w:line="360" w:lineRule="auto"/>
              <w:rPr>
                <w:rFonts w:ascii="Times New Roman" w:hAnsi="Times New Roman" w:cs="Times New Roman"/>
                <w:spacing w:val="-10"/>
              </w:rPr>
            </w:pPr>
            <w:r>
              <w:rPr>
                <w:rFonts w:hint="eastAsia" w:ascii="Times New Roman" w:hAnsi="Times New Roman" w:cs="Times New Roman"/>
                <w:spacing w:val="-10"/>
              </w:rPr>
              <w:t>（1）危废贮存库依托可行性</w:t>
            </w:r>
          </w:p>
          <w:p w14:paraId="6C061830">
            <w:pPr>
              <w:overflowPunct w:val="0"/>
              <w:spacing w:line="360" w:lineRule="auto"/>
              <w:ind w:firstLine="440" w:firstLineChars="200"/>
              <w:rPr>
                <w:rFonts w:hint="eastAsia"/>
                <w:color w:val="000000" w:themeColor="text1"/>
                <w:szCs w:val="21"/>
                <w14:textFill>
                  <w14:solidFill>
                    <w14:schemeClr w14:val="tx1"/>
                  </w14:solidFill>
                </w14:textFill>
              </w:rPr>
            </w:pPr>
            <w:r>
              <w:rPr>
                <w:rFonts w:ascii="Times New Roman" w:hAnsi="Times New Roman" w:cs="Times New Roman"/>
                <w:spacing w:val="-10"/>
              </w:rPr>
              <w:t>本项目产生的危险废物拟依托一期工程已建设的150m</w:t>
            </w:r>
            <w:r>
              <w:rPr>
                <w:rFonts w:ascii="Times New Roman" w:hAnsi="Times New Roman" w:cs="Times New Roman"/>
                <w:spacing w:val="-10"/>
                <w:vertAlign w:val="superscript"/>
              </w:rPr>
              <w:t>2</w:t>
            </w:r>
            <w:r>
              <w:rPr>
                <w:rFonts w:ascii="Times New Roman" w:hAnsi="Times New Roman" w:cs="Times New Roman"/>
                <w:spacing w:val="-10"/>
              </w:rPr>
              <w:t>危险废物暂存间进行厂内暂存，危险废物外委处置前，转运至一期危废暂存间密闭库房内临时贮存。一期危废暂存间严格按照《危险废物贮存污染控制标准》（GB18597</w:t>
            </w:r>
            <w:r>
              <w:rPr>
                <w:rFonts w:ascii="Times New Roman" w:hAnsi="Times New Roman" w:cs="Times New Roman"/>
                <w:spacing w:val="-10"/>
              </w:rPr>
              <w:noBreakHyphen/>
            </w:r>
            <w:r>
              <w:rPr>
                <w:rFonts w:ascii="Times New Roman" w:hAnsi="Times New Roman" w:cs="Times New Roman"/>
                <w:spacing w:val="-10"/>
              </w:rPr>
              <w:t>2023）开展设计建设，</w:t>
            </w:r>
            <w:r>
              <w:rPr>
                <w:rFonts w:hint="eastAsia"/>
                <w:color w:val="000000" w:themeColor="text1"/>
                <w:szCs w:val="21"/>
                <w14:textFill>
                  <w14:solidFill>
                    <w14:schemeClr w14:val="tx1"/>
                  </w14:solidFill>
                </w14:textFill>
              </w:rPr>
              <w:t>危险废物暂存间地面基础及内墙采取防渗措施（其中内墙防渗层高</w:t>
            </w:r>
            <w:r>
              <w:rPr>
                <w:color w:val="000000" w:themeColor="text1"/>
                <w:szCs w:val="21"/>
                <w14:textFill>
                  <w14:solidFill>
                    <w14:schemeClr w14:val="tx1"/>
                  </w14:solidFill>
                </w14:textFill>
              </w:rPr>
              <w:t>0.5m</w:t>
            </w:r>
            <w:r>
              <w:rPr>
                <w:rFonts w:hint="eastAsia"/>
                <w:color w:val="000000" w:themeColor="text1"/>
                <w:szCs w:val="21"/>
                <w14:textFill>
                  <w14:solidFill>
                    <w14:schemeClr w14:val="tx1"/>
                  </w14:solidFill>
                </w14:textFill>
              </w:rPr>
              <w:t>），使用防水混凝土，地面做防滑处理。地面设地沟和集水池，使渗沥液能进入污水处理站的污水调节池；地面、地沟及集水池均做环氧树脂防腐处理；地沟均设漏水耐腐蚀钢盖板，并在穿墙处做防渗处理。库房内采取全面通风的措施，设有安全照明设施，并设置干粉灭火器，库房外设置室外消火栓。</w:t>
            </w:r>
            <w:r>
              <w:rPr>
                <w:rFonts w:ascii="Times New Roman" w:hAnsi="Times New Roman" w:cs="Times New Roman"/>
                <w:spacing w:val="-10"/>
              </w:rPr>
              <w:t>，人工衬层材料渗透系数不大于1.0×10</w:t>
            </w:r>
            <w:r>
              <w:rPr>
                <w:rFonts w:ascii="Times New Roman" w:hAnsi="Times New Roman" w:cs="Times New Roman"/>
                <w:spacing w:val="-10"/>
                <w:vertAlign w:val="superscript"/>
              </w:rPr>
              <w:t>-12</w:t>
            </w:r>
            <w:r>
              <w:rPr>
                <w:rFonts w:ascii="Times New Roman" w:hAnsi="Times New Roman" w:cs="Times New Roman"/>
                <w:spacing w:val="-10"/>
              </w:rPr>
              <w:t>m/s；危废暂存库设置围堰，可收集事故状态下泄漏物料、污染消防水，库内清理得到的泄漏物全部按危险废物管理处置；并按照《危险废物识别标志设置技术规范》（HJ1276</w:t>
            </w:r>
            <w:r>
              <w:rPr>
                <w:rFonts w:ascii="Times New Roman" w:hAnsi="Times New Roman" w:cs="Times New Roman"/>
                <w:spacing w:val="-10"/>
              </w:rPr>
              <w:noBreakHyphen/>
            </w:r>
            <w:r>
              <w:rPr>
                <w:rFonts w:ascii="Times New Roman" w:hAnsi="Times New Roman" w:cs="Times New Roman"/>
                <w:spacing w:val="-10"/>
              </w:rPr>
              <w:t>2022）规范设置危险废物警示标识。</w:t>
            </w:r>
          </w:p>
          <w:p w14:paraId="1D8D7022">
            <w:pPr>
              <w:widowControl w:val="0"/>
              <w:adjustRightInd w:val="0"/>
              <w:snapToGrid w:val="0"/>
              <w:spacing w:line="360" w:lineRule="auto"/>
              <w:ind w:firstLine="440" w:firstLineChars="200"/>
              <w:jc w:val="both"/>
              <w:rPr>
                <w:rFonts w:ascii="Times New Roman" w:hAnsi="Times New Roman" w:cs="Times New Roman"/>
                <w:spacing w:val="-10"/>
              </w:rPr>
            </w:pPr>
            <w:r>
              <w:rPr>
                <w:rFonts w:ascii="Times New Roman" w:hAnsi="Times New Roman" w:cs="Times New Roman"/>
                <w:spacing w:val="-10"/>
              </w:rPr>
              <w:t>本项目新增危废产生量较小，一期</w:t>
            </w:r>
            <w:r>
              <w:rPr>
                <w:rFonts w:hint="eastAsia" w:ascii="Times New Roman" w:hAnsi="Times New Roman" w:cs="Times New Roman"/>
                <w:spacing w:val="-10"/>
              </w:rPr>
              <w:t>危险废物最大产生量为441.96t/a，</w:t>
            </w:r>
            <w:r>
              <w:rPr>
                <w:rFonts w:ascii="Times New Roman" w:hAnsi="Times New Roman" w:cs="Times New Roman"/>
                <w:spacing w:val="-10"/>
              </w:rPr>
              <w:t>危废</w:t>
            </w:r>
            <w:r>
              <w:rPr>
                <w:rFonts w:hint="eastAsia" w:ascii="Times New Roman" w:hAnsi="Times New Roman" w:cs="Times New Roman"/>
                <w:spacing w:val="-10"/>
              </w:rPr>
              <w:t>贮存库最大储存量约为450t，</w:t>
            </w:r>
            <w:r>
              <w:rPr>
                <w:rFonts w:ascii="Times New Roman" w:hAnsi="Times New Roman" w:cs="Times New Roman"/>
                <w:spacing w:val="-10"/>
              </w:rPr>
              <w:t>尚有剩余贮存库容，可容纳本项目危废的厂内短期暂存需求；本项目危废类别、储存管控要求与一期入库危废管控要求一致，可做到分区存放，避免不相容废物混放。危险废物入库、转运、台账管理均执行厂区统一危废管理制度，危废暂存期间不会对土壤、地下水造成明显不利影响。</w:t>
            </w:r>
          </w:p>
          <w:p w14:paraId="712DFB18">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综上，从贮存库容、防渗工程、选址条件、配套设施、环境风险防控、管理体系方面，本项目危险废物依托一期危废暂存间暂存具备可行性。</w:t>
            </w:r>
          </w:p>
          <w:p w14:paraId="04D5ADF7">
            <w:pPr>
              <w:adjustRightInd w:val="0"/>
              <w:snapToGrid w:val="0"/>
              <w:spacing w:line="360" w:lineRule="auto"/>
              <w:rPr>
                <w:rFonts w:ascii="Times New Roman" w:hAnsi="Times New Roman" w:cs="Times New Roman"/>
                <w:spacing w:val="-10"/>
              </w:rPr>
            </w:pPr>
            <w:r>
              <w:rPr>
                <w:rFonts w:hint="eastAsia" w:ascii="Times New Roman" w:hAnsi="Times New Roman" w:cs="Times New Roman"/>
                <w:spacing w:val="-10"/>
              </w:rPr>
              <w:t>（2）转运要求</w:t>
            </w:r>
          </w:p>
          <w:p w14:paraId="686A4E1F">
            <w:pPr>
              <w:widowControl w:val="0"/>
              <w:adjustRightInd w:val="0"/>
              <w:snapToGrid w:val="0"/>
              <w:spacing w:line="360" w:lineRule="auto"/>
              <w:ind w:firstLine="440" w:firstLineChars="200"/>
              <w:jc w:val="both"/>
              <w:rPr>
                <w:rFonts w:ascii="Times New Roman" w:hAnsi="Times New Roman" w:cs="Times New Roman"/>
                <w:spacing w:val="-10"/>
              </w:rPr>
            </w:pPr>
            <w:r>
              <w:rPr>
                <w:rFonts w:hint="eastAsia" w:ascii="Times New Roman" w:hAnsi="Times New Roman" w:cs="Times New Roman"/>
                <w:spacing w:val="-10"/>
              </w:rPr>
              <w:t>危险废物内部转运作业应满足如下要求：</w:t>
            </w:r>
          </w:p>
          <w:p w14:paraId="681FDF17">
            <w:pPr>
              <w:widowControl w:val="0"/>
              <w:adjustRightInd w:val="0"/>
              <w:snapToGrid w:val="0"/>
              <w:spacing w:line="360" w:lineRule="auto"/>
              <w:ind w:firstLine="440" w:firstLineChars="200"/>
              <w:jc w:val="both"/>
              <w:rPr>
                <w:rFonts w:ascii="Times New Roman" w:hAnsi="Times New Roman" w:cs="Times New Roman"/>
                <w:spacing w:val="-10"/>
              </w:rPr>
            </w:pPr>
            <w:r>
              <w:rPr>
                <w:rFonts w:hint="eastAsia" w:ascii="Times New Roman" w:hAnsi="Times New Roman" w:cs="Times New Roman"/>
                <w:spacing w:val="-10"/>
              </w:rPr>
              <w:t>1)危险废物内部转运应综合考虑厂区的实际情况确定转运路线，尽量避开办公区和生活区。</w:t>
            </w:r>
          </w:p>
          <w:p w14:paraId="29BE5CAF">
            <w:pPr>
              <w:widowControl w:val="0"/>
              <w:adjustRightInd w:val="0"/>
              <w:snapToGrid w:val="0"/>
              <w:spacing w:line="360" w:lineRule="auto"/>
              <w:ind w:firstLine="440" w:firstLineChars="200"/>
              <w:jc w:val="both"/>
              <w:rPr>
                <w:rFonts w:ascii="Times New Roman" w:hAnsi="Times New Roman" w:cs="Times New Roman"/>
                <w:spacing w:val="-10"/>
              </w:rPr>
            </w:pPr>
            <w:r>
              <w:rPr>
                <w:rFonts w:hint="eastAsia" w:ascii="Times New Roman" w:hAnsi="Times New Roman" w:cs="Times New Roman"/>
                <w:spacing w:val="-10"/>
              </w:rPr>
              <w:t xml:space="preserve">2)危险废物内部转运作业应采用专用的工具，危险废物内部转运应参照本标准附录B填写《危险废物厂内转运记录表》。 </w:t>
            </w:r>
          </w:p>
          <w:p w14:paraId="06F66B90">
            <w:pPr>
              <w:widowControl w:val="0"/>
              <w:adjustRightInd w:val="0"/>
              <w:snapToGrid w:val="0"/>
              <w:spacing w:line="360" w:lineRule="auto"/>
              <w:ind w:firstLine="440" w:firstLineChars="200"/>
              <w:jc w:val="both"/>
              <w:rPr>
                <w:rFonts w:ascii="Times New Roman" w:hAnsi="Times New Roman" w:cs="Times New Roman"/>
                <w:spacing w:val="-10"/>
              </w:rPr>
            </w:pPr>
            <w:r>
              <w:rPr>
                <w:rFonts w:hint="eastAsia" w:ascii="Times New Roman" w:hAnsi="Times New Roman" w:cs="Times New Roman"/>
                <w:spacing w:val="-10"/>
              </w:rPr>
              <w:t>3)危险废物内部转运结束后，应对转运路线进行检查和清理，确保无危险废物遗失在转运路线上，并对转运工具进行清洗。</w:t>
            </w:r>
          </w:p>
          <w:p w14:paraId="36891974">
            <w:pPr>
              <w:widowControl w:val="0"/>
              <w:adjustRightInd w:val="0"/>
              <w:snapToGrid w:val="0"/>
              <w:spacing w:line="360" w:lineRule="auto"/>
              <w:ind w:firstLine="440" w:firstLineChars="200"/>
              <w:jc w:val="both"/>
              <w:rPr>
                <w:rFonts w:ascii="Times New Roman" w:hAnsi="Times New Roman" w:cs="Times New Roman"/>
                <w:spacing w:val="-10"/>
              </w:rPr>
            </w:pPr>
            <w:r>
              <w:rPr>
                <w:rFonts w:hint="eastAsia" w:ascii="Times New Roman" w:hAnsi="Times New Roman" w:cs="Times New Roman"/>
                <w:spacing w:val="-10"/>
              </w:rPr>
              <w:t>（2）</w:t>
            </w:r>
            <w:r>
              <w:rPr>
                <w:rFonts w:ascii="Times New Roman" w:hAnsi="Times New Roman" w:cs="Times New Roman"/>
                <w:spacing w:val="-10"/>
              </w:rPr>
              <w:t>危险废物运输中应做到以下几点：</w:t>
            </w:r>
          </w:p>
          <w:p w14:paraId="44A23C13">
            <w:pPr>
              <w:widowControl w:val="0"/>
              <w:adjustRightInd w:val="0"/>
              <w:snapToGrid w:val="0"/>
              <w:spacing w:line="360" w:lineRule="auto"/>
              <w:ind w:firstLine="440" w:firstLineChars="200"/>
              <w:jc w:val="both"/>
              <w:rPr>
                <w:rFonts w:ascii="Times New Roman" w:hAnsi="Times New Roman" w:cs="Times New Roman"/>
                <w:spacing w:val="-10"/>
              </w:rPr>
            </w:pPr>
            <w:r>
              <w:rPr>
                <w:rFonts w:hint="eastAsia" w:ascii="Times New Roman" w:hAnsi="Times New Roman" w:cs="Times New Roman"/>
                <w:spacing w:val="-10"/>
              </w:rPr>
              <w:t>危险废物运输应由持有危险废物经营许可证的单位按照其许可证的经营范围组织实施，承担危险废物运输的单位应获得交通运输部门颁发的危险货物运输资质。</w:t>
            </w:r>
          </w:p>
          <w:p w14:paraId="1EE782F1">
            <w:pPr>
              <w:widowControl w:val="0"/>
              <w:adjustRightInd w:val="0"/>
              <w:snapToGrid w:val="0"/>
              <w:spacing w:line="360" w:lineRule="auto"/>
              <w:ind w:firstLine="440" w:firstLineChars="200"/>
              <w:jc w:val="both"/>
              <w:rPr>
                <w:rFonts w:ascii="Times New Roman" w:hAnsi="Times New Roman" w:cs="Times New Roman"/>
                <w:spacing w:val="-10"/>
              </w:rPr>
            </w:pPr>
            <w:r>
              <w:rPr>
                <w:rFonts w:hint="eastAsia" w:ascii="Times New Roman" w:hAnsi="Times New Roman" w:cs="Times New Roman"/>
                <w:spacing w:val="-10"/>
              </w:rPr>
              <w:t xml:space="preserve">危险废物公路运输应按照《道路危险货物运输管理规定》(交通部令[2005年]第9号)、JT617以及JT618执行；危险废物铁路运输应按《铁路危险货物运输管理规则》(铁运〔2006〕79号)规定执行；危险废物水路运输应按《水路危险货物运输规则》(交通部令〔1996〕第10号)规定执行。 </w:t>
            </w:r>
          </w:p>
          <w:p w14:paraId="32970974">
            <w:pPr>
              <w:widowControl w:val="0"/>
              <w:adjustRightInd w:val="0"/>
              <w:snapToGrid w:val="0"/>
              <w:spacing w:line="360" w:lineRule="auto"/>
              <w:ind w:firstLine="440" w:firstLineChars="200"/>
              <w:jc w:val="both"/>
              <w:rPr>
                <w:rFonts w:ascii="Times New Roman" w:hAnsi="Times New Roman" w:cs="Times New Roman"/>
                <w:spacing w:val="-10"/>
              </w:rPr>
            </w:pPr>
            <w:r>
              <w:rPr>
                <w:rFonts w:hint="eastAsia" w:ascii="Times New Roman" w:hAnsi="Times New Roman" w:cs="Times New Roman"/>
                <w:spacing w:val="-10"/>
              </w:rPr>
              <w:t>废弃危险化学品的运输应执行《危险化学品安全管理条例》有关运输的规定。</w:t>
            </w:r>
          </w:p>
          <w:p w14:paraId="67527FEE">
            <w:pPr>
              <w:widowControl w:val="0"/>
              <w:adjustRightInd w:val="0"/>
              <w:snapToGrid w:val="0"/>
              <w:spacing w:line="360" w:lineRule="auto"/>
              <w:ind w:firstLine="440" w:firstLineChars="200"/>
              <w:jc w:val="both"/>
              <w:rPr>
                <w:rFonts w:ascii="Times New Roman" w:hAnsi="Times New Roman" w:cs="Times New Roman"/>
                <w:spacing w:val="-10"/>
              </w:rPr>
            </w:pPr>
            <w:r>
              <w:rPr>
                <w:rFonts w:hint="eastAsia" w:ascii="Times New Roman" w:hAnsi="Times New Roman" w:cs="Times New Roman"/>
                <w:spacing w:val="-10"/>
              </w:rPr>
              <w:t xml:space="preserve">运输单位承运危险废物时，应在危险废物包装上按照GB18597附录A设置标志，其中医疗废物包装容器上的标志应按HJ421要求设置。 </w:t>
            </w:r>
          </w:p>
          <w:p w14:paraId="6302B0AA">
            <w:pPr>
              <w:widowControl w:val="0"/>
              <w:adjustRightInd w:val="0"/>
              <w:snapToGrid w:val="0"/>
              <w:spacing w:line="360" w:lineRule="auto"/>
              <w:ind w:firstLine="440" w:firstLineChars="200"/>
              <w:jc w:val="both"/>
              <w:rPr>
                <w:rFonts w:ascii="Times New Roman" w:hAnsi="Times New Roman" w:cs="Times New Roman"/>
                <w:spacing w:val="-10"/>
              </w:rPr>
            </w:pPr>
            <w:r>
              <w:rPr>
                <w:rFonts w:hint="eastAsia" w:ascii="Times New Roman" w:hAnsi="Times New Roman" w:cs="Times New Roman"/>
                <w:spacing w:val="-10"/>
              </w:rPr>
              <w:t xml:space="preserve">危险废物公路运输时，运输车辆应按GB13392设置车辆标志。铁路运输和水路运输危险废物时应在集装箱外按GB190规定悬挂标志。 </w:t>
            </w:r>
          </w:p>
          <w:p w14:paraId="7940567A">
            <w:pPr>
              <w:widowControl w:val="0"/>
              <w:adjustRightInd w:val="0"/>
              <w:snapToGrid w:val="0"/>
              <w:spacing w:line="360" w:lineRule="auto"/>
              <w:ind w:firstLine="440" w:firstLineChars="200"/>
              <w:jc w:val="both"/>
              <w:rPr>
                <w:rFonts w:ascii="Times New Roman" w:hAnsi="Times New Roman" w:cs="Times New Roman"/>
                <w:spacing w:val="-10"/>
              </w:rPr>
            </w:pPr>
            <w:r>
              <w:rPr>
                <w:rFonts w:hint="eastAsia" w:ascii="Times New Roman" w:hAnsi="Times New Roman" w:cs="Times New Roman"/>
                <w:spacing w:val="-10"/>
              </w:rPr>
              <w:t>危险废物运输时的中转、装卸过程应遵守如下技术要求：</w:t>
            </w:r>
          </w:p>
          <w:p w14:paraId="344275AA">
            <w:pPr>
              <w:widowControl w:val="0"/>
              <w:adjustRightInd w:val="0"/>
              <w:snapToGrid w:val="0"/>
              <w:spacing w:line="360" w:lineRule="auto"/>
              <w:ind w:firstLine="440" w:firstLineChars="200"/>
              <w:jc w:val="both"/>
              <w:rPr>
                <w:rFonts w:ascii="Times New Roman" w:hAnsi="Times New Roman" w:cs="Times New Roman"/>
                <w:spacing w:val="-10"/>
              </w:rPr>
            </w:pPr>
            <w:r>
              <w:rPr>
                <w:rFonts w:hint="eastAsia" w:ascii="Times New Roman" w:hAnsi="Times New Roman" w:cs="Times New Roman"/>
                <w:spacing w:val="-10"/>
              </w:rPr>
              <w:t xml:space="preserve">1)卸载区的工作人员应熟悉废物的危险特性，并配备适当的个体防护装备，装卸剧毒废物应配备特殊的防护装备。 </w:t>
            </w:r>
          </w:p>
          <w:p w14:paraId="74A8D199">
            <w:pPr>
              <w:widowControl w:val="0"/>
              <w:adjustRightInd w:val="0"/>
              <w:snapToGrid w:val="0"/>
              <w:spacing w:line="360" w:lineRule="auto"/>
              <w:ind w:firstLine="440" w:firstLineChars="200"/>
              <w:jc w:val="both"/>
              <w:rPr>
                <w:rFonts w:ascii="Times New Roman" w:hAnsi="Times New Roman" w:cs="Times New Roman"/>
                <w:spacing w:val="-10"/>
              </w:rPr>
            </w:pPr>
            <w:r>
              <w:rPr>
                <w:rFonts w:hint="eastAsia" w:ascii="Times New Roman" w:hAnsi="Times New Roman" w:cs="Times New Roman"/>
                <w:spacing w:val="-10"/>
              </w:rPr>
              <w:t xml:space="preserve">2)卸载区应配备必要的消防设备和设施，并设置明显的指示标志。 </w:t>
            </w:r>
          </w:p>
          <w:p w14:paraId="0B7DC86E">
            <w:pPr>
              <w:widowControl w:val="0"/>
              <w:adjustRightInd w:val="0"/>
              <w:snapToGrid w:val="0"/>
              <w:spacing w:line="360" w:lineRule="auto"/>
              <w:ind w:firstLine="440" w:firstLineChars="200"/>
              <w:jc w:val="both"/>
              <w:rPr>
                <w:rFonts w:ascii="Times New Roman" w:hAnsi="Times New Roman" w:cs="Times New Roman"/>
                <w:spacing w:val="-10"/>
              </w:rPr>
            </w:pPr>
            <w:r>
              <w:rPr>
                <w:rFonts w:hint="eastAsia" w:ascii="Times New Roman" w:hAnsi="Times New Roman" w:cs="Times New Roman"/>
                <w:spacing w:val="-10"/>
              </w:rPr>
              <w:t>3)危险废物装卸区应设置隔离设施，液态废物卸载区应设置收集槽和缓冲罐。</w:t>
            </w:r>
          </w:p>
          <w:p w14:paraId="23D03BBA">
            <w:pPr>
              <w:adjustRightInd w:val="0"/>
              <w:snapToGrid w:val="0"/>
              <w:spacing w:line="360" w:lineRule="auto"/>
              <w:rPr>
                <w:rFonts w:ascii="Times New Roman" w:hAnsi="Times New Roman" w:cs="Times New Roman"/>
                <w:spacing w:val="-10"/>
              </w:rPr>
            </w:pPr>
          </w:p>
          <w:p w14:paraId="4067A63C">
            <w:pPr>
              <w:adjustRightInd w:val="0"/>
              <w:snapToGrid w:val="0"/>
              <w:spacing w:line="360" w:lineRule="auto"/>
              <w:rPr>
                <w:rFonts w:ascii="Times New Roman" w:hAnsi="Times New Roman" w:cs="Times New Roman"/>
                <w:b/>
                <w:bCs/>
              </w:rPr>
            </w:pPr>
            <w:r>
              <w:rPr>
                <w:rFonts w:ascii="Times New Roman" w:hAnsi="Times New Roman" w:cs="Times New Roman"/>
                <w:b/>
                <w:bCs/>
                <w:spacing w:val="-10"/>
              </w:rPr>
              <w:t>5、</w:t>
            </w:r>
            <w:r>
              <w:rPr>
                <w:rFonts w:ascii="Times New Roman" w:hAnsi="Times New Roman" w:cs="Times New Roman"/>
                <w:b/>
                <w:bCs/>
              </w:rPr>
              <w:t>生态环境影响分析及防护措施</w:t>
            </w:r>
          </w:p>
          <w:p w14:paraId="78BF7A32">
            <w:pPr>
              <w:adjustRightInd w:val="0"/>
              <w:snapToGrid w:val="0"/>
              <w:spacing w:line="360" w:lineRule="auto"/>
              <w:ind w:firstLine="480" w:firstLineChars="200"/>
              <w:rPr>
                <w:rFonts w:ascii="Times New Roman" w:hAnsi="Times New Roman" w:cs="Times New Roman"/>
              </w:rPr>
            </w:pPr>
            <w:r>
              <w:rPr>
                <w:rFonts w:ascii="Times New Roman" w:hAnsi="Times New Roman" w:cs="Times New Roman"/>
              </w:rPr>
              <w:t>本项目位于龙都石油化工有限公司厂内，无新增用地，厂区及周边无重点保护的珍稀动植物物种资源、重点保护的栖息地以及其他生态敏感点，无重大生态制约因素。项目不占用基本农田，不存在移民搬迁安置问题。项目建成后，通过地面硬化工程，控制水土流失，对生态环境影响较小。</w:t>
            </w:r>
          </w:p>
          <w:p w14:paraId="0E92A642">
            <w:pPr>
              <w:adjustRightInd w:val="0"/>
              <w:snapToGrid w:val="0"/>
              <w:spacing w:line="360" w:lineRule="auto"/>
              <w:rPr>
                <w:rFonts w:ascii="Times New Roman" w:hAnsi="Times New Roman" w:cs="Times New Roman"/>
                <w:b/>
                <w:bCs/>
              </w:rPr>
            </w:pPr>
            <w:r>
              <w:rPr>
                <w:rFonts w:ascii="Times New Roman" w:hAnsi="Times New Roman" w:cs="Times New Roman"/>
                <w:b/>
                <w:bCs/>
              </w:rPr>
              <w:t>6、土壤和地下水环境影响分析及防护措施</w:t>
            </w:r>
          </w:p>
          <w:p w14:paraId="76FE3D96">
            <w:pPr>
              <w:adjustRightInd w:val="0"/>
              <w:snapToGrid w:val="0"/>
              <w:spacing w:line="360" w:lineRule="auto"/>
              <w:rPr>
                <w:rFonts w:ascii="Times New Roman" w:hAnsi="Times New Roman" w:cs="Times New Roman"/>
                <w:b/>
                <w:bCs/>
              </w:rPr>
            </w:pPr>
            <w:r>
              <w:rPr>
                <w:rFonts w:ascii="Times New Roman" w:hAnsi="Times New Roman" w:cs="Times New Roman"/>
                <w:b/>
                <w:bCs/>
              </w:rPr>
              <w:t>6.1土壤和地下水防护措施</w:t>
            </w:r>
          </w:p>
          <w:p w14:paraId="275E4E26">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（1）污染途径</w:t>
            </w:r>
          </w:p>
          <w:p w14:paraId="23082AAF">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从本项目的运营过程来看，若储罐区、装卸区汽油、柴油及其原料发生泄漏可能会对土壤和地下水造成污染。</w:t>
            </w:r>
          </w:p>
          <w:p w14:paraId="18E4CFDE">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（2）土壤和地下水影响分析</w:t>
            </w:r>
          </w:p>
          <w:p w14:paraId="248B27EF">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项目储罐区、装卸区等地面按要求进行严格分区防渗；因此运营期正常情况下不会对地下水及土壤环境产生影响。</w:t>
            </w:r>
          </w:p>
          <w:p w14:paraId="444AB36B">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（3）防渗分区及防渗要求</w:t>
            </w:r>
          </w:p>
          <w:p w14:paraId="08489591">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厂区根据《石油化工工程防渗技术规范》（GB/T50934-2013）等相关要求进行分区防渗。其中，储罐区、装卸区等区域进行重点防渗，</w:t>
            </w:r>
            <w:r>
              <w:rPr>
                <w:rFonts w:ascii="Times New Roman" w:hAnsi="Times New Roman" w:cs="Times New Roman"/>
                <w:color w:val="000000" w:themeColor="text1"/>
                <w:szCs w:val="21"/>
                <w14:textFill>
                  <w14:solidFill>
                    <w14:schemeClr w14:val="tx1"/>
                  </w14:solidFill>
                </w14:textFill>
              </w:rPr>
              <w:t>设计防渗层的防渗性能不低于6.0m厚渗透系数为1.0×10</w:t>
            </w:r>
            <w:r>
              <w:rPr>
                <w:rFonts w:ascii="Times New Roman" w:hAnsi="Times New Roman" w:cs="Times New Roman"/>
                <w:color w:val="000000" w:themeColor="text1"/>
                <w:szCs w:val="21"/>
                <w:vertAlign w:val="superscript"/>
                <w14:textFill>
                  <w14:solidFill>
                    <w14:schemeClr w14:val="tx1"/>
                  </w14:solidFill>
                </w14:textFill>
              </w:rPr>
              <w:t>-7</w:t>
            </w:r>
            <w:r>
              <w:rPr>
                <w:rFonts w:ascii="Times New Roman" w:hAnsi="Times New Roman" w:cs="Times New Roman"/>
                <w:color w:val="000000" w:themeColor="text1"/>
                <w:szCs w:val="21"/>
                <w14:textFill>
                  <w14:solidFill>
                    <w14:schemeClr w14:val="tx1"/>
                  </w14:solidFill>
                </w14:textFill>
              </w:rPr>
              <w:t>cm/s的粘土层的防渗性能。</w:t>
            </w:r>
          </w:p>
          <w:p w14:paraId="2FE68289">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在确保各项防渗措施得以落实，并加强维护和厂区环境管理的前提下，可有效控制罐区内的泄漏柴油无下渗现象，避免污染土壤和地下水，不会对区域地下水及土壤环境产生明显影响。</w:t>
            </w:r>
          </w:p>
          <w:p w14:paraId="12797434">
            <w:pPr>
              <w:adjustRightInd w:val="0"/>
              <w:snapToGrid w:val="0"/>
              <w:spacing w:line="360" w:lineRule="auto"/>
              <w:rPr>
                <w:rFonts w:ascii="Times New Roman" w:hAnsi="Times New Roman" w:cs="Times New Roman"/>
                <w:spacing w:val="-10"/>
              </w:rPr>
            </w:pPr>
            <w:r>
              <w:rPr>
                <w:rFonts w:ascii="Times New Roman" w:hAnsi="Times New Roman" w:cs="Times New Roman"/>
                <w:b/>
                <w:bCs/>
              </w:rPr>
              <w:t>6.2地下水监测</w:t>
            </w:r>
          </w:p>
          <w:p w14:paraId="761F2235">
            <w:pPr>
              <w:spacing w:line="360" w:lineRule="auto"/>
              <w:ind w:firstLine="480" w:firstLineChars="200"/>
              <w:textAlignment w:val="baseline"/>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本项目地下水环境监测主要参考《地下水环境监测技术规范》（HJ/T164-2020），依据地下水监测原则，结合区域水文地质条件，在厂区周边至少应设置三口（场地、地下水流向上游、下游）地下水水质监控井。</w:t>
            </w:r>
          </w:p>
          <w:p w14:paraId="6C037099">
            <w:pPr>
              <w:spacing w:line="360" w:lineRule="auto"/>
              <w:ind w:firstLine="480" w:firstLineChars="200"/>
              <w:textAlignment w:val="baseline"/>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监测项目：pH值、高锰酸盐指数、五日生化需氧量、氨氮、总氮、总磷、总有机碳、可吸附有机卤化物、总铅、总镉、总砷、总镍、总汞、烷基汞、总铬、六价铬、石油类、苯、甲苯、二甲苯。</w:t>
            </w:r>
          </w:p>
          <w:p w14:paraId="5B039BAF">
            <w:pPr>
              <w:spacing w:line="360" w:lineRule="auto"/>
              <w:ind w:firstLine="480" w:firstLineChars="200"/>
              <w:textAlignment w:val="baseline"/>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监测层位为孔隙潜水；监测频次：每年一次。</w:t>
            </w:r>
          </w:p>
          <w:p w14:paraId="6491C872">
            <w:pPr>
              <w:adjustRightInd w:val="0"/>
              <w:snapToGrid w:val="0"/>
              <w:ind w:firstLine="442" w:firstLineChars="200"/>
              <w:jc w:val="center"/>
              <w:rPr>
                <w:rFonts w:ascii="Times New Roman" w:hAnsi="Times New Roman" w:cs="Times New Roman"/>
                <w:b/>
                <w:spacing w:val="-10"/>
                <w:szCs w:val="21"/>
              </w:rPr>
            </w:pPr>
            <w:r>
              <w:rPr>
                <w:rFonts w:ascii="Times New Roman" w:hAnsi="Times New Roman" w:cs="Times New Roman"/>
                <w:b/>
                <w:spacing w:val="-10"/>
                <w:szCs w:val="21"/>
              </w:rPr>
              <w:t>表4-1</w:t>
            </w:r>
            <w:r>
              <w:rPr>
                <w:rFonts w:hint="eastAsia" w:ascii="Times New Roman" w:hAnsi="Times New Roman" w:cs="Times New Roman"/>
                <w:b/>
                <w:spacing w:val="-10"/>
                <w:szCs w:val="21"/>
              </w:rPr>
              <w:t>8</w:t>
            </w:r>
            <w:r>
              <w:rPr>
                <w:rFonts w:ascii="Times New Roman" w:hAnsi="Times New Roman" w:cs="Times New Roman"/>
                <w:b/>
                <w:spacing w:val="-10"/>
                <w:szCs w:val="21"/>
              </w:rPr>
              <w:t xml:space="preserve">  项目地下水跟踪监测计划</w:t>
            </w:r>
          </w:p>
          <w:tbl>
            <w:tblPr>
              <w:tblStyle w:val="17"/>
              <w:tblW w:w="7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1"/>
              <w:gridCol w:w="2364"/>
              <w:gridCol w:w="962"/>
              <w:gridCol w:w="701"/>
              <w:gridCol w:w="1539"/>
            </w:tblGrid>
            <w:tr w14:paraId="592C8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721" w:type="dxa"/>
                  <w:vAlign w:val="center"/>
                </w:tcPr>
                <w:p w14:paraId="21D61BBE">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r>
                    <w:rPr>
                      <w:rFonts w:ascii="Times New Roman" w:hAnsi="Times New Roman" w:cs="Times New Roman"/>
                      <w:bCs/>
                      <w:color w:val="000000" w:themeColor="text1"/>
                      <w:sz w:val="18"/>
                      <w:szCs w:val="18"/>
                      <w:u w:color="000000"/>
                      <w:lang w:bidi="en-US"/>
                      <w14:textFill>
                        <w14:solidFill>
                          <w14:schemeClr w14:val="tx1"/>
                        </w14:solidFill>
                      </w14:textFill>
                    </w:rPr>
                    <w:t>采样地点</w:t>
                  </w:r>
                </w:p>
              </w:tc>
              <w:tc>
                <w:tcPr>
                  <w:tcW w:w="2364" w:type="dxa"/>
                  <w:vAlign w:val="center"/>
                </w:tcPr>
                <w:p w14:paraId="2DF2FC40">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r>
                    <w:rPr>
                      <w:rFonts w:ascii="Times New Roman" w:hAnsi="Times New Roman" w:cs="Times New Roman"/>
                      <w:bCs/>
                      <w:color w:val="000000" w:themeColor="text1"/>
                      <w:sz w:val="18"/>
                      <w:szCs w:val="18"/>
                      <w:u w:color="000000"/>
                      <w:lang w:bidi="en-US"/>
                      <w14:textFill>
                        <w14:solidFill>
                          <w14:schemeClr w14:val="tx1"/>
                        </w14:solidFill>
                      </w14:textFill>
                    </w:rPr>
                    <w:t>坐标</w:t>
                  </w:r>
                </w:p>
              </w:tc>
              <w:tc>
                <w:tcPr>
                  <w:tcW w:w="962" w:type="dxa"/>
                  <w:vAlign w:val="center"/>
                </w:tcPr>
                <w:p w14:paraId="5DC3EDE1">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r>
                    <w:rPr>
                      <w:rFonts w:ascii="Times New Roman" w:hAnsi="Times New Roman" w:cs="Times New Roman"/>
                      <w:bCs/>
                      <w:color w:val="000000" w:themeColor="text1"/>
                      <w:sz w:val="18"/>
                      <w:szCs w:val="18"/>
                      <w:u w:color="000000"/>
                      <w:lang w:bidi="en-US"/>
                      <w14:textFill>
                        <w14:solidFill>
                          <w14:schemeClr w14:val="tx1"/>
                        </w14:solidFill>
                      </w14:textFill>
                    </w:rPr>
                    <w:t>距离</w:t>
                  </w:r>
                </w:p>
              </w:tc>
              <w:tc>
                <w:tcPr>
                  <w:tcW w:w="701" w:type="dxa"/>
                  <w:vAlign w:val="center"/>
                </w:tcPr>
                <w:p w14:paraId="4089A748">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r>
                    <w:rPr>
                      <w:rFonts w:ascii="Times New Roman" w:hAnsi="Times New Roman" w:cs="Times New Roman"/>
                      <w:bCs/>
                      <w:color w:val="000000" w:themeColor="text1"/>
                      <w:sz w:val="18"/>
                      <w:szCs w:val="18"/>
                      <w:u w:color="000000"/>
                      <w:lang w:bidi="en-US"/>
                      <w14:textFill>
                        <w14:solidFill>
                          <w14:schemeClr w14:val="tx1"/>
                        </w14:solidFill>
                      </w14:textFill>
                    </w:rPr>
                    <w:t>井深</w:t>
                  </w:r>
                </w:p>
              </w:tc>
              <w:tc>
                <w:tcPr>
                  <w:tcW w:w="1539" w:type="dxa"/>
                  <w:vAlign w:val="center"/>
                </w:tcPr>
                <w:p w14:paraId="7BE34720">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r>
                    <w:rPr>
                      <w:rFonts w:ascii="Times New Roman" w:hAnsi="Times New Roman" w:cs="Times New Roman"/>
                      <w:bCs/>
                      <w:color w:val="000000" w:themeColor="text1"/>
                      <w:sz w:val="18"/>
                      <w:szCs w:val="18"/>
                      <w:u w:color="000000"/>
                      <w:lang w:bidi="en-US"/>
                      <w14:textFill>
                        <w14:solidFill>
                          <w14:schemeClr w14:val="tx1"/>
                        </w14:solidFill>
                      </w14:textFill>
                    </w:rPr>
                    <w:t>备注</w:t>
                  </w:r>
                </w:p>
              </w:tc>
            </w:tr>
            <w:tr w14:paraId="24211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721" w:type="dxa"/>
                  <w:vAlign w:val="center"/>
                </w:tcPr>
                <w:p w14:paraId="0D37F92A">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r>
                    <w:rPr>
                      <w:rFonts w:ascii="Times New Roman" w:hAnsi="Times New Roman" w:cs="Times New Roman"/>
                      <w:bCs/>
                      <w:color w:val="000000" w:themeColor="text1"/>
                      <w:sz w:val="18"/>
                      <w:szCs w:val="18"/>
                      <w:u w:color="000000"/>
                      <w:lang w:bidi="en-US"/>
                      <w14:textFill>
                        <w14:solidFill>
                          <w14:schemeClr w14:val="tx1"/>
                        </w14:solidFill>
                      </w14:textFill>
                    </w:rPr>
                    <w:t>庆华化工公司厂内</w:t>
                  </w:r>
                </w:p>
              </w:tc>
              <w:tc>
                <w:tcPr>
                  <w:tcW w:w="2364" w:type="dxa"/>
                  <w:vAlign w:val="center"/>
                </w:tcPr>
                <w:p w14:paraId="3E7C3A1B">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p>
              </w:tc>
              <w:tc>
                <w:tcPr>
                  <w:tcW w:w="962" w:type="dxa"/>
                  <w:vAlign w:val="center"/>
                </w:tcPr>
                <w:p w14:paraId="3ECDF64D">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r>
                    <w:rPr>
                      <w:rFonts w:ascii="Times New Roman" w:hAnsi="Times New Roman" w:cs="Times New Roman"/>
                      <w:bCs/>
                      <w:color w:val="000000" w:themeColor="text1"/>
                      <w:sz w:val="18"/>
                      <w:szCs w:val="18"/>
                      <w:u w:color="000000"/>
                      <w:lang w:bidi="en-US"/>
                      <w14:textFill>
                        <w14:solidFill>
                          <w14:schemeClr w14:val="tx1"/>
                        </w14:solidFill>
                      </w14:textFill>
                    </w:rPr>
                    <w:t>0.5km</w:t>
                  </w:r>
                </w:p>
              </w:tc>
              <w:tc>
                <w:tcPr>
                  <w:tcW w:w="701" w:type="dxa"/>
                  <w:vAlign w:val="center"/>
                </w:tcPr>
                <w:p w14:paraId="7E6EAF4D">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r>
                    <w:rPr>
                      <w:rFonts w:ascii="Times New Roman" w:hAnsi="Times New Roman" w:cs="Times New Roman"/>
                      <w:bCs/>
                      <w:color w:val="000000" w:themeColor="text1"/>
                      <w:sz w:val="18"/>
                      <w:szCs w:val="18"/>
                      <w:u w:color="000000"/>
                      <w:lang w:bidi="en-US"/>
                      <w14:textFill>
                        <w14:solidFill>
                          <w14:schemeClr w14:val="tx1"/>
                        </w14:solidFill>
                      </w14:textFill>
                    </w:rPr>
                    <w:t>30m</w:t>
                  </w:r>
                </w:p>
              </w:tc>
              <w:tc>
                <w:tcPr>
                  <w:tcW w:w="1539" w:type="dxa"/>
                  <w:vAlign w:val="center"/>
                </w:tcPr>
                <w:p w14:paraId="77481A2D">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r>
                    <w:rPr>
                      <w:rFonts w:ascii="Times New Roman" w:hAnsi="Times New Roman" w:cs="Times New Roman"/>
                      <w:bCs/>
                      <w:color w:val="000000" w:themeColor="text1"/>
                      <w:sz w:val="18"/>
                      <w:szCs w:val="18"/>
                      <w:u w:color="000000"/>
                      <w:lang w:bidi="en-US"/>
                      <w14:textFill>
                        <w14:solidFill>
                          <w14:schemeClr w14:val="tx1"/>
                        </w14:solidFill>
                      </w14:textFill>
                    </w:rPr>
                    <w:t>现有地下水井</w:t>
                  </w:r>
                </w:p>
              </w:tc>
            </w:tr>
            <w:tr w14:paraId="5A48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721" w:type="dxa"/>
                  <w:vAlign w:val="center"/>
                </w:tcPr>
                <w:p w14:paraId="13D4B722">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r>
                    <w:rPr>
                      <w:rFonts w:ascii="Times New Roman" w:hAnsi="Times New Roman" w:cs="Times New Roman"/>
                      <w:bCs/>
                      <w:color w:val="000000" w:themeColor="text1"/>
                      <w:sz w:val="18"/>
                      <w:szCs w:val="18"/>
                      <w:u w:color="000000"/>
                      <w:lang w:bidi="en-US"/>
                      <w14:textFill>
                        <w14:solidFill>
                          <w14:schemeClr w14:val="tx1"/>
                        </w14:solidFill>
                      </w14:textFill>
                    </w:rPr>
                    <w:t>厂址</w:t>
                  </w:r>
                </w:p>
              </w:tc>
              <w:tc>
                <w:tcPr>
                  <w:tcW w:w="2364" w:type="dxa"/>
                  <w:vAlign w:val="center"/>
                </w:tcPr>
                <w:p w14:paraId="62824EC5">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p>
              </w:tc>
              <w:tc>
                <w:tcPr>
                  <w:tcW w:w="962" w:type="dxa"/>
                  <w:vAlign w:val="center"/>
                </w:tcPr>
                <w:p w14:paraId="3C14B6FB">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r>
                    <w:rPr>
                      <w:rFonts w:ascii="Times New Roman" w:hAnsi="Times New Roman" w:cs="Times New Roman"/>
                      <w:bCs/>
                      <w:color w:val="000000" w:themeColor="text1"/>
                      <w:sz w:val="18"/>
                      <w:szCs w:val="18"/>
                      <w:u w:color="000000"/>
                      <w:lang w:bidi="en-US"/>
                      <w14:textFill>
                        <w14:solidFill>
                          <w14:schemeClr w14:val="tx1"/>
                        </w14:solidFill>
                      </w14:textFill>
                    </w:rPr>
                    <w:t>/</w:t>
                  </w:r>
                </w:p>
              </w:tc>
              <w:tc>
                <w:tcPr>
                  <w:tcW w:w="701" w:type="dxa"/>
                  <w:vAlign w:val="center"/>
                </w:tcPr>
                <w:p w14:paraId="01BC85BE">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r>
                    <w:rPr>
                      <w:rFonts w:ascii="Times New Roman" w:hAnsi="Times New Roman" w:cs="Times New Roman"/>
                      <w:bCs/>
                      <w:color w:val="000000" w:themeColor="text1"/>
                      <w:sz w:val="18"/>
                      <w:szCs w:val="18"/>
                      <w:u w:color="000000"/>
                      <w:lang w:bidi="en-US"/>
                      <w14:textFill>
                        <w14:solidFill>
                          <w14:schemeClr w14:val="tx1"/>
                        </w14:solidFill>
                      </w14:textFill>
                    </w:rPr>
                    <w:t>/</w:t>
                  </w:r>
                </w:p>
              </w:tc>
              <w:tc>
                <w:tcPr>
                  <w:tcW w:w="1539" w:type="dxa"/>
                  <w:vAlign w:val="center"/>
                </w:tcPr>
                <w:p w14:paraId="3863733C">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r>
                    <w:rPr>
                      <w:rFonts w:ascii="Times New Roman" w:hAnsi="Times New Roman" w:cs="Times New Roman"/>
                      <w:bCs/>
                      <w:color w:val="000000" w:themeColor="text1"/>
                      <w:sz w:val="18"/>
                      <w:szCs w:val="18"/>
                      <w:u w:color="000000"/>
                      <w:lang w:bidi="en-US"/>
                      <w14:textFill>
                        <w14:solidFill>
                          <w14:schemeClr w14:val="tx1"/>
                        </w14:solidFill>
                      </w14:textFill>
                    </w:rPr>
                    <w:t>企业在厂内布设</w:t>
                  </w:r>
                </w:p>
              </w:tc>
            </w:tr>
            <w:tr w14:paraId="20E28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721" w:type="dxa"/>
                  <w:vAlign w:val="center"/>
                </w:tcPr>
                <w:p w14:paraId="5A463B9E">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r>
                    <w:rPr>
                      <w:rFonts w:ascii="Times New Roman" w:hAnsi="Times New Roman" w:cs="Times New Roman"/>
                      <w:bCs/>
                      <w:color w:val="000000" w:themeColor="text1"/>
                      <w:sz w:val="18"/>
                      <w:szCs w:val="18"/>
                      <w:u w:color="000000"/>
                      <w:lang w:bidi="en-US"/>
                      <w14:textFill>
                        <w14:solidFill>
                          <w14:schemeClr w14:val="tx1"/>
                        </w14:solidFill>
                      </w14:textFill>
                    </w:rPr>
                    <w:t>厂址西北侧</w:t>
                  </w:r>
                </w:p>
              </w:tc>
              <w:tc>
                <w:tcPr>
                  <w:tcW w:w="2364" w:type="dxa"/>
                  <w:vAlign w:val="center"/>
                </w:tcPr>
                <w:p w14:paraId="246B8493">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p>
              </w:tc>
              <w:tc>
                <w:tcPr>
                  <w:tcW w:w="962" w:type="dxa"/>
                  <w:vAlign w:val="center"/>
                </w:tcPr>
                <w:p w14:paraId="4BC9BADE">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r>
                    <w:rPr>
                      <w:rFonts w:ascii="Times New Roman" w:hAnsi="Times New Roman" w:cs="Times New Roman"/>
                      <w:bCs/>
                      <w:color w:val="000000" w:themeColor="text1"/>
                      <w:sz w:val="18"/>
                      <w:szCs w:val="18"/>
                      <w:u w:color="000000"/>
                      <w:lang w:bidi="en-US"/>
                      <w14:textFill>
                        <w14:solidFill>
                          <w14:schemeClr w14:val="tx1"/>
                        </w14:solidFill>
                      </w14:textFill>
                    </w:rPr>
                    <w:t>3.8 km</w:t>
                  </w:r>
                </w:p>
              </w:tc>
              <w:tc>
                <w:tcPr>
                  <w:tcW w:w="701" w:type="dxa"/>
                  <w:vAlign w:val="center"/>
                </w:tcPr>
                <w:p w14:paraId="1512AAB9">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r>
                    <w:rPr>
                      <w:rFonts w:ascii="Times New Roman" w:hAnsi="Times New Roman" w:cs="Times New Roman"/>
                      <w:bCs/>
                      <w:color w:val="000000" w:themeColor="text1"/>
                      <w:sz w:val="18"/>
                      <w:szCs w:val="18"/>
                      <w:u w:color="000000"/>
                      <w:lang w:bidi="en-US"/>
                      <w14:textFill>
                        <w14:solidFill>
                          <w14:schemeClr w14:val="tx1"/>
                        </w14:solidFill>
                      </w14:textFill>
                    </w:rPr>
                    <w:t>18m</w:t>
                  </w:r>
                </w:p>
              </w:tc>
              <w:tc>
                <w:tcPr>
                  <w:tcW w:w="1539" w:type="dxa"/>
                  <w:vAlign w:val="center"/>
                </w:tcPr>
                <w:p w14:paraId="082C270B">
                  <w:pPr>
                    <w:autoSpaceDE w:val="0"/>
                    <w:autoSpaceDN w:val="0"/>
                    <w:adjustRightInd w:val="0"/>
                    <w:jc w:val="center"/>
                    <w:rPr>
                      <w:rFonts w:ascii="Times New Roman" w:hAnsi="Times New Roman" w:cs="Times New Roman"/>
                      <w:bCs/>
                      <w:color w:val="000000" w:themeColor="text1"/>
                      <w:sz w:val="18"/>
                      <w:szCs w:val="18"/>
                      <w:u w:color="000000"/>
                      <w:lang w:bidi="en-US"/>
                      <w14:textFill>
                        <w14:solidFill>
                          <w14:schemeClr w14:val="tx1"/>
                        </w14:solidFill>
                      </w14:textFill>
                    </w:rPr>
                  </w:pPr>
                  <w:r>
                    <w:rPr>
                      <w:rFonts w:ascii="Times New Roman" w:hAnsi="Times New Roman" w:cs="Times New Roman"/>
                      <w:bCs/>
                      <w:color w:val="000000" w:themeColor="text1"/>
                      <w:sz w:val="18"/>
                      <w:szCs w:val="18"/>
                      <w:u w:color="000000"/>
                      <w:lang w:bidi="en-US"/>
                      <w14:textFill>
                        <w14:solidFill>
                          <w14:schemeClr w14:val="tx1"/>
                        </w14:solidFill>
                      </w14:textFill>
                    </w:rPr>
                    <w:t>现有地下水井</w:t>
                  </w:r>
                </w:p>
              </w:tc>
            </w:tr>
          </w:tbl>
          <w:p w14:paraId="12C3037F">
            <w:pPr>
              <w:adjustRightInd w:val="0"/>
              <w:snapToGrid w:val="0"/>
              <w:ind w:firstLine="442" w:firstLineChars="200"/>
              <w:jc w:val="center"/>
              <w:rPr>
                <w:rFonts w:ascii="Times New Roman" w:hAnsi="Times New Roman" w:cs="Times New Roman"/>
                <w:b/>
                <w:bCs/>
                <w:spacing w:val="-10"/>
              </w:rPr>
            </w:pPr>
          </w:p>
          <w:p w14:paraId="14731A8B">
            <w:pPr>
              <w:adjustRightInd w:val="0"/>
              <w:snapToGrid w:val="0"/>
              <w:spacing w:line="360" w:lineRule="auto"/>
              <w:rPr>
                <w:rFonts w:ascii="Times New Roman" w:hAnsi="Times New Roman" w:cs="Times New Roman"/>
                <w:b/>
                <w:bCs/>
                <w:spacing w:val="-10"/>
              </w:rPr>
            </w:pPr>
            <w:r>
              <w:rPr>
                <w:rFonts w:ascii="Times New Roman" w:hAnsi="Times New Roman" w:cs="Times New Roman"/>
                <w:b/>
                <w:bCs/>
                <w:spacing w:val="-10"/>
              </w:rPr>
              <w:t>7、全厂污染物产排分析</w:t>
            </w:r>
          </w:p>
          <w:p w14:paraId="507750F7">
            <w:pPr>
              <w:ind w:firstLine="480"/>
              <w:rPr>
                <w:rFonts w:ascii="Times New Roman" w:hAnsi="Times New Roman" w:cs="Times New Roman"/>
                <w:bCs/>
                <w:spacing w:val="-10"/>
                <w:highlight w:val="green"/>
              </w:rPr>
            </w:pPr>
            <w:r>
              <w:rPr>
                <w:rFonts w:ascii="Times New Roman" w:hAnsi="Times New Roman" w:cs="Times New Roman"/>
                <w:bCs/>
                <w:spacing w:val="-10"/>
              </w:rPr>
              <w:t>本项目建成后，全厂污染物“三本账”情况，见表4-1</w:t>
            </w:r>
            <w:r>
              <w:rPr>
                <w:rFonts w:hint="eastAsia" w:ascii="Times New Roman" w:hAnsi="Times New Roman" w:cs="Times New Roman"/>
                <w:bCs/>
                <w:spacing w:val="-10"/>
              </w:rPr>
              <w:t>9</w:t>
            </w:r>
            <w:r>
              <w:rPr>
                <w:rFonts w:ascii="Times New Roman" w:hAnsi="Times New Roman" w:cs="Times New Roman"/>
                <w:bCs/>
                <w:spacing w:val="-10"/>
              </w:rPr>
              <w:t>。</w:t>
            </w:r>
          </w:p>
          <w:p w14:paraId="627AA182">
            <w:pPr>
              <w:adjustRightInd w:val="0"/>
              <w:snapToGrid w:val="0"/>
              <w:ind w:firstLine="442" w:firstLineChars="200"/>
              <w:jc w:val="center"/>
              <w:rPr>
                <w:rFonts w:ascii="Times New Roman" w:hAnsi="Times New Roman" w:cs="Times New Roman"/>
              </w:rPr>
            </w:pPr>
            <w:r>
              <w:rPr>
                <w:rFonts w:ascii="Times New Roman" w:hAnsi="Times New Roman" w:cs="Times New Roman"/>
                <w:b/>
                <w:spacing w:val="-10"/>
                <w:szCs w:val="21"/>
              </w:rPr>
              <w:t>表4-1</w:t>
            </w:r>
            <w:r>
              <w:rPr>
                <w:rFonts w:hint="eastAsia" w:ascii="Times New Roman" w:hAnsi="Times New Roman" w:cs="Times New Roman"/>
                <w:b/>
                <w:spacing w:val="-10"/>
                <w:szCs w:val="21"/>
              </w:rPr>
              <w:t>9</w:t>
            </w:r>
            <w:r>
              <w:rPr>
                <w:rFonts w:ascii="Times New Roman" w:hAnsi="Times New Roman" w:cs="Times New Roman"/>
                <w:b/>
                <w:spacing w:val="-10"/>
                <w:szCs w:val="21"/>
              </w:rPr>
              <w:t xml:space="preserve">  全厂“三本账”   单位：t/a</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5"/>
              <w:gridCol w:w="346"/>
              <w:gridCol w:w="992"/>
              <w:gridCol w:w="961"/>
              <w:gridCol w:w="1027"/>
              <w:gridCol w:w="993"/>
              <w:gridCol w:w="850"/>
              <w:gridCol w:w="1134"/>
              <w:gridCol w:w="1276"/>
            </w:tblGrid>
            <w:tr w14:paraId="0A2F5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gridSpan w:val="2"/>
                  <w:vAlign w:val="center"/>
                </w:tcPr>
                <w:p w14:paraId="3C8DE0D6">
                  <w:pPr>
                    <w:pStyle w:val="78"/>
                    <w:rPr>
                      <w:rFonts w:cs="Times New Roman"/>
                      <w:color w:val="auto"/>
                      <w:szCs w:val="21"/>
                    </w:rPr>
                  </w:pPr>
                  <w:r>
                    <w:rPr>
                      <w:rFonts w:cs="Times New Roman"/>
                      <w:color w:val="auto"/>
                      <w:szCs w:val="21"/>
                    </w:rPr>
                    <w:t>污染</w:t>
                  </w:r>
                </w:p>
                <w:p w14:paraId="6B7B68DA">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因素</w:t>
                  </w:r>
                </w:p>
              </w:tc>
              <w:tc>
                <w:tcPr>
                  <w:tcW w:w="992" w:type="dxa"/>
                  <w:vAlign w:val="center"/>
                </w:tcPr>
                <w:p w14:paraId="32B79465">
                  <w:pPr>
                    <w:pStyle w:val="78"/>
                    <w:rPr>
                      <w:rFonts w:cs="Times New Roman"/>
                      <w:color w:val="auto"/>
                      <w:szCs w:val="21"/>
                    </w:rPr>
                  </w:pPr>
                  <w:r>
                    <w:rPr>
                      <w:rFonts w:cs="Times New Roman"/>
                      <w:color w:val="auto"/>
                      <w:szCs w:val="21"/>
                    </w:rPr>
                    <w:t>污染物</w:t>
                  </w:r>
                </w:p>
                <w:p w14:paraId="78725234">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名称</w:t>
                  </w:r>
                </w:p>
              </w:tc>
              <w:tc>
                <w:tcPr>
                  <w:tcW w:w="961" w:type="dxa"/>
                  <w:vAlign w:val="center"/>
                </w:tcPr>
                <w:p w14:paraId="54C87B04">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单位</w:t>
                  </w:r>
                </w:p>
              </w:tc>
              <w:tc>
                <w:tcPr>
                  <w:tcW w:w="1027" w:type="dxa"/>
                  <w:vAlign w:val="center"/>
                </w:tcPr>
                <w:p w14:paraId="2A243879">
                  <w:pPr>
                    <w:pStyle w:val="78"/>
                    <w:rPr>
                      <w:rFonts w:cs="Times New Roman"/>
                      <w:b/>
                      <w:bCs/>
                      <w:spacing w:val="-10"/>
                      <w:szCs w:val="21"/>
                    </w:rPr>
                  </w:pPr>
                  <w:r>
                    <w:rPr>
                      <w:rFonts w:hint="eastAsia" w:cs="Times New Roman"/>
                      <w:color w:val="auto"/>
                      <w:szCs w:val="21"/>
                    </w:rPr>
                    <w:t>一期工程</w:t>
                  </w:r>
                  <w:r>
                    <w:rPr>
                      <w:rFonts w:cs="Times New Roman"/>
                      <w:szCs w:val="21"/>
                    </w:rPr>
                    <w:t>排放量</w:t>
                  </w:r>
                </w:p>
              </w:tc>
              <w:tc>
                <w:tcPr>
                  <w:tcW w:w="993" w:type="dxa"/>
                  <w:vAlign w:val="center"/>
                </w:tcPr>
                <w:p w14:paraId="6C1C21C8">
                  <w:pPr>
                    <w:pStyle w:val="78"/>
                    <w:rPr>
                      <w:rFonts w:cs="Times New Roman"/>
                      <w:color w:val="auto"/>
                      <w:szCs w:val="21"/>
                    </w:rPr>
                  </w:pPr>
                  <w:r>
                    <w:rPr>
                      <w:rFonts w:cs="Times New Roman"/>
                      <w:color w:val="auto"/>
                      <w:szCs w:val="21"/>
                    </w:rPr>
                    <w:t>本项目</w:t>
                  </w:r>
                </w:p>
                <w:p w14:paraId="4A9742A3">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排放量</w:t>
                  </w:r>
                </w:p>
              </w:tc>
              <w:tc>
                <w:tcPr>
                  <w:tcW w:w="850" w:type="dxa"/>
                  <w:vAlign w:val="center"/>
                </w:tcPr>
                <w:p w14:paraId="1DD3A447">
                  <w:pPr>
                    <w:pStyle w:val="78"/>
                    <w:rPr>
                      <w:rFonts w:cs="Times New Roman"/>
                      <w:color w:val="auto"/>
                      <w:szCs w:val="21"/>
                    </w:rPr>
                  </w:pPr>
                  <w:r>
                    <w:rPr>
                      <w:rFonts w:cs="Times New Roman"/>
                      <w:color w:val="auto"/>
                      <w:szCs w:val="21"/>
                    </w:rPr>
                    <w:t>替代</w:t>
                  </w:r>
                </w:p>
                <w:p w14:paraId="27E44866">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削减量</w:t>
                  </w:r>
                </w:p>
              </w:tc>
              <w:tc>
                <w:tcPr>
                  <w:tcW w:w="1134" w:type="dxa"/>
                  <w:vAlign w:val="center"/>
                </w:tcPr>
                <w:p w14:paraId="51364873">
                  <w:pPr>
                    <w:pStyle w:val="78"/>
                    <w:rPr>
                      <w:rFonts w:cs="Times New Roman"/>
                      <w:color w:val="auto"/>
                      <w:szCs w:val="21"/>
                    </w:rPr>
                  </w:pPr>
                  <w:r>
                    <w:rPr>
                      <w:rFonts w:cs="Times New Roman"/>
                      <w:color w:val="auto"/>
                      <w:szCs w:val="21"/>
                    </w:rPr>
                    <w:t>全厂</w:t>
                  </w:r>
                </w:p>
                <w:p w14:paraId="32798027">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总排放量</w:t>
                  </w:r>
                </w:p>
              </w:tc>
              <w:tc>
                <w:tcPr>
                  <w:tcW w:w="1276" w:type="dxa"/>
                  <w:vAlign w:val="center"/>
                </w:tcPr>
                <w:p w14:paraId="7A612ECB">
                  <w:pPr>
                    <w:pStyle w:val="78"/>
                    <w:rPr>
                      <w:rFonts w:cs="Times New Roman"/>
                      <w:color w:val="auto"/>
                      <w:szCs w:val="21"/>
                    </w:rPr>
                  </w:pPr>
                  <w:r>
                    <w:rPr>
                      <w:rFonts w:cs="Times New Roman"/>
                      <w:color w:val="auto"/>
                      <w:szCs w:val="21"/>
                    </w:rPr>
                    <w:t>排放</w:t>
                  </w:r>
                </w:p>
                <w:p w14:paraId="7A3624D1">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增减量</w:t>
                  </w:r>
                </w:p>
              </w:tc>
            </w:tr>
            <w:tr w14:paraId="4CAD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restart"/>
                  <w:vAlign w:val="center"/>
                </w:tcPr>
                <w:p w14:paraId="0FCA65E0">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废气</w:t>
                  </w:r>
                </w:p>
              </w:tc>
              <w:tc>
                <w:tcPr>
                  <w:tcW w:w="346" w:type="dxa"/>
                  <w:vMerge w:val="restart"/>
                  <w:vAlign w:val="center"/>
                </w:tcPr>
                <w:p w14:paraId="56627DD6">
                  <w:pPr>
                    <w:adjustRightInd w:val="0"/>
                    <w:snapToGrid w:val="0"/>
                    <w:spacing w:line="360" w:lineRule="auto"/>
                    <w:jc w:val="center"/>
                    <w:rPr>
                      <w:rFonts w:ascii="Times New Roman" w:hAnsi="Times New Roman" w:cs="Times New Roman"/>
                      <w:spacing w:val="-10"/>
                      <w:sz w:val="21"/>
                      <w:szCs w:val="21"/>
                    </w:rPr>
                  </w:pPr>
                  <w:r>
                    <w:rPr>
                      <w:rFonts w:ascii="Times New Roman" w:hAnsi="Times New Roman" w:cs="Times New Roman"/>
                      <w:spacing w:val="-10"/>
                      <w:sz w:val="21"/>
                      <w:szCs w:val="21"/>
                    </w:rPr>
                    <w:t>有组织</w:t>
                  </w:r>
                </w:p>
              </w:tc>
              <w:tc>
                <w:tcPr>
                  <w:tcW w:w="992" w:type="dxa"/>
                  <w:vAlign w:val="center"/>
                </w:tcPr>
                <w:p w14:paraId="1B8261B2">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废气量</w:t>
                  </w:r>
                </w:p>
              </w:tc>
              <w:tc>
                <w:tcPr>
                  <w:tcW w:w="961" w:type="dxa"/>
                  <w:vAlign w:val="center"/>
                </w:tcPr>
                <w:p w14:paraId="73EAB32A">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万m³/a</w:t>
                  </w:r>
                </w:p>
              </w:tc>
              <w:tc>
                <w:tcPr>
                  <w:tcW w:w="1027" w:type="dxa"/>
                  <w:vAlign w:val="center"/>
                </w:tcPr>
                <w:p w14:paraId="0DE859BB">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bCs/>
                      <w:color w:val="000000" w:themeColor="text1"/>
                      <w:sz w:val="21"/>
                      <w:szCs w:val="21"/>
                      <w:u w:color="000000"/>
                      <w:lang w:bidi="en-US"/>
                      <w14:textFill>
                        <w14:solidFill>
                          <w14:schemeClr w14:val="tx1"/>
                        </w14:solidFill>
                      </w14:textFill>
                    </w:rPr>
                    <w:t>128870.52</w:t>
                  </w:r>
                </w:p>
              </w:tc>
              <w:tc>
                <w:tcPr>
                  <w:tcW w:w="993" w:type="dxa"/>
                  <w:vAlign w:val="center"/>
                </w:tcPr>
                <w:p w14:paraId="25C71DFF">
                  <w:pPr>
                    <w:adjustRightInd w:val="0"/>
                    <w:snapToGrid w:val="0"/>
                    <w:spacing w:line="360" w:lineRule="auto"/>
                    <w:jc w:val="center"/>
                    <w:rPr>
                      <w:rFonts w:ascii="Times New Roman" w:hAnsi="Times New Roman" w:cs="Times New Roman"/>
                      <w:spacing w:val="-10"/>
                      <w:sz w:val="21"/>
                      <w:szCs w:val="21"/>
                    </w:rPr>
                  </w:pPr>
                  <w:r>
                    <w:rPr>
                      <w:rFonts w:ascii="Times New Roman" w:hAnsi="Times New Roman" w:cs="Times New Roman"/>
                      <w:spacing w:val="-10"/>
                      <w:sz w:val="21"/>
                      <w:szCs w:val="21"/>
                    </w:rPr>
                    <w:t>15219.2</w:t>
                  </w:r>
                </w:p>
              </w:tc>
              <w:tc>
                <w:tcPr>
                  <w:tcW w:w="850" w:type="dxa"/>
                  <w:vAlign w:val="center"/>
                </w:tcPr>
                <w:p w14:paraId="62D688EA">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0</w:t>
                  </w:r>
                </w:p>
              </w:tc>
              <w:tc>
                <w:tcPr>
                  <w:tcW w:w="1134" w:type="dxa"/>
                  <w:vAlign w:val="center"/>
                </w:tcPr>
                <w:p w14:paraId="10DEB5D4">
                  <w:pPr>
                    <w:adjustRightInd w:val="0"/>
                    <w:snapToGrid w:val="0"/>
                    <w:spacing w:line="360" w:lineRule="auto"/>
                    <w:jc w:val="center"/>
                    <w:rPr>
                      <w:rFonts w:ascii="Times New Roman" w:hAnsi="Times New Roman" w:cs="Times New Roman"/>
                      <w:spacing w:val="-10"/>
                      <w:sz w:val="21"/>
                      <w:szCs w:val="21"/>
                    </w:rPr>
                  </w:pPr>
                  <w:r>
                    <w:rPr>
                      <w:rFonts w:hint="eastAsia" w:ascii="Times New Roman" w:hAnsi="Times New Roman" w:cs="Times New Roman"/>
                      <w:spacing w:val="-10"/>
                      <w:sz w:val="21"/>
                      <w:szCs w:val="21"/>
                    </w:rPr>
                    <w:t>144089.72</w:t>
                  </w:r>
                </w:p>
              </w:tc>
              <w:tc>
                <w:tcPr>
                  <w:tcW w:w="1276" w:type="dxa"/>
                  <w:vAlign w:val="center"/>
                </w:tcPr>
                <w:p w14:paraId="4AF24E2C">
                  <w:pPr>
                    <w:adjustRightInd w:val="0"/>
                    <w:snapToGrid w:val="0"/>
                    <w:spacing w:line="360" w:lineRule="auto"/>
                    <w:jc w:val="center"/>
                    <w:rPr>
                      <w:rFonts w:ascii="Times New Roman" w:hAnsi="Times New Roman" w:cs="Times New Roman"/>
                      <w:b/>
                      <w:bCs/>
                      <w:spacing w:val="-10"/>
                      <w:sz w:val="21"/>
                      <w:szCs w:val="21"/>
                    </w:rPr>
                  </w:pPr>
                  <w:r>
                    <w:rPr>
                      <w:rFonts w:hint="eastAsia" w:ascii="Times New Roman" w:hAnsi="Times New Roman" w:cs="Times New Roman"/>
                      <w:sz w:val="21"/>
                      <w:szCs w:val="21"/>
                    </w:rPr>
                    <w:t>+</w:t>
                  </w:r>
                  <w:r>
                    <w:rPr>
                      <w:rFonts w:ascii="Times New Roman" w:hAnsi="Times New Roman" w:cs="Times New Roman"/>
                      <w:sz w:val="21"/>
                      <w:szCs w:val="21"/>
                    </w:rPr>
                    <w:t>15219.2</w:t>
                  </w:r>
                </w:p>
              </w:tc>
            </w:tr>
            <w:tr w14:paraId="77AC0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continue"/>
                  <w:vAlign w:val="center"/>
                </w:tcPr>
                <w:p w14:paraId="0B3213EC">
                  <w:pPr>
                    <w:adjustRightInd w:val="0"/>
                    <w:snapToGrid w:val="0"/>
                    <w:spacing w:line="360" w:lineRule="auto"/>
                    <w:jc w:val="center"/>
                    <w:rPr>
                      <w:rFonts w:ascii="Times New Roman" w:hAnsi="Times New Roman" w:cs="Times New Roman"/>
                      <w:b/>
                      <w:bCs/>
                      <w:spacing w:val="-10"/>
                      <w:sz w:val="21"/>
                      <w:szCs w:val="21"/>
                    </w:rPr>
                  </w:pPr>
                </w:p>
              </w:tc>
              <w:tc>
                <w:tcPr>
                  <w:tcW w:w="346" w:type="dxa"/>
                  <w:vMerge w:val="continue"/>
                  <w:vAlign w:val="center"/>
                </w:tcPr>
                <w:p w14:paraId="4161E0A0">
                  <w:pPr>
                    <w:adjustRightInd w:val="0"/>
                    <w:snapToGrid w:val="0"/>
                    <w:spacing w:line="360" w:lineRule="auto"/>
                    <w:jc w:val="center"/>
                    <w:rPr>
                      <w:rFonts w:ascii="Times New Roman" w:hAnsi="Times New Roman" w:cs="Times New Roman"/>
                      <w:spacing w:val="-10"/>
                      <w:sz w:val="21"/>
                      <w:szCs w:val="21"/>
                    </w:rPr>
                  </w:pPr>
                </w:p>
              </w:tc>
              <w:tc>
                <w:tcPr>
                  <w:tcW w:w="992" w:type="dxa"/>
                  <w:vAlign w:val="center"/>
                </w:tcPr>
                <w:p w14:paraId="62F34306">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H</w:t>
                  </w:r>
                  <w:r>
                    <w:rPr>
                      <w:rFonts w:ascii="Times New Roman" w:hAnsi="Times New Roman" w:cs="Times New Roman"/>
                      <w:color w:val="000000" w:themeColor="text1"/>
                      <w:sz w:val="21"/>
                      <w:szCs w:val="21"/>
                      <w:vertAlign w:val="subscript"/>
                      <w14:textFill>
                        <w14:solidFill>
                          <w14:schemeClr w14:val="tx1"/>
                        </w14:solidFill>
                      </w14:textFill>
                    </w:rPr>
                    <w:t>2</w:t>
                  </w:r>
                  <w:r>
                    <w:rPr>
                      <w:rFonts w:ascii="Times New Roman" w:hAnsi="Times New Roman" w:cs="Times New Roman"/>
                      <w:color w:val="000000" w:themeColor="text1"/>
                      <w:sz w:val="21"/>
                      <w:szCs w:val="21"/>
                      <w14:textFill>
                        <w14:solidFill>
                          <w14:schemeClr w14:val="tx1"/>
                        </w14:solidFill>
                      </w14:textFill>
                    </w:rPr>
                    <w:t>S</w:t>
                  </w:r>
                </w:p>
              </w:tc>
              <w:tc>
                <w:tcPr>
                  <w:tcW w:w="961" w:type="dxa"/>
                  <w:vAlign w:val="center"/>
                </w:tcPr>
                <w:p w14:paraId="295F2269">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t/a</w:t>
                  </w:r>
                </w:p>
              </w:tc>
              <w:tc>
                <w:tcPr>
                  <w:tcW w:w="1027" w:type="dxa"/>
                  <w:vAlign w:val="center"/>
                </w:tcPr>
                <w:p w14:paraId="41B7D8D5">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0.32</w:t>
                  </w:r>
                </w:p>
              </w:tc>
              <w:tc>
                <w:tcPr>
                  <w:tcW w:w="993" w:type="dxa"/>
                  <w:vAlign w:val="center"/>
                </w:tcPr>
                <w:p w14:paraId="4506302E">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0</w:t>
                  </w:r>
                </w:p>
              </w:tc>
              <w:tc>
                <w:tcPr>
                  <w:tcW w:w="850" w:type="dxa"/>
                  <w:vAlign w:val="center"/>
                </w:tcPr>
                <w:p w14:paraId="19733585">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0</w:t>
                  </w:r>
                </w:p>
              </w:tc>
              <w:tc>
                <w:tcPr>
                  <w:tcW w:w="1134" w:type="dxa"/>
                  <w:vAlign w:val="center"/>
                </w:tcPr>
                <w:p w14:paraId="6669AA69">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0.32</w:t>
                  </w:r>
                </w:p>
              </w:tc>
              <w:tc>
                <w:tcPr>
                  <w:tcW w:w="1276" w:type="dxa"/>
                  <w:vAlign w:val="center"/>
                </w:tcPr>
                <w:p w14:paraId="7EBB6F5C">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0</w:t>
                  </w:r>
                </w:p>
              </w:tc>
            </w:tr>
            <w:tr w14:paraId="0278E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continue"/>
                  <w:vAlign w:val="center"/>
                </w:tcPr>
                <w:p w14:paraId="00A5AB94">
                  <w:pPr>
                    <w:adjustRightInd w:val="0"/>
                    <w:snapToGrid w:val="0"/>
                    <w:spacing w:line="360" w:lineRule="auto"/>
                    <w:jc w:val="center"/>
                    <w:rPr>
                      <w:rFonts w:ascii="Times New Roman" w:hAnsi="Times New Roman" w:cs="Times New Roman"/>
                      <w:b/>
                      <w:bCs/>
                      <w:spacing w:val="-10"/>
                      <w:sz w:val="21"/>
                      <w:szCs w:val="21"/>
                    </w:rPr>
                  </w:pPr>
                </w:p>
              </w:tc>
              <w:tc>
                <w:tcPr>
                  <w:tcW w:w="346" w:type="dxa"/>
                  <w:vMerge w:val="continue"/>
                  <w:vAlign w:val="center"/>
                </w:tcPr>
                <w:p w14:paraId="1DB6BBC6">
                  <w:pPr>
                    <w:adjustRightInd w:val="0"/>
                    <w:snapToGrid w:val="0"/>
                    <w:spacing w:line="360" w:lineRule="auto"/>
                    <w:jc w:val="center"/>
                    <w:rPr>
                      <w:rFonts w:ascii="Times New Roman" w:hAnsi="Times New Roman" w:cs="Times New Roman"/>
                      <w:spacing w:val="-10"/>
                      <w:sz w:val="21"/>
                      <w:szCs w:val="21"/>
                    </w:rPr>
                  </w:pPr>
                </w:p>
              </w:tc>
              <w:tc>
                <w:tcPr>
                  <w:tcW w:w="992" w:type="dxa"/>
                  <w:vAlign w:val="center"/>
                </w:tcPr>
                <w:p w14:paraId="064E529B">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NH</w:t>
                  </w:r>
                  <w:r>
                    <w:rPr>
                      <w:rFonts w:ascii="Times New Roman" w:hAnsi="Times New Roman" w:cs="Times New Roman"/>
                      <w:color w:val="000000" w:themeColor="text1"/>
                      <w:sz w:val="21"/>
                      <w:szCs w:val="21"/>
                      <w:vertAlign w:val="subscript"/>
                      <w14:textFill>
                        <w14:solidFill>
                          <w14:schemeClr w14:val="tx1"/>
                        </w14:solidFill>
                      </w14:textFill>
                    </w:rPr>
                    <w:t>3</w:t>
                  </w:r>
                </w:p>
              </w:tc>
              <w:tc>
                <w:tcPr>
                  <w:tcW w:w="961" w:type="dxa"/>
                  <w:vAlign w:val="center"/>
                </w:tcPr>
                <w:p w14:paraId="05C3B637">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t/a</w:t>
                  </w:r>
                </w:p>
              </w:tc>
              <w:tc>
                <w:tcPr>
                  <w:tcW w:w="1027" w:type="dxa"/>
                  <w:vAlign w:val="center"/>
                </w:tcPr>
                <w:p w14:paraId="40320E68">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0.21</w:t>
                  </w:r>
                </w:p>
              </w:tc>
              <w:tc>
                <w:tcPr>
                  <w:tcW w:w="993" w:type="dxa"/>
                  <w:vAlign w:val="center"/>
                </w:tcPr>
                <w:p w14:paraId="5B5F8EFC">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0</w:t>
                  </w:r>
                </w:p>
              </w:tc>
              <w:tc>
                <w:tcPr>
                  <w:tcW w:w="850" w:type="dxa"/>
                  <w:vAlign w:val="center"/>
                </w:tcPr>
                <w:p w14:paraId="7BFD4644">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0</w:t>
                  </w:r>
                </w:p>
              </w:tc>
              <w:tc>
                <w:tcPr>
                  <w:tcW w:w="1134" w:type="dxa"/>
                  <w:vAlign w:val="center"/>
                </w:tcPr>
                <w:p w14:paraId="71BF3933">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0.21</w:t>
                  </w:r>
                </w:p>
              </w:tc>
              <w:tc>
                <w:tcPr>
                  <w:tcW w:w="1276" w:type="dxa"/>
                  <w:vAlign w:val="center"/>
                </w:tcPr>
                <w:p w14:paraId="5002475F">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0</w:t>
                  </w:r>
                </w:p>
              </w:tc>
            </w:tr>
            <w:tr w14:paraId="6F0BF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continue"/>
                  <w:vAlign w:val="center"/>
                </w:tcPr>
                <w:p w14:paraId="257C8AC1">
                  <w:pPr>
                    <w:adjustRightInd w:val="0"/>
                    <w:snapToGrid w:val="0"/>
                    <w:spacing w:line="360" w:lineRule="auto"/>
                    <w:jc w:val="center"/>
                    <w:rPr>
                      <w:rFonts w:ascii="Times New Roman" w:hAnsi="Times New Roman" w:cs="Times New Roman"/>
                      <w:b/>
                      <w:bCs/>
                      <w:spacing w:val="-10"/>
                      <w:sz w:val="21"/>
                      <w:szCs w:val="21"/>
                    </w:rPr>
                  </w:pPr>
                </w:p>
              </w:tc>
              <w:tc>
                <w:tcPr>
                  <w:tcW w:w="346" w:type="dxa"/>
                  <w:vMerge w:val="continue"/>
                  <w:vAlign w:val="center"/>
                </w:tcPr>
                <w:p w14:paraId="74137839">
                  <w:pPr>
                    <w:adjustRightInd w:val="0"/>
                    <w:snapToGrid w:val="0"/>
                    <w:spacing w:line="360" w:lineRule="auto"/>
                    <w:jc w:val="center"/>
                    <w:rPr>
                      <w:rFonts w:ascii="Times New Roman" w:hAnsi="Times New Roman" w:cs="Times New Roman"/>
                      <w:spacing w:val="-10"/>
                      <w:sz w:val="21"/>
                      <w:szCs w:val="21"/>
                    </w:rPr>
                  </w:pPr>
                </w:p>
              </w:tc>
              <w:tc>
                <w:tcPr>
                  <w:tcW w:w="992" w:type="dxa"/>
                  <w:vAlign w:val="center"/>
                </w:tcPr>
                <w:p w14:paraId="29F8265C">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NMHC</w:t>
                  </w:r>
                </w:p>
              </w:tc>
              <w:tc>
                <w:tcPr>
                  <w:tcW w:w="961" w:type="dxa"/>
                  <w:vAlign w:val="center"/>
                </w:tcPr>
                <w:p w14:paraId="2FE4675F">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t/a</w:t>
                  </w:r>
                </w:p>
              </w:tc>
              <w:tc>
                <w:tcPr>
                  <w:tcW w:w="1027" w:type="dxa"/>
                  <w:vAlign w:val="center"/>
                </w:tcPr>
                <w:p w14:paraId="685E7A15">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8.30</w:t>
                  </w:r>
                </w:p>
              </w:tc>
              <w:tc>
                <w:tcPr>
                  <w:tcW w:w="993" w:type="dxa"/>
                  <w:vAlign w:val="center"/>
                </w:tcPr>
                <w:p w14:paraId="0B7E57EA">
                  <w:pPr>
                    <w:adjustRightInd w:val="0"/>
                    <w:snapToGrid w:val="0"/>
                    <w:spacing w:line="360" w:lineRule="auto"/>
                    <w:jc w:val="center"/>
                    <w:rPr>
                      <w:rFonts w:ascii="Times New Roman" w:hAnsi="Times New Roman" w:cs="Times New Roman"/>
                      <w:spacing w:val="-10"/>
                      <w:sz w:val="21"/>
                      <w:szCs w:val="21"/>
                    </w:rPr>
                  </w:pPr>
                  <w:r>
                    <w:rPr>
                      <w:rFonts w:hint="eastAsia" w:ascii="Times New Roman" w:hAnsi="Times New Roman" w:cs="Times New Roman"/>
                      <w:spacing w:val="-10"/>
                      <w:sz w:val="21"/>
                      <w:szCs w:val="21"/>
                    </w:rPr>
                    <w:t>13.6</w:t>
                  </w:r>
                </w:p>
              </w:tc>
              <w:tc>
                <w:tcPr>
                  <w:tcW w:w="850" w:type="dxa"/>
                  <w:vAlign w:val="center"/>
                </w:tcPr>
                <w:p w14:paraId="08FF6F26">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0</w:t>
                  </w:r>
                </w:p>
              </w:tc>
              <w:tc>
                <w:tcPr>
                  <w:tcW w:w="1134" w:type="dxa"/>
                  <w:vAlign w:val="center"/>
                </w:tcPr>
                <w:p w14:paraId="20D58462">
                  <w:pPr>
                    <w:adjustRightInd w:val="0"/>
                    <w:snapToGrid w:val="0"/>
                    <w:spacing w:line="360" w:lineRule="auto"/>
                    <w:jc w:val="center"/>
                    <w:rPr>
                      <w:rFonts w:ascii="Times New Roman" w:hAnsi="Times New Roman" w:cs="Times New Roman"/>
                      <w:spacing w:val="-10"/>
                      <w:sz w:val="21"/>
                      <w:szCs w:val="21"/>
                    </w:rPr>
                  </w:pPr>
                  <w:r>
                    <w:rPr>
                      <w:rFonts w:hint="eastAsia" w:ascii="Times New Roman" w:hAnsi="Times New Roman" w:cs="Times New Roman"/>
                      <w:spacing w:val="-10"/>
                      <w:sz w:val="21"/>
                      <w:szCs w:val="21"/>
                    </w:rPr>
                    <w:t>21.9</w:t>
                  </w:r>
                </w:p>
              </w:tc>
              <w:tc>
                <w:tcPr>
                  <w:tcW w:w="1276" w:type="dxa"/>
                  <w:vAlign w:val="center"/>
                </w:tcPr>
                <w:p w14:paraId="3A447367">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w:t>
                  </w:r>
                  <w:r>
                    <w:rPr>
                      <w:rFonts w:hint="eastAsia" w:ascii="Times New Roman" w:hAnsi="Times New Roman" w:cs="Times New Roman"/>
                      <w:sz w:val="21"/>
                      <w:szCs w:val="21"/>
                    </w:rPr>
                    <w:t>13.6</w:t>
                  </w:r>
                </w:p>
              </w:tc>
            </w:tr>
            <w:tr w14:paraId="69F79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continue"/>
                  <w:vAlign w:val="center"/>
                </w:tcPr>
                <w:p w14:paraId="2D93C3DC">
                  <w:pPr>
                    <w:adjustRightInd w:val="0"/>
                    <w:snapToGrid w:val="0"/>
                    <w:spacing w:line="360" w:lineRule="auto"/>
                    <w:jc w:val="center"/>
                    <w:rPr>
                      <w:rFonts w:ascii="Times New Roman" w:hAnsi="Times New Roman" w:cs="Times New Roman"/>
                      <w:b/>
                      <w:bCs/>
                      <w:spacing w:val="-10"/>
                      <w:sz w:val="21"/>
                      <w:szCs w:val="21"/>
                    </w:rPr>
                  </w:pPr>
                </w:p>
              </w:tc>
              <w:tc>
                <w:tcPr>
                  <w:tcW w:w="346" w:type="dxa"/>
                  <w:vMerge w:val="continue"/>
                  <w:vAlign w:val="center"/>
                </w:tcPr>
                <w:p w14:paraId="39AB0A40">
                  <w:pPr>
                    <w:adjustRightInd w:val="0"/>
                    <w:snapToGrid w:val="0"/>
                    <w:spacing w:line="360" w:lineRule="auto"/>
                    <w:jc w:val="center"/>
                    <w:rPr>
                      <w:rFonts w:ascii="Times New Roman" w:hAnsi="Times New Roman" w:cs="Times New Roman"/>
                      <w:spacing w:val="-10"/>
                      <w:sz w:val="21"/>
                      <w:szCs w:val="21"/>
                    </w:rPr>
                  </w:pPr>
                </w:p>
              </w:tc>
              <w:tc>
                <w:tcPr>
                  <w:tcW w:w="992" w:type="dxa"/>
                  <w:vAlign w:val="center"/>
                </w:tcPr>
                <w:p w14:paraId="71B4FBB5">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NO</w:t>
                  </w:r>
                  <w:r>
                    <w:rPr>
                      <w:rFonts w:ascii="Times New Roman" w:hAnsi="Times New Roman" w:cs="Times New Roman"/>
                      <w:color w:val="000000" w:themeColor="text1"/>
                      <w:sz w:val="21"/>
                      <w:szCs w:val="21"/>
                      <w:vertAlign w:val="subscript"/>
                      <w14:textFill>
                        <w14:solidFill>
                          <w14:schemeClr w14:val="tx1"/>
                        </w14:solidFill>
                      </w14:textFill>
                    </w:rPr>
                    <w:t>X</w:t>
                  </w:r>
                </w:p>
              </w:tc>
              <w:tc>
                <w:tcPr>
                  <w:tcW w:w="961" w:type="dxa"/>
                  <w:vAlign w:val="center"/>
                </w:tcPr>
                <w:p w14:paraId="47295360">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t/a</w:t>
                  </w:r>
                </w:p>
              </w:tc>
              <w:tc>
                <w:tcPr>
                  <w:tcW w:w="1027" w:type="dxa"/>
                  <w:vAlign w:val="center"/>
                </w:tcPr>
                <w:p w14:paraId="17707733">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54.36</w:t>
                  </w:r>
                </w:p>
              </w:tc>
              <w:tc>
                <w:tcPr>
                  <w:tcW w:w="993" w:type="dxa"/>
                  <w:vAlign w:val="center"/>
                </w:tcPr>
                <w:p w14:paraId="50999387">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0</w:t>
                  </w:r>
                </w:p>
              </w:tc>
              <w:tc>
                <w:tcPr>
                  <w:tcW w:w="850" w:type="dxa"/>
                  <w:vAlign w:val="center"/>
                </w:tcPr>
                <w:p w14:paraId="2EBD7E22">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0</w:t>
                  </w:r>
                </w:p>
              </w:tc>
              <w:tc>
                <w:tcPr>
                  <w:tcW w:w="1134" w:type="dxa"/>
                  <w:vAlign w:val="center"/>
                </w:tcPr>
                <w:p w14:paraId="30EF140A">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54.36</w:t>
                  </w:r>
                </w:p>
              </w:tc>
              <w:tc>
                <w:tcPr>
                  <w:tcW w:w="1276" w:type="dxa"/>
                  <w:vAlign w:val="center"/>
                </w:tcPr>
                <w:p w14:paraId="5EE09D18">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0</w:t>
                  </w:r>
                </w:p>
              </w:tc>
            </w:tr>
            <w:tr w14:paraId="3B982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continue"/>
                  <w:vAlign w:val="center"/>
                </w:tcPr>
                <w:p w14:paraId="047E007D">
                  <w:pPr>
                    <w:adjustRightInd w:val="0"/>
                    <w:snapToGrid w:val="0"/>
                    <w:spacing w:line="360" w:lineRule="auto"/>
                    <w:jc w:val="center"/>
                    <w:rPr>
                      <w:rFonts w:ascii="Times New Roman" w:hAnsi="Times New Roman" w:cs="Times New Roman"/>
                      <w:b/>
                      <w:bCs/>
                      <w:spacing w:val="-10"/>
                      <w:sz w:val="21"/>
                      <w:szCs w:val="21"/>
                    </w:rPr>
                  </w:pPr>
                </w:p>
              </w:tc>
              <w:tc>
                <w:tcPr>
                  <w:tcW w:w="346" w:type="dxa"/>
                  <w:vMerge w:val="continue"/>
                  <w:vAlign w:val="center"/>
                </w:tcPr>
                <w:p w14:paraId="5B59746C">
                  <w:pPr>
                    <w:adjustRightInd w:val="0"/>
                    <w:snapToGrid w:val="0"/>
                    <w:spacing w:line="360" w:lineRule="auto"/>
                    <w:jc w:val="center"/>
                    <w:rPr>
                      <w:rFonts w:ascii="Times New Roman" w:hAnsi="Times New Roman" w:cs="Times New Roman"/>
                      <w:spacing w:val="-10"/>
                      <w:sz w:val="21"/>
                      <w:szCs w:val="21"/>
                    </w:rPr>
                  </w:pPr>
                </w:p>
              </w:tc>
              <w:tc>
                <w:tcPr>
                  <w:tcW w:w="992" w:type="dxa"/>
                  <w:vAlign w:val="center"/>
                </w:tcPr>
                <w:p w14:paraId="11D445F4">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SO</w:t>
                  </w:r>
                  <w:r>
                    <w:rPr>
                      <w:rFonts w:ascii="Times New Roman" w:hAnsi="Times New Roman" w:cs="Times New Roman"/>
                      <w:color w:val="000000" w:themeColor="text1"/>
                      <w:sz w:val="21"/>
                      <w:szCs w:val="21"/>
                      <w:vertAlign w:val="subscript"/>
                      <w14:textFill>
                        <w14:solidFill>
                          <w14:schemeClr w14:val="tx1"/>
                        </w14:solidFill>
                      </w14:textFill>
                    </w:rPr>
                    <w:t>2</w:t>
                  </w:r>
                </w:p>
              </w:tc>
              <w:tc>
                <w:tcPr>
                  <w:tcW w:w="961" w:type="dxa"/>
                  <w:vAlign w:val="center"/>
                </w:tcPr>
                <w:p w14:paraId="178C58A4">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t/a</w:t>
                  </w:r>
                </w:p>
              </w:tc>
              <w:tc>
                <w:tcPr>
                  <w:tcW w:w="1027" w:type="dxa"/>
                  <w:vAlign w:val="center"/>
                </w:tcPr>
                <w:p w14:paraId="7E314B7D">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2.42</w:t>
                  </w:r>
                </w:p>
              </w:tc>
              <w:tc>
                <w:tcPr>
                  <w:tcW w:w="993" w:type="dxa"/>
                  <w:vAlign w:val="center"/>
                </w:tcPr>
                <w:p w14:paraId="4429F84A">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0</w:t>
                  </w:r>
                </w:p>
              </w:tc>
              <w:tc>
                <w:tcPr>
                  <w:tcW w:w="850" w:type="dxa"/>
                  <w:vAlign w:val="center"/>
                </w:tcPr>
                <w:p w14:paraId="19270EB8">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0</w:t>
                  </w:r>
                </w:p>
              </w:tc>
              <w:tc>
                <w:tcPr>
                  <w:tcW w:w="1134" w:type="dxa"/>
                  <w:vAlign w:val="center"/>
                </w:tcPr>
                <w:p w14:paraId="7BF31261">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2.42</w:t>
                  </w:r>
                </w:p>
              </w:tc>
              <w:tc>
                <w:tcPr>
                  <w:tcW w:w="1276" w:type="dxa"/>
                  <w:vAlign w:val="center"/>
                </w:tcPr>
                <w:p w14:paraId="3714FF70">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0</w:t>
                  </w:r>
                </w:p>
              </w:tc>
            </w:tr>
            <w:tr w14:paraId="6788B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continue"/>
                  <w:vAlign w:val="center"/>
                </w:tcPr>
                <w:p w14:paraId="23AD78E2">
                  <w:pPr>
                    <w:adjustRightInd w:val="0"/>
                    <w:snapToGrid w:val="0"/>
                    <w:spacing w:line="360" w:lineRule="auto"/>
                    <w:jc w:val="center"/>
                    <w:rPr>
                      <w:rFonts w:ascii="Times New Roman" w:hAnsi="Times New Roman" w:cs="Times New Roman"/>
                      <w:b/>
                      <w:bCs/>
                      <w:spacing w:val="-10"/>
                      <w:sz w:val="21"/>
                      <w:szCs w:val="21"/>
                    </w:rPr>
                  </w:pPr>
                </w:p>
              </w:tc>
              <w:tc>
                <w:tcPr>
                  <w:tcW w:w="346" w:type="dxa"/>
                  <w:vMerge w:val="continue"/>
                  <w:vAlign w:val="center"/>
                </w:tcPr>
                <w:p w14:paraId="5799CCCA">
                  <w:pPr>
                    <w:adjustRightInd w:val="0"/>
                    <w:snapToGrid w:val="0"/>
                    <w:spacing w:line="360" w:lineRule="auto"/>
                    <w:jc w:val="center"/>
                    <w:rPr>
                      <w:rFonts w:ascii="Times New Roman" w:hAnsi="Times New Roman" w:cs="Times New Roman"/>
                      <w:spacing w:val="-10"/>
                      <w:sz w:val="21"/>
                      <w:szCs w:val="21"/>
                    </w:rPr>
                  </w:pPr>
                </w:p>
              </w:tc>
              <w:tc>
                <w:tcPr>
                  <w:tcW w:w="992" w:type="dxa"/>
                  <w:vAlign w:val="center"/>
                </w:tcPr>
                <w:p w14:paraId="42523EAB">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苯</w:t>
                  </w:r>
                </w:p>
              </w:tc>
              <w:tc>
                <w:tcPr>
                  <w:tcW w:w="961" w:type="dxa"/>
                  <w:vAlign w:val="center"/>
                </w:tcPr>
                <w:p w14:paraId="683B056E">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t/a</w:t>
                  </w:r>
                </w:p>
              </w:tc>
              <w:tc>
                <w:tcPr>
                  <w:tcW w:w="1027" w:type="dxa"/>
                  <w:vAlign w:val="center"/>
                </w:tcPr>
                <w:p w14:paraId="3B4C2899">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1.84</w:t>
                  </w:r>
                </w:p>
              </w:tc>
              <w:tc>
                <w:tcPr>
                  <w:tcW w:w="993" w:type="dxa"/>
                  <w:vAlign w:val="center"/>
                </w:tcPr>
                <w:p w14:paraId="73BE550A">
                  <w:pPr>
                    <w:adjustRightInd w:val="0"/>
                    <w:snapToGrid w:val="0"/>
                    <w:spacing w:line="360" w:lineRule="auto"/>
                    <w:jc w:val="center"/>
                    <w:rPr>
                      <w:rFonts w:ascii="Times New Roman" w:hAnsi="Times New Roman" w:cs="Times New Roman"/>
                      <w:spacing w:val="-10"/>
                      <w:sz w:val="21"/>
                      <w:szCs w:val="21"/>
                    </w:rPr>
                  </w:pPr>
                  <w:r>
                    <w:rPr>
                      <w:rFonts w:hint="eastAsia" w:ascii="Times New Roman" w:hAnsi="Times New Roman" w:cs="Times New Roman"/>
                      <w:spacing w:val="-10"/>
                      <w:sz w:val="21"/>
                      <w:szCs w:val="21"/>
                    </w:rPr>
                    <w:t>0.00102</w:t>
                  </w:r>
                </w:p>
              </w:tc>
              <w:tc>
                <w:tcPr>
                  <w:tcW w:w="850" w:type="dxa"/>
                  <w:vAlign w:val="center"/>
                </w:tcPr>
                <w:p w14:paraId="67D14A34">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0</w:t>
                  </w:r>
                </w:p>
              </w:tc>
              <w:tc>
                <w:tcPr>
                  <w:tcW w:w="1134" w:type="dxa"/>
                  <w:vAlign w:val="center"/>
                </w:tcPr>
                <w:p w14:paraId="445387CA">
                  <w:pPr>
                    <w:adjustRightInd w:val="0"/>
                    <w:snapToGrid w:val="0"/>
                    <w:spacing w:line="360" w:lineRule="auto"/>
                    <w:jc w:val="center"/>
                    <w:rPr>
                      <w:rFonts w:ascii="Times New Roman" w:hAnsi="Times New Roman" w:cs="Times New Roman"/>
                      <w:spacing w:val="-10"/>
                      <w:sz w:val="21"/>
                      <w:szCs w:val="21"/>
                    </w:rPr>
                  </w:pPr>
                  <w:r>
                    <w:rPr>
                      <w:rFonts w:hint="eastAsia" w:ascii="Times New Roman" w:hAnsi="Times New Roman" w:cs="Times New Roman"/>
                      <w:spacing w:val="-10"/>
                      <w:sz w:val="21"/>
                      <w:szCs w:val="21"/>
                    </w:rPr>
                    <w:t>1.841</w:t>
                  </w:r>
                </w:p>
              </w:tc>
              <w:tc>
                <w:tcPr>
                  <w:tcW w:w="1276" w:type="dxa"/>
                  <w:vAlign w:val="center"/>
                </w:tcPr>
                <w:p w14:paraId="538D1C6F">
                  <w:pPr>
                    <w:adjustRightInd w:val="0"/>
                    <w:snapToGrid w:val="0"/>
                    <w:spacing w:line="360" w:lineRule="auto"/>
                    <w:jc w:val="center"/>
                    <w:rPr>
                      <w:rFonts w:ascii="Times New Roman" w:hAnsi="Times New Roman" w:cs="Times New Roman"/>
                      <w:b/>
                      <w:bCs/>
                      <w:spacing w:val="-10"/>
                      <w:sz w:val="21"/>
                      <w:szCs w:val="21"/>
                    </w:rPr>
                  </w:pPr>
                  <w:r>
                    <w:rPr>
                      <w:rFonts w:hint="eastAsia" w:ascii="Times New Roman" w:hAnsi="Times New Roman" w:cs="Times New Roman"/>
                      <w:sz w:val="21"/>
                      <w:szCs w:val="21"/>
                    </w:rPr>
                    <w:t>+0.00102</w:t>
                  </w:r>
                </w:p>
              </w:tc>
            </w:tr>
            <w:tr w14:paraId="26F3A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continue"/>
                  <w:vAlign w:val="center"/>
                </w:tcPr>
                <w:p w14:paraId="4494BD75">
                  <w:pPr>
                    <w:adjustRightInd w:val="0"/>
                    <w:snapToGrid w:val="0"/>
                    <w:spacing w:line="360" w:lineRule="auto"/>
                    <w:jc w:val="center"/>
                    <w:rPr>
                      <w:rFonts w:ascii="Times New Roman" w:hAnsi="Times New Roman" w:cs="Times New Roman"/>
                      <w:b/>
                      <w:bCs/>
                      <w:spacing w:val="-10"/>
                      <w:sz w:val="21"/>
                      <w:szCs w:val="21"/>
                    </w:rPr>
                  </w:pPr>
                </w:p>
              </w:tc>
              <w:tc>
                <w:tcPr>
                  <w:tcW w:w="346" w:type="dxa"/>
                  <w:vMerge w:val="continue"/>
                  <w:vAlign w:val="center"/>
                </w:tcPr>
                <w:p w14:paraId="25D8BDA8">
                  <w:pPr>
                    <w:adjustRightInd w:val="0"/>
                    <w:snapToGrid w:val="0"/>
                    <w:spacing w:line="360" w:lineRule="auto"/>
                    <w:jc w:val="center"/>
                    <w:rPr>
                      <w:rFonts w:ascii="Times New Roman" w:hAnsi="Times New Roman" w:cs="Times New Roman"/>
                      <w:spacing w:val="-10"/>
                      <w:sz w:val="21"/>
                      <w:szCs w:val="21"/>
                    </w:rPr>
                  </w:pPr>
                </w:p>
              </w:tc>
              <w:tc>
                <w:tcPr>
                  <w:tcW w:w="992" w:type="dxa"/>
                  <w:vAlign w:val="center"/>
                </w:tcPr>
                <w:p w14:paraId="06F09C05">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二甲苯</w:t>
                  </w:r>
                </w:p>
              </w:tc>
              <w:tc>
                <w:tcPr>
                  <w:tcW w:w="961" w:type="dxa"/>
                  <w:vAlign w:val="center"/>
                </w:tcPr>
                <w:p w14:paraId="579E11F4">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t/a</w:t>
                  </w:r>
                </w:p>
              </w:tc>
              <w:tc>
                <w:tcPr>
                  <w:tcW w:w="1027" w:type="dxa"/>
                  <w:vAlign w:val="center"/>
                </w:tcPr>
                <w:p w14:paraId="6623A8F0">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0.07</w:t>
                  </w:r>
                </w:p>
              </w:tc>
              <w:tc>
                <w:tcPr>
                  <w:tcW w:w="993" w:type="dxa"/>
                  <w:vAlign w:val="center"/>
                </w:tcPr>
                <w:p w14:paraId="0114DD3A">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0.03381</w:t>
                  </w:r>
                </w:p>
              </w:tc>
              <w:tc>
                <w:tcPr>
                  <w:tcW w:w="850" w:type="dxa"/>
                  <w:vAlign w:val="center"/>
                </w:tcPr>
                <w:p w14:paraId="1877ABFA">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sz w:val="21"/>
                      <w:szCs w:val="21"/>
                    </w:rPr>
                    <w:t>0</w:t>
                  </w:r>
                </w:p>
              </w:tc>
              <w:tc>
                <w:tcPr>
                  <w:tcW w:w="1134" w:type="dxa"/>
                  <w:vAlign w:val="center"/>
                </w:tcPr>
                <w:p w14:paraId="420D4840">
                  <w:pPr>
                    <w:adjustRightInd w:val="0"/>
                    <w:snapToGrid w:val="0"/>
                    <w:spacing w:line="360" w:lineRule="auto"/>
                    <w:jc w:val="center"/>
                    <w:rPr>
                      <w:rFonts w:ascii="Times New Roman" w:hAnsi="Times New Roman" w:cs="Times New Roman"/>
                      <w:sz w:val="21"/>
                      <w:szCs w:val="21"/>
                      <w:lang w:bidi="ar"/>
                    </w:rPr>
                  </w:pPr>
                  <w:r>
                    <w:rPr>
                      <w:rFonts w:hint="eastAsia" w:ascii="Times New Roman" w:hAnsi="Times New Roman" w:cs="Times New Roman"/>
                      <w:sz w:val="21"/>
                      <w:szCs w:val="21"/>
                      <w:lang w:bidi="ar"/>
                    </w:rPr>
                    <w:t>0.10381</w:t>
                  </w:r>
                </w:p>
              </w:tc>
              <w:tc>
                <w:tcPr>
                  <w:tcW w:w="1276" w:type="dxa"/>
                  <w:vAlign w:val="center"/>
                </w:tcPr>
                <w:p w14:paraId="12998799">
                  <w:pPr>
                    <w:adjustRightInd w:val="0"/>
                    <w:snapToGrid w:val="0"/>
                    <w:spacing w:line="360" w:lineRule="auto"/>
                    <w:jc w:val="center"/>
                    <w:rPr>
                      <w:rFonts w:ascii="Times New Roman" w:hAnsi="Times New Roman" w:cs="Times New Roman"/>
                      <w:sz w:val="21"/>
                      <w:szCs w:val="21"/>
                      <w:lang w:bidi="ar"/>
                    </w:rPr>
                  </w:pPr>
                  <w:r>
                    <w:rPr>
                      <w:rFonts w:hint="eastAsia" w:ascii="Times New Roman" w:hAnsi="Times New Roman" w:cs="Times New Roman"/>
                      <w:sz w:val="21"/>
                      <w:szCs w:val="21"/>
                    </w:rPr>
                    <w:t>+</w:t>
                  </w:r>
                  <w:r>
                    <w:rPr>
                      <w:rFonts w:ascii="Times New Roman" w:hAnsi="Times New Roman" w:cs="Times New Roman"/>
                      <w:sz w:val="21"/>
                      <w:szCs w:val="21"/>
                    </w:rPr>
                    <w:t>0.03381</w:t>
                  </w:r>
                </w:p>
              </w:tc>
            </w:tr>
            <w:tr w14:paraId="55BE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continue"/>
                  <w:vAlign w:val="center"/>
                </w:tcPr>
                <w:p w14:paraId="435E20BA">
                  <w:pPr>
                    <w:adjustRightInd w:val="0"/>
                    <w:snapToGrid w:val="0"/>
                    <w:spacing w:line="360" w:lineRule="auto"/>
                    <w:jc w:val="center"/>
                    <w:rPr>
                      <w:rFonts w:ascii="Times New Roman" w:hAnsi="Times New Roman" w:cs="Times New Roman"/>
                      <w:b/>
                      <w:bCs/>
                      <w:spacing w:val="-10"/>
                      <w:sz w:val="21"/>
                      <w:szCs w:val="21"/>
                    </w:rPr>
                  </w:pPr>
                </w:p>
              </w:tc>
              <w:tc>
                <w:tcPr>
                  <w:tcW w:w="346" w:type="dxa"/>
                  <w:vMerge w:val="continue"/>
                  <w:vAlign w:val="center"/>
                </w:tcPr>
                <w:p w14:paraId="6C61B586">
                  <w:pPr>
                    <w:adjustRightInd w:val="0"/>
                    <w:snapToGrid w:val="0"/>
                    <w:spacing w:line="360" w:lineRule="auto"/>
                    <w:jc w:val="center"/>
                    <w:rPr>
                      <w:rFonts w:ascii="Times New Roman" w:hAnsi="Times New Roman" w:cs="Times New Roman"/>
                      <w:spacing w:val="-10"/>
                      <w:sz w:val="21"/>
                      <w:szCs w:val="21"/>
                    </w:rPr>
                  </w:pPr>
                </w:p>
              </w:tc>
              <w:tc>
                <w:tcPr>
                  <w:tcW w:w="992" w:type="dxa"/>
                  <w:vAlign w:val="center"/>
                </w:tcPr>
                <w:p w14:paraId="7B7DD4C1">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甲苯</w:t>
                  </w:r>
                </w:p>
              </w:tc>
              <w:tc>
                <w:tcPr>
                  <w:tcW w:w="961" w:type="dxa"/>
                  <w:vAlign w:val="center"/>
                </w:tcPr>
                <w:p w14:paraId="2557F2B7">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t/a</w:t>
                  </w:r>
                </w:p>
              </w:tc>
              <w:tc>
                <w:tcPr>
                  <w:tcW w:w="1027" w:type="dxa"/>
                  <w:vAlign w:val="center"/>
                </w:tcPr>
                <w:p w14:paraId="3A072109">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0.18</w:t>
                  </w:r>
                </w:p>
              </w:tc>
              <w:tc>
                <w:tcPr>
                  <w:tcW w:w="993" w:type="dxa"/>
                  <w:vAlign w:val="center"/>
                </w:tcPr>
                <w:p w14:paraId="3E8B25D8">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0.0888</w:t>
                  </w:r>
                </w:p>
              </w:tc>
              <w:tc>
                <w:tcPr>
                  <w:tcW w:w="850" w:type="dxa"/>
                  <w:vAlign w:val="center"/>
                </w:tcPr>
                <w:p w14:paraId="7B37A58F">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sz w:val="21"/>
                      <w:szCs w:val="21"/>
                    </w:rPr>
                    <w:t>0</w:t>
                  </w:r>
                </w:p>
              </w:tc>
              <w:tc>
                <w:tcPr>
                  <w:tcW w:w="1134" w:type="dxa"/>
                  <w:vAlign w:val="center"/>
                </w:tcPr>
                <w:p w14:paraId="20D753D7">
                  <w:pPr>
                    <w:adjustRightInd w:val="0"/>
                    <w:snapToGrid w:val="0"/>
                    <w:spacing w:line="360" w:lineRule="auto"/>
                    <w:jc w:val="center"/>
                    <w:rPr>
                      <w:rFonts w:ascii="Times New Roman" w:hAnsi="Times New Roman" w:cs="Times New Roman"/>
                      <w:sz w:val="21"/>
                      <w:szCs w:val="21"/>
                      <w:lang w:bidi="ar"/>
                    </w:rPr>
                  </w:pPr>
                  <w:r>
                    <w:rPr>
                      <w:rFonts w:hint="eastAsia" w:ascii="Times New Roman" w:hAnsi="Times New Roman" w:cs="Times New Roman"/>
                      <w:sz w:val="21"/>
                      <w:szCs w:val="21"/>
                      <w:lang w:bidi="ar"/>
                    </w:rPr>
                    <w:t>0.2688</w:t>
                  </w:r>
                </w:p>
              </w:tc>
              <w:tc>
                <w:tcPr>
                  <w:tcW w:w="1276" w:type="dxa"/>
                  <w:vAlign w:val="center"/>
                </w:tcPr>
                <w:p w14:paraId="7FB8205D">
                  <w:pPr>
                    <w:adjustRightInd w:val="0"/>
                    <w:snapToGrid w:val="0"/>
                    <w:spacing w:line="360" w:lineRule="auto"/>
                    <w:jc w:val="center"/>
                    <w:rPr>
                      <w:rFonts w:ascii="Times New Roman" w:hAnsi="Times New Roman" w:cs="Times New Roman"/>
                      <w:sz w:val="21"/>
                      <w:szCs w:val="21"/>
                      <w:lang w:bidi="ar"/>
                    </w:rPr>
                  </w:pPr>
                  <w:r>
                    <w:rPr>
                      <w:rFonts w:hint="eastAsia" w:ascii="Times New Roman" w:hAnsi="Times New Roman" w:cs="Times New Roman"/>
                      <w:sz w:val="21"/>
                      <w:szCs w:val="21"/>
                    </w:rPr>
                    <w:t>+</w:t>
                  </w:r>
                  <w:r>
                    <w:rPr>
                      <w:rFonts w:ascii="Times New Roman" w:hAnsi="Times New Roman" w:cs="Times New Roman"/>
                      <w:sz w:val="21"/>
                      <w:szCs w:val="21"/>
                    </w:rPr>
                    <w:t>0.0888</w:t>
                  </w:r>
                </w:p>
              </w:tc>
            </w:tr>
            <w:tr w14:paraId="61E01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continue"/>
                  <w:vAlign w:val="center"/>
                </w:tcPr>
                <w:p w14:paraId="38A2AB7C">
                  <w:pPr>
                    <w:adjustRightInd w:val="0"/>
                    <w:snapToGrid w:val="0"/>
                    <w:spacing w:line="360" w:lineRule="auto"/>
                    <w:jc w:val="center"/>
                    <w:rPr>
                      <w:rFonts w:ascii="Times New Roman" w:hAnsi="Times New Roman" w:cs="Times New Roman"/>
                      <w:b/>
                      <w:bCs/>
                      <w:spacing w:val="-10"/>
                      <w:sz w:val="21"/>
                      <w:szCs w:val="21"/>
                    </w:rPr>
                  </w:pPr>
                </w:p>
              </w:tc>
              <w:tc>
                <w:tcPr>
                  <w:tcW w:w="346" w:type="dxa"/>
                  <w:vMerge w:val="restart"/>
                  <w:vAlign w:val="center"/>
                </w:tcPr>
                <w:p w14:paraId="0BDA40E6">
                  <w:pPr>
                    <w:adjustRightInd w:val="0"/>
                    <w:snapToGrid w:val="0"/>
                    <w:spacing w:line="360" w:lineRule="auto"/>
                    <w:jc w:val="center"/>
                    <w:rPr>
                      <w:rFonts w:ascii="Times New Roman" w:hAnsi="Times New Roman" w:cs="Times New Roman"/>
                      <w:spacing w:val="-10"/>
                      <w:sz w:val="21"/>
                      <w:szCs w:val="21"/>
                    </w:rPr>
                  </w:pPr>
                  <w:r>
                    <w:rPr>
                      <w:rFonts w:ascii="Times New Roman" w:hAnsi="Times New Roman" w:cs="Times New Roman"/>
                      <w:spacing w:val="-10"/>
                      <w:sz w:val="21"/>
                      <w:szCs w:val="21"/>
                    </w:rPr>
                    <w:t>无组织</w:t>
                  </w:r>
                </w:p>
              </w:tc>
              <w:tc>
                <w:tcPr>
                  <w:tcW w:w="992" w:type="dxa"/>
                  <w:vAlign w:val="center"/>
                </w:tcPr>
                <w:p w14:paraId="4EF8658F">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甲醇</w:t>
                  </w:r>
                </w:p>
              </w:tc>
              <w:tc>
                <w:tcPr>
                  <w:tcW w:w="961" w:type="dxa"/>
                  <w:vAlign w:val="center"/>
                </w:tcPr>
                <w:p w14:paraId="2A5D0D05">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t/a</w:t>
                  </w:r>
                </w:p>
              </w:tc>
              <w:tc>
                <w:tcPr>
                  <w:tcW w:w="1027" w:type="dxa"/>
                  <w:vAlign w:val="center"/>
                </w:tcPr>
                <w:p w14:paraId="4EC94C23">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0.11</w:t>
                  </w:r>
                </w:p>
              </w:tc>
              <w:tc>
                <w:tcPr>
                  <w:tcW w:w="993" w:type="dxa"/>
                  <w:vAlign w:val="center"/>
                </w:tcPr>
                <w:p w14:paraId="1B7AB3F5">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0</w:t>
                  </w:r>
                </w:p>
              </w:tc>
              <w:tc>
                <w:tcPr>
                  <w:tcW w:w="850" w:type="dxa"/>
                  <w:vAlign w:val="center"/>
                </w:tcPr>
                <w:p w14:paraId="4D567E4B">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sz w:val="21"/>
                      <w:szCs w:val="21"/>
                    </w:rPr>
                    <w:t>0</w:t>
                  </w:r>
                </w:p>
              </w:tc>
              <w:tc>
                <w:tcPr>
                  <w:tcW w:w="1134" w:type="dxa"/>
                  <w:vAlign w:val="center"/>
                </w:tcPr>
                <w:p w14:paraId="0A37D73F">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color w:val="000000" w:themeColor="text1"/>
                      <w:sz w:val="21"/>
                      <w:szCs w:val="21"/>
                      <w14:textFill>
                        <w14:solidFill>
                          <w14:schemeClr w14:val="tx1"/>
                        </w14:solidFill>
                      </w14:textFill>
                    </w:rPr>
                    <w:t>0.11</w:t>
                  </w:r>
                </w:p>
              </w:tc>
              <w:tc>
                <w:tcPr>
                  <w:tcW w:w="1276" w:type="dxa"/>
                  <w:vAlign w:val="center"/>
                </w:tcPr>
                <w:p w14:paraId="1B4930C1">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sz w:val="21"/>
                      <w:szCs w:val="21"/>
                    </w:rPr>
                    <w:t>0</w:t>
                  </w:r>
                </w:p>
              </w:tc>
            </w:tr>
            <w:tr w14:paraId="514F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continue"/>
                  <w:vAlign w:val="center"/>
                </w:tcPr>
                <w:p w14:paraId="3618AC96">
                  <w:pPr>
                    <w:adjustRightInd w:val="0"/>
                    <w:snapToGrid w:val="0"/>
                    <w:spacing w:line="360" w:lineRule="auto"/>
                    <w:jc w:val="center"/>
                    <w:rPr>
                      <w:rFonts w:ascii="Times New Roman" w:hAnsi="Times New Roman" w:cs="Times New Roman"/>
                      <w:b/>
                      <w:bCs/>
                      <w:spacing w:val="-10"/>
                      <w:sz w:val="21"/>
                      <w:szCs w:val="21"/>
                    </w:rPr>
                  </w:pPr>
                </w:p>
              </w:tc>
              <w:tc>
                <w:tcPr>
                  <w:tcW w:w="346" w:type="dxa"/>
                  <w:vMerge w:val="continue"/>
                  <w:vAlign w:val="center"/>
                </w:tcPr>
                <w:p w14:paraId="6DDF4D36">
                  <w:pPr>
                    <w:adjustRightInd w:val="0"/>
                    <w:snapToGrid w:val="0"/>
                    <w:spacing w:line="360" w:lineRule="auto"/>
                    <w:jc w:val="center"/>
                    <w:rPr>
                      <w:rFonts w:ascii="Times New Roman" w:hAnsi="Times New Roman" w:cs="Times New Roman"/>
                      <w:b/>
                      <w:bCs/>
                      <w:spacing w:val="-10"/>
                      <w:sz w:val="21"/>
                      <w:szCs w:val="21"/>
                    </w:rPr>
                  </w:pPr>
                </w:p>
              </w:tc>
              <w:tc>
                <w:tcPr>
                  <w:tcW w:w="992" w:type="dxa"/>
                  <w:vAlign w:val="center"/>
                </w:tcPr>
                <w:p w14:paraId="2AA208E1">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颗粒物</w:t>
                  </w:r>
                </w:p>
              </w:tc>
              <w:tc>
                <w:tcPr>
                  <w:tcW w:w="961" w:type="dxa"/>
                  <w:vAlign w:val="center"/>
                </w:tcPr>
                <w:p w14:paraId="253B67BF">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t/a</w:t>
                  </w:r>
                </w:p>
              </w:tc>
              <w:tc>
                <w:tcPr>
                  <w:tcW w:w="1027" w:type="dxa"/>
                  <w:vAlign w:val="center"/>
                </w:tcPr>
                <w:p w14:paraId="7307D337">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9.12</w:t>
                  </w:r>
                </w:p>
              </w:tc>
              <w:tc>
                <w:tcPr>
                  <w:tcW w:w="993" w:type="dxa"/>
                  <w:vAlign w:val="center"/>
                </w:tcPr>
                <w:p w14:paraId="0E3ED41A">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0</w:t>
                  </w:r>
                </w:p>
              </w:tc>
              <w:tc>
                <w:tcPr>
                  <w:tcW w:w="850" w:type="dxa"/>
                  <w:vAlign w:val="center"/>
                </w:tcPr>
                <w:p w14:paraId="1B5BAB4F">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sz w:val="21"/>
                      <w:szCs w:val="21"/>
                    </w:rPr>
                    <w:t>0</w:t>
                  </w:r>
                </w:p>
              </w:tc>
              <w:tc>
                <w:tcPr>
                  <w:tcW w:w="1134" w:type="dxa"/>
                  <w:vAlign w:val="center"/>
                </w:tcPr>
                <w:p w14:paraId="26C7C294">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color w:val="000000" w:themeColor="text1"/>
                      <w:sz w:val="21"/>
                      <w:szCs w:val="21"/>
                      <w14:textFill>
                        <w14:solidFill>
                          <w14:schemeClr w14:val="tx1"/>
                        </w14:solidFill>
                      </w14:textFill>
                    </w:rPr>
                    <w:t>9.12</w:t>
                  </w:r>
                </w:p>
              </w:tc>
              <w:tc>
                <w:tcPr>
                  <w:tcW w:w="1276" w:type="dxa"/>
                  <w:vAlign w:val="center"/>
                </w:tcPr>
                <w:p w14:paraId="5880692D">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sz w:val="21"/>
                      <w:szCs w:val="21"/>
                    </w:rPr>
                    <w:t>0</w:t>
                  </w:r>
                </w:p>
              </w:tc>
            </w:tr>
            <w:tr w14:paraId="7379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continue"/>
                  <w:vAlign w:val="center"/>
                </w:tcPr>
                <w:p w14:paraId="3D4E296D">
                  <w:pPr>
                    <w:adjustRightInd w:val="0"/>
                    <w:snapToGrid w:val="0"/>
                    <w:spacing w:line="360" w:lineRule="auto"/>
                    <w:jc w:val="center"/>
                    <w:rPr>
                      <w:rFonts w:ascii="Times New Roman" w:hAnsi="Times New Roman" w:cs="Times New Roman"/>
                      <w:b/>
                      <w:bCs/>
                      <w:spacing w:val="-10"/>
                      <w:sz w:val="21"/>
                      <w:szCs w:val="21"/>
                    </w:rPr>
                  </w:pPr>
                </w:p>
              </w:tc>
              <w:tc>
                <w:tcPr>
                  <w:tcW w:w="346" w:type="dxa"/>
                  <w:vMerge w:val="continue"/>
                  <w:vAlign w:val="center"/>
                </w:tcPr>
                <w:p w14:paraId="7E63E637">
                  <w:pPr>
                    <w:adjustRightInd w:val="0"/>
                    <w:snapToGrid w:val="0"/>
                    <w:spacing w:line="360" w:lineRule="auto"/>
                    <w:jc w:val="center"/>
                    <w:rPr>
                      <w:rFonts w:ascii="Times New Roman" w:hAnsi="Times New Roman" w:cs="Times New Roman"/>
                      <w:b/>
                      <w:bCs/>
                      <w:spacing w:val="-10"/>
                      <w:sz w:val="21"/>
                      <w:szCs w:val="21"/>
                    </w:rPr>
                  </w:pPr>
                </w:p>
              </w:tc>
              <w:tc>
                <w:tcPr>
                  <w:tcW w:w="992" w:type="dxa"/>
                  <w:vAlign w:val="center"/>
                </w:tcPr>
                <w:p w14:paraId="5983B986">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H</w:t>
                  </w:r>
                  <w:r>
                    <w:rPr>
                      <w:rFonts w:ascii="Times New Roman" w:hAnsi="Times New Roman" w:cs="Times New Roman"/>
                      <w:color w:val="000000" w:themeColor="text1"/>
                      <w:sz w:val="21"/>
                      <w:szCs w:val="21"/>
                      <w:vertAlign w:val="subscript"/>
                      <w14:textFill>
                        <w14:solidFill>
                          <w14:schemeClr w14:val="tx1"/>
                        </w14:solidFill>
                      </w14:textFill>
                    </w:rPr>
                    <w:t>2</w:t>
                  </w:r>
                  <w:r>
                    <w:rPr>
                      <w:rFonts w:ascii="Times New Roman" w:hAnsi="Times New Roman" w:cs="Times New Roman"/>
                      <w:color w:val="000000" w:themeColor="text1"/>
                      <w:sz w:val="21"/>
                      <w:szCs w:val="21"/>
                      <w14:textFill>
                        <w14:solidFill>
                          <w14:schemeClr w14:val="tx1"/>
                        </w14:solidFill>
                      </w14:textFill>
                    </w:rPr>
                    <w:t>S</w:t>
                  </w:r>
                </w:p>
              </w:tc>
              <w:tc>
                <w:tcPr>
                  <w:tcW w:w="961" w:type="dxa"/>
                  <w:vAlign w:val="center"/>
                </w:tcPr>
                <w:p w14:paraId="2D713919">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t/a</w:t>
                  </w:r>
                </w:p>
              </w:tc>
              <w:tc>
                <w:tcPr>
                  <w:tcW w:w="1027" w:type="dxa"/>
                  <w:vAlign w:val="center"/>
                </w:tcPr>
                <w:p w14:paraId="6BA851BD">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0.14</w:t>
                  </w:r>
                </w:p>
              </w:tc>
              <w:tc>
                <w:tcPr>
                  <w:tcW w:w="993" w:type="dxa"/>
                  <w:vAlign w:val="center"/>
                </w:tcPr>
                <w:p w14:paraId="3354C1D0">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0</w:t>
                  </w:r>
                </w:p>
              </w:tc>
              <w:tc>
                <w:tcPr>
                  <w:tcW w:w="850" w:type="dxa"/>
                  <w:vAlign w:val="center"/>
                </w:tcPr>
                <w:p w14:paraId="559C0FAB">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sz w:val="21"/>
                      <w:szCs w:val="21"/>
                    </w:rPr>
                    <w:t>0</w:t>
                  </w:r>
                </w:p>
              </w:tc>
              <w:tc>
                <w:tcPr>
                  <w:tcW w:w="1134" w:type="dxa"/>
                  <w:vAlign w:val="center"/>
                </w:tcPr>
                <w:p w14:paraId="5F11FB6B">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color w:val="000000" w:themeColor="text1"/>
                      <w:sz w:val="21"/>
                      <w:szCs w:val="21"/>
                      <w14:textFill>
                        <w14:solidFill>
                          <w14:schemeClr w14:val="tx1"/>
                        </w14:solidFill>
                      </w14:textFill>
                    </w:rPr>
                    <w:t>0.14</w:t>
                  </w:r>
                </w:p>
              </w:tc>
              <w:tc>
                <w:tcPr>
                  <w:tcW w:w="1276" w:type="dxa"/>
                  <w:vAlign w:val="center"/>
                </w:tcPr>
                <w:p w14:paraId="4FE73214">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sz w:val="21"/>
                      <w:szCs w:val="21"/>
                    </w:rPr>
                    <w:t>0</w:t>
                  </w:r>
                </w:p>
              </w:tc>
            </w:tr>
            <w:tr w14:paraId="07FF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continue"/>
                  <w:vAlign w:val="center"/>
                </w:tcPr>
                <w:p w14:paraId="373B4AF7">
                  <w:pPr>
                    <w:adjustRightInd w:val="0"/>
                    <w:snapToGrid w:val="0"/>
                    <w:spacing w:line="360" w:lineRule="auto"/>
                    <w:jc w:val="center"/>
                    <w:rPr>
                      <w:rFonts w:ascii="Times New Roman" w:hAnsi="Times New Roman" w:cs="Times New Roman"/>
                      <w:b/>
                      <w:bCs/>
                      <w:spacing w:val="-10"/>
                      <w:sz w:val="21"/>
                      <w:szCs w:val="21"/>
                    </w:rPr>
                  </w:pPr>
                </w:p>
              </w:tc>
              <w:tc>
                <w:tcPr>
                  <w:tcW w:w="346" w:type="dxa"/>
                  <w:vMerge w:val="continue"/>
                  <w:vAlign w:val="center"/>
                </w:tcPr>
                <w:p w14:paraId="05F1838B">
                  <w:pPr>
                    <w:adjustRightInd w:val="0"/>
                    <w:snapToGrid w:val="0"/>
                    <w:spacing w:line="360" w:lineRule="auto"/>
                    <w:jc w:val="center"/>
                    <w:rPr>
                      <w:rFonts w:ascii="Times New Roman" w:hAnsi="Times New Roman" w:cs="Times New Roman"/>
                      <w:b/>
                      <w:bCs/>
                      <w:spacing w:val="-10"/>
                      <w:sz w:val="21"/>
                      <w:szCs w:val="21"/>
                    </w:rPr>
                  </w:pPr>
                </w:p>
              </w:tc>
              <w:tc>
                <w:tcPr>
                  <w:tcW w:w="992" w:type="dxa"/>
                  <w:vAlign w:val="center"/>
                </w:tcPr>
                <w:p w14:paraId="1D501BD4">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NH</w:t>
                  </w:r>
                  <w:r>
                    <w:rPr>
                      <w:rFonts w:ascii="Times New Roman" w:hAnsi="Times New Roman" w:cs="Times New Roman"/>
                      <w:color w:val="000000" w:themeColor="text1"/>
                      <w:sz w:val="21"/>
                      <w:szCs w:val="21"/>
                      <w:vertAlign w:val="subscript"/>
                      <w14:textFill>
                        <w14:solidFill>
                          <w14:schemeClr w14:val="tx1"/>
                        </w14:solidFill>
                      </w14:textFill>
                    </w:rPr>
                    <w:t>3</w:t>
                  </w:r>
                </w:p>
              </w:tc>
              <w:tc>
                <w:tcPr>
                  <w:tcW w:w="961" w:type="dxa"/>
                  <w:vAlign w:val="center"/>
                </w:tcPr>
                <w:p w14:paraId="25484D90">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t/a</w:t>
                  </w:r>
                </w:p>
              </w:tc>
              <w:tc>
                <w:tcPr>
                  <w:tcW w:w="1027" w:type="dxa"/>
                  <w:vAlign w:val="center"/>
                </w:tcPr>
                <w:p w14:paraId="61D453F8">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0.14</w:t>
                  </w:r>
                </w:p>
              </w:tc>
              <w:tc>
                <w:tcPr>
                  <w:tcW w:w="993" w:type="dxa"/>
                  <w:vAlign w:val="center"/>
                </w:tcPr>
                <w:p w14:paraId="29A635F3">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0</w:t>
                  </w:r>
                </w:p>
              </w:tc>
              <w:tc>
                <w:tcPr>
                  <w:tcW w:w="850" w:type="dxa"/>
                  <w:vAlign w:val="center"/>
                </w:tcPr>
                <w:p w14:paraId="6870717C">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sz w:val="21"/>
                      <w:szCs w:val="21"/>
                    </w:rPr>
                    <w:t>0</w:t>
                  </w:r>
                </w:p>
              </w:tc>
              <w:tc>
                <w:tcPr>
                  <w:tcW w:w="1134" w:type="dxa"/>
                  <w:vAlign w:val="center"/>
                </w:tcPr>
                <w:p w14:paraId="3CBE8374">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color w:val="000000" w:themeColor="text1"/>
                      <w:sz w:val="21"/>
                      <w:szCs w:val="21"/>
                      <w14:textFill>
                        <w14:solidFill>
                          <w14:schemeClr w14:val="tx1"/>
                        </w14:solidFill>
                      </w14:textFill>
                    </w:rPr>
                    <w:t>0.14</w:t>
                  </w:r>
                </w:p>
              </w:tc>
              <w:tc>
                <w:tcPr>
                  <w:tcW w:w="1276" w:type="dxa"/>
                  <w:vAlign w:val="center"/>
                </w:tcPr>
                <w:p w14:paraId="73C5D812">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sz w:val="21"/>
                      <w:szCs w:val="21"/>
                    </w:rPr>
                    <w:t>0</w:t>
                  </w:r>
                </w:p>
              </w:tc>
            </w:tr>
            <w:tr w14:paraId="55C96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continue"/>
                  <w:vAlign w:val="center"/>
                </w:tcPr>
                <w:p w14:paraId="415B3256">
                  <w:pPr>
                    <w:adjustRightInd w:val="0"/>
                    <w:snapToGrid w:val="0"/>
                    <w:spacing w:line="360" w:lineRule="auto"/>
                    <w:jc w:val="center"/>
                    <w:rPr>
                      <w:rFonts w:ascii="Times New Roman" w:hAnsi="Times New Roman" w:cs="Times New Roman"/>
                      <w:b/>
                      <w:bCs/>
                      <w:spacing w:val="-10"/>
                      <w:sz w:val="21"/>
                      <w:szCs w:val="21"/>
                    </w:rPr>
                  </w:pPr>
                </w:p>
              </w:tc>
              <w:tc>
                <w:tcPr>
                  <w:tcW w:w="346" w:type="dxa"/>
                  <w:vMerge w:val="continue"/>
                  <w:vAlign w:val="center"/>
                </w:tcPr>
                <w:p w14:paraId="2841995D">
                  <w:pPr>
                    <w:adjustRightInd w:val="0"/>
                    <w:snapToGrid w:val="0"/>
                    <w:spacing w:line="360" w:lineRule="auto"/>
                    <w:jc w:val="center"/>
                    <w:rPr>
                      <w:rFonts w:ascii="Times New Roman" w:hAnsi="Times New Roman" w:cs="Times New Roman"/>
                      <w:b/>
                      <w:bCs/>
                      <w:spacing w:val="-10"/>
                      <w:sz w:val="21"/>
                      <w:szCs w:val="21"/>
                    </w:rPr>
                  </w:pPr>
                </w:p>
              </w:tc>
              <w:tc>
                <w:tcPr>
                  <w:tcW w:w="992" w:type="dxa"/>
                  <w:vAlign w:val="center"/>
                </w:tcPr>
                <w:p w14:paraId="77A53A81">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NMHC</w:t>
                  </w:r>
                </w:p>
              </w:tc>
              <w:tc>
                <w:tcPr>
                  <w:tcW w:w="961" w:type="dxa"/>
                  <w:vAlign w:val="center"/>
                </w:tcPr>
                <w:p w14:paraId="18C27022">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t/a</w:t>
                  </w:r>
                </w:p>
              </w:tc>
              <w:tc>
                <w:tcPr>
                  <w:tcW w:w="1027" w:type="dxa"/>
                  <w:vAlign w:val="center"/>
                </w:tcPr>
                <w:p w14:paraId="76549932">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24.55</w:t>
                  </w:r>
                </w:p>
              </w:tc>
              <w:tc>
                <w:tcPr>
                  <w:tcW w:w="993" w:type="dxa"/>
                  <w:vAlign w:val="center"/>
                </w:tcPr>
                <w:p w14:paraId="268612FE">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0.20</w:t>
                  </w:r>
                  <w:r>
                    <w:rPr>
                      <w:rFonts w:hint="eastAsia" w:ascii="Times New Roman" w:hAnsi="Times New Roman" w:cs="Times New Roman"/>
                      <w:sz w:val="21"/>
                      <w:szCs w:val="21"/>
                    </w:rPr>
                    <w:t>6</w:t>
                  </w:r>
                </w:p>
              </w:tc>
              <w:tc>
                <w:tcPr>
                  <w:tcW w:w="850" w:type="dxa"/>
                  <w:vAlign w:val="center"/>
                </w:tcPr>
                <w:p w14:paraId="00936F9F">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sz w:val="21"/>
                      <w:szCs w:val="21"/>
                    </w:rPr>
                    <w:t>0</w:t>
                  </w:r>
                </w:p>
              </w:tc>
              <w:tc>
                <w:tcPr>
                  <w:tcW w:w="1134" w:type="dxa"/>
                  <w:vAlign w:val="center"/>
                </w:tcPr>
                <w:p w14:paraId="332DD5F8">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color w:val="000000" w:themeColor="text1"/>
                      <w:sz w:val="21"/>
                      <w:szCs w:val="21"/>
                      <w14:textFill>
                        <w14:solidFill>
                          <w14:schemeClr w14:val="tx1"/>
                        </w14:solidFill>
                      </w14:textFill>
                    </w:rPr>
                    <w:t>24.75</w:t>
                  </w:r>
                  <w:r>
                    <w:rPr>
                      <w:rFonts w:hint="eastAsia" w:ascii="Times New Roman" w:hAnsi="Times New Roman" w:cs="Times New Roman"/>
                      <w:color w:val="000000" w:themeColor="text1"/>
                      <w:sz w:val="21"/>
                      <w:szCs w:val="21"/>
                      <w14:textFill>
                        <w14:solidFill>
                          <w14:schemeClr w14:val="tx1"/>
                        </w14:solidFill>
                      </w14:textFill>
                    </w:rPr>
                    <w:t>6</w:t>
                  </w:r>
                </w:p>
              </w:tc>
              <w:tc>
                <w:tcPr>
                  <w:tcW w:w="1276" w:type="dxa"/>
                  <w:vAlign w:val="center"/>
                </w:tcPr>
                <w:p w14:paraId="00764F35">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sz w:val="21"/>
                      <w:szCs w:val="21"/>
                    </w:rPr>
                    <w:t>+</w:t>
                  </w:r>
                  <w:r>
                    <w:rPr>
                      <w:rFonts w:hint="eastAsia" w:ascii="Times New Roman" w:hAnsi="Times New Roman" w:cs="Times New Roman"/>
                      <w:sz w:val="21"/>
                      <w:szCs w:val="21"/>
                    </w:rPr>
                    <w:t>0.206</w:t>
                  </w:r>
                </w:p>
              </w:tc>
            </w:tr>
            <w:tr w14:paraId="4FF0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continue"/>
                  <w:vAlign w:val="center"/>
                </w:tcPr>
                <w:p w14:paraId="5D619D6A">
                  <w:pPr>
                    <w:adjustRightInd w:val="0"/>
                    <w:snapToGrid w:val="0"/>
                    <w:spacing w:line="360" w:lineRule="auto"/>
                    <w:jc w:val="center"/>
                    <w:rPr>
                      <w:rFonts w:ascii="Times New Roman" w:hAnsi="Times New Roman" w:cs="Times New Roman"/>
                      <w:b/>
                      <w:bCs/>
                      <w:spacing w:val="-10"/>
                      <w:sz w:val="21"/>
                      <w:szCs w:val="21"/>
                    </w:rPr>
                  </w:pPr>
                </w:p>
              </w:tc>
              <w:tc>
                <w:tcPr>
                  <w:tcW w:w="346" w:type="dxa"/>
                  <w:vMerge w:val="continue"/>
                  <w:vAlign w:val="center"/>
                </w:tcPr>
                <w:p w14:paraId="2A948763">
                  <w:pPr>
                    <w:adjustRightInd w:val="0"/>
                    <w:snapToGrid w:val="0"/>
                    <w:spacing w:line="360" w:lineRule="auto"/>
                    <w:jc w:val="center"/>
                    <w:rPr>
                      <w:rFonts w:ascii="Times New Roman" w:hAnsi="Times New Roman" w:cs="Times New Roman"/>
                      <w:b/>
                      <w:bCs/>
                      <w:spacing w:val="-10"/>
                      <w:sz w:val="21"/>
                      <w:szCs w:val="21"/>
                    </w:rPr>
                  </w:pPr>
                </w:p>
              </w:tc>
              <w:tc>
                <w:tcPr>
                  <w:tcW w:w="992" w:type="dxa"/>
                  <w:vAlign w:val="center"/>
                </w:tcPr>
                <w:p w14:paraId="1F1A9B30">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苯</w:t>
                  </w:r>
                </w:p>
              </w:tc>
              <w:tc>
                <w:tcPr>
                  <w:tcW w:w="961" w:type="dxa"/>
                  <w:vAlign w:val="center"/>
                </w:tcPr>
                <w:p w14:paraId="5AC03915">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t/a</w:t>
                  </w:r>
                </w:p>
              </w:tc>
              <w:tc>
                <w:tcPr>
                  <w:tcW w:w="1027" w:type="dxa"/>
                  <w:vAlign w:val="center"/>
                </w:tcPr>
                <w:p w14:paraId="1B5AC0C2">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3.59</w:t>
                  </w:r>
                </w:p>
              </w:tc>
              <w:tc>
                <w:tcPr>
                  <w:tcW w:w="993" w:type="dxa"/>
                  <w:vAlign w:val="center"/>
                </w:tcPr>
                <w:p w14:paraId="03A19C0F">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bCs/>
                      <w:sz w:val="21"/>
                      <w:szCs w:val="21"/>
                    </w:rPr>
                    <w:t>0.000008</w:t>
                  </w:r>
                </w:p>
              </w:tc>
              <w:tc>
                <w:tcPr>
                  <w:tcW w:w="850" w:type="dxa"/>
                  <w:vAlign w:val="center"/>
                </w:tcPr>
                <w:p w14:paraId="69ECAD29">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sz w:val="21"/>
                      <w:szCs w:val="21"/>
                    </w:rPr>
                    <w:t>0</w:t>
                  </w:r>
                </w:p>
              </w:tc>
              <w:tc>
                <w:tcPr>
                  <w:tcW w:w="1134" w:type="dxa"/>
                  <w:vAlign w:val="center"/>
                </w:tcPr>
                <w:p w14:paraId="37BBE333">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color w:val="000000" w:themeColor="text1"/>
                      <w:sz w:val="21"/>
                      <w:szCs w:val="21"/>
                      <w14:textFill>
                        <w14:solidFill>
                          <w14:schemeClr w14:val="tx1"/>
                        </w14:solidFill>
                      </w14:textFill>
                    </w:rPr>
                    <w:t>3.59</w:t>
                  </w:r>
                </w:p>
              </w:tc>
              <w:tc>
                <w:tcPr>
                  <w:tcW w:w="1276" w:type="dxa"/>
                  <w:vAlign w:val="center"/>
                </w:tcPr>
                <w:p w14:paraId="3E07E52F">
                  <w:pPr>
                    <w:adjustRightInd w:val="0"/>
                    <w:snapToGrid w:val="0"/>
                    <w:spacing w:line="360" w:lineRule="auto"/>
                    <w:jc w:val="center"/>
                    <w:rPr>
                      <w:rFonts w:ascii="Times New Roman" w:hAnsi="Times New Roman" w:cs="Times New Roman"/>
                      <w:sz w:val="21"/>
                      <w:szCs w:val="21"/>
                      <w:lang w:bidi="ar"/>
                    </w:rPr>
                  </w:pPr>
                  <w:r>
                    <w:rPr>
                      <w:rFonts w:hint="eastAsia" w:ascii="Times New Roman" w:hAnsi="Times New Roman" w:cs="Times New Roman"/>
                      <w:sz w:val="21"/>
                      <w:szCs w:val="21"/>
                    </w:rPr>
                    <w:t>+</w:t>
                  </w:r>
                  <w:r>
                    <w:rPr>
                      <w:rFonts w:ascii="Times New Roman" w:hAnsi="Times New Roman" w:cs="Times New Roman"/>
                      <w:bCs/>
                      <w:sz w:val="21"/>
                      <w:szCs w:val="21"/>
                    </w:rPr>
                    <w:t>0.000008</w:t>
                  </w:r>
                </w:p>
              </w:tc>
            </w:tr>
            <w:tr w14:paraId="2A4C0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continue"/>
                  <w:vAlign w:val="center"/>
                </w:tcPr>
                <w:p w14:paraId="517CE8E9">
                  <w:pPr>
                    <w:adjustRightInd w:val="0"/>
                    <w:snapToGrid w:val="0"/>
                    <w:spacing w:line="360" w:lineRule="auto"/>
                    <w:jc w:val="center"/>
                    <w:rPr>
                      <w:rFonts w:ascii="Times New Roman" w:hAnsi="Times New Roman" w:cs="Times New Roman"/>
                      <w:b/>
                      <w:bCs/>
                      <w:spacing w:val="-10"/>
                      <w:sz w:val="21"/>
                      <w:szCs w:val="21"/>
                    </w:rPr>
                  </w:pPr>
                </w:p>
              </w:tc>
              <w:tc>
                <w:tcPr>
                  <w:tcW w:w="346" w:type="dxa"/>
                  <w:vMerge w:val="continue"/>
                  <w:vAlign w:val="center"/>
                </w:tcPr>
                <w:p w14:paraId="45F3414C">
                  <w:pPr>
                    <w:adjustRightInd w:val="0"/>
                    <w:snapToGrid w:val="0"/>
                    <w:spacing w:line="360" w:lineRule="auto"/>
                    <w:jc w:val="center"/>
                    <w:rPr>
                      <w:rFonts w:ascii="Times New Roman" w:hAnsi="Times New Roman" w:cs="Times New Roman"/>
                      <w:b/>
                      <w:bCs/>
                      <w:spacing w:val="-10"/>
                      <w:sz w:val="21"/>
                      <w:szCs w:val="21"/>
                    </w:rPr>
                  </w:pPr>
                </w:p>
              </w:tc>
              <w:tc>
                <w:tcPr>
                  <w:tcW w:w="992" w:type="dxa"/>
                  <w:vAlign w:val="center"/>
                </w:tcPr>
                <w:p w14:paraId="201CCAA4">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二甲苯</w:t>
                  </w:r>
                </w:p>
              </w:tc>
              <w:tc>
                <w:tcPr>
                  <w:tcW w:w="961" w:type="dxa"/>
                  <w:vAlign w:val="center"/>
                </w:tcPr>
                <w:p w14:paraId="0B96BABE">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t/a</w:t>
                  </w:r>
                </w:p>
              </w:tc>
              <w:tc>
                <w:tcPr>
                  <w:tcW w:w="1027" w:type="dxa"/>
                  <w:vAlign w:val="center"/>
                </w:tcPr>
                <w:p w14:paraId="3086B13D">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0.86</w:t>
                  </w:r>
                </w:p>
              </w:tc>
              <w:tc>
                <w:tcPr>
                  <w:tcW w:w="993" w:type="dxa"/>
                  <w:vAlign w:val="center"/>
                </w:tcPr>
                <w:p w14:paraId="3A4A3D10">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bCs/>
                      <w:sz w:val="21"/>
                      <w:szCs w:val="21"/>
                    </w:rPr>
                    <w:t>0.000253</w:t>
                  </w:r>
                </w:p>
              </w:tc>
              <w:tc>
                <w:tcPr>
                  <w:tcW w:w="850" w:type="dxa"/>
                  <w:vAlign w:val="center"/>
                </w:tcPr>
                <w:p w14:paraId="4D1568BA">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sz w:val="21"/>
                      <w:szCs w:val="21"/>
                    </w:rPr>
                    <w:t>0</w:t>
                  </w:r>
                </w:p>
              </w:tc>
              <w:tc>
                <w:tcPr>
                  <w:tcW w:w="1134" w:type="dxa"/>
                  <w:vAlign w:val="center"/>
                </w:tcPr>
                <w:p w14:paraId="495F8036">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color w:val="000000" w:themeColor="text1"/>
                      <w:sz w:val="21"/>
                      <w:szCs w:val="21"/>
                      <w14:textFill>
                        <w14:solidFill>
                          <w14:schemeClr w14:val="tx1"/>
                        </w14:solidFill>
                      </w14:textFill>
                    </w:rPr>
                    <w:t>0.86</w:t>
                  </w:r>
                </w:p>
              </w:tc>
              <w:tc>
                <w:tcPr>
                  <w:tcW w:w="1276" w:type="dxa"/>
                  <w:vAlign w:val="center"/>
                </w:tcPr>
                <w:p w14:paraId="6FC66CE2">
                  <w:pPr>
                    <w:adjustRightInd w:val="0"/>
                    <w:snapToGrid w:val="0"/>
                    <w:spacing w:line="360" w:lineRule="auto"/>
                    <w:jc w:val="center"/>
                    <w:rPr>
                      <w:rFonts w:ascii="Times New Roman" w:hAnsi="Times New Roman" w:cs="Times New Roman"/>
                      <w:sz w:val="21"/>
                      <w:szCs w:val="21"/>
                      <w:lang w:bidi="ar"/>
                    </w:rPr>
                  </w:pPr>
                  <w:r>
                    <w:rPr>
                      <w:rFonts w:hint="eastAsia" w:ascii="Times New Roman" w:hAnsi="Times New Roman" w:cs="Times New Roman"/>
                      <w:sz w:val="21"/>
                      <w:szCs w:val="21"/>
                    </w:rPr>
                    <w:t>+</w:t>
                  </w:r>
                  <w:r>
                    <w:rPr>
                      <w:rFonts w:ascii="Times New Roman" w:hAnsi="Times New Roman" w:cs="Times New Roman"/>
                      <w:bCs/>
                      <w:sz w:val="21"/>
                      <w:szCs w:val="21"/>
                    </w:rPr>
                    <w:t>0.000253</w:t>
                  </w:r>
                </w:p>
              </w:tc>
            </w:tr>
            <w:tr w14:paraId="61944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continue"/>
                  <w:vAlign w:val="center"/>
                </w:tcPr>
                <w:p w14:paraId="2B8E1AC8">
                  <w:pPr>
                    <w:adjustRightInd w:val="0"/>
                    <w:snapToGrid w:val="0"/>
                    <w:spacing w:line="360" w:lineRule="auto"/>
                    <w:jc w:val="center"/>
                    <w:rPr>
                      <w:rFonts w:ascii="Times New Roman" w:hAnsi="Times New Roman" w:cs="Times New Roman"/>
                      <w:b/>
                      <w:bCs/>
                      <w:spacing w:val="-10"/>
                      <w:sz w:val="21"/>
                      <w:szCs w:val="21"/>
                    </w:rPr>
                  </w:pPr>
                </w:p>
              </w:tc>
              <w:tc>
                <w:tcPr>
                  <w:tcW w:w="346" w:type="dxa"/>
                  <w:vMerge w:val="continue"/>
                  <w:vAlign w:val="center"/>
                </w:tcPr>
                <w:p w14:paraId="42EAC77B">
                  <w:pPr>
                    <w:adjustRightInd w:val="0"/>
                    <w:snapToGrid w:val="0"/>
                    <w:spacing w:line="360" w:lineRule="auto"/>
                    <w:jc w:val="center"/>
                    <w:rPr>
                      <w:rFonts w:ascii="Times New Roman" w:hAnsi="Times New Roman" w:cs="Times New Roman"/>
                      <w:b/>
                      <w:bCs/>
                      <w:spacing w:val="-10"/>
                      <w:sz w:val="21"/>
                      <w:szCs w:val="21"/>
                    </w:rPr>
                  </w:pPr>
                </w:p>
              </w:tc>
              <w:tc>
                <w:tcPr>
                  <w:tcW w:w="992" w:type="dxa"/>
                  <w:vAlign w:val="center"/>
                </w:tcPr>
                <w:p w14:paraId="43F39E63">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甲苯</w:t>
                  </w:r>
                </w:p>
              </w:tc>
              <w:tc>
                <w:tcPr>
                  <w:tcW w:w="961" w:type="dxa"/>
                  <w:vAlign w:val="center"/>
                </w:tcPr>
                <w:p w14:paraId="74101A99">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t/a</w:t>
                  </w:r>
                </w:p>
              </w:tc>
              <w:tc>
                <w:tcPr>
                  <w:tcW w:w="1027" w:type="dxa"/>
                  <w:vAlign w:val="center"/>
                </w:tcPr>
                <w:p w14:paraId="28D9493C">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1.12</w:t>
                  </w:r>
                </w:p>
              </w:tc>
              <w:tc>
                <w:tcPr>
                  <w:tcW w:w="993" w:type="dxa"/>
                  <w:vAlign w:val="center"/>
                </w:tcPr>
                <w:p w14:paraId="32DB3AC5">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bCs/>
                      <w:sz w:val="21"/>
                      <w:szCs w:val="21"/>
                    </w:rPr>
                    <w:t>0.000664</w:t>
                  </w:r>
                </w:p>
              </w:tc>
              <w:tc>
                <w:tcPr>
                  <w:tcW w:w="850" w:type="dxa"/>
                  <w:vAlign w:val="center"/>
                </w:tcPr>
                <w:p w14:paraId="1F6A6558">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sz w:val="21"/>
                      <w:szCs w:val="21"/>
                    </w:rPr>
                    <w:t>0</w:t>
                  </w:r>
                </w:p>
              </w:tc>
              <w:tc>
                <w:tcPr>
                  <w:tcW w:w="1134" w:type="dxa"/>
                  <w:vAlign w:val="center"/>
                </w:tcPr>
                <w:p w14:paraId="4FBEA946">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color w:val="000000" w:themeColor="text1"/>
                      <w:sz w:val="21"/>
                      <w:szCs w:val="21"/>
                      <w14:textFill>
                        <w14:solidFill>
                          <w14:schemeClr w14:val="tx1"/>
                        </w14:solidFill>
                      </w14:textFill>
                    </w:rPr>
                    <w:t>1.12</w:t>
                  </w:r>
                </w:p>
              </w:tc>
              <w:tc>
                <w:tcPr>
                  <w:tcW w:w="1276" w:type="dxa"/>
                  <w:vAlign w:val="center"/>
                </w:tcPr>
                <w:p w14:paraId="6070C722">
                  <w:pPr>
                    <w:adjustRightInd w:val="0"/>
                    <w:snapToGrid w:val="0"/>
                    <w:spacing w:line="360" w:lineRule="auto"/>
                    <w:jc w:val="center"/>
                    <w:rPr>
                      <w:rFonts w:ascii="Times New Roman" w:hAnsi="Times New Roman" w:cs="Times New Roman"/>
                      <w:sz w:val="21"/>
                      <w:szCs w:val="21"/>
                      <w:lang w:bidi="ar"/>
                    </w:rPr>
                  </w:pPr>
                  <w:r>
                    <w:rPr>
                      <w:rFonts w:hint="eastAsia" w:ascii="Times New Roman" w:hAnsi="Times New Roman" w:cs="Times New Roman"/>
                      <w:sz w:val="21"/>
                      <w:szCs w:val="21"/>
                    </w:rPr>
                    <w:t>+</w:t>
                  </w:r>
                  <w:r>
                    <w:rPr>
                      <w:rFonts w:ascii="Times New Roman" w:hAnsi="Times New Roman" w:cs="Times New Roman"/>
                      <w:bCs/>
                      <w:sz w:val="21"/>
                      <w:szCs w:val="21"/>
                    </w:rPr>
                    <w:t>0.000664</w:t>
                  </w:r>
                </w:p>
              </w:tc>
            </w:tr>
            <w:tr w14:paraId="6C70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dxa"/>
                  <w:vMerge w:val="continue"/>
                  <w:vAlign w:val="center"/>
                </w:tcPr>
                <w:p w14:paraId="0FA5112D">
                  <w:pPr>
                    <w:adjustRightInd w:val="0"/>
                    <w:snapToGrid w:val="0"/>
                    <w:spacing w:line="360" w:lineRule="auto"/>
                    <w:jc w:val="center"/>
                    <w:rPr>
                      <w:rFonts w:ascii="Times New Roman" w:hAnsi="Times New Roman" w:cs="Times New Roman"/>
                      <w:b/>
                      <w:bCs/>
                      <w:spacing w:val="-10"/>
                      <w:sz w:val="21"/>
                      <w:szCs w:val="21"/>
                    </w:rPr>
                  </w:pPr>
                </w:p>
              </w:tc>
              <w:tc>
                <w:tcPr>
                  <w:tcW w:w="346" w:type="dxa"/>
                  <w:vMerge w:val="continue"/>
                  <w:vAlign w:val="center"/>
                </w:tcPr>
                <w:p w14:paraId="63E3A3A9">
                  <w:pPr>
                    <w:adjustRightInd w:val="0"/>
                    <w:snapToGrid w:val="0"/>
                    <w:spacing w:line="360" w:lineRule="auto"/>
                    <w:jc w:val="center"/>
                    <w:rPr>
                      <w:rFonts w:ascii="Times New Roman" w:hAnsi="Times New Roman" w:cs="Times New Roman"/>
                      <w:b/>
                      <w:bCs/>
                      <w:spacing w:val="-10"/>
                      <w:sz w:val="21"/>
                      <w:szCs w:val="21"/>
                    </w:rPr>
                  </w:pPr>
                </w:p>
              </w:tc>
              <w:tc>
                <w:tcPr>
                  <w:tcW w:w="992" w:type="dxa"/>
                  <w:vAlign w:val="center"/>
                </w:tcPr>
                <w:p w14:paraId="2F0A8009">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甲醇</w:t>
                  </w:r>
                </w:p>
              </w:tc>
              <w:tc>
                <w:tcPr>
                  <w:tcW w:w="961" w:type="dxa"/>
                  <w:vAlign w:val="center"/>
                </w:tcPr>
                <w:p w14:paraId="40DE937D">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t/a</w:t>
                  </w:r>
                </w:p>
              </w:tc>
              <w:tc>
                <w:tcPr>
                  <w:tcW w:w="1027" w:type="dxa"/>
                  <w:vAlign w:val="center"/>
                </w:tcPr>
                <w:p w14:paraId="35CD016C">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color w:val="000000" w:themeColor="text1"/>
                      <w:sz w:val="21"/>
                      <w:szCs w:val="21"/>
                      <w14:textFill>
                        <w14:solidFill>
                          <w14:schemeClr w14:val="tx1"/>
                        </w14:solidFill>
                      </w14:textFill>
                    </w:rPr>
                    <w:t>2.57</w:t>
                  </w:r>
                </w:p>
              </w:tc>
              <w:tc>
                <w:tcPr>
                  <w:tcW w:w="993" w:type="dxa"/>
                  <w:vAlign w:val="center"/>
                </w:tcPr>
                <w:p w14:paraId="14BC4C00">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0</w:t>
                  </w:r>
                </w:p>
              </w:tc>
              <w:tc>
                <w:tcPr>
                  <w:tcW w:w="850" w:type="dxa"/>
                  <w:vAlign w:val="center"/>
                </w:tcPr>
                <w:p w14:paraId="16BC6595">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sz w:val="21"/>
                      <w:szCs w:val="21"/>
                    </w:rPr>
                    <w:t>0</w:t>
                  </w:r>
                </w:p>
              </w:tc>
              <w:tc>
                <w:tcPr>
                  <w:tcW w:w="1134" w:type="dxa"/>
                  <w:vAlign w:val="center"/>
                </w:tcPr>
                <w:p w14:paraId="5491C6D7">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color w:val="000000" w:themeColor="text1"/>
                      <w:sz w:val="21"/>
                      <w:szCs w:val="21"/>
                      <w14:textFill>
                        <w14:solidFill>
                          <w14:schemeClr w14:val="tx1"/>
                        </w14:solidFill>
                      </w14:textFill>
                    </w:rPr>
                    <w:t>2.57</w:t>
                  </w:r>
                </w:p>
              </w:tc>
              <w:tc>
                <w:tcPr>
                  <w:tcW w:w="1276" w:type="dxa"/>
                  <w:vAlign w:val="center"/>
                </w:tcPr>
                <w:p w14:paraId="77860B68">
                  <w:pPr>
                    <w:adjustRightInd w:val="0"/>
                    <w:snapToGrid w:val="0"/>
                    <w:spacing w:line="360" w:lineRule="auto"/>
                    <w:jc w:val="center"/>
                    <w:rPr>
                      <w:rFonts w:ascii="Times New Roman" w:hAnsi="Times New Roman" w:cs="Times New Roman"/>
                      <w:sz w:val="21"/>
                      <w:szCs w:val="21"/>
                      <w:lang w:bidi="ar"/>
                    </w:rPr>
                  </w:pPr>
                  <w:r>
                    <w:rPr>
                      <w:rFonts w:ascii="Times New Roman" w:hAnsi="Times New Roman" w:cs="Times New Roman"/>
                      <w:sz w:val="21"/>
                      <w:szCs w:val="21"/>
                    </w:rPr>
                    <w:t>0</w:t>
                  </w:r>
                </w:p>
              </w:tc>
            </w:tr>
            <w:tr w14:paraId="29F0E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gridSpan w:val="2"/>
                  <w:vAlign w:val="center"/>
                </w:tcPr>
                <w:p w14:paraId="02C1ACC0">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废水</w:t>
                  </w:r>
                </w:p>
              </w:tc>
              <w:tc>
                <w:tcPr>
                  <w:tcW w:w="992" w:type="dxa"/>
                  <w:vAlign w:val="center"/>
                </w:tcPr>
                <w:p w14:paraId="5B0CF167">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废水量</w:t>
                  </w:r>
                </w:p>
              </w:tc>
              <w:tc>
                <w:tcPr>
                  <w:tcW w:w="961" w:type="dxa"/>
                  <w:vAlign w:val="center"/>
                </w:tcPr>
                <w:p w14:paraId="1A95EA58">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t/a</w:t>
                  </w:r>
                </w:p>
              </w:tc>
              <w:tc>
                <w:tcPr>
                  <w:tcW w:w="1027" w:type="dxa"/>
                  <w:vAlign w:val="center"/>
                </w:tcPr>
                <w:p w14:paraId="044BE7FF">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181475.80</w:t>
                  </w:r>
                </w:p>
              </w:tc>
              <w:tc>
                <w:tcPr>
                  <w:tcW w:w="993" w:type="dxa"/>
                  <w:vAlign w:val="center"/>
                </w:tcPr>
                <w:p w14:paraId="6F0FD3B0">
                  <w:pPr>
                    <w:adjustRightInd w:val="0"/>
                    <w:snapToGrid w:val="0"/>
                    <w:spacing w:line="360" w:lineRule="auto"/>
                    <w:jc w:val="center"/>
                    <w:rPr>
                      <w:rFonts w:ascii="Times New Roman" w:hAnsi="Times New Roman" w:cs="Times New Roman"/>
                      <w:spacing w:val="-10"/>
                      <w:sz w:val="21"/>
                      <w:szCs w:val="21"/>
                    </w:rPr>
                  </w:pPr>
                  <w:r>
                    <w:rPr>
                      <w:rFonts w:hint="eastAsia" w:ascii="Times New Roman" w:hAnsi="Times New Roman" w:cs="Times New Roman"/>
                      <w:spacing w:val="-10"/>
                      <w:sz w:val="21"/>
                      <w:szCs w:val="21"/>
                    </w:rPr>
                    <w:t>77.76</w:t>
                  </w:r>
                </w:p>
              </w:tc>
              <w:tc>
                <w:tcPr>
                  <w:tcW w:w="850" w:type="dxa"/>
                  <w:vAlign w:val="center"/>
                </w:tcPr>
                <w:p w14:paraId="4D38EDAA">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sz w:val="21"/>
                      <w:szCs w:val="21"/>
                    </w:rPr>
                    <w:t>0</w:t>
                  </w:r>
                </w:p>
              </w:tc>
              <w:tc>
                <w:tcPr>
                  <w:tcW w:w="1134" w:type="dxa"/>
                  <w:vAlign w:val="center"/>
                </w:tcPr>
                <w:p w14:paraId="243AF930">
                  <w:pPr>
                    <w:adjustRightInd w:val="0"/>
                    <w:snapToGrid w:val="0"/>
                    <w:spacing w:line="360" w:lineRule="auto"/>
                    <w:jc w:val="center"/>
                    <w:rPr>
                      <w:rFonts w:ascii="Times New Roman" w:hAnsi="Times New Roman" w:cs="Times New Roman"/>
                      <w:b/>
                      <w:bCs/>
                      <w:spacing w:val="-10"/>
                      <w:sz w:val="21"/>
                      <w:szCs w:val="21"/>
                    </w:rPr>
                  </w:pPr>
                  <w:r>
                    <w:rPr>
                      <w:rFonts w:ascii="Times New Roman" w:hAnsi="Times New Roman" w:cs="Times New Roman"/>
                      <w:color w:val="000000" w:themeColor="text1"/>
                      <w:sz w:val="21"/>
                      <w:szCs w:val="21"/>
                      <w14:textFill>
                        <w14:solidFill>
                          <w14:schemeClr w14:val="tx1"/>
                        </w14:solidFill>
                      </w14:textFill>
                    </w:rPr>
                    <w:t>1</w:t>
                  </w:r>
                  <w:r>
                    <w:rPr>
                      <w:rFonts w:hint="eastAsia" w:ascii="Times New Roman" w:hAnsi="Times New Roman" w:cs="Times New Roman"/>
                      <w:color w:val="000000" w:themeColor="text1"/>
                      <w:sz w:val="21"/>
                      <w:szCs w:val="21"/>
                      <w14:textFill>
                        <w14:solidFill>
                          <w14:schemeClr w14:val="tx1"/>
                        </w14:solidFill>
                      </w14:textFill>
                    </w:rPr>
                    <w:t>81553.56</w:t>
                  </w:r>
                </w:p>
              </w:tc>
              <w:tc>
                <w:tcPr>
                  <w:tcW w:w="1276" w:type="dxa"/>
                  <w:vAlign w:val="center"/>
                </w:tcPr>
                <w:p w14:paraId="05766442">
                  <w:pPr>
                    <w:adjustRightInd w:val="0"/>
                    <w:snapToGrid w:val="0"/>
                    <w:spacing w:line="360" w:lineRule="auto"/>
                    <w:jc w:val="center"/>
                    <w:rPr>
                      <w:rFonts w:ascii="Times New Roman" w:hAnsi="Times New Roman" w:cs="Times New Roman"/>
                      <w:b/>
                      <w:bCs/>
                      <w:spacing w:val="-10"/>
                      <w:sz w:val="21"/>
                      <w:szCs w:val="21"/>
                    </w:rPr>
                  </w:pPr>
                  <w:r>
                    <w:rPr>
                      <w:rFonts w:hint="eastAsia" w:ascii="Times New Roman" w:hAnsi="Times New Roman" w:cs="Times New Roman"/>
                      <w:sz w:val="21"/>
                      <w:szCs w:val="21"/>
                    </w:rPr>
                    <w:t>+77.76</w:t>
                  </w:r>
                </w:p>
              </w:tc>
            </w:tr>
            <w:tr w14:paraId="2CB87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gridSpan w:val="2"/>
                  <w:vMerge w:val="restart"/>
                  <w:vAlign w:val="center"/>
                </w:tcPr>
                <w:p w14:paraId="1B856BE7">
                  <w:pPr>
                    <w:adjustRightInd w:val="0"/>
                    <w:snapToGrid w:val="0"/>
                    <w:spacing w:line="360" w:lineRule="auto"/>
                    <w:jc w:val="center"/>
                    <w:rPr>
                      <w:rFonts w:ascii="Times New Roman" w:hAnsi="Times New Roman" w:cs="Times New Roman"/>
                      <w:spacing w:val="-10"/>
                      <w:sz w:val="21"/>
                      <w:szCs w:val="21"/>
                    </w:rPr>
                  </w:pPr>
                  <w:r>
                    <w:rPr>
                      <w:rFonts w:ascii="Times New Roman" w:hAnsi="Times New Roman" w:cs="Times New Roman"/>
                      <w:spacing w:val="-10"/>
                      <w:sz w:val="21"/>
                      <w:szCs w:val="21"/>
                    </w:rPr>
                    <w:t>固废</w:t>
                  </w:r>
                </w:p>
              </w:tc>
              <w:tc>
                <w:tcPr>
                  <w:tcW w:w="992" w:type="dxa"/>
                  <w:vAlign w:val="center"/>
                </w:tcPr>
                <w:p w14:paraId="688940A7">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一般固废</w:t>
                  </w:r>
                </w:p>
              </w:tc>
              <w:tc>
                <w:tcPr>
                  <w:tcW w:w="961" w:type="dxa"/>
                  <w:vAlign w:val="center"/>
                </w:tcPr>
                <w:p w14:paraId="7482284C">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t/a</w:t>
                  </w:r>
                </w:p>
              </w:tc>
              <w:tc>
                <w:tcPr>
                  <w:tcW w:w="1027" w:type="dxa"/>
                  <w:vAlign w:val="center"/>
                </w:tcPr>
                <w:p w14:paraId="4050DF73">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20.1</w:t>
                  </w:r>
                </w:p>
              </w:tc>
              <w:tc>
                <w:tcPr>
                  <w:tcW w:w="993" w:type="dxa"/>
                  <w:vAlign w:val="center"/>
                </w:tcPr>
                <w:p w14:paraId="799911B8">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0</w:t>
                  </w:r>
                </w:p>
              </w:tc>
              <w:tc>
                <w:tcPr>
                  <w:tcW w:w="850" w:type="dxa"/>
                  <w:vAlign w:val="center"/>
                </w:tcPr>
                <w:p w14:paraId="0049C2F9">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0</w:t>
                  </w:r>
                </w:p>
              </w:tc>
              <w:tc>
                <w:tcPr>
                  <w:tcW w:w="1134" w:type="dxa"/>
                  <w:vAlign w:val="center"/>
                </w:tcPr>
                <w:p w14:paraId="28C97924">
                  <w:pPr>
                    <w:adjustRightInd w:val="0"/>
                    <w:snapToGrid w:val="0"/>
                    <w:spacing w:line="360" w:lineRule="auto"/>
                    <w:jc w:val="center"/>
                    <w:rPr>
                      <w:rFonts w:ascii="Times New Roman" w:hAnsi="Times New Roman" w:cs="Times New Roman"/>
                      <w:sz w:val="21"/>
                      <w:szCs w:val="21"/>
                    </w:rPr>
                  </w:pPr>
                  <w:r>
                    <w:rPr>
                      <w:rFonts w:hint="eastAsia" w:ascii="Times New Roman" w:hAnsi="Times New Roman" w:cs="Times New Roman"/>
                      <w:sz w:val="21"/>
                      <w:szCs w:val="21"/>
                    </w:rPr>
                    <w:t>20.1</w:t>
                  </w:r>
                </w:p>
              </w:tc>
              <w:tc>
                <w:tcPr>
                  <w:tcW w:w="1276" w:type="dxa"/>
                  <w:vAlign w:val="center"/>
                </w:tcPr>
                <w:p w14:paraId="543913C6">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0</w:t>
                  </w:r>
                </w:p>
              </w:tc>
            </w:tr>
            <w:tr w14:paraId="38B6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gridSpan w:val="2"/>
                  <w:vMerge w:val="continue"/>
                  <w:vAlign w:val="center"/>
                </w:tcPr>
                <w:p w14:paraId="3B904376">
                  <w:pPr>
                    <w:adjustRightInd w:val="0"/>
                    <w:snapToGrid w:val="0"/>
                    <w:spacing w:line="360" w:lineRule="auto"/>
                    <w:jc w:val="center"/>
                    <w:rPr>
                      <w:rFonts w:ascii="Times New Roman" w:hAnsi="Times New Roman" w:cs="Times New Roman"/>
                      <w:b/>
                      <w:bCs/>
                      <w:spacing w:val="-10"/>
                      <w:sz w:val="21"/>
                      <w:szCs w:val="21"/>
                    </w:rPr>
                  </w:pPr>
                </w:p>
              </w:tc>
              <w:tc>
                <w:tcPr>
                  <w:tcW w:w="992" w:type="dxa"/>
                  <w:vAlign w:val="center"/>
                </w:tcPr>
                <w:p w14:paraId="2878DB36">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危险废物</w:t>
                  </w:r>
                </w:p>
              </w:tc>
              <w:tc>
                <w:tcPr>
                  <w:tcW w:w="961" w:type="dxa"/>
                  <w:vAlign w:val="center"/>
                </w:tcPr>
                <w:p w14:paraId="3F7E7C30">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t/a</w:t>
                  </w:r>
                </w:p>
              </w:tc>
              <w:tc>
                <w:tcPr>
                  <w:tcW w:w="1027" w:type="dxa"/>
                  <w:vAlign w:val="center"/>
                </w:tcPr>
                <w:p w14:paraId="726F018B">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450.08</w:t>
                  </w:r>
                </w:p>
              </w:tc>
              <w:tc>
                <w:tcPr>
                  <w:tcW w:w="993" w:type="dxa"/>
                  <w:vAlign w:val="center"/>
                </w:tcPr>
                <w:p w14:paraId="279B35F9">
                  <w:pPr>
                    <w:adjustRightInd w:val="0"/>
                    <w:snapToGrid w:val="0"/>
                    <w:spacing w:line="360" w:lineRule="auto"/>
                    <w:jc w:val="center"/>
                    <w:rPr>
                      <w:rFonts w:ascii="Times New Roman" w:hAnsi="Times New Roman" w:cs="Times New Roman"/>
                      <w:sz w:val="21"/>
                      <w:szCs w:val="21"/>
                    </w:rPr>
                  </w:pPr>
                  <w:r>
                    <w:rPr>
                      <w:rFonts w:hint="eastAsia" w:ascii="Times New Roman" w:hAnsi="Times New Roman" w:cs="Times New Roman"/>
                      <w:sz w:val="21"/>
                      <w:szCs w:val="21"/>
                    </w:rPr>
                    <w:t>7.22</w:t>
                  </w:r>
                </w:p>
              </w:tc>
              <w:tc>
                <w:tcPr>
                  <w:tcW w:w="850" w:type="dxa"/>
                  <w:vAlign w:val="center"/>
                </w:tcPr>
                <w:p w14:paraId="08724A55">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0</w:t>
                  </w:r>
                </w:p>
              </w:tc>
              <w:tc>
                <w:tcPr>
                  <w:tcW w:w="1134" w:type="dxa"/>
                  <w:vAlign w:val="center"/>
                </w:tcPr>
                <w:p w14:paraId="239A4D30">
                  <w:pPr>
                    <w:adjustRightInd w:val="0"/>
                    <w:snapToGrid w:val="0"/>
                    <w:spacing w:line="360" w:lineRule="auto"/>
                    <w:jc w:val="center"/>
                    <w:rPr>
                      <w:rFonts w:ascii="Times New Roman" w:hAnsi="Times New Roman" w:cs="Times New Roman"/>
                      <w:sz w:val="21"/>
                      <w:szCs w:val="21"/>
                    </w:rPr>
                  </w:pPr>
                  <w:r>
                    <w:rPr>
                      <w:rFonts w:hint="eastAsia" w:ascii="Times New Roman" w:hAnsi="Times New Roman" w:cs="Times New Roman"/>
                      <w:sz w:val="21"/>
                      <w:szCs w:val="21"/>
                    </w:rPr>
                    <w:t>457.3</w:t>
                  </w:r>
                </w:p>
              </w:tc>
              <w:tc>
                <w:tcPr>
                  <w:tcW w:w="1276" w:type="dxa"/>
                  <w:vAlign w:val="center"/>
                </w:tcPr>
                <w:p w14:paraId="718FE7A7">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+7.22</w:t>
                  </w:r>
                </w:p>
              </w:tc>
            </w:tr>
            <w:tr w14:paraId="39B3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gridSpan w:val="2"/>
                  <w:vMerge w:val="continue"/>
                  <w:vAlign w:val="center"/>
                </w:tcPr>
                <w:p w14:paraId="59F75163">
                  <w:pPr>
                    <w:adjustRightInd w:val="0"/>
                    <w:snapToGrid w:val="0"/>
                    <w:spacing w:line="360" w:lineRule="auto"/>
                    <w:jc w:val="center"/>
                    <w:rPr>
                      <w:rFonts w:ascii="Times New Roman" w:hAnsi="Times New Roman" w:cs="Times New Roman"/>
                      <w:b/>
                      <w:bCs/>
                      <w:spacing w:val="-10"/>
                      <w:sz w:val="21"/>
                      <w:szCs w:val="21"/>
                    </w:rPr>
                  </w:pPr>
                </w:p>
              </w:tc>
              <w:tc>
                <w:tcPr>
                  <w:tcW w:w="992" w:type="dxa"/>
                  <w:vAlign w:val="center"/>
                </w:tcPr>
                <w:p w14:paraId="7FFA1B87">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生活垃圾</w:t>
                  </w:r>
                </w:p>
              </w:tc>
              <w:tc>
                <w:tcPr>
                  <w:tcW w:w="961" w:type="dxa"/>
                  <w:vAlign w:val="center"/>
                </w:tcPr>
                <w:p w14:paraId="38FEFEB5">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t/a</w:t>
                  </w:r>
                </w:p>
              </w:tc>
              <w:tc>
                <w:tcPr>
                  <w:tcW w:w="1027" w:type="dxa"/>
                  <w:vAlign w:val="center"/>
                </w:tcPr>
                <w:p w14:paraId="297E388D">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14:textFill>
                        <w14:solidFill>
                          <w14:schemeClr w14:val="tx1"/>
                        </w14:solidFill>
                      </w14:textFill>
                    </w:rPr>
                    <w:t>29.3</w:t>
                  </w:r>
                </w:p>
              </w:tc>
              <w:tc>
                <w:tcPr>
                  <w:tcW w:w="993" w:type="dxa"/>
                  <w:vAlign w:val="center"/>
                </w:tcPr>
                <w:p w14:paraId="6A4C480C">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0</w:t>
                  </w:r>
                </w:p>
              </w:tc>
              <w:tc>
                <w:tcPr>
                  <w:tcW w:w="850" w:type="dxa"/>
                  <w:vAlign w:val="center"/>
                </w:tcPr>
                <w:p w14:paraId="0B74D180">
                  <w:pPr>
                    <w:adjustRightInd w:val="0"/>
                    <w:snapToGrid w:val="0"/>
                    <w:spacing w:line="360" w:lineRule="auto"/>
                    <w:jc w:val="center"/>
                    <w:rPr>
                      <w:rFonts w:ascii="Times New Roman" w:hAnsi="Times New Roman" w:cs="Times New Roman"/>
                      <w:sz w:val="21"/>
                      <w:szCs w:val="21"/>
                    </w:rPr>
                  </w:pPr>
                  <w:r>
                    <w:rPr>
                      <w:rFonts w:ascii="Times New Roman" w:hAnsi="Times New Roman" w:cs="Times New Roman"/>
                      <w:sz w:val="21"/>
                      <w:szCs w:val="21"/>
                    </w:rPr>
                    <w:t>0</w:t>
                  </w:r>
                </w:p>
              </w:tc>
              <w:tc>
                <w:tcPr>
                  <w:tcW w:w="1134" w:type="dxa"/>
                  <w:vAlign w:val="center"/>
                </w:tcPr>
                <w:p w14:paraId="1B95C683">
                  <w:pPr>
                    <w:adjustRightInd w:val="0"/>
                    <w:snapToGrid w:val="0"/>
                    <w:spacing w:line="360" w:lineRule="auto"/>
                    <w:jc w:val="center"/>
                    <w:rPr>
                      <w:rFonts w:ascii="Times New Roman" w:hAnsi="Times New Roman" w:cs="Times New Roman"/>
                      <w:sz w:val="21"/>
                      <w:szCs w:val="21"/>
                    </w:rPr>
                  </w:pPr>
                  <w:r>
                    <w:rPr>
                      <w:rFonts w:hint="eastAsia" w:ascii="Times New Roman" w:hAnsi="Times New Roman" w:cs="Times New Roman"/>
                      <w:sz w:val="21"/>
                      <w:szCs w:val="21"/>
                    </w:rPr>
                    <w:t>29.3</w:t>
                  </w:r>
                </w:p>
              </w:tc>
              <w:tc>
                <w:tcPr>
                  <w:tcW w:w="1276" w:type="dxa"/>
                  <w:vAlign w:val="center"/>
                </w:tcPr>
                <w:p w14:paraId="5BED4D1B">
                  <w:pPr>
                    <w:adjustRightInd w:val="0"/>
                    <w:snapToGrid w:val="0"/>
                    <w:spacing w:line="360" w:lineRule="auto"/>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0</w:t>
                  </w:r>
                </w:p>
              </w:tc>
            </w:tr>
          </w:tbl>
          <w:p w14:paraId="3ED1EF26">
            <w:pPr>
              <w:adjustRightInd w:val="0"/>
              <w:snapToGrid w:val="0"/>
              <w:spacing w:line="360" w:lineRule="auto"/>
              <w:rPr>
                <w:rFonts w:ascii="Times New Roman" w:hAnsi="Times New Roman" w:cs="Times New Roman"/>
                <w:b/>
                <w:bCs/>
                <w:spacing w:val="-10"/>
              </w:rPr>
            </w:pPr>
          </w:p>
          <w:p w14:paraId="35549819">
            <w:pPr>
              <w:adjustRightInd w:val="0"/>
              <w:snapToGrid w:val="0"/>
              <w:spacing w:line="360" w:lineRule="auto"/>
              <w:rPr>
                <w:rFonts w:ascii="Times New Roman" w:hAnsi="Times New Roman" w:cs="Times New Roman"/>
                <w:b/>
                <w:bCs/>
                <w:spacing w:val="-10"/>
              </w:rPr>
            </w:pPr>
            <w:r>
              <w:rPr>
                <w:rFonts w:ascii="Times New Roman" w:hAnsi="Times New Roman" w:cs="Times New Roman"/>
                <w:b/>
                <w:bCs/>
                <w:spacing w:val="-10"/>
              </w:rPr>
              <w:t>8、环境风险影响分析</w:t>
            </w:r>
          </w:p>
          <w:p w14:paraId="5E482424">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项目实施后，物料中石脑油、异辛烷、成品汽油、成品柴油、轻质燃料油、煤基柴油等属于有毒有害危险物质，经查询《建设项目环境风险评价技术导则》（HJ169-2018）中附录B，项目涉及的突发性环境事件风险物质调查情况见表4-</w:t>
            </w:r>
            <w:r>
              <w:rPr>
                <w:rFonts w:hint="eastAsia" w:ascii="Times New Roman" w:hAnsi="Times New Roman" w:cs="Times New Roman"/>
                <w:bCs/>
                <w:spacing w:val="-10"/>
              </w:rPr>
              <w:t>20</w:t>
            </w:r>
            <w:r>
              <w:rPr>
                <w:rFonts w:ascii="Times New Roman" w:hAnsi="Times New Roman" w:cs="Times New Roman"/>
                <w:bCs/>
                <w:spacing w:val="-10"/>
              </w:rPr>
              <w:t>。</w:t>
            </w:r>
          </w:p>
          <w:p w14:paraId="1032572A">
            <w:pPr>
              <w:adjustRightInd w:val="0"/>
              <w:snapToGrid w:val="0"/>
              <w:ind w:firstLine="442" w:firstLineChars="200"/>
              <w:jc w:val="center"/>
              <w:rPr>
                <w:rFonts w:ascii="Times New Roman" w:hAnsi="Times New Roman" w:cs="Times New Roman"/>
                <w:b/>
                <w:spacing w:val="-10"/>
              </w:rPr>
            </w:pPr>
            <w:r>
              <w:rPr>
                <w:rFonts w:ascii="Times New Roman" w:hAnsi="Times New Roman" w:cs="Times New Roman"/>
                <w:b/>
                <w:spacing w:val="-10"/>
                <w:szCs w:val="21"/>
              </w:rPr>
              <w:t>表4-</w:t>
            </w:r>
            <w:r>
              <w:rPr>
                <w:rFonts w:hint="eastAsia" w:ascii="Times New Roman" w:hAnsi="Times New Roman" w:cs="Times New Roman"/>
                <w:b/>
                <w:spacing w:val="-10"/>
                <w:szCs w:val="21"/>
              </w:rPr>
              <w:t>20</w:t>
            </w:r>
            <w:r>
              <w:rPr>
                <w:rFonts w:ascii="Times New Roman" w:hAnsi="Times New Roman" w:cs="Times New Roman"/>
                <w:b/>
                <w:spacing w:val="-10"/>
                <w:szCs w:val="21"/>
              </w:rPr>
              <w:t xml:space="preserve">  环境事件风险物质调查一览表</w:t>
            </w:r>
          </w:p>
          <w:tbl>
            <w:tblPr>
              <w:tblStyle w:val="17"/>
              <w:tblW w:w="77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3"/>
              <w:gridCol w:w="1134"/>
              <w:gridCol w:w="1276"/>
              <w:gridCol w:w="1930"/>
              <w:gridCol w:w="1197"/>
              <w:gridCol w:w="1034"/>
            </w:tblGrid>
            <w:tr w14:paraId="5237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dxa"/>
                  <w:gridSpan w:val="2"/>
                  <w:vAlign w:val="center"/>
                </w:tcPr>
                <w:p w14:paraId="72DC921D">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环境风险物质名称</w:t>
                  </w:r>
                </w:p>
              </w:tc>
              <w:tc>
                <w:tcPr>
                  <w:tcW w:w="1276" w:type="dxa"/>
                  <w:vAlign w:val="center"/>
                </w:tcPr>
                <w:p w14:paraId="12DE4F8F">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CAS号</w:t>
                  </w:r>
                </w:p>
              </w:tc>
              <w:tc>
                <w:tcPr>
                  <w:tcW w:w="1930" w:type="dxa"/>
                  <w:vAlign w:val="center"/>
                </w:tcPr>
                <w:p w14:paraId="759EDF83">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最大存在总量（t）</w:t>
                  </w:r>
                </w:p>
              </w:tc>
              <w:tc>
                <w:tcPr>
                  <w:tcW w:w="1197" w:type="dxa"/>
                  <w:vAlign w:val="center"/>
                </w:tcPr>
                <w:p w14:paraId="6AF19821">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临界量（t）</w:t>
                  </w:r>
                </w:p>
              </w:tc>
              <w:tc>
                <w:tcPr>
                  <w:tcW w:w="1034" w:type="dxa"/>
                  <w:vAlign w:val="center"/>
                </w:tcPr>
                <w:p w14:paraId="5166076C">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Q值</w:t>
                  </w:r>
                </w:p>
              </w:tc>
            </w:tr>
            <w:tr w14:paraId="0F9C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dxa"/>
                  <w:gridSpan w:val="2"/>
                  <w:vAlign w:val="center"/>
                </w:tcPr>
                <w:p w14:paraId="447A625D">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石脑油</w:t>
                  </w:r>
                </w:p>
              </w:tc>
              <w:tc>
                <w:tcPr>
                  <w:tcW w:w="1276" w:type="dxa"/>
                  <w:vAlign w:val="center"/>
                </w:tcPr>
                <w:p w14:paraId="261C6CB1">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w:t>
                  </w:r>
                </w:p>
              </w:tc>
              <w:tc>
                <w:tcPr>
                  <w:tcW w:w="1930" w:type="dxa"/>
                  <w:vAlign w:val="center"/>
                </w:tcPr>
                <w:p w14:paraId="2B829326">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1460</w:t>
                  </w:r>
                </w:p>
              </w:tc>
              <w:tc>
                <w:tcPr>
                  <w:tcW w:w="1197" w:type="dxa"/>
                  <w:vAlign w:val="center"/>
                </w:tcPr>
                <w:p w14:paraId="4B53F245">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2500</w:t>
                  </w:r>
                </w:p>
              </w:tc>
              <w:tc>
                <w:tcPr>
                  <w:tcW w:w="1034" w:type="dxa"/>
                  <w:vAlign w:val="center"/>
                </w:tcPr>
                <w:p w14:paraId="6E821642">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0.584</w:t>
                  </w:r>
                </w:p>
              </w:tc>
            </w:tr>
            <w:tr w14:paraId="40B9C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dxa"/>
                  <w:gridSpan w:val="2"/>
                  <w:vAlign w:val="center"/>
                </w:tcPr>
                <w:p w14:paraId="6479958F">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异辛烷</w:t>
                  </w:r>
                </w:p>
              </w:tc>
              <w:tc>
                <w:tcPr>
                  <w:tcW w:w="1276" w:type="dxa"/>
                  <w:vAlign w:val="center"/>
                </w:tcPr>
                <w:p w14:paraId="276B753A">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w:t>
                  </w:r>
                </w:p>
              </w:tc>
              <w:tc>
                <w:tcPr>
                  <w:tcW w:w="1930" w:type="dxa"/>
                  <w:vAlign w:val="center"/>
                </w:tcPr>
                <w:p w14:paraId="607D0996">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1380</w:t>
                  </w:r>
                </w:p>
              </w:tc>
              <w:tc>
                <w:tcPr>
                  <w:tcW w:w="1197" w:type="dxa"/>
                  <w:vAlign w:val="center"/>
                </w:tcPr>
                <w:p w14:paraId="37E59F54">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100</w:t>
                  </w:r>
                </w:p>
              </w:tc>
              <w:tc>
                <w:tcPr>
                  <w:tcW w:w="1034" w:type="dxa"/>
                  <w:vAlign w:val="center"/>
                </w:tcPr>
                <w:p w14:paraId="7F1E1933">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13.8</w:t>
                  </w:r>
                </w:p>
              </w:tc>
            </w:tr>
            <w:tr w14:paraId="17A81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dxa"/>
                  <w:gridSpan w:val="2"/>
                  <w:vAlign w:val="center"/>
                </w:tcPr>
                <w:p w14:paraId="500C9119">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92#汽油</w:t>
                  </w:r>
                </w:p>
              </w:tc>
              <w:tc>
                <w:tcPr>
                  <w:tcW w:w="1276" w:type="dxa"/>
                  <w:vAlign w:val="center"/>
                </w:tcPr>
                <w:p w14:paraId="0D273D88">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w:t>
                  </w:r>
                </w:p>
              </w:tc>
              <w:tc>
                <w:tcPr>
                  <w:tcW w:w="1930" w:type="dxa"/>
                  <w:vAlign w:val="center"/>
                </w:tcPr>
                <w:p w14:paraId="35704EE4">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1495</w:t>
                  </w:r>
                </w:p>
              </w:tc>
              <w:tc>
                <w:tcPr>
                  <w:tcW w:w="1197" w:type="dxa"/>
                  <w:vAlign w:val="center"/>
                </w:tcPr>
                <w:p w14:paraId="308F5B6B">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2500</w:t>
                  </w:r>
                </w:p>
              </w:tc>
              <w:tc>
                <w:tcPr>
                  <w:tcW w:w="1034" w:type="dxa"/>
                  <w:vAlign w:val="center"/>
                </w:tcPr>
                <w:p w14:paraId="06B2E281">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0.598</w:t>
                  </w:r>
                </w:p>
              </w:tc>
            </w:tr>
            <w:tr w14:paraId="4F68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dxa"/>
                  <w:gridSpan w:val="2"/>
                  <w:vAlign w:val="center"/>
                </w:tcPr>
                <w:p w14:paraId="68008AFE">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95#汽油</w:t>
                  </w:r>
                </w:p>
              </w:tc>
              <w:tc>
                <w:tcPr>
                  <w:tcW w:w="1276" w:type="dxa"/>
                  <w:vAlign w:val="center"/>
                </w:tcPr>
                <w:p w14:paraId="77E11660">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w:t>
                  </w:r>
                </w:p>
              </w:tc>
              <w:tc>
                <w:tcPr>
                  <w:tcW w:w="1930" w:type="dxa"/>
                  <w:vAlign w:val="center"/>
                </w:tcPr>
                <w:p w14:paraId="1124547E">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1495</w:t>
                  </w:r>
                </w:p>
              </w:tc>
              <w:tc>
                <w:tcPr>
                  <w:tcW w:w="1197" w:type="dxa"/>
                  <w:vAlign w:val="center"/>
                </w:tcPr>
                <w:p w14:paraId="39CA23BD">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2500</w:t>
                  </w:r>
                </w:p>
              </w:tc>
              <w:tc>
                <w:tcPr>
                  <w:tcW w:w="1034" w:type="dxa"/>
                  <w:vAlign w:val="center"/>
                </w:tcPr>
                <w:p w14:paraId="1AC9EBD2">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0.598</w:t>
                  </w:r>
                </w:p>
              </w:tc>
            </w:tr>
            <w:tr w14:paraId="65A2D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dxa"/>
                  <w:gridSpan w:val="2"/>
                  <w:vAlign w:val="center"/>
                </w:tcPr>
                <w:p w14:paraId="532D6864">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轻质燃料油</w:t>
                  </w:r>
                </w:p>
              </w:tc>
              <w:tc>
                <w:tcPr>
                  <w:tcW w:w="1276" w:type="dxa"/>
                  <w:vAlign w:val="center"/>
                </w:tcPr>
                <w:p w14:paraId="100A9B53">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w:t>
                  </w:r>
                </w:p>
              </w:tc>
              <w:tc>
                <w:tcPr>
                  <w:tcW w:w="1930" w:type="dxa"/>
                  <w:vAlign w:val="center"/>
                </w:tcPr>
                <w:p w14:paraId="01F56E36">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2550</w:t>
                  </w:r>
                </w:p>
              </w:tc>
              <w:tc>
                <w:tcPr>
                  <w:tcW w:w="1197" w:type="dxa"/>
                  <w:vAlign w:val="center"/>
                </w:tcPr>
                <w:p w14:paraId="3F91C3CA">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2500</w:t>
                  </w:r>
                </w:p>
              </w:tc>
              <w:tc>
                <w:tcPr>
                  <w:tcW w:w="1034" w:type="dxa"/>
                  <w:vAlign w:val="center"/>
                </w:tcPr>
                <w:p w14:paraId="561102BC">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1.02</w:t>
                  </w:r>
                </w:p>
              </w:tc>
            </w:tr>
            <w:tr w14:paraId="47AD0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dxa"/>
                  <w:gridSpan w:val="2"/>
                  <w:vAlign w:val="center"/>
                </w:tcPr>
                <w:p w14:paraId="4712E102">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煤基柴油</w:t>
                  </w:r>
                </w:p>
              </w:tc>
              <w:tc>
                <w:tcPr>
                  <w:tcW w:w="1276" w:type="dxa"/>
                  <w:vAlign w:val="center"/>
                </w:tcPr>
                <w:p w14:paraId="3A4EEF1B">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w:t>
                  </w:r>
                </w:p>
              </w:tc>
              <w:tc>
                <w:tcPr>
                  <w:tcW w:w="1930" w:type="dxa"/>
                  <w:vAlign w:val="center"/>
                </w:tcPr>
                <w:p w14:paraId="0137AF70">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2550</w:t>
                  </w:r>
                </w:p>
              </w:tc>
              <w:tc>
                <w:tcPr>
                  <w:tcW w:w="1197" w:type="dxa"/>
                  <w:vAlign w:val="center"/>
                </w:tcPr>
                <w:p w14:paraId="5051F9E2">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2500</w:t>
                  </w:r>
                </w:p>
              </w:tc>
              <w:tc>
                <w:tcPr>
                  <w:tcW w:w="1034" w:type="dxa"/>
                  <w:vAlign w:val="center"/>
                </w:tcPr>
                <w:p w14:paraId="73EC34A8">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1.02</w:t>
                  </w:r>
                </w:p>
              </w:tc>
            </w:tr>
            <w:tr w14:paraId="0A32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dxa"/>
                  <w:gridSpan w:val="2"/>
                  <w:vAlign w:val="center"/>
                </w:tcPr>
                <w:p w14:paraId="2F58B235">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柴油</w:t>
                  </w:r>
                </w:p>
              </w:tc>
              <w:tc>
                <w:tcPr>
                  <w:tcW w:w="1276" w:type="dxa"/>
                  <w:vAlign w:val="center"/>
                </w:tcPr>
                <w:p w14:paraId="78B96042">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w:t>
                  </w:r>
                </w:p>
              </w:tc>
              <w:tc>
                <w:tcPr>
                  <w:tcW w:w="1930" w:type="dxa"/>
                  <w:vAlign w:val="center"/>
                </w:tcPr>
                <w:p w14:paraId="7AAECF57">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4927.5</w:t>
                  </w:r>
                </w:p>
              </w:tc>
              <w:tc>
                <w:tcPr>
                  <w:tcW w:w="1197" w:type="dxa"/>
                  <w:vAlign w:val="center"/>
                </w:tcPr>
                <w:p w14:paraId="1F55371E">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2500</w:t>
                  </w:r>
                </w:p>
              </w:tc>
              <w:tc>
                <w:tcPr>
                  <w:tcW w:w="1034" w:type="dxa"/>
                  <w:vAlign w:val="center"/>
                </w:tcPr>
                <w:p w14:paraId="23302CC7">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1.971</w:t>
                  </w:r>
                </w:p>
              </w:tc>
            </w:tr>
            <w:tr w14:paraId="6CE6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7" w:type="dxa"/>
                  <w:gridSpan w:val="2"/>
                  <w:vAlign w:val="center"/>
                </w:tcPr>
                <w:p w14:paraId="6490DDCC">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MTBE</w:t>
                  </w:r>
                </w:p>
              </w:tc>
              <w:tc>
                <w:tcPr>
                  <w:tcW w:w="1276" w:type="dxa"/>
                  <w:vAlign w:val="center"/>
                </w:tcPr>
                <w:p w14:paraId="2499BB52">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1634-01-4</w:t>
                  </w:r>
                </w:p>
              </w:tc>
              <w:tc>
                <w:tcPr>
                  <w:tcW w:w="1930" w:type="dxa"/>
                  <w:vAlign w:val="center"/>
                </w:tcPr>
                <w:p w14:paraId="38B3F4F5">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1480</w:t>
                  </w:r>
                </w:p>
              </w:tc>
              <w:tc>
                <w:tcPr>
                  <w:tcW w:w="1197" w:type="dxa"/>
                  <w:vAlign w:val="center"/>
                </w:tcPr>
                <w:p w14:paraId="6AC92F5F">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10</w:t>
                  </w:r>
                </w:p>
              </w:tc>
              <w:tc>
                <w:tcPr>
                  <w:tcW w:w="1034" w:type="dxa"/>
                  <w:vAlign w:val="center"/>
                </w:tcPr>
                <w:p w14:paraId="432B3D95">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148</w:t>
                  </w:r>
                </w:p>
              </w:tc>
            </w:tr>
            <w:tr w14:paraId="2B09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1133" w:type="dxa"/>
                  <w:vMerge w:val="restart"/>
                  <w:vAlign w:val="center"/>
                </w:tcPr>
                <w:p w14:paraId="27EABDBD">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混合芳烃</w:t>
                  </w:r>
                </w:p>
              </w:tc>
              <w:tc>
                <w:tcPr>
                  <w:tcW w:w="1134" w:type="dxa"/>
                  <w:vAlign w:val="center"/>
                </w:tcPr>
                <w:p w14:paraId="3F6B078B">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苯</w:t>
                  </w:r>
                </w:p>
              </w:tc>
              <w:tc>
                <w:tcPr>
                  <w:tcW w:w="1276" w:type="dxa"/>
                  <w:vAlign w:val="center"/>
                </w:tcPr>
                <w:p w14:paraId="080D245C">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71-43-2</w:t>
                  </w:r>
                </w:p>
              </w:tc>
              <w:tc>
                <w:tcPr>
                  <w:tcW w:w="1930" w:type="dxa"/>
                </w:tcPr>
                <w:p w14:paraId="7B388E1F">
                  <w:pPr>
                    <w:adjustRightInd w:val="0"/>
                    <w:snapToGrid w:val="0"/>
                    <w:jc w:val="center"/>
                    <w:rPr>
                      <w:rFonts w:ascii="Times New Roman" w:hAnsi="Times New Roman" w:cs="Times New Roman"/>
                      <w:spacing w:val="-10"/>
                      <w:szCs w:val="21"/>
                    </w:rPr>
                  </w:pPr>
                  <w:r>
                    <w:rPr>
                      <w:rFonts w:ascii="Times New Roman" w:hAnsi="Times New Roman" w:cs="Times New Roman"/>
                    </w:rPr>
                    <w:t>13.904</w:t>
                  </w:r>
                </w:p>
              </w:tc>
              <w:tc>
                <w:tcPr>
                  <w:tcW w:w="1197" w:type="dxa"/>
                  <w:vAlign w:val="center"/>
                </w:tcPr>
                <w:p w14:paraId="43B13E03">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10</w:t>
                  </w:r>
                </w:p>
              </w:tc>
              <w:tc>
                <w:tcPr>
                  <w:tcW w:w="1034" w:type="dxa"/>
                  <w:vAlign w:val="center"/>
                </w:tcPr>
                <w:p w14:paraId="01A4D196">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1.3</w:t>
                  </w:r>
                </w:p>
              </w:tc>
            </w:tr>
            <w:tr w14:paraId="208E1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0" w:hRule="atLeast"/>
                <w:jc w:val="center"/>
              </w:trPr>
              <w:tc>
                <w:tcPr>
                  <w:tcW w:w="1133" w:type="dxa"/>
                  <w:vMerge w:val="continue"/>
                  <w:vAlign w:val="center"/>
                </w:tcPr>
                <w:p w14:paraId="6C6329EB">
                  <w:pPr>
                    <w:adjustRightInd w:val="0"/>
                    <w:snapToGrid w:val="0"/>
                    <w:jc w:val="center"/>
                    <w:rPr>
                      <w:rFonts w:ascii="Times New Roman" w:hAnsi="Times New Roman" w:cs="Times New Roman"/>
                      <w:spacing w:val="-10"/>
                      <w:szCs w:val="21"/>
                    </w:rPr>
                  </w:pPr>
                </w:p>
              </w:tc>
              <w:tc>
                <w:tcPr>
                  <w:tcW w:w="1134" w:type="dxa"/>
                  <w:vAlign w:val="center"/>
                </w:tcPr>
                <w:p w14:paraId="334C1BAD">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甲苯</w:t>
                  </w:r>
                </w:p>
              </w:tc>
              <w:tc>
                <w:tcPr>
                  <w:tcW w:w="1276" w:type="dxa"/>
                  <w:vAlign w:val="center"/>
                </w:tcPr>
                <w:p w14:paraId="09CE86B4">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108-88-3</w:t>
                  </w:r>
                </w:p>
              </w:tc>
              <w:tc>
                <w:tcPr>
                  <w:tcW w:w="1930" w:type="dxa"/>
                </w:tcPr>
                <w:p w14:paraId="53126C79">
                  <w:pPr>
                    <w:adjustRightInd w:val="0"/>
                    <w:snapToGrid w:val="0"/>
                    <w:jc w:val="center"/>
                    <w:rPr>
                      <w:rFonts w:ascii="Times New Roman" w:hAnsi="Times New Roman" w:cs="Times New Roman"/>
                      <w:spacing w:val="-10"/>
                      <w:szCs w:val="21"/>
                    </w:rPr>
                  </w:pPr>
                  <w:r>
                    <w:rPr>
                      <w:rFonts w:ascii="Times New Roman" w:hAnsi="Times New Roman" w:cs="Times New Roman"/>
                    </w:rPr>
                    <w:t>1175.504</w:t>
                  </w:r>
                </w:p>
              </w:tc>
              <w:tc>
                <w:tcPr>
                  <w:tcW w:w="1197" w:type="dxa"/>
                  <w:vAlign w:val="center"/>
                </w:tcPr>
                <w:p w14:paraId="04D849EF">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10</w:t>
                  </w:r>
                </w:p>
              </w:tc>
              <w:tc>
                <w:tcPr>
                  <w:tcW w:w="1034" w:type="dxa"/>
                  <w:vAlign w:val="center"/>
                </w:tcPr>
                <w:p w14:paraId="7898FF7B">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117.5</w:t>
                  </w:r>
                </w:p>
              </w:tc>
            </w:tr>
            <w:tr w14:paraId="7872B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1133" w:type="dxa"/>
                  <w:vMerge w:val="continue"/>
                  <w:vAlign w:val="center"/>
                </w:tcPr>
                <w:p w14:paraId="054583BC">
                  <w:pPr>
                    <w:adjustRightInd w:val="0"/>
                    <w:snapToGrid w:val="0"/>
                    <w:jc w:val="center"/>
                    <w:rPr>
                      <w:rFonts w:ascii="Times New Roman" w:hAnsi="Times New Roman" w:cs="Times New Roman"/>
                      <w:spacing w:val="-10"/>
                      <w:szCs w:val="21"/>
                    </w:rPr>
                  </w:pPr>
                </w:p>
              </w:tc>
              <w:tc>
                <w:tcPr>
                  <w:tcW w:w="1134" w:type="dxa"/>
                  <w:vAlign w:val="center"/>
                </w:tcPr>
                <w:p w14:paraId="56DB6769">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二甲苯</w:t>
                  </w:r>
                </w:p>
              </w:tc>
              <w:tc>
                <w:tcPr>
                  <w:tcW w:w="1276" w:type="dxa"/>
                  <w:vAlign w:val="center"/>
                </w:tcPr>
                <w:p w14:paraId="3A1B161D">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1330-20-7</w:t>
                  </w:r>
                </w:p>
              </w:tc>
              <w:tc>
                <w:tcPr>
                  <w:tcW w:w="1930" w:type="dxa"/>
                </w:tcPr>
                <w:p w14:paraId="3C2C30C0">
                  <w:pPr>
                    <w:adjustRightInd w:val="0"/>
                    <w:snapToGrid w:val="0"/>
                    <w:jc w:val="center"/>
                    <w:rPr>
                      <w:rFonts w:ascii="Times New Roman" w:hAnsi="Times New Roman" w:cs="Times New Roman"/>
                      <w:spacing w:val="-10"/>
                      <w:szCs w:val="21"/>
                    </w:rPr>
                  </w:pPr>
                  <w:r>
                    <w:rPr>
                      <w:rFonts w:ascii="Times New Roman" w:hAnsi="Times New Roman" w:cs="Times New Roman"/>
                    </w:rPr>
                    <w:t>447.04</w:t>
                  </w:r>
                </w:p>
              </w:tc>
              <w:tc>
                <w:tcPr>
                  <w:tcW w:w="1197" w:type="dxa"/>
                  <w:vAlign w:val="center"/>
                </w:tcPr>
                <w:p w14:paraId="065703E7">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10</w:t>
                  </w:r>
                </w:p>
              </w:tc>
              <w:tc>
                <w:tcPr>
                  <w:tcW w:w="1034" w:type="dxa"/>
                  <w:vAlign w:val="center"/>
                </w:tcPr>
                <w:p w14:paraId="533D79B4">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44.7</w:t>
                  </w:r>
                </w:p>
              </w:tc>
            </w:tr>
            <w:tr w14:paraId="71A9D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6670" w:type="dxa"/>
                  <w:gridSpan w:val="5"/>
                  <w:vAlign w:val="center"/>
                </w:tcPr>
                <w:p w14:paraId="41592153">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项目Q值Σ</w:t>
                  </w:r>
                </w:p>
              </w:tc>
              <w:tc>
                <w:tcPr>
                  <w:tcW w:w="1034" w:type="dxa"/>
                  <w:vAlign w:val="center"/>
                </w:tcPr>
                <w:p w14:paraId="13605502">
                  <w:pPr>
                    <w:adjustRightInd w:val="0"/>
                    <w:snapToGrid w:val="0"/>
                    <w:jc w:val="center"/>
                    <w:rPr>
                      <w:rFonts w:ascii="Times New Roman" w:hAnsi="Times New Roman" w:cs="Times New Roman"/>
                      <w:spacing w:val="-10"/>
                      <w:szCs w:val="21"/>
                    </w:rPr>
                  </w:pPr>
                  <w:r>
                    <w:rPr>
                      <w:rFonts w:ascii="Times New Roman" w:hAnsi="Times New Roman" w:cs="Times New Roman"/>
                      <w:spacing w:val="-10"/>
                      <w:szCs w:val="21"/>
                    </w:rPr>
                    <w:t>331.091</w:t>
                  </w:r>
                </w:p>
              </w:tc>
            </w:tr>
          </w:tbl>
          <w:p w14:paraId="29882ADB">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由上表可知，本项目危险物质存在量与临界量比值Q为331.091。危险物质储存量超过临界量，需设置环境风险专项评价。</w:t>
            </w:r>
          </w:p>
          <w:p w14:paraId="0AA8A610">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根据环境风险专项分析结论，本项目环境风险评价工作等级为二级评价，在严格采取各项环境风险防范应急措施的情况下，本项目环境风险可防可控。</w:t>
            </w:r>
          </w:p>
          <w:p w14:paraId="095DCADD">
            <w:pPr>
              <w:adjustRightInd w:val="0"/>
              <w:snapToGrid w:val="0"/>
              <w:spacing w:line="360" w:lineRule="auto"/>
              <w:rPr>
                <w:rFonts w:ascii="Times New Roman" w:hAnsi="Times New Roman" w:cs="Times New Roman"/>
                <w:b/>
                <w:bCs/>
                <w:spacing w:val="-10"/>
              </w:rPr>
            </w:pPr>
            <w:r>
              <w:rPr>
                <w:rFonts w:ascii="Times New Roman" w:hAnsi="Times New Roman" w:cs="Times New Roman"/>
                <w:b/>
                <w:bCs/>
                <w:spacing w:val="-10"/>
              </w:rPr>
              <w:t>9、环保验收管理</w:t>
            </w:r>
          </w:p>
          <w:p w14:paraId="6E3C3256">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国务院关于修改〈建设项目环境保护管理条例〉的决定》（国务院第682号令）第十七条：编制环境影响报告书、环境影响报告表的建设项目竣工后，建设单位应当按照国务院环境保护行政主管部门规定的标准和程序，对配套建设的环境保护设施进行验收，编制验收报告。建设单位在环境保护设施验收过程中，应当如实查验、监测、记载建设项目环境保护设施的建设和调试情况，不得弄虚作假。除按照国家规定需要保密的情形外，建设单位应当依法向社会公开验收报告。</w:t>
            </w:r>
          </w:p>
          <w:p w14:paraId="1663F3F9">
            <w:pPr>
              <w:adjustRightInd w:val="0"/>
              <w:snapToGrid w:val="0"/>
              <w:spacing w:line="360" w:lineRule="auto"/>
              <w:ind w:firstLine="440" w:firstLineChars="200"/>
              <w:rPr>
                <w:rFonts w:ascii="Times New Roman" w:hAnsi="Times New Roman" w:cs="Times New Roman"/>
                <w:spacing w:val="-10"/>
              </w:rPr>
            </w:pPr>
            <w:r>
              <w:rPr>
                <w:rFonts w:ascii="Times New Roman" w:hAnsi="Times New Roman" w:cs="Times New Roman"/>
                <w:spacing w:val="-10"/>
              </w:rPr>
              <w:t>根据建设项目环境管理的要求、环评文件及其审批意见，自行或委托第三方机构编制建设项目环境保护设施竣工验收报告并向社会公开。项目各项污染治理措施严格执行“三同时”制度，环保设施“三同时”竣工验收一览表见表4-2</w:t>
            </w:r>
            <w:r>
              <w:rPr>
                <w:rFonts w:hint="eastAsia" w:ascii="Times New Roman" w:hAnsi="Times New Roman" w:cs="Times New Roman"/>
                <w:spacing w:val="-10"/>
              </w:rPr>
              <w:t>1</w:t>
            </w:r>
            <w:r>
              <w:rPr>
                <w:rFonts w:ascii="Times New Roman" w:hAnsi="Times New Roman" w:cs="Times New Roman"/>
                <w:spacing w:val="-10"/>
              </w:rPr>
              <w:t>。</w:t>
            </w:r>
          </w:p>
          <w:p w14:paraId="1A598760">
            <w:pPr>
              <w:adjustRightInd w:val="0"/>
              <w:snapToGrid w:val="0"/>
              <w:ind w:firstLine="442" w:firstLineChars="200"/>
              <w:jc w:val="center"/>
              <w:rPr>
                <w:rFonts w:ascii="Times New Roman" w:hAnsi="Times New Roman" w:cs="Times New Roman"/>
                <w:b/>
                <w:bCs/>
                <w:spacing w:val="-10"/>
              </w:rPr>
            </w:pPr>
            <w:r>
              <w:rPr>
                <w:rFonts w:ascii="Times New Roman" w:hAnsi="Times New Roman" w:cs="Times New Roman"/>
                <w:b/>
                <w:bCs/>
                <w:spacing w:val="-10"/>
                <w:szCs w:val="21"/>
              </w:rPr>
              <w:t>表4-2</w:t>
            </w:r>
            <w:r>
              <w:rPr>
                <w:rFonts w:hint="eastAsia" w:ascii="Times New Roman" w:hAnsi="Times New Roman" w:cs="Times New Roman"/>
                <w:b/>
                <w:bCs/>
                <w:spacing w:val="-10"/>
                <w:szCs w:val="21"/>
              </w:rPr>
              <w:t>1</w:t>
            </w:r>
            <w:r>
              <w:rPr>
                <w:rFonts w:ascii="Times New Roman" w:hAnsi="Times New Roman" w:cs="Times New Roman"/>
                <w:b/>
                <w:bCs/>
                <w:spacing w:val="-10"/>
                <w:szCs w:val="21"/>
              </w:rPr>
              <w:t xml:space="preserve">  “三同时”竣工验收一览表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
              <w:gridCol w:w="1062"/>
              <w:gridCol w:w="1381"/>
              <w:gridCol w:w="2019"/>
              <w:gridCol w:w="2954"/>
            </w:tblGrid>
            <w:tr w14:paraId="3AA5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8" w:type="pct"/>
                  <w:tcBorders>
                    <w:top w:val="single" w:color="auto" w:sz="4" w:space="0"/>
                    <w:left w:val="single" w:color="auto" w:sz="4" w:space="0"/>
                    <w:bottom w:val="single" w:color="auto" w:sz="4" w:space="0"/>
                    <w:right w:val="single" w:color="auto" w:sz="4" w:space="0"/>
                  </w:tcBorders>
                  <w:vAlign w:val="center"/>
                </w:tcPr>
                <w:p w14:paraId="69F9A598">
                  <w:pPr>
                    <w:jc w:val="center"/>
                    <w:rPr>
                      <w:rFonts w:ascii="Times New Roman" w:hAnsi="Times New Roman" w:cs="Times New Roman"/>
                      <w:color w:val="000000"/>
                      <w:sz w:val="21"/>
                      <w:szCs w:val="21"/>
                    </w:rPr>
                  </w:pPr>
                  <w:bookmarkStart w:id="18" w:name="_Hlk151477551"/>
                  <w:r>
                    <w:rPr>
                      <w:rFonts w:ascii="Times New Roman" w:hAnsi="Times New Roman" w:cs="Times New Roman"/>
                      <w:color w:val="000000"/>
                      <w:sz w:val="21"/>
                      <w:szCs w:val="21"/>
                    </w:rPr>
                    <w:t>类别</w:t>
                  </w:r>
                </w:p>
              </w:tc>
              <w:tc>
                <w:tcPr>
                  <w:tcW w:w="669" w:type="pct"/>
                  <w:tcBorders>
                    <w:top w:val="single" w:color="auto" w:sz="4" w:space="0"/>
                    <w:left w:val="nil"/>
                    <w:bottom w:val="single" w:color="auto" w:sz="4" w:space="0"/>
                    <w:right w:val="single" w:color="auto" w:sz="4" w:space="0"/>
                  </w:tcBorders>
                  <w:vAlign w:val="center"/>
                </w:tcPr>
                <w:p w14:paraId="2952B1C1">
                  <w:pPr>
                    <w:jc w:val="center"/>
                    <w:rPr>
                      <w:rFonts w:ascii="Times New Roman" w:hAnsi="Times New Roman" w:cs="Times New Roman"/>
                      <w:color w:val="000000"/>
                      <w:sz w:val="21"/>
                      <w:szCs w:val="21"/>
                    </w:rPr>
                  </w:pPr>
                  <w:r>
                    <w:rPr>
                      <w:rFonts w:ascii="Times New Roman" w:hAnsi="Times New Roman" w:cs="Times New Roman"/>
                      <w:color w:val="000000"/>
                      <w:sz w:val="21"/>
                      <w:szCs w:val="21"/>
                    </w:rPr>
                    <w:t>治理对象</w:t>
                  </w:r>
                </w:p>
              </w:tc>
              <w:tc>
                <w:tcPr>
                  <w:tcW w:w="870" w:type="pct"/>
                  <w:tcBorders>
                    <w:top w:val="single" w:color="auto" w:sz="4" w:space="0"/>
                    <w:left w:val="nil"/>
                    <w:bottom w:val="single" w:color="auto" w:sz="4" w:space="0"/>
                    <w:right w:val="single" w:color="auto" w:sz="4" w:space="0"/>
                  </w:tcBorders>
                  <w:vAlign w:val="center"/>
                </w:tcPr>
                <w:p w14:paraId="647A046A">
                  <w:pPr>
                    <w:jc w:val="center"/>
                    <w:rPr>
                      <w:rFonts w:ascii="Times New Roman" w:hAnsi="Times New Roman" w:cs="Times New Roman"/>
                      <w:color w:val="000000"/>
                      <w:sz w:val="21"/>
                      <w:szCs w:val="21"/>
                    </w:rPr>
                  </w:pPr>
                  <w:r>
                    <w:rPr>
                      <w:rFonts w:ascii="Times New Roman" w:hAnsi="Times New Roman" w:cs="Times New Roman"/>
                      <w:color w:val="000000"/>
                      <w:sz w:val="21"/>
                      <w:szCs w:val="21"/>
                    </w:rPr>
                    <w:t>治理设施</w:t>
                  </w:r>
                </w:p>
              </w:tc>
              <w:tc>
                <w:tcPr>
                  <w:tcW w:w="1272" w:type="pct"/>
                  <w:tcBorders>
                    <w:top w:val="single" w:color="auto" w:sz="4" w:space="0"/>
                    <w:left w:val="nil"/>
                    <w:bottom w:val="single" w:color="auto" w:sz="4" w:space="0"/>
                    <w:right w:val="single" w:color="auto" w:sz="4" w:space="0"/>
                  </w:tcBorders>
                  <w:vAlign w:val="center"/>
                </w:tcPr>
                <w:p w14:paraId="38084567">
                  <w:pPr>
                    <w:jc w:val="center"/>
                    <w:rPr>
                      <w:rFonts w:ascii="Times New Roman" w:hAnsi="Times New Roman" w:cs="Times New Roman"/>
                      <w:color w:val="000000"/>
                      <w:sz w:val="21"/>
                      <w:szCs w:val="21"/>
                    </w:rPr>
                  </w:pPr>
                  <w:r>
                    <w:rPr>
                      <w:rFonts w:ascii="Times New Roman" w:hAnsi="Times New Roman" w:cs="Times New Roman"/>
                      <w:color w:val="000000"/>
                      <w:sz w:val="21"/>
                      <w:szCs w:val="21"/>
                    </w:rPr>
                    <w:t>验收指标</w:t>
                  </w:r>
                </w:p>
              </w:tc>
              <w:tc>
                <w:tcPr>
                  <w:tcW w:w="1861" w:type="pct"/>
                  <w:tcBorders>
                    <w:top w:val="single" w:color="auto" w:sz="4" w:space="0"/>
                    <w:left w:val="nil"/>
                    <w:bottom w:val="single" w:color="auto" w:sz="4" w:space="0"/>
                    <w:right w:val="single" w:color="auto" w:sz="4" w:space="0"/>
                  </w:tcBorders>
                  <w:vAlign w:val="center"/>
                </w:tcPr>
                <w:p w14:paraId="305B53AA">
                  <w:pPr>
                    <w:jc w:val="center"/>
                    <w:rPr>
                      <w:rFonts w:ascii="Times New Roman" w:hAnsi="Times New Roman" w:cs="Times New Roman"/>
                      <w:color w:val="000000"/>
                      <w:sz w:val="21"/>
                      <w:szCs w:val="21"/>
                    </w:rPr>
                  </w:pPr>
                  <w:r>
                    <w:rPr>
                      <w:rFonts w:ascii="Times New Roman" w:hAnsi="Times New Roman" w:cs="Times New Roman"/>
                      <w:color w:val="000000"/>
                      <w:sz w:val="21"/>
                      <w:szCs w:val="21"/>
                    </w:rPr>
                    <w:t>验收标准</w:t>
                  </w:r>
                </w:p>
              </w:tc>
            </w:tr>
            <w:tr w14:paraId="09E60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8" w:type="pct"/>
                  <w:vMerge w:val="restart"/>
                  <w:tcBorders>
                    <w:top w:val="single" w:color="auto" w:sz="4" w:space="0"/>
                    <w:left w:val="single" w:color="auto" w:sz="4" w:space="0"/>
                    <w:right w:val="single" w:color="auto" w:sz="4" w:space="0"/>
                  </w:tcBorders>
                  <w:vAlign w:val="center"/>
                </w:tcPr>
                <w:p w14:paraId="783ABE50">
                  <w:pPr>
                    <w:jc w:val="center"/>
                    <w:rPr>
                      <w:rFonts w:ascii="Times New Roman" w:hAnsi="Times New Roman" w:cs="Times New Roman"/>
                      <w:color w:val="000000"/>
                      <w:sz w:val="21"/>
                      <w:szCs w:val="21"/>
                    </w:rPr>
                  </w:pPr>
                  <w:r>
                    <w:rPr>
                      <w:rFonts w:ascii="Times New Roman" w:hAnsi="Times New Roman" w:cs="Times New Roman"/>
                      <w:color w:val="000000"/>
                      <w:sz w:val="21"/>
                      <w:szCs w:val="21"/>
                    </w:rPr>
                    <w:t>废气治理</w:t>
                  </w:r>
                </w:p>
              </w:tc>
              <w:tc>
                <w:tcPr>
                  <w:tcW w:w="669" w:type="pct"/>
                  <w:tcBorders>
                    <w:top w:val="single" w:color="auto" w:sz="4" w:space="0"/>
                    <w:left w:val="nil"/>
                    <w:bottom w:val="single" w:color="auto" w:sz="4" w:space="0"/>
                    <w:right w:val="single" w:color="auto" w:sz="4" w:space="0"/>
                  </w:tcBorders>
                  <w:vAlign w:val="center"/>
                </w:tcPr>
                <w:p w14:paraId="00A3FD0D">
                  <w:pPr>
                    <w:jc w:val="center"/>
                    <w:rPr>
                      <w:rFonts w:ascii="Times New Roman" w:hAnsi="Times New Roman" w:cs="Times New Roman"/>
                      <w:color w:val="000000"/>
                      <w:sz w:val="21"/>
                      <w:szCs w:val="21"/>
                    </w:rPr>
                  </w:pPr>
                  <w:r>
                    <w:rPr>
                      <w:rFonts w:hint="eastAsia" w:ascii="Times New Roman" w:hAnsi="Times New Roman" w:cs="Times New Roman"/>
                      <w:color w:val="000000"/>
                      <w:sz w:val="21"/>
                      <w:szCs w:val="21"/>
                    </w:rPr>
                    <w:t>罐区有组织废气</w:t>
                  </w:r>
                </w:p>
              </w:tc>
              <w:tc>
                <w:tcPr>
                  <w:tcW w:w="870" w:type="pct"/>
                  <w:tcBorders>
                    <w:top w:val="single" w:color="auto" w:sz="4" w:space="0"/>
                    <w:left w:val="nil"/>
                    <w:bottom w:val="single" w:color="auto" w:sz="4" w:space="0"/>
                    <w:right w:val="single" w:color="auto" w:sz="4" w:space="0"/>
                  </w:tcBorders>
                  <w:vAlign w:val="center"/>
                </w:tcPr>
                <w:p w14:paraId="2E2F841C">
                  <w:pPr>
                    <w:jc w:val="center"/>
                    <w:rPr>
                      <w:rFonts w:ascii="Times New Roman" w:hAnsi="Times New Roman" w:cs="Times New Roman"/>
                      <w:color w:val="000000"/>
                      <w:sz w:val="21"/>
                      <w:szCs w:val="21"/>
                    </w:rPr>
                  </w:pPr>
                  <w:r>
                    <w:rPr>
                      <w:rFonts w:ascii="Times New Roman" w:hAnsi="Times New Roman" w:cs="Times New Roman"/>
                      <w:color w:val="000000"/>
                      <w:sz w:val="21"/>
                      <w:szCs w:val="21"/>
                    </w:rPr>
                    <w:t>油气回收装置</w:t>
                  </w:r>
                  <w:r>
                    <w:rPr>
                      <w:rFonts w:hint="eastAsia" w:ascii="Times New Roman" w:hAnsi="Times New Roman" w:cs="Times New Roman"/>
                      <w:color w:val="000000"/>
                      <w:sz w:val="21"/>
                      <w:szCs w:val="21"/>
                    </w:rPr>
                    <w:t>+15m排气筒</w:t>
                  </w:r>
                </w:p>
              </w:tc>
              <w:tc>
                <w:tcPr>
                  <w:tcW w:w="1272" w:type="pct"/>
                  <w:tcBorders>
                    <w:top w:val="single" w:color="auto" w:sz="4" w:space="0"/>
                    <w:left w:val="nil"/>
                    <w:bottom w:val="single" w:color="auto" w:sz="4" w:space="0"/>
                    <w:right w:val="single" w:color="auto" w:sz="4" w:space="0"/>
                  </w:tcBorders>
                  <w:vAlign w:val="center"/>
                </w:tcPr>
                <w:p w14:paraId="6FEBFC57">
                  <w:pPr>
                    <w:jc w:val="center"/>
                    <w:rPr>
                      <w:rFonts w:ascii="Times New Roman" w:hAnsi="Times New Roman" w:cs="Times New Roman"/>
                      <w:color w:val="000000"/>
                      <w:sz w:val="21"/>
                      <w:szCs w:val="21"/>
                      <w:lang w:val="en"/>
                    </w:rPr>
                  </w:pPr>
                  <w:r>
                    <w:rPr>
                      <w:rFonts w:ascii="Times New Roman" w:hAnsi="Times New Roman" w:cs="Times New Roman"/>
                      <w:color w:val="000000"/>
                      <w:sz w:val="21"/>
                      <w:szCs w:val="21"/>
                      <w:lang w:val="en"/>
                    </w:rPr>
                    <w:t>非甲烷总烃</w:t>
                  </w:r>
                </w:p>
                <w:p w14:paraId="33C7F4FD">
                  <w:pPr>
                    <w:jc w:val="center"/>
                    <w:rPr>
                      <w:rFonts w:ascii="Times New Roman" w:hAnsi="Times New Roman" w:cs="Times New Roman"/>
                      <w:color w:val="000000"/>
                      <w:sz w:val="21"/>
                      <w:szCs w:val="21"/>
                      <w:lang w:val="en"/>
                    </w:rPr>
                  </w:pPr>
                  <w:r>
                    <w:rPr>
                      <w:rFonts w:ascii="Times New Roman" w:hAnsi="Times New Roman" w:cs="Times New Roman"/>
                      <w:color w:val="000000"/>
                      <w:sz w:val="21"/>
                      <w:szCs w:val="21"/>
                      <w:lang w:val="en"/>
                    </w:rPr>
                    <w:t>去除效率≥97%</w:t>
                  </w:r>
                </w:p>
                <w:p w14:paraId="4B3C769A">
                  <w:pPr>
                    <w:jc w:val="center"/>
                    <w:rPr>
                      <w:rFonts w:ascii="Times New Roman" w:hAnsi="Times New Roman" w:cs="Times New Roman"/>
                      <w:color w:val="000000"/>
                      <w:sz w:val="21"/>
                      <w:szCs w:val="21"/>
                    </w:rPr>
                  </w:pPr>
                  <w:r>
                    <w:rPr>
                      <w:rFonts w:ascii="Times New Roman" w:hAnsi="Times New Roman" w:cs="Times New Roman"/>
                      <w:color w:val="000000"/>
                      <w:sz w:val="21"/>
                      <w:szCs w:val="21"/>
                      <w:lang w:val="en"/>
                    </w:rPr>
                    <w:t>非甲烷总烃</w:t>
                  </w:r>
                  <w:r>
                    <w:rPr>
                      <w:rFonts w:ascii="Times New Roman" w:hAnsi="Times New Roman" w:cs="Times New Roman"/>
                      <w:color w:val="000000"/>
                      <w:sz w:val="21"/>
                      <w:szCs w:val="21"/>
                    </w:rPr>
                    <w:t>≤</w:t>
                  </w:r>
                  <w:r>
                    <w:rPr>
                      <w:rFonts w:hint="eastAsia" w:ascii="Times New Roman" w:hAnsi="Times New Roman" w:cs="Times New Roman"/>
                      <w:color w:val="000000"/>
                      <w:sz w:val="21"/>
                      <w:szCs w:val="21"/>
                    </w:rPr>
                    <w:t>20</w:t>
                  </w:r>
                  <w:r>
                    <w:rPr>
                      <w:rFonts w:ascii="Times New Roman" w:hAnsi="Times New Roman" w:cs="Times New Roman"/>
                      <w:color w:val="000000"/>
                      <w:sz w:val="21"/>
                      <w:szCs w:val="21"/>
                    </w:rPr>
                    <w:t>.0mg/m³</w:t>
                  </w:r>
                </w:p>
              </w:tc>
              <w:tc>
                <w:tcPr>
                  <w:tcW w:w="1861" w:type="pct"/>
                  <w:tcBorders>
                    <w:top w:val="single" w:color="auto" w:sz="4" w:space="0"/>
                    <w:left w:val="nil"/>
                    <w:bottom w:val="single" w:color="auto" w:sz="4" w:space="0"/>
                    <w:right w:val="single" w:color="auto" w:sz="4" w:space="0"/>
                  </w:tcBorders>
                  <w:vAlign w:val="center"/>
                </w:tcPr>
                <w:p w14:paraId="2B5DD4F9">
                  <w:pPr>
                    <w:jc w:val="center"/>
                    <w:rPr>
                      <w:rFonts w:ascii="Times New Roman" w:hAnsi="Times New Roman" w:cs="Times New Roman"/>
                      <w:color w:val="000000"/>
                      <w:sz w:val="21"/>
                      <w:szCs w:val="21"/>
                    </w:rPr>
                  </w:pPr>
                  <w:r>
                    <w:rPr>
                      <w:rFonts w:ascii="Times New Roman" w:hAnsi="Times New Roman" w:cs="Times New Roman"/>
                      <w:color w:val="000000"/>
                      <w:sz w:val="21"/>
                      <w:szCs w:val="21"/>
                    </w:rPr>
                    <w:t>《石油化学工业污染物排</w:t>
                  </w:r>
                </w:p>
                <w:p w14:paraId="1E769B3C">
                  <w:pPr>
                    <w:jc w:val="center"/>
                    <w:rPr>
                      <w:rFonts w:ascii="Times New Roman" w:hAnsi="Times New Roman" w:cs="Times New Roman"/>
                      <w:color w:val="000000"/>
                      <w:sz w:val="21"/>
                      <w:szCs w:val="21"/>
                    </w:rPr>
                  </w:pPr>
                  <w:r>
                    <w:rPr>
                      <w:rFonts w:ascii="Times New Roman" w:hAnsi="Times New Roman" w:cs="Times New Roman"/>
                      <w:color w:val="000000"/>
                      <w:sz w:val="21"/>
                      <w:szCs w:val="21"/>
                    </w:rPr>
                    <w:t>放标准（含2024 年修改单）》（GB31571-2015）</w:t>
                  </w:r>
                </w:p>
                <w:p w14:paraId="699EBDD8">
                  <w:pPr>
                    <w:jc w:val="center"/>
                    <w:rPr>
                      <w:rFonts w:ascii="Times New Roman" w:hAnsi="Times New Roman" w:cs="Times New Roman"/>
                      <w:color w:val="000000"/>
                      <w:sz w:val="21"/>
                      <w:szCs w:val="21"/>
                    </w:rPr>
                  </w:pPr>
                  <w:r>
                    <w:rPr>
                      <w:rFonts w:hint="eastAsia" w:ascii="Times New Roman" w:hAnsi="Times New Roman" w:cs="Times New Roman"/>
                      <w:color w:val="000000"/>
                      <w:sz w:val="21"/>
                      <w:szCs w:val="21"/>
                    </w:rPr>
                    <w:t>同时满足《重污染天气重点行业应急减排措施制定技术指南（</w:t>
                  </w:r>
                  <w:r>
                    <w:rPr>
                      <w:rFonts w:ascii="Times New Roman" w:hAnsi="Times New Roman" w:cs="Times New Roman"/>
                      <w:color w:val="000000"/>
                      <w:sz w:val="21"/>
                      <w:szCs w:val="21"/>
                    </w:rPr>
                    <w:t>2020</w:t>
                  </w:r>
                  <w:r>
                    <w:rPr>
                      <w:rFonts w:hint="eastAsia" w:ascii="Times New Roman" w:hAnsi="Times New Roman" w:cs="Times New Roman"/>
                      <w:color w:val="000000"/>
                      <w:sz w:val="21"/>
                      <w:szCs w:val="21"/>
                    </w:rPr>
                    <w:t>年修订版）》炼油与石油化工行业</w:t>
                  </w:r>
                  <w:r>
                    <w:rPr>
                      <w:rFonts w:ascii="Times New Roman" w:hAnsi="Times New Roman" w:cs="Times New Roman"/>
                      <w:color w:val="000000"/>
                      <w:sz w:val="21"/>
                      <w:szCs w:val="21"/>
                    </w:rPr>
                    <w:t>A</w:t>
                  </w:r>
                  <w:r>
                    <w:rPr>
                      <w:rFonts w:hint="eastAsia" w:ascii="Times New Roman" w:hAnsi="Times New Roman" w:cs="Times New Roman"/>
                      <w:color w:val="000000"/>
                      <w:sz w:val="21"/>
                      <w:szCs w:val="21"/>
                    </w:rPr>
                    <w:t>级绩效</w:t>
                  </w:r>
                </w:p>
              </w:tc>
            </w:tr>
            <w:tr w14:paraId="44D02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8" w:type="pct"/>
                  <w:vMerge w:val="continue"/>
                  <w:tcBorders>
                    <w:top w:val="single" w:color="auto" w:sz="4" w:space="0"/>
                    <w:left w:val="single" w:color="auto" w:sz="4" w:space="0"/>
                    <w:right w:val="single" w:color="auto" w:sz="4" w:space="0"/>
                  </w:tcBorders>
                  <w:vAlign w:val="center"/>
                </w:tcPr>
                <w:p w14:paraId="5AA74514">
                  <w:pPr>
                    <w:jc w:val="center"/>
                    <w:rPr>
                      <w:rFonts w:ascii="Times New Roman" w:hAnsi="Times New Roman" w:cs="Times New Roman"/>
                      <w:color w:val="000000"/>
                      <w:sz w:val="21"/>
                      <w:szCs w:val="21"/>
                    </w:rPr>
                  </w:pPr>
                </w:p>
              </w:tc>
              <w:tc>
                <w:tcPr>
                  <w:tcW w:w="669" w:type="pct"/>
                  <w:tcBorders>
                    <w:top w:val="single" w:color="auto" w:sz="4" w:space="0"/>
                    <w:left w:val="nil"/>
                    <w:bottom w:val="single" w:color="auto" w:sz="4" w:space="0"/>
                    <w:right w:val="single" w:color="auto" w:sz="4" w:space="0"/>
                  </w:tcBorders>
                  <w:vAlign w:val="center"/>
                </w:tcPr>
                <w:p w14:paraId="5E11F39E">
                  <w:pPr>
                    <w:jc w:val="center"/>
                    <w:rPr>
                      <w:rFonts w:ascii="Times New Roman" w:hAnsi="Times New Roman" w:cs="Times New Roman"/>
                      <w:color w:val="000000"/>
                      <w:sz w:val="21"/>
                      <w:szCs w:val="21"/>
                    </w:rPr>
                  </w:pPr>
                  <w:r>
                    <w:rPr>
                      <w:rFonts w:hint="eastAsia" w:ascii="Times New Roman" w:hAnsi="Times New Roman" w:cs="Times New Roman"/>
                      <w:color w:val="000000"/>
                      <w:sz w:val="21"/>
                      <w:szCs w:val="21"/>
                    </w:rPr>
                    <w:t>罐区无组织废气</w:t>
                  </w:r>
                </w:p>
              </w:tc>
              <w:tc>
                <w:tcPr>
                  <w:tcW w:w="870" w:type="pct"/>
                  <w:tcBorders>
                    <w:top w:val="single" w:color="auto" w:sz="4" w:space="0"/>
                    <w:left w:val="nil"/>
                    <w:bottom w:val="single" w:color="auto" w:sz="4" w:space="0"/>
                    <w:right w:val="single" w:color="auto" w:sz="4" w:space="0"/>
                  </w:tcBorders>
                  <w:vAlign w:val="center"/>
                </w:tcPr>
                <w:p w14:paraId="71BBEF0E">
                  <w:pPr>
                    <w:jc w:val="center"/>
                    <w:rPr>
                      <w:rFonts w:ascii="Times New Roman" w:hAnsi="Times New Roman" w:cs="Times New Roman"/>
                      <w:color w:val="000000"/>
                      <w:sz w:val="21"/>
                      <w:szCs w:val="21"/>
                    </w:rPr>
                  </w:pPr>
                  <w:r>
                    <w:rPr>
                      <w:rFonts w:ascii="Times New Roman" w:hAnsi="Times New Roman" w:cs="Times New Roman"/>
                      <w:color w:val="000000"/>
                      <w:sz w:val="21"/>
                      <w:szCs w:val="21"/>
                    </w:rPr>
                    <w:t>/</w:t>
                  </w:r>
                </w:p>
              </w:tc>
              <w:tc>
                <w:tcPr>
                  <w:tcW w:w="1272" w:type="pct"/>
                  <w:tcBorders>
                    <w:top w:val="single" w:color="auto" w:sz="4" w:space="0"/>
                    <w:left w:val="nil"/>
                    <w:bottom w:val="single" w:color="auto" w:sz="4" w:space="0"/>
                    <w:right w:val="single" w:color="auto" w:sz="4" w:space="0"/>
                  </w:tcBorders>
                  <w:vAlign w:val="center"/>
                </w:tcPr>
                <w:p w14:paraId="51CED330">
                  <w:pPr>
                    <w:jc w:val="center"/>
                    <w:rPr>
                      <w:rFonts w:ascii="Times New Roman" w:hAnsi="Times New Roman" w:cs="Times New Roman"/>
                      <w:color w:val="000000"/>
                      <w:sz w:val="21"/>
                      <w:szCs w:val="21"/>
                      <w:lang w:val="en"/>
                    </w:rPr>
                  </w:pPr>
                  <w:r>
                    <w:rPr>
                      <w:rFonts w:ascii="Times New Roman" w:hAnsi="Times New Roman" w:cs="Times New Roman"/>
                      <w:color w:val="000000"/>
                      <w:sz w:val="21"/>
                      <w:szCs w:val="21"/>
                    </w:rPr>
                    <w:t>选用先进设备，泵、阀门、连接件等密封装置符合国家相应标准要求</w:t>
                  </w:r>
                </w:p>
              </w:tc>
              <w:tc>
                <w:tcPr>
                  <w:tcW w:w="1861" w:type="pct"/>
                  <w:tcBorders>
                    <w:top w:val="single" w:color="auto" w:sz="4" w:space="0"/>
                    <w:left w:val="nil"/>
                    <w:bottom w:val="single" w:color="auto" w:sz="4" w:space="0"/>
                    <w:right w:val="single" w:color="auto" w:sz="4" w:space="0"/>
                  </w:tcBorders>
                  <w:vAlign w:val="center"/>
                </w:tcPr>
                <w:p w14:paraId="0F503E8A">
                  <w:pPr>
                    <w:jc w:val="center"/>
                    <w:rPr>
                      <w:rFonts w:ascii="Times New Roman" w:hAnsi="Times New Roman" w:cs="Times New Roman"/>
                      <w:color w:val="000000"/>
                      <w:sz w:val="21"/>
                      <w:szCs w:val="21"/>
                    </w:rPr>
                  </w:pPr>
                  <w:r>
                    <w:rPr>
                      <w:rFonts w:ascii="Times New Roman" w:hAnsi="Times New Roman" w:cs="Times New Roman"/>
                      <w:color w:val="000000"/>
                      <w:sz w:val="21"/>
                      <w:szCs w:val="21"/>
                    </w:rPr>
                    <w:t>《石油化学工业污染物排</w:t>
                  </w:r>
                </w:p>
                <w:p w14:paraId="0688AFE2">
                  <w:pPr>
                    <w:jc w:val="center"/>
                    <w:rPr>
                      <w:rFonts w:ascii="Times New Roman" w:hAnsi="Times New Roman" w:cs="Times New Roman"/>
                      <w:color w:val="000000"/>
                      <w:sz w:val="21"/>
                      <w:szCs w:val="21"/>
                      <w:lang w:val="en"/>
                    </w:rPr>
                  </w:pPr>
                  <w:r>
                    <w:rPr>
                      <w:rFonts w:ascii="Times New Roman" w:hAnsi="Times New Roman" w:cs="Times New Roman"/>
                      <w:color w:val="000000"/>
                      <w:sz w:val="21"/>
                      <w:szCs w:val="21"/>
                    </w:rPr>
                    <w:t>放标准（含2024 年修改单）》（GB31571-2015）</w:t>
                  </w:r>
                </w:p>
              </w:tc>
            </w:tr>
            <w:tr w14:paraId="7F3C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8" w:type="pct"/>
                  <w:vMerge w:val="continue"/>
                  <w:tcBorders>
                    <w:left w:val="single" w:color="auto" w:sz="4" w:space="0"/>
                    <w:bottom w:val="single" w:color="auto" w:sz="4" w:space="0"/>
                    <w:right w:val="single" w:color="auto" w:sz="4" w:space="0"/>
                  </w:tcBorders>
                  <w:vAlign w:val="center"/>
                </w:tcPr>
                <w:p w14:paraId="58C40307">
                  <w:pPr>
                    <w:jc w:val="center"/>
                    <w:rPr>
                      <w:rFonts w:ascii="Times New Roman" w:hAnsi="Times New Roman" w:cs="Times New Roman"/>
                      <w:color w:val="000000"/>
                      <w:sz w:val="21"/>
                      <w:szCs w:val="21"/>
                    </w:rPr>
                  </w:pPr>
                </w:p>
              </w:tc>
              <w:tc>
                <w:tcPr>
                  <w:tcW w:w="669" w:type="pct"/>
                  <w:tcBorders>
                    <w:top w:val="single" w:color="auto" w:sz="4" w:space="0"/>
                    <w:left w:val="nil"/>
                    <w:bottom w:val="single" w:color="auto" w:sz="4" w:space="0"/>
                    <w:right w:val="single" w:color="auto" w:sz="4" w:space="0"/>
                  </w:tcBorders>
                  <w:vAlign w:val="center"/>
                </w:tcPr>
                <w:p w14:paraId="72B4F8CF">
                  <w:pPr>
                    <w:jc w:val="center"/>
                    <w:rPr>
                      <w:rFonts w:ascii="Times New Roman" w:hAnsi="Times New Roman" w:cs="Times New Roman"/>
                      <w:color w:val="000000"/>
                      <w:sz w:val="21"/>
                      <w:szCs w:val="21"/>
                    </w:rPr>
                  </w:pPr>
                  <w:r>
                    <w:rPr>
                      <w:rFonts w:ascii="Times New Roman" w:hAnsi="Times New Roman" w:cs="Times New Roman"/>
                      <w:color w:val="000000"/>
                      <w:sz w:val="21"/>
                      <w:szCs w:val="21"/>
                    </w:rPr>
                    <w:t>厂界</w:t>
                  </w:r>
                </w:p>
              </w:tc>
              <w:tc>
                <w:tcPr>
                  <w:tcW w:w="870" w:type="pct"/>
                  <w:tcBorders>
                    <w:top w:val="single" w:color="auto" w:sz="4" w:space="0"/>
                    <w:left w:val="nil"/>
                    <w:bottom w:val="single" w:color="auto" w:sz="4" w:space="0"/>
                    <w:right w:val="single" w:color="auto" w:sz="4" w:space="0"/>
                  </w:tcBorders>
                  <w:vAlign w:val="center"/>
                </w:tcPr>
                <w:p w14:paraId="23BA122A">
                  <w:pPr>
                    <w:jc w:val="center"/>
                    <w:rPr>
                      <w:rFonts w:ascii="Times New Roman" w:hAnsi="Times New Roman" w:cs="Times New Roman"/>
                      <w:color w:val="000000"/>
                      <w:sz w:val="21"/>
                      <w:szCs w:val="21"/>
                    </w:rPr>
                  </w:pPr>
                  <w:r>
                    <w:rPr>
                      <w:rFonts w:ascii="Times New Roman" w:hAnsi="Times New Roman" w:cs="Times New Roman"/>
                      <w:color w:val="000000"/>
                      <w:sz w:val="21"/>
                      <w:szCs w:val="21"/>
                    </w:rPr>
                    <w:t>/</w:t>
                  </w:r>
                </w:p>
              </w:tc>
              <w:tc>
                <w:tcPr>
                  <w:tcW w:w="1272" w:type="pct"/>
                  <w:tcBorders>
                    <w:top w:val="single" w:color="auto" w:sz="4" w:space="0"/>
                    <w:left w:val="nil"/>
                    <w:bottom w:val="single" w:color="auto" w:sz="4" w:space="0"/>
                    <w:right w:val="single" w:color="auto" w:sz="4" w:space="0"/>
                  </w:tcBorders>
                  <w:vAlign w:val="center"/>
                </w:tcPr>
                <w:p w14:paraId="34579D91">
                  <w:pPr>
                    <w:jc w:val="center"/>
                    <w:rPr>
                      <w:rFonts w:ascii="Times New Roman" w:hAnsi="Times New Roman" w:cs="Times New Roman"/>
                      <w:color w:val="000000"/>
                      <w:sz w:val="21"/>
                      <w:szCs w:val="21"/>
                      <w:lang w:val="en"/>
                    </w:rPr>
                  </w:pPr>
                  <w:r>
                    <w:rPr>
                      <w:rFonts w:ascii="Times New Roman" w:hAnsi="Times New Roman" w:cs="Times New Roman"/>
                      <w:color w:val="000000"/>
                      <w:sz w:val="21"/>
                      <w:szCs w:val="21"/>
                      <w:lang w:val="en"/>
                    </w:rPr>
                    <w:t>非甲烷总烃</w:t>
                  </w:r>
                  <w:r>
                    <w:rPr>
                      <w:rFonts w:ascii="Times New Roman" w:hAnsi="Times New Roman" w:cs="Times New Roman"/>
                      <w:color w:val="000000"/>
                      <w:sz w:val="21"/>
                      <w:szCs w:val="21"/>
                    </w:rPr>
                    <w:t>≤4.0mg/m³</w:t>
                  </w:r>
                </w:p>
              </w:tc>
              <w:tc>
                <w:tcPr>
                  <w:tcW w:w="1861" w:type="pct"/>
                  <w:tcBorders>
                    <w:top w:val="single" w:color="auto" w:sz="4" w:space="0"/>
                    <w:left w:val="nil"/>
                    <w:bottom w:val="single" w:color="auto" w:sz="4" w:space="0"/>
                    <w:right w:val="single" w:color="auto" w:sz="4" w:space="0"/>
                  </w:tcBorders>
                  <w:vAlign w:val="center"/>
                </w:tcPr>
                <w:p w14:paraId="60A1CCB6">
                  <w:pPr>
                    <w:jc w:val="center"/>
                    <w:rPr>
                      <w:rFonts w:ascii="Times New Roman" w:hAnsi="Times New Roman" w:cs="Times New Roman"/>
                      <w:color w:val="000000"/>
                      <w:sz w:val="21"/>
                      <w:szCs w:val="21"/>
                    </w:rPr>
                  </w:pPr>
                  <w:r>
                    <w:rPr>
                      <w:rFonts w:ascii="Times New Roman" w:hAnsi="Times New Roman" w:cs="Times New Roman"/>
                      <w:color w:val="000000"/>
                      <w:sz w:val="21"/>
                      <w:szCs w:val="21"/>
                    </w:rPr>
                    <w:t>《石油化学工业污染物</w:t>
                  </w:r>
                </w:p>
                <w:p w14:paraId="20448205">
                  <w:pPr>
                    <w:jc w:val="center"/>
                    <w:rPr>
                      <w:rFonts w:ascii="Times New Roman" w:hAnsi="Times New Roman" w:cs="Times New Roman"/>
                      <w:color w:val="000000"/>
                      <w:sz w:val="21"/>
                      <w:szCs w:val="21"/>
                    </w:rPr>
                  </w:pPr>
                  <w:r>
                    <w:rPr>
                      <w:rFonts w:ascii="Times New Roman" w:hAnsi="Times New Roman" w:cs="Times New Roman"/>
                      <w:color w:val="000000"/>
                      <w:sz w:val="21"/>
                      <w:szCs w:val="21"/>
                    </w:rPr>
                    <w:t>排放标准（含2024 年修改单）》（GB31571-2015）</w:t>
                  </w:r>
                </w:p>
              </w:tc>
            </w:tr>
            <w:tr w14:paraId="03F59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 w:type="pct"/>
                  <w:tcBorders>
                    <w:top w:val="single" w:color="auto" w:sz="4" w:space="0"/>
                    <w:left w:val="single" w:color="auto" w:sz="4" w:space="0"/>
                    <w:bottom w:val="single" w:color="auto" w:sz="4" w:space="0"/>
                    <w:right w:val="single" w:color="auto" w:sz="4" w:space="0"/>
                  </w:tcBorders>
                  <w:vAlign w:val="center"/>
                </w:tcPr>
                <w:p w14:paraId="5688DFA4">
                  <w:pPr>
                    <w:jc w:val="center"/>
                    <w:rPr>
                      <w:rFonts w:ascii="Times New Roman" w:hAnsi="Times New Roman" w:cs="Times New Roman"/>
                      <w:color w:val="000000"/>
                      <w:sz w:val="21"/>
                      <w:szCs w:val="21"/>
                    </w:rPr>
                  </w:pPr>
                  <w:r>
                    <w:rPr>
                      <w:rFonts w:ascii="Times New Roman" w:hAnsi="Times New Roman" w:cs="Times New Roman"/>
                      <w:color w:val="000000"/>
                      <w:sz w:val="21"/>
                      <w:szCs w:val="21"/>
                    </w:rPr>
                    <w:t>废水治理</w:t>
                  </w:r>
                </w:p>
              </w:tc>
              <w:tc>
                <w:tcPr>
                  <w:tcW w:w="669" w:type="pct"/>
                  <w:tcBorders>
                    <w:top w:val="single" w:color="auto" w:sz="4" w:space="0"/>
                    <w:left w:val="nil"/>
                    <w:bottom w:val="single" w:color="auto" w:sz="4" w:space="0"/>
                    <w:right w:val="single" w:color="auto" w:sz="4" w:space="0"/>
                  </w:tcBorders>
                  <w:vAlign w:val="center"/>
                </w:tcPr>
                <w:p w14:paraId="5BF874E9">
                  <w:pPr>
                    <w:jc w:val="center"/>
                    <w:rPr>
                      <w:rFonts w:ascii="Times New Roman" w:hAnsi="Times New Roman" w:cs="Times New Roman"/>
                      <w:color w:val="000000"/>
                      <w:sz w:val="21"/>
                      <w:szCs w:val="21"/>
                    </w:rPr>
                  </w:pPr>
                  <w:r>
                    <w:rPr>
                      <w:rFonts w:hint="eastAsia" w:ascii="Times New Roman" w:hAnsi="Times New Roman" w:cs="Times New Roman"/>
                      <w:color w:val="000000"/>
                      <w:sz w:val="21"/>
                      <w:szCs w:val="21"/>
                    </w:rPr>
                    <w:t>生产废水</w:t>
                  </w:r>
                </w:p>
              </w:tc>
              <w:tc>
                <w:tcPr>
                  <w:tcW w:w="870" w:type="pct"/>
                  <w:tcBorders>
                    <w:top w:val="single" w:color="auto" w:sz="4" w:space="0"/>
                    <w:left w:val="nil"/>
                    <w:bottom w:val="single" w:color="auto" w:sz="4" w:space="0"/>
                    <w:right w:val="single" w:color="auto" w:sz="4" w:space="0"/>
                  </w:tcBorders>
                  <w:vAlign w:val="center"/>
                </w:tcPr>
                <w:p w14:paraId="65AA02C8">
                  <w:pPr>
                    <w:jc w:val="center"/>
                    <w:rPr>
                      <w:rFonts w:ascii="Times New Roman" w:hAnsi="Times New Roman" w:cs="Times New Roman"/>
                      <w:color w:val="000000"/>
                      <w:sz w:val="21"/>
                      <w:szCs w:val="21"/>
                    </w:rPr>
                  </w:pPr>
                  <w:r>
                    <w:rPr>
                      <w:rFonts w:ascii="Times New Roman" w:hAnsi="Times New Roman" w:cs="Times New Roman"/>
                      <w:color w:val="000000"/>
                      <w:sz w:val="21"/>
                      <w:szCs w:val="21"/>
                    </w:rPr>
                    <w:t>生产废水经厂内污水处理站处理后，排入园区污水处理厂</w:t>
                  </w:r>
                </w:p>
              </w:tc>
              <w:tc>
                <w:tcPr>
                  <w:tcW w:w="1272" w:type="pct"/>
                  <w:tcBorders>
                    <w:top w:val="single" w:color="auto" w:sz="4" w:space="0"/>
                    <w:left w:val="nil"/>
                    <w:bottom w:val="single" w:color="auto" w:sz="4" w:space="0"/>
                    <w:right w:val="single" w:color="auto" w:sz="4" w:space="0"/>
                  </w:tcBorders>
                  <w:vAlign w:val="center"/>
                </w:tcPr>
                <w:p w14:paraId="4639A153">
                  <w:pPr>
                    <w:jc w:val="center"/>
                    <w:rPr>
                      <w:rFonts w:ascii="Times New Roman" w:hAnsi="Times New Roman" w:cs="Times New Roman"/>
                      <w:color w:val="000000"/>
                      <w:sz w:val="21"/>
                      <w:szCs w:val="21"/>
                    </w:rPr>
                  </w:pPr>
                </w:p>
              </w:tc>
              <w:tc>
                <w:tcPr>
                  <w:tcW w:w="1861" w:type="pct"/>
                  <w:tcBorders>
                    <w:top w:val="single" w:color="auto" w:sz="4" w:space="0"/>
                    <w:left w:val="nil"/>
                    <w:bottom w:val="single" w:color="auto" w:sz="4" w:space="0"/>
                    <w:right w:val="single" w:color="auto" w:sz="4" w:space="0"/>
                  </w:tcBorders>
                  <w:vAlign w:val="center"/>
                </w:tcPr>
                <w:p w14:paraId="2BEED1DC">
                  <w:pPr>
                    <w:jc w:val="center"/>
                    <w:rPr>
                      <w:rFonts w:ascii="Times New Roman" w:hAnsi="Times New Roman" w:cs="Times New Roman"/>
                      <w:color w:val="000000"/>
                      <w:sz w:val="21"/>
                      <w:szCs w:val="21"/>
                    </w:rPr>
                  </w:pPr>
                  <w:r>
                    <w:rPr>
                      <w:rFonts w:hint="eastAsia" w:ascii="Times New Roman" w:hAnsi="Times New Roman" w:cs="Times New Roman"/>
                      <w:color w:val="000000"/>
                      <w:sz w:val="21"/>
                      <w:szCs w:val="21"/>
                    </w:rPr>
                    <w:t>《石油化学工业污染物排放标准》（</w:t>
                  </w:r>
                  <w:r>
                    <w:rPr>
                      <w:rFonts w:ascii="Times New Roman" w:hAnsi="Times New Roman" w:cs="Times New Roman"/>
                      <w:color w:val="000000"/>
                      <w:sz w:val="21"/>
                      <w:szCs w:val="21"/>
                    </w:rPr>
                    <w:t>GB31571-2015</w:t>
                  </w:r>
                  <w:r>
                    <w:rPr>
                      <w:rFonts w:hint="eastAsia" w:ascii="Times New Roman" w:hAnsi="Times New Roman" w:cs="Times New Roman"/>
                      <w:color w:val="000000"/>
                      <w:sz w:val="21"/>
                      <w:szCs w:val="21"/>
                    </w:rPr>
                    <w:t>，含</w:t>
                  </w:r>
                  <w:r>
                    <w:rPr>
                      <w:rFonts w:ascii="Times New Roman" w:hAnsi="Times New Roman" w:cs="Times New Roman"/>
                      <w:color w:val="000000"/>
                      <w:sz w:val="21"/>
                      <w:szCs w:val="21"/>
                    </w:rPr>
                    <w:t>2024</w:t>
                  </w:r>
                  <w:r>
                    <w:rPr>
                      <w:rFonts w:hint="eastAsia" w:ascii="Times New Roman" w:hAnsi="Times New Roman" w:cs="Times New Roman"/>
                      <w:color w:val="000000"/>
                      <w:sz w:val="21"/>
                      <w:szCs w:val="21"/>
                    </w:rPr>
                    <w:t>年修改单）表</w:t>
                  </w:r>
                  <w:r>
                    <w:rPr>
                      <w:rFonts w:ascii="Times New Roman" w:hAnsi="Times New Roman" w:cs="Times New Roman"/>
                      <w:color w:val="000000"/>
                      <w:sz w:val="21"/>
                      <w:szCs w:val="21"/>
                    </w:rPr>
                    <w:t>1</w:t>
                  </w:r>
                  <w:r>
                    <w:rPr>
                      <w:rFonts w:hint="eastAsia" w:ascii="Times New Roman" w:hAnsi="Times New Roman" w:cs="Times New Roman"/>
                      <w:color w:val="000000"/>
                      <w:sz w:val="21"/>
                      <w:szCs w:val="21"/>
                    </w:rPr>
                    <w:t>间接排放限值，未作规定的污染物执行《污水综合排放标准》（</w:t>
                  </w:r>
                  <w:r>
                    <w:rPr>
                      <w:rFonts w:ascii="Times New Roman" w:hAnsi="Times New Roman" w:cs="Times New Roman"/>
                      <w:color w:val="000000"/>
                      <w:sz w:val="21"/>
                      <w:szCs w:val="21"/>
                    </w:rPr>
                    <w:t>8978-1996</w:t>
                  </w:r>
                  <w:r>
                    <w:rPr>
                      <w:rFonts w:hint="eastAsia" w:ascii="Times New Roman" w:hAnsi="Times New Roman" w:cs="Times New Roman"/>
                      <w:color w:val="000000"/>
                      <w:sz w:val="21"/>
                      <w:szCs w:val="21"/>
                    </w:rPr>
                    <w:t>）表</w:t>
                  </w:r>
                  <w:r>
                    <w:rPr>
                      <w:rFonts w:ascii="Times New Roman" w:hAnsi="Times New Roman" w:cs="Times New Roman"/>
                      <w:color w:val="000000"/>
                      <w:sz w:val="21"/>
                      <w:szCs w:val="21"/>
                    </w:rPr>
                    <w:t>4</w:t>
                  </w:r>
                  <w:r>
                    <w:rPr>
                      <w:rFonts w:hint="eastAsia" w:ascii="Times New Roman" w:hAnsi="Times New Roman" w:cs="Times New Roman"/>
                      <w:color w:val="000000"/>
                      <w:sz w:val="21"/>
                      <w:szCs w:val="21"/>
                    </w:rPr>
                    <w:t>三级标准</w:t>
                  </w:r>
                </w:p>
              </w:tc>
            </w:tr>
            <w:tr w14:paraId="0072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328" w:type="pct"/>
                  <w:tcBorders>
                    <w:top w:val="single" w:color="auto" w:sz="4" w:space="0"/>
                    <w:left w:val="single" w:color="auto" w:sz="4" w:space="0"/>
                    <w:bottom w:val="single" w:color="auto" w:sz="4" w:space="0"/>
                    <w:right w:val="single" w:color="auto" w:sz="4" w:space="0"/>
                  </w:tcBorders>
                  <w:vAlign w:val="center"/>
                </w:tcPr>
                <w:p w14:paraId="009C4A74">
                  <w:pPr>
                    <w:jc w:val="center"/>
                    <w:rPr>
                      <w:rFonts w:ascii="Times New Roman" w:hAnsi="Times New Roman" w:cs="Times New Roman"/>
                      <w:color w:val="000000"/>
                      <w:sz w:val="21"/>
                      <w:szCs w:val="21"/>
                    </w:rPr>
                  </w:pPr>
                  <w:r>
                    <w:rPr>
                      <w:rFonts w:ascii="Times New Roman" w:hAnsi="Times New Roman" w:cs="Times New Roman"/>
                      <w:color w:val="000000"/>
                      <w:sz w:val="21"/>
                      <w:szCs w:val="21"/>
                    </w:rPr>
                    <w:t>噪声治理</w:t>
                  </w:r>
                </w:p>
              </w:tc>
              <w:tc>
                <w:tcPr>
                  <w:tcW w:w="669" w:type="pct"/>
                  <w:tcBorders>
                    <w:top w:val="single" w:color="auto" w:sz="4" w:space="0"/>
                    <w:left w:val="nil"/>
                    <w:bottom w:val="single" w:color="auto" w:sz="4" w:space="0"/>
                    <w:right w:val="single" w:color="auto" w:sz="4" w:space="0"/>
                  </w:tcBorders>
                  <w:vAlign w:val="center"/>
                </w:tcPr>
                <w:p w14:paraId="06E0FBF7">
                  <w:pPr>
                    <w:jc w:val="center"/>
                    <w:rPr>
                      <w:rFonts w:ascii="Times New Roman" w:hAnsi="Times New Roman" w:cs="Times New Roman"/>
                      <w:color w:val="000000"/>
                      <w:sz w:val="21"/>
                      <w:szCs w:val="21"/>
                    </w:rPr>
                  </w:pPr>
                  <w:r>
                    <w:rPr>
                      <w:rFonts w:ascii="Times New Roman" w:hAnsi="Times New Roman" w:cs="Times New Roman"/>
                      <w:color w:val="000000"/>
                      <w:sz w:val="21"/>
                      <w:szCs w:val="21"/>
                    </w:rPr>
                    <w:t>泵机等</w:t>
                  </w:r>
                </w:p>
              </w:tc>
              <w:tc>
                <w:tcPr>
                  <w:tcW w:w="870" w:type="pct"/>
                  <w:tcBorders>
                    <w:top w:val="single" w:color="auto" w:sz="4" w:space="0"/>
                    <w:left w:val="nil"/>
                    <w:bottom w:val="single" w:color="auto" w:sz="4" w:space="0"/>
                    <w:right w:val="single" w:color="auto" w:sz="4" w:space="0"/>
                  </w:tcBorders>
                  <w:vAlign w:val="center"/>
                </w:tcPr>
                <w:p w14:paraId="002EF293">
                  <w:pPr>
                    <w:jc w:val="center"/>
                    <w:rPr>
                      <w:rFonts w:ascii="Times New Roman" w:hAnsi="Times New Roman" w:cs="Times New Roman"/>
                      <w:color w:val="000000"/>
                      <w:sz w:val="21"/>
                      <w:szCs w:val="21"/>
                    </w:rPr>
                  </w:pPr>
                  <w:r>
                    <w:rPr>
                      <w:rFonts w:ascii="Times New Roman" w:hAnsi="Times New Roman" w:cs="Times New Roman"/>
                      <w:color w:val="000000"/>
                      <w:sz w:val="21"/>
                      <w:szCs w:val="21"/>
                    </w:rPr>
                    <w:t>采用低噪声泵机、消声减</w:t>
                  </w:r>
                  <w:r>
                    <w:rPr>
                      <w:rFonts w:hint="eastAsia" w:ascii="Times New Roman" w:hAnsi="Times New Roman" w:cs="Times New Roman"/>
                      <w:color w:val="000000"/>
                      <w:sz w:val="21"/>
                      <w:szCs w:val="21"/>
                    </w:rPr>
                    <w:t>振</w:t>
                  </w:r>
                </w:p>
              </w:tc>
              <w:tc>
                <w:tcPr>
                  <w:tcW w:w="1272" w:type="pct"/>
                  <w:tcBorders>
                    <w:top w:val="single" w:color="auto" w:sz="4" w:space="0"/>
                    <w:left w:val="nil"/>
                    <w:bottom w:val="single" w:color="auto" w:sz="4" w:space="0"/>
                    <w:right w:val="single" w:color="auto" w:sz="4" w:space="0"/>
                  </w:tcBorders>
                  <w:vAlign w:val="center"/>
                </w:tcPr>
                <w:p w14:paraId="241CA717">
                  <w:pPr>
                    <w:pStyle w:val="15"/>
                    <w:ind w:firstLine="0" w:firstLineChars="0"/>
                    <w:jc w:val="center"/>
                    <w:textAlignment w:val="center"/>
                    <w:rPr>
                      <w:color w:val="000000"/>
                      <w:szCs w:val="21"/>
                    </w:rPr>
                  </w:pPr>
                  <w:r>
                    <w:rPr>
                      <w:color w:val="000000"/>
                      <w:szCs w:val="21"/>
                    </w:rPr>
                    <w:t>昼间≤65dB(A)</w:t>
                  </w:r>
                </w:p>
                <w:p w14:paraId="7A42E998">
                  <w:pPr>
                    <w:jc w:val="center"/>
                    <w:rPr>
                      <w:rFonts w:ascii="Times New Roman" w:hAnsi="Times New Roman" w:cs="Times New Roman"/>
                      <w:color w:val="000000"/>
                      <w:sz w:val="21"/>
                      <w:szCs w:val="21"/>
                    </w:rPr>
                  </w:pPr>
                  <w:r>
                    <w:rPr>
                      <w:rFonts w:ascii="Times New Roman" w:hAnsi="Times New Roman" w:cs="Times New Roman"/>
                      <w:color w:val="000000"/>
                      <w:sz w:val="21"/>
                      <w:szCs w:val="21"/>
                    </w:rPr>
                    <w:t>夜间≤55dB(A)</w:t>
                  </w:r>
                </w:p>
              </w:tc>
              <w:tc>
                <w:tcPr>
                  <w:tcW w:w="1861" w:type="pct"/>
                  <w:tcBorders>
                    <w:top w:val="single" w:color="auto" w:sz="4" w:space="0"/>
                    <w:left w:val="nil"/>
                    <w:bottom w:val="single" w:color="auto" w:sz="4" w:space="0"/>
                    <w:right w:val="single" w:color="auto" w:sz="4" w:space="0"/>
                  </w:tcBorders>
                  <w:vAlign w:val="center"/>
                </w:tcPr>
                <w:p w14:paraId="740860B1">
                  <w:pPr>
                    <w:jc w:val="center"/>
                    <w:rPr>
                      <w:rFonts w:ascii="Times New Roman" w:hAnsi="Times New Roman" w:cs="Times New Roman"/>
                      <w:color w:val="000000"/>
                      <w:sz w:val="21"/>
                      <w:szCs w:val="21"/>
                    </w:rPr>
                  </w:pPr>
                  <w:r>
                    <w:rPr>
                      <w:rFonts w:ascii="Times New Roman" w:hAnsi="Times New Roman" w:cs="Times New Roman"/>
                      <w:color w:val="000000"/>
                      <w:sz w:val="21"/>
                      <w:szCs w:val="21"/>
                    </w:rPr>
                    <w:t>满足《工业企业厂界环境噪声排放标准》（GB12348-2008）中的3类标准要求。</w:t>
                  </w:r>
                </w:p>
              </w:tc>
            </w:tr>
            <w:tr w14:paraId="50A28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328" w:type="pct"/>
                  <w:tcBorders>
                    <w:top w:val="nil"/>
                    <w:left w:val="single" w:color="auto" w:sz="4" w:space="0"/>
                    <w:right w:val="single" w:color="auto" w:sz="4" w:space="0"/>
                  </w:tcBorders>
                  <w:vAlign w:val="center"/>
                </w:tcPr>
                <w:p w14:paraId="3F09FDAA">
                  <w:pPr>
                    <w:jc w:val="center"/>
                    <w:rPr>
                      <w:rFonts w:ascii="Times New Roman" w:hAnsi="Times New Roman" w:cs="Times New Roman"/>
                      <w:color w:val="000000"/>
                      <w:sz w:val="21"/>
                      <w:szCs w:val="21"/>
                    </w:rPr>
                  </w:pPr>
                  <w:r>
                    <w:rPr>
                      <w:rFonts w:ascii="Times New Roman" w:hAnsi="Times New Roman" w:cs="Times New Roman"/>
                      <w:color w:val="000000"/>
                      <w:sz w:val="21"/>
                      <w:szCs w:val="21"/>
                    </w:rPr>
                    <w:t>固废</w:t>
                  </w:r>
                </w:p>
              </w:tc>
              <w:tc>
                <w:tcPr>
                  <w:tcW w:w="669" w:type="pct"/>
                  <w:tcBorders>
                    <w:top w:val="single" w:color="auto" w:sz="4" w:space="0"/>
                    <w:left w:val="nil"/>
                    <w:right w:val="single" w:color="auto" w:sz="4" w:space="0"/>
                  </w:tcBorders>
                  <w:vAlign w:val="center"/>
                </w:tcPr>
                <w:p w14:paraId="7D5530AE">
                  <w:pPr>
                    <w:jc w:val="center"/>
                    <w:rPr>
                      <w:rFonts w:ascii="Times New Roman" w:hAnsi="Times New Roman" w:cs="Times New Roman"/>
                      <w:color w:val="000000"/>
                      <w:sz w:val="21"/>
                      <w:szCs w:val="21"/>
                    </w:rPr>
                  </w:pPr>
                  <w:r>
                    <w:rPr>
                      <w:rFonts w:ascii="Times New Roman" w:hAnsi="Times New Roman" w:cs="Times New Roman"/>
                      <w:color w:val="000000"/>
                      <w:sz w:val="21"/>
                      <w:szCs w:val="21"/>
                    </w:rPr>
                    <w:t>废活性炭</w:t>
                  </w:r>
                  <w:r>
                    <w:rPr>
                      <w:rFonts w:hint="eastAsia" w:ascii="Times New Roman" w:hAnsi="Times New Roman" w:cs="Times New Roman"/>
                      <w:color w:val="000000"/>
                      <w:sz w:val="21"/>
                      <w:szCs w:val="21"/>
                    </w:rPr>
                    <w:t>、废检测管、废吸管、废试剂瓶、清罐油泥</w:t>
                  </w:r>
                </w:p>
              </w:tc>
              <w:tc>
                <w:tcPr>
                  <w:tcW w:w="870" w:type="pct"/>
                  <w:tcBorders>
                    <w:top w:val="single" w:color="auto" w:sz="4" w:space="0"/>
                    <w:left w:val="nil"/>
                    <w:right w:val="single" w:color="auto" w:sz="4" w:space="0"/>
                  </w:tcBorders>
                  <w:vAlign w:val="center"/>
                </w:tcPr>
                <w:p w14:paraId="48398B48">
                  <w:pPr>
                    <w:jc w:val="center"/>
                    <w:rPr>
                      <w:rFonts w:ascii="Times New Roman" w:hAnsi="Times New Roman" w:cs="Times New Roman"/>
                      <w:color w:val="000000"/>
                      <w:sz w:val="21"/>
                      <w:szCs w:val="21"/>
                    </w:rPr>
                  </w:pPr>
                  <w:r>
                    <w:rPr>
                      <w:rFonts w:hint="eastAsia" w:ascii="Times New Roman" w:hAnsi="Times New Roman" w:cs="Times New Roman"/>
                      <w:color w:val="000000"/>
                      <w:sz w:val="21"/>
                      <w:szCs w:val="21"/>
                    </w:rPr>
                    <w:t>暂存</w:t>
                  </w:r>
                  <w:r>
                    <w:rPr>
                      <w:rFonts w:ascii="Times New Roman" w:hAnsi="Times New Roman" w:cs="Times New Roman"/>
                      <w:color w:val="000000"/>
                      <w:sz w:val="21"/>
                      <w:szCs w:val="21"/>
                    </w:rPr>
                    <w:t>危废</w:t>
                  </w:r>
                  <w:r>
                    <w:rPr>
                      <w:rFonts w:hint="eastAsia" w:ascii="Times New Roman" w:hAnsi="Times New Roman" w:cs="Times New Roman"/>
                      <w:color w:val="000000"/>
                      <w:sz w:val="21"/>
                      <w:szCs w:val="21"/>
                    </w:rPr>
                    <w:t>贮存</w:t>
                  </w:r>
                  <w:r>
                    <w:rPr>
                      <w:rFonts w:ascii="Times New Roman" w:hAnsi="Times New Roman" w:cs="Times New Roman"/>
                      <w:color w:val="000000"/>
                      <w:sz w:val="21"/>
                      <w:szCs w:val="21"/>
                    </w:rPr>
                    <w:t>库，定期委托有资质的单位处理</w:t>
                  </w:r>
                </w:p>
              </w:tc>
              <w:tc>
                <w:tcPr>
                  <w:tcW w:w="1272" w:type="pct"/>
                  <w:tcBorders>
                    <w:top w:val="single" w:color="auto" w:sz="4" w:space="0"/>
                    <w:left w:val="nil"/>
                    <w:right w:val="single" w:color="auto" w:sz="4" w:space="0"/>
                  </w:tcBorders>
                  <w:vAlign w:val="center"/>
                </w:tcPr>
                <w:p w14:paraId="62A11D99">
                  <w:pPr>
                    <w:jc w:val="center"/>
                    <w:rPr>
                      <w:rFonts w:ascii="Times New Roman" w:hAnsi="Times New Roman" w:cs="Times New Roman"/>
                      <w:color w:val="000000"/>
                      <w:sz w:val="21"/>
                      <w:szCs w:val="21"/>
                      <w:highlight w:val="yellow"/>
                    </w:rPr>
                  </w:pPr>
                  <w:r>
                    <w:rPr>
                      <w:rFonts w:ascii="Times New Roman" w:hAnsi="Times New Roman" w:cs="Times New Roman"/>
                      <w:color w:val="000000"/>
                      <w:sz w:val="21"/>
                      <w:szCs w:val="21"/>
                    </w:rPr>
                    <w:t>/</w:t>
                  </w:r>
                </w:p>
              </w:tc>
              <w:tc>
                <w:tcPr>
                  <w:tcW w:w="1861" w:type="pct"/>
                  <w:tcBorders>
                    <w:top w:val="single" w:color="auto" w:sz="4" w:space="0"/>
                    <w:left w:val="nil"/>
                    <w:right w:val="single" w:color="auto" w:sz="4" w:space="0"/>
                  </w:tcBorders>
                  <w:vAlign w:val="center"/>
                </w:tcPr>
                <w:p w14:paraId="59F96B9E">
                  <w:pPr>
                    <w:jc w:val="center"/>
                    <w:rPr>
                      <w:rFonts w:ascii="Times New Roman" w:hAnsi="Times New Roman" w:cs="Times New Roman"/>
                      <w:color w:val="000000"/>
                      <w:sz w:val="21"/>
                      <w:szCs w:val="21"/>
                      <w:highlight w:val="yellow"/>
                    </w:rPr>
                  </w:pPr>
                  <w:r>
                    <w:rPr>
                      <w:rFonts w:ascii="Times New Roman" w:hAnsi="Times New Roman" w:cs="Times New Roman"/>
                      <w:sz w:val="21"/>
                      <w:szCs w:val="21"/>
                    </w:rPr>
                    <w:t>《危险废物贮存污染控制标准》（GB 18597-2023）</w:t>
                  </w:r>
                </w:p>
              </w:tc>
            </w:tr>
            <w:tr w14:paraId="7FBA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 w:type="pct"/>
                  <w:tcBorders>
                    <w:top w:val="single" w:color="auto" w:sz="4" w:space="0"/>
                    <w:left w:val="single" w:color="auto" w:sz="4" w:space="0"/>
                    <w:bottom w:val="single" w:color="auto" w:sz="4" w:space="0"/>
                    <w:right w:val="single" w:color="auto" w:sz="4" w:space="0"/>
                  </w:tcBorders>
                  <w:vAlign w:val="center"/>
                </w:tcPr>
                <w:p w14:paraId="74F750F4">
                  <w:pPr>
                    <w:jc w:val="center"/>
                    <w:rPr>
                      <w:rFonts w:ascii="Times New Roman" w:hAnsi="Times New Roman" w:cs="Times New Roman"/>
                      <w:color w:val="000000"/>
                      <w:sz w:val="21"/>
                      <w:szCs w:val="21"/>
                    </w:rPr>
                  </w:pPr>
                  <w:r>
                    <w:rPr>
                      <w:rFonts w:ascii="Times New Roman" w:hAnsi="Times New Roman" w:cs="Times New Roman"/>
                      <w:color w:val="000000"/>
                      <w:sz w:val="21"/>
                      <w:szCs w:val="21"/>
                    </w:rPr>
                    <w:t>环境风险</w:t>
                  </w:r>
                </w:p>
              </w:tc>
              <w:tc>
                <w:tcPr>
                  <w:tcW w:w="669" w:type="pct"/>
                  <w:tcBorders>
                    <w:top w:val="single" w:color="auto" w:sz="4" w:space="0"/>
                    <w:left w:val="nil"/>
                    <w:bottom w:val="single" w:color="auto" w:sz="4" w:space="0"/>
                    <w:right w:val="single" w:color="auto" w:sz="4" w:space="0"/>
                  </w:tcBorders>
                  <w:vAlign w:val="center"/>
                </w:tcPr>
                <w:p w14:paraId="4EE9A9FC">
                  <w:pPr>
                    <w:jc w:val="center"/>
                    <w:rPr>
                      <w:rFonts w:ascii="Times New Roman" w:hAnsi="Times New Roman" w:cs="Times New Roman"/>
                      <w:color w:val="000000"/>
                      <w:sz w:val="21"/>
                      <w:szCs w:val="21"/>
                    </w:rPr>
                  </w:pPr>
                  <w:r>
                    <w:rPr>
                      <w:rFonts w:ascii="Times New Roman" w:hAnsi="Times New Roman" w:cs="Times New Roman"/>
                      <w:color w:val="000000"/>
                      <w:sz w:val="21"/>
                      <w:szCs w:val="21"/>
                    </w:rPr>
                    <w:t>事故废水</w:t>
                  </w:r>
                </w:p>
              </w:tc>
              <w:tc>
                <w:tcPr>
                  <w:tcW w:w="870" w:type="pct"/>
                  <w:tcBorders>
                    <w:top w:val="single" w:color="auto" w:sz="4" w:space="0"/>
                    <w:left w:val="nil"/>
                    <w:bottom w:val="single" w:color="auto" w:sz="4" w:space="0"/>
                    <w:right w:val="single" w:color="auto" w:sz="4" w:space="0"/>
                  </w:tcBorders>
                  <w:vAlign w:val="center"/>
                </w:tcPr>
                <w:p w14:paraId="752B006F">
                  <w:pPr>
                    <w:jc w:val="center"/>
                    <w:rPr>
                      <w:rFonts w:ascii="Times New Roman" w:hAnsi="Times New Roman" w:cs="Times New Roman"/>
                      <w:color w:val="000000"/>
                      <w:sz w:val="21"/>
                      <w:szCs w:val="21"/>
                    </w:rPr>
                  </w:pPr>
                  <w:r>
                    <w:rPr>
                      <w:rFonts w:ascii="Times New Roman" w:hAnsi="Times New Roman" w:cs="Times New Roman"/>
                      <w:color w:val="000000"/>
                      <w:sz w:val="21"/>
                      <w:szCs w:val="21"/>
                    </w:rPr>
                    <w:t>依托现有应急事故池（6600m³）、厂区分区防渗</w:t>
                  </w:r>
                  <w:r>
                    <w:rPr>
                      <w:rFonts w:hint="eastAsia" w:ascii="Times New Roman" w:hAnsi="Times New Roman" w:cs="Times New Roman"/>
                      <w:color w:val="000000"/>
                      <w:sz w:val="21"/>
                      <w:szCs w:val="21"/>
                    </w:rPr>
                    <w:t>、防火堤、围堰</w:t>
                  </w:r>
                </w:p>
              </w:tc>
              <w:tc>
                <w:tcPr>
                  <w:tcW w:w="1272" w:type="pct"/>
                  <w:tcBorders>
                    <w:top w:val="single" w:color="auto" w:sz="4" w:space="0"/>
                    <w:left w:val="nil"/>
                    <w:bottom w:val="single" w:color="auto" w:sz="4" w:space="0"/>
                    <w:right w:val="single" w:color="auto" w:sz="4" w:space="0"/>
                  </w:tcBorders>
                  <w:vAlign w:val="center"/>
                </w:tcPr>
                <w:p w14:paraId="0DBCA501">
                  <w:pPr>
                    <w:jc w:val="center"/>
                    <w:rPr>
                      <w:rFonts w:ascii="Times New Roman" w:hAnsi="Times New Roman" w:cs="Times New Roman"/>
                      <w:color w:val="000000"/>
                      <w:sz w:val="21"/>
                      <w:szCs w:val="21"/>
                    </w:rPr>
                  </w:pPr>
                  <w:r>
                    <w:rPr>
                      <w:rFonts w:ascii="Times New Roman" w:hAnsi="Times New Roman" w:cs="Times New Roman"/>
                      <w:color w:val="000000"/>
                      <w:sz w:val="21"/>
                      <w:szCs w:val="21"/>
                    </w:rPr>
                    <w:t>完善的应急设施及设备、应急预案报备和常规定期应急演练、培训</w:t>
                  </w:r>
                </w:p>
              </w:tc>
              <w:tc>
                <w:tcPr>
                  <w:tcW w:w="1861" w:type="pct"/>
                  <w:tcBorders>
                    <w:top w:val="single" w:color="auto" w:sz="4" w:space="0"/>
                    <w:left w:val="nil"/>
                    <w:bottom w:val="single" w:color="auto" w:sz="4" w:space="0"/>
                    <w:right w:val="single" w:color="auto" w:sz="4" w:space="0"/>
                  </w:tcBorders>
                  <w:vAlign w:val="center"/>
                </w:tcPr>
                <w:p w14:paraId="1912C273">
                  <w:pPr>
                    <w:jc w:val="center"/>
                    <w:rPr>
                      <w:rFonts w:ascii="Times New Roman" w:hAnsi="Times New Roman" w:cs="Times New Roman"/>
                      <w:color w:val="000000"/>
                      <w:sz w:val="21"/>
                      <w:szCs w:val="21"/>
                    </w:rPr>
                  </w:pPr>
                  <w:r>
                    <w:rPr>
                      <w:rFonts w:ascii="Times New Roman" w:hAnsi="Times New Roman" w:cs="Times New Roman"/>
                      <w:color w:val="000000"/>
                      <w:sz w:val="21"/>
                      <w:szCs w:val="21"/>
                    </w:rPr>
                    <w:t>《突发环境事件应急管理办法》《企业事业单位突发环境事件应急预案备案管理办法》</w:t>
                  </w:r>
                </w:p>
              </w:tc>
            </w:tr>
            <w:bookmarkEnd w:id="18"/>
          </w:tbl>
          <w:p w14:paraId="023DA459">
            <w:pPr>
              <w:adjustRightInd w:val="0"/>
              <w:snapToGrid w:val="0"/>
              <w:ind w:firstLine="440" w:firstLineChars="200"/>
              <w:rPr>
                <w:rFonts w:ascii="Times New Roman" w:hAnsi="Times New Roman" w:cs="Times New Roman"/>
                <w:spacing w:val="-10"/>
              </w:rPr>
            </w:pPr>
          </w:p>
          <w:p w14:paraId="5C212306">
            <w:pPr>
              <w:adjustRightInd w:val="0"/>
              <w:snapToGrid w:val="0"/>
              <w:rPr>
                <w:rFonts w:ascii="Times New Roman" w:hAnsi="Times New Roman" w:cs="Times New Roman"/>
                <w:b/>
                <w:bCs/>
                <w:spacing w:val="-10"/>
              </w:rPr>
            </w:pPr>
            <w:r>
              <w:rPr>
                <w:rFonts w:ascii="Times New Roman" w:hAnsi="Times New Roman" w:cs="Times New Roman"/>
                <w:b/>
                <w:bCs/>
                <w:spacing w:val="-10"/>
              </w:rPr>
              <w:t>10、环保投资</w:t>
            </w:r>
          </w:p>
          <w:p w14:paraId="54971BFD">
            <w:pPr>
              <w:adjustRightInd w:val="0"/>
              <w:snapToGrid w:val="0"/>
              <w:ind w:firstLine="480" w:firstLineChars="20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本项目二期工程总投资为4007.241万元，环保投资173万元，环保投资占项目总投资的4.32%。项目主要环保设施见表4-2</w:t>
            </w:r>
            <w:r>
              <w:rPr>
                <w:rFonts w:hint="eastAsia" w:ascii="Times New Roman" w:hAnsi="Times New Roman" w:cs="Times New Roman"/>
                <w:color w:val="000000" w:themeColor="text1"/>
                <w14:textFill>
                  <w14:solidFill>
                    <w14:schemeClr w14:val="tx1"/>
                  </w14:solidFill>
                </w14:textFill>
              </w:rPr>
              <w:t>2</w:t>
            </w:r>
            <w:r>
              <w:rPr>
                <w:rFonts w:ascii="Times New Roman" w:hAnsi="Times New Roman" w:cs="Times New Roman"/>
                <w:color w:val="000000" w:themeColor="text1"/>
                <w14:textFill>
                  <w14:solidFill>
                    <w14:schemeClr w14:val="tx1"/>
                  </w14:solidFill>
                </w14:textFill>
              </w:rPr>
              <w:t>。</w:t>
            </w:r>
          </w:p>
          <w:p w14:paraId="340518B5">
            <w:pPr>
              <w:adjustRightInd w:val="0"/>
              <w:snapToGrid w:val="0"/>
              <w:ind w:firstLine="442" w:firstLineChars="20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b/>
                <w:bCs/>
                <w:spacing w:val="-10"/>
                <w:szCs w:val="21"/>
              </w:rPr>
              <w:t>表4-2</w:t>
            </w:r>
            <w:r>
              <w:rPr>
                <w:rFonts w:hint="eastAsia" w:ascii="Times New Roman" w:hAnsi="Times New Roman" w:cs="Times New Roman"/>
                <w:b/>
                <w:bCs/>
                <w:spacing w:val="-10"/>
                <w:szCs w:val="21"/>
              </w:rPr>
              <w:t>2</w:t>
            </w:r>
            <w:r>
              <w:rPr>
                <w:rFonts w:ascii="Times New Roman" w:hAnsi="Times New Roman" w:cs="Times New Roman"/>
                <w:b/>
                <w:bCs/>
                <w:spacing w:val="-10"/>
                <w:szCs w:val="21"/>
              </w:rPr>
              <w:t xml:space="preserve">  工程环保设施投资情况一览表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9"/>
              <w:gridCol w:w="1843"/>
              <w:gridCol w:w="3130"/>
              <w:gridCol w:w="1984"/>
            </w:tblGrid>
            <w:tr w14:paraId="5563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 w:type="dxa"/>
                </w:tcPr>
                <w:p w14:paraId="519C2442">
                  <w:pPr>
                    <w:adjustRightInd w:val="0"/>
                    <w:snapToGrid w:val="0"/>
                    <w:rPr>
                      <w:rFonts w:ascii="Times New Roman" w:hAnsi="Times New Roman" w:cs="Times New Roman"/>
                      <w:spacing w:val="-10"/>
                    </w:rPr>
                  </w:pPr>
                  <w:r>
                    <w:rPr>
                      <w:rFonts w:ascii="Times New Roman" w:hAnsi="Times New Roman" w:cs="Times New Roman"/>
                      <w:spacing w:val="-10"/>
                    </w:rPr>
                    <w:t>序号</w:t>
                  </w:r>
                </w:p>
              </w:tc>
              <w:tc>
                <w:tcPr>
                  <w:tcW w:w="1843" w:type="dxa"/>
                </w:tcPr>
                <w:p w14:paraId="6E27D7A8">
                  <w:pPr>
                    <w:adjustRightInd w:val="0"/>
                    <w:snapToGrid w:val="0"/>
                    <w:rPr>
                      <w:rFonts w:ascii="Times New Roman" w:hAnsi="Times New Roman" w:cs="Times New Roman"/>
                      <w:spacing w:val="-10"/>
                    </w:rPr>
                  </w:pPr>
                  <w:r>
                    <w:rPr>
                      <w:rFonts w:ascii="Times New Roman" w:hAnsi="Times New Roman" w:cs="Times New Roman"/>
                      <w:spacing w:val="-10"/>
                    </w:rPr>
                    <w:t>类别</w:t>
                  </w:r>
                </w:p>
              </w:tc>
              <w:tc>
                <w:tcPr>
                  <w:tcW w:w="3130" w:type="dxa"/>
                </w:tcPr>
                <w:p w14:paraId="09894684">
                  <w:pPr>
                    <w:adjustRightInd w:val="0"/>
                    <w:snapToGrid w:val="0"/>
                    <w:rPr>
                      <w:rFonts w:ascii="Times New Roman" w:hAnsi="Times New Roman" w:cs="Times New Roman"/>
                      <w:spacing w:val="-10"/>
                    </w:rPr>
                  </w:pPr>
                  <w:r>
                    <w:rPr>
                      <w:rFonts w:ascii="Times New Roman" w:hAnsi="Times New Roman" w:cs="Times New Roman"/>
                      <w:spacing w:val="-10"/>
                    </w:rPr>
                    <w:t>环保投入内容</w:t>
                  </w:r>
                </w:p>
              </w:tc>
              <w:tc>
                <w:tcPr>
                  <w:tcW w:w="1984" w:type="dxa"/>
                </w:tcPr>
                <w:p w14:paraId="7262DA71">
                  <w:pPr>
                    <w:adjustRightInd w:val="0"/>
                    <w:snapToGrid w:val="0"/>
                    <w:rPr>
                      <w:rFonts w:ascii="Times New Roman" w:hAnsi="Times New Roman" w:cs="Times New Roman"/>
                      <w:spacing w:val="-10"/>
                    </w:rPr>
                  </w:pPr>
                  <w:r>
                    <w:rPr>
                      <w:rFonts w:ascii="Times New Roman" w:hAnsi="Times New Roman" w:cs="Times New Roman"/>
                      <w:spacing w:val="-10"/>
                    </w:rPr>
                    <w:t>投资额</w:t>
                  </w:r>
                </w:p>
              </w:tc>
            </w:tr>
            <w:tr w14:paraId="0856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 w:type="dxa"/>
                </w:tcPr>
                <w:p w14:paraId="53E35042">
                  <w:pPr>
                    <w:adjustRightInd w:val="0"/>
                    <w:snapToGrid w:val="0"/>
                    <w:rPr>
                      <w:rFonts w:ascii="Times New Roman" w:hAnsi="Times New Roman" w:cs="Times New Roman"/>
                      <w:spacing w:val="-10"/>
                    </w:rPr>
                  </w:pPr>
                  <w:r>
                    <w:rPr>
                      <w:rFonts w:ascii="Times New Roman" w:hAnsi="Times New Roman" w:cs="Times New Roman"/>
                      <w:spacing w:val="-10"/>
                    </w:rPr>
                    <w:t>1</w:t>
                  </w:r>
                </w:p>
              </w:tc>
              <w:tc>
                <w:tcPr>
                  <w:tcW w:w="1843" w:type="dxa"/>
                </w:tcPr>
                <w:p w14:paraId="528AD1F0">
                  <w:pPr>
                    <w:adjustRightInd w:val="0"/>
                    <w:snapToGrid w:val="0"/>
                    <w:rPr>
                      <w:rFonts w:ascii="Times New Roman" w:hAnsi="Times New Roman" w:cs="Times New Roman"/>
                      <w:spacing w:val="-10"/>
                    </w:rPr>
                  </w:pPr>
                  <w:r>
                    <w:rPr>
                      <w:rFonts w:ascii="Times New Roman" w:hAnsi="Times New Roman" w:cs="Times New Roman"/>
                      <w:spacing w:val="-10"/>
                    </w:rPr>
                    <w:t>油气回收装置</w:t>
                  </w:r>
                </w:p>
              </w:tc>
              <w:tc>
                <w:tcPr>
                  <w:tcW w:w="3130" w:type="dxa"/>
                </w:tcPr>
                <w:p w14:paraId="32A4B57C">
                  <w:pPr>
                    <w:adjustRightInd w:val="0"/>
                    <w:snapToGrid w:val="0"/>
                    <w:rPr>
                      <w:rFonts w:ascii="Times New Roman" w:hAnsi="Times New Roman" w:cs="Times New Roman"/>
                      <w:spacing w:val="-10"/>
                    </w:rPr>
                  </w:pPr>
                  <w:r>
                    <w:rPr>
                      <w:rFonts w:ascii="Times New Roman" w:hAnsi="Times New Roman" w:cs="Times New Roman"/>
                      <w:spacing w:val="-10"/>
                    </w:rPr>
                    <w:t>定期维护、购买/更换活性炭</w:t>
                  </w:r>
                </w:p>
              </w:tc>
              <w:tc>
                <w:tcPr>
                  <w:tcW w:w="1984" w:type="dxa"/>
                </w:tcPr>
                <w:p w14:paraId="73D332F5">
                  <w:pPr>
                    <w:adjustRightInd w:val="0"/>
                    <w:snapToGrid w:val="0"/>
                    <w:rPr>
                      <w:rFonts w:ascii="Times New Roman" w:hAnsi="Times New Roman" w:cs="Times New Roman"/>
                      <w:spacing w:val="-10"/>
                    </w:rPr>
                  </w:pPr>
                  <w:r>
                    <w:rPr>
                      <w:rFonts w:ascii="Times New Roman" w:hAnsi="Times New Roman" w:cs="Times New Roman"/>
                      <w:spacing w:val="-10"/>
                    </w:rPr>
                    <w:t>23</w:t>
                  </w:r>
                </w:p>
              </w:tc>
            </w:tr>
            <w:tr w14:paraId="143DC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 w:type="dxa"/>
                </w:tcPr>
                <w:p w14:paraId="03A3B2B3">
                  <w:pPr>
                    <w:adjustRightInd w:val="0"/>
                    <w:snapToGrid w:val="0"/>
                    <w:rPr>
                      <w:rFonts w:ascii="Times New Roman" w:hAnsi="Times New Roman" w:cs="Times New Roman"/>
                      <w:spacing w:val="-10"/>
                    </w:rPr>
                  </w:pPr>
                  <w:r>
                    <w:rPr>
                      <w:rFonts w:ascii="Times New Roman" w:hAnsi="Times New Roman" w:cs="Times New Roman"/>
                      <w:spacing w:val="-10"/>
                    </w:rPr>
                    <w:t>2</w:t>
                  </w:r>
                </w:p>
              </w:tc>
              <w:tc>
                <w:tcPr>
                  <w:tcW w:w="1843" w:type="dxa"/>
                </w:tcPr>
                <w:p w14:paraId="3A0B3B38">
                  <w:pPr>
                    <w:adjustRightInd w:val="0"/>
                    <w:snapToGrid w:val="0"/>
                    <w:rPr>
                      <w:rFonts w:ascii="Times New Roman" w:hAnsi="Times New Roman" w:cs="Times New Roman"/>
                      <w:spacing w:val="-10"/>
                    </w:rPr>
                  </w:pPr>
                  <w:r>
                    <w:rPr>
                      <w:rFonts w:ascii="Times New Roman" w:hAnsi="Times New Roman" w:cs="Times New Roman"/>
                      <w:spacing w:val="-10"/>
                    </w:rPr>
                    <w:t>地下水保护措施</w:t>
                  </w:r>
                </w:p>
              </w:tc>
              <w:tc>
                <w:tcPr>
                  <w:tcW w:w="3130" w:type="dxa"/>
                </w:tcPr>
                <w:p w14:paraId="5BEBA40A">
                  <w:pPr>
                    <w:adjustRightInd w:val="0"/>
                    <w:snapToGrid w:val="0"/>
                    <w:rPr>
                      <w:rFonts w:ascii="Times New Roman" w:hAnsi="Times New Roman" w:cs="Times New Roman"/>
                      <w:spacing w:val="-10"/>
                    </w:rPr>
                  </w:pPr>
                  <w:r>
                    <w:rPr>
                      <w:rFonts w:ascii="Times New Roman" w:hAnsi="Times New Roman" w:cs="Times New Roman"/>
                      <w:spacing w:val="-10"/>
                    </w:rPr>
                    <w:t>罐区防渗措施</w:t>
                  </w:r>
                </w:p>
              </w:tc>
              <w:tc>
                <w:tcPr>
                  <w:tcW w:w="1984" w:type="dxa"/>
                </w:tcPr>
                <w:p w14:paraId="7A010585">
                  <w:pPr>
                    <w:adjustRightInd w:val="0"/>
                    <w:snapToGrid w:val="0"/>
                    <w:rPr>
                      <w:rFonts w:ascii="Times New Roman" w:hAnsi="Times New Roman" w:cs="Times New Roman"/>
                      <w:spacing w:val="-10"/>
                    </w:rPr>
                  </w:pPr>
                  <w:r>
                    <w:rPr>
                      <w:rFonts w:ascii="Times New Roman" w:hAnsi="Times New Roman" w:cs="Times New Roman"/>
                      <w:spacing w:val="-10"/>
                    </w:rPr>
                    <w:t>100</w:t>
                  </w:r>
                </w:p>
              </w:tc>
            </w:tr>
            <w:tr w14:paraId="7E623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 w:type="dxa"/>
                </w:tcPr>
                <w:p w14:paraId="20731CDC">
                  <w:pPr>
                    <w:adjustRightInd w:val="0"/>
                    <w:snapToGrid w:val="0"/>
                    <w:rPr>
                      <w:rFonts w:ascii="Times New Roman" w:hAnsi="Times New Roman" w:cs="Times New Roman"/>
                      <w:spacing w:val="-10"/>
                    </w:rPr>
                  </w:pPr>
                  <w:r>
                    <w:rPr>
                      <w:rFonts w:ascii="Times New Roman" w:hAnsi="Times New Roman" w:cs="Times New Roman"/>
                      <w:spacing w:val="-10"/>
                    </w:rPr>
                    <w:t>3</w:t>
                  </w:r>
                </w:p>
              </w:tc>
              <w:tc>
                <w:tcPr>
                  <w:tcW w:w="1843" w:type="dxa"/>
                </w:tcPr>
                <w:p w14:paraId="7B26D7EB">
                  <w:pPr>
                    <w:adjustRightInd w:val="0"/>
                    <w:snapToGrid w:val="0"/>
                    <w:rPr>
                      <w:rFonts w:ascii="Times New Roman" w:hAnsi="Times New Roman" w:cs="Times New Roman"/>
                      <w:spacing w:val="-10"/>
                    </w:rPr>
                  </w:pPr>
                  <w:r>
                    <w:rPr>
                      <w:rFonts w:ascii="Times New Roman" w:hAnsi="Times New Roman" w:cs="Times New Roman"/>
                      <w:spacing w:val="-10"/>
                    </w:rPr>
                    <w:t>环境管理</w:t>
                  </w:r>
                </w:p>
              </w:tc>
              <w:tc>
                <w:tcPr>
                  <w:tcW w:w="3130" w:type="dxa"/>
                </w:tcPr>
                <w:p w14:paraId="1C3654D3">
                  <w:pPr>
                    <w:adjustRightInd w:val="0"/>
                    <w:snapToGrid w:val="0"/>
                    <w:rPr>
                      <w:rFonts w:ascii="Times New Roman" w:hAnsi="Times New Roman" w:cs="Times New Roman"/>
                      <w:spacing w:val="-10"/>
                    </w:rPr>
                  </w:pPr>
                  <w:r>
                    <w:rPr>
                      <w:rFonts w:ascii="Times New Roman" w:hAnsi="Times New Roman" w:cs="Times New Roman"/>
                    </w:rPr>
                    <w:t>竣工环保验收、应急预案等</w:t>
                  </w:r>
                </w:p>
              </w:tc>
              <w:tc>
                <w:tcPr>
                  <w:tcW w:w="1984" w:type="dxa"/>
                </w:tcPr>
                <w:p w14:paraId="6B60DF44">
                  <w:pPr>
                    <w:adjustRightInd w:val="0"/>
                    <w:snapToGrid w:val="0"/>
                    <w:rPr>
                      <w:rFonts w:ascii="Times New Roman" w:hAnsi="Times New Roman" w:cs="Times New Roman"/>
                      <w:spacing w:val="-10"/>
                    </w:rPr>
                  </w:pPr>
                  <w:r>
                    <w:rPr>
                      <w:rFonts w:ascii="Times New Roman" w:hAnsi="Times New Roman" w:cs="Times New Roman"/>
                      <w:spacing w:val="-10"/>
                    </w:rPr>
                    <w:t>50</w:t>
                  </w:r>
                </w:p>
              </w:tc>
            </w:tr>
            <w:tr w14:paraId="09E52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2" w:type="dxa"/>
                  <w:gridSpan w:val="3"/>
                </w:tcPr>
                <w:p w14:paraId="5289ACF1">
                  <w:pPr>
                    <w:adjustRightInd w:val="0"/>
                    <w:snapToGrid w:val="0"/>
                    <w:rPr>
                      <w:rFonts w:ascii="Times New Roman" w:hAnsi="Times New Roman" w:cs="Times New Roman"/>
                      <w:spacing w:val="-10"/>
                    </w:rPr>
                  </w:pPr>
                  <w:r>
                    <w:rPr>
                      <w:rFonts w:ascii="Times New Roman" w:hAnsi="Times New Roman" w:cs="Times New Roman"/>
                      <w:spacing w:val="-10"/>
                    </w:rPr>
                    <w:t>合计</w:t>
                  </w:r>
                </w:p>
              </w:tc>
              <w:tc>
                <w:tcPr>
                  <w:tcW w:w="1984" w:type="dxa"/>
                </w:tcPr>
                <w:p w14:paraId="06BC891F">
                  <w:pPr>
                    <w:adjustRightInd w:val="0"/>
                    <w:snapToGrid w:val="0"/>
                    <w:rPr>
                      <w:rFonts w:ascii="Times New Roman" w:hAnsi="Times New Roman" w:cs="Times New Roman"/>
                      <w:spacing w:val="-10"/>
                    </w:rPr>
                  </w:pPr>
                  <w:r>
                    <w:rPr>
                      <w:rFonts w:ascii="Times New Roman" w:hAnsi="Times New Roman" w:cs="Times New Roman"/>
                      <w:spacing w:val="-10"/>
                    </w:rPr>
                    <w:t>173</w:t>
                  </w:r>
                </w:p>
              </w:tc>
            </w:tr>
          </w:tbl>
          <w:p w14:paraId="1F536697">
            <w:pPr>
              <w:adjustRightInd w:val="0"/>
              <w:snapToGrid w:val="0"/>
              <w:rPr>
                <w:rFonts w:ascii="Times New Roman" w:hAnsi="Times New Roman" w:cs="Times New Roman"/>
                <w:spacing w:val="-10"/>
              </w:rPr>
            </w:pPr>
          </w:p>
        </w:tc>
      </w:tr>
    </w:tbl>
    <w:p w14:paraId="7D3565C2">
      <w:pPr>
        <w:adjustRightInd w:val="0"/>
        <w:snapToGrid w:val="0"/>
        <w:spacing w:line="360" w:lineRule="auto"/>
        <w:rPr>
          <w:rFonts w:hint="eastAsia"/>
          <w:b/>
          <w:sz w:val="28"/>
          <w:szCs w:val="28"/>
        </w:rPr>
        <w:sectPr>
          <w:pgSz w:w="11907" w:h="16840"/>
          <w:pgMar w:top="1701" w:right="1531" w:bottom="2127" w:left="1531" w:header="851" w:footer="851" w:gutter="0"/>
          <w:cols w:space="720" w:num="1"/>
          <w:docGrid w:linePitch="312" w:charSpace="0"/>
        </w:sectPr>
      </w:pPr>
    </w:p>
    <w:p w14:paraId="048DC734">
      <w:pPr>
        <w:pStyle w:val="13"/>
        <w:jc w:val="center"/>
        <w:outlineLvl w:val="0"/>
        <w:rPr>
          <w:rFonts w:hint="eastAsia" w:ascii="黑体" w:hAnsi="黑体" w:eastAsia="黑体"/>
          <w:snapToGrid w:val="0"/>
          <w:sz w:val="30"/>
          <w:szCs w:val="30"/>
        </w:rPr>
      </w:pPr>
      <w:r>
        <w:rPr>
          <w:rFonts w:hint="eastAsia" w:ascii="黑体" w:hAnsi="黑体" w:eastAsia="黑体"/>
          <w:snapToGrid w:val="0"/>
          <w:sz w:val="30"/>
          <w:szCs w:val="30"/>
        </w:rPr>
        <w:t>五、</w:t>
      </w:r>
      <w:bookmarkStart w:id="19" w:name="_Hlk54167917"/>
      <w:r>
        <w:rPr>
          <w:rFonts w:hint="eastAsia" w:ascii="黑体" w:hAnsi="黑体" w:eastAsia="黑体"/>
          <w:snapToGrid w:val="0"/>
          <w:sz w:val="30"/>
          <w:szCs w:val="30"/>
        </w:rPr>
        <w:t>环境保护措施监督检查清单</w:t>
      </w:r>
      <w:bookmarkEnd w:id="19"/>
    </w:p>
    <w:tbl>
      <w:tblPr>
        <w:tblStyle w:val="1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755"/>
        <w:gridCol w:w="1755"/>
        <w:gridCol w:w="1755"/>
        <w:gridCol w:w="1757"/>
      </w:tblGrid>
      <w:tr w14:paraId="10F92F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tcBorders>
              <w:tl2br w:val="single" w:color="auto" w:sz="4" w:space="0"/>
            </w:tcBorders>
          </w:tcPr>
          <w:p w14:paraId="4E1FD5F4">
            <w:pPr>
              <w:adjustRightInd w:val="0"/>
              <w:snapToGrid w:val="0"/>
              <w:ind w:firstLine="840"/>
              <w:rPr>
                <w:rFonts w:hint="eastAsia"/>
                <w:szCs w:val="21"/>
              </w:rPr>
            </w:pPr>
            <w:r>
              <w:rPr>
                <w:szCs w:val="21"/>
              </w:rPr>
              <w:t>内容</w:t>
            </w:r>
          </w:p>
          <w:p w14:paraId="365FD718">
            <w:pPr>
              <w:adjustRightInd w:val="0"/>
              <w:snapToGrid w:val="0"/>
              <w:rPr>
                <w:rFonts w:hint="eastAsia"/>
                <w:szCs w:val="21"/>
              </w:rPr>
            </w:pPr>
            <w:r>
              <w:rPr>
                <w:szCs w:val="21"/>
              </w:rPr>
              <w:t>要素</w:t>
            </w:r>
          </w:p>
        </w:tc>
        <w:tc>
          <w:tcPr>
            <w:tcW w:w="1755" w:type="dxa"/>
            <w:vAlign w:val="center"/>
          </w:tcPr>
          <w:p w14:paraId="15CB8B50">
            <w:pPr>
              <w:adjustRightInd w:val="0"/>
              <w:snapToGrid w:val="0"/>
              <w:jc w:val="center"/>
              <w:rPr>
                <w:rFonts w:hint="eastAsia"/>
                <w:szCs w:val="21"/>
              </w:rPr>
            </w:pPr>
            <w:r>
              <w:rPr>
                <w:szCs w:val="21"/>
              </w:rPr>
              <w:t>排放口(编号、</w:t>
            </w:r>
          </w:p>
          <w:p w14:paraId="3CAC3C80">
            <w:pPr>
              <w:adjustRightInd w:val="0"/>
              <w:snapToGrid w:val="0"/>
              <w:jc w:val="center"/>
              <w:rPr>
                <w:rFonts w:hint="eastAsia"/>
                <w:szCs w:val="21"/>
              </w:rPr>
            </w:pPr>
            <w:r>
              <w:rPr>
                <w:szCs w:val="21"/>
              </w:rPr>
              <w:t>名称)/污染源</w:t>
            </w:r>
          </w:p>
        </w:tc>
        <w:tc>
          <w:tcPr>
            <w:tcW w:w="1755" w:type="dxa"/>
            <w:vAlign w:val="center"/>
          </w:tcPr>
          <w:p w14:paraId="3699DC6F">
            <w:pPr>
              <w:adjustRightInd w:val="0"/>
              <w:snapToGrid w:val="0"/>
              <w:jc w:val="center"/>
              <w:rPr>
                <w:rFonts w:hint="eastAsia"/>
                <w:szCs w:val="21"/>
              </w:rPr>
            </w:pPr>
            <w:r>
              <w:rPr>
                <w:szCs w:val="21"/>
              </w:rPr>
              <w:t>污染物项目</w:t>
            </w:r>
          </w:p>
        </w:tc>
        <w:tc>
          <w:tcPr>
            <w:tcW w:w="1755" w:type="dxa"/>
            <w:vAlign w:val="center"/>
          </w:tcPr>
          <w:p w14:paraId="47AA514F">
            <w:pPr>
              <w:adjustRightInd w:val="0"/>
              <w:snapToGrid w:val="0"/>
              <w:jc w:val="center"/>
              <w:rPr>
                <w:rFonts w:hint="eastAsia"/>
                <w:szCs w:val="21"/>
              </w:rPr>
            </w:pPr>
            <w:r>
              <w:rPr>
                <w:szCs w:val="21"/>
              </w:rPr>
              <w:t>环境保护措施</w:t>
            </w:r>
          </w:p>
        </w:tc>
        <w:tc>
          <w:tcPr>
            <w:tcW w:w="1757" w:type="dxa"/>
            <w:vAlign w:val="center"/>
          </w:tcPr>
          <w:p w14:paraId="6BFE2C5F">
            <w:pPr>
              <w:adjustRightInd w:val="0"/>
              <w:snapToGrid w:val="0"/>
              <w:jc w:val="center"/>
              <w:rPr>
                <w:rFonts w:hint="eastAsia"/>
                <w:szCs w:val="21"/>
              </w:rPr>
            </w:pPr>
            <w:r>
              <w:rPr>
                <w:szCs w:val="21"/>
              </w:rPr>
              <w:t>执行标准</w:t>
            </w:r>
          </w:p>
        </w:tc>
      </w:tr>
      <w:tr w14:paraId="0E05EE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50" w:hRule="atLeast"/>
          <w:jc w:val="center"/>
        </w:trPr>
        <w:tc>
          <w:tcPr>
            <w:tcW w:w="1778" w:type="dxa"/>
            <w:vMerge w:val="restart"/>
            <w:vAlign w:val="center"/>
          </w:tcPr>
          <w:p w14:paraId="42948694">
            <w:pPr>
              <w:adjustRightInd w:val="0"/>
              <w:snapToGrid w:val="0"/>
              <w:jc w:val="center"/>
              <w:rPr>
                <w:rFonts w:hint="eastAsia"/>
                <w:szCs w:val="21"/>
              </w:rPr>
            </w:pPr>
            <w:r>
              <w:rPr>
                <w:szCs w:val="21"/>
              </w:rPr>
              <w:t>大气环境</w:t>
            </w:r>
          </w:p>
        </w:tc>
        <w:tc>
          <w:tcPr>
            <w:tcW w:w="1755" w:type="dxa"/>
            <w:vAlign w:val="center"/>
          </w:tcPr>
          <w:p w14:paraId="56FBA771">
            <w:pPr>
              <w:adjustRightInd w:val="0"/>
              <w:snapToGrid w:val="0"/>
              <w:jc w:val="center"/>
              <w:rPr>
                <w:rFonts w:hint="eastAsia"/>
                <w:szCs w:val="21"/>
              </w:rPr>
            </w:pPr>
            <w:r>
              <w:rPr>
                <w:rFonts w:hint="eastAsia"/>
                <w:szCs w:val="21"/>
              </w:rPr>
              <w:t>有组织废气</w:t>
            </w:r>
          </w:p>
        </w:tc>
        <w:tc>
          <w:tcPr>
            <w:tcW w:w="1755" w:type="dxa"/>
            <w:vMerge w:val="restart"/>
            <w:vAlign w:val="center"/>
          </w:tcPr>
          <w:p w14:paraId="0F53856D">
            <w:pPr>
              <w:adjustRightInd w:val="0"/>
              <w:snapToGrid w:val="0"/>
              <w:jc w:val="center"/>
              <w:rPr>
                <w:rFonts w:hint="eastAsia"/>
                <w:szCs w:val="21"/>
              </w:rPr>
            </w:pPr>
            <w:r>
              <w:rPr>
                <w:szCs w:val="21"/>
              </w:rPr>
              <w:t>非甲烷总烃</w:t>
            </w:r>
            <w:r>
              <w:rPr>
                <w:rFonts w:hint="eastAsia"/>
                <w:szCs w:val="21"/>
              </w:rPr>
              <w:t>、苯、甲苯、二甲苯</w:t>
            </w:r>
          </w:p>
        </w:tc>
        <w:tc>
          <w:tcPr>
            <w:tcW w:w="1755" w:type="dxa"/>
            <w:vAlign w:val="center"/>
          </w:tcPr>
          <w:p w14:paraId="38A27DEB">
            <w:pPr>
              <w:adjustRightInd w:val="0"/>
              <w:snapToGrid w:val="0"/>
              <w:jc w:val="center"/>
              <w:rPr>
                <w:rFonts w:hint="eastAsia"/>
                <w:szCs w:val="21"/>
              </w:rPr>
            </w:pPr>
            <w:r>
              <w:rPr>
                <w:szCs w:val="21"/>
              </w:rPr>
              <w:t>采用</w:t>
            </w:r>
            <w:r>
              <w:rPr>
                <w:rFonts w:hint="eastAsia"/>
                <w:szCs w:val="21"/>
              </w:rPr>
              <w:t>底部</w:t>
            </w:r>
            <w:r>
              <w:rPr>
                <w:szCs w:val="21"/>
              </w:rPr>
              <w:t>装卸系统，收集废气采用油气回收系统（冷凝+活性炭吸附）处理措施，处理后废气经1根15m高排气筒排放。</w:t>
            </w:r>
          </w:p>
          <w:p w14:paraId="1232653E">
            <w:pPr>
              <w:adjustRightInd w:val="0"/>
              <w:snapToGrid w:val="0"/>
              <w:jc w:val="center"/>
              <w:rPr>
                <w:rFonts w:hint="eastAsia"/>
                <w:szCs w:val="21"/>
              </w:rPr>
            </w:pPr>
            <w:r>
              <w:rPr>
                <w:szCs w:val="21"/>
              </w:rPr>
              <w:t>储罐均为内浮顶罐，均采取氮封措施，收集废气采用油气回收系统（冷凝+活性炭吸附）处理措施，处理后废气经1根15m高排气筒排放。</w:t>
            </w:r>
          </w:p>
        </w:tc>
        <w:tc>
          <w:tcPr>
            <w:tcW w:w="1757" w:type="dxa"/>
            <w:vAlign w:val="center"/>
          </w:tcPr>
          <w:p w14:paraId="3262A94E">
            <w:pPr>
              <w:adjustRightInd w:val="0"/>
              <w:snapToGrid w:val="0"/>
              <w:jc w:val="center"/>
              <w:rPr>
                <w:rFonts w:hint="eastAsia"/>
                <w:szCs w:val="21"/>
              </w:rPr>
            </w:pPr>
            <w:r>
              <w:rPr>
                <w:szCs w:val="21"/>
              </w:rPr>
              <w:t>油气回收装置废气污染物排放执行《石油化学工业污染物排放标准（含2024 年修改单）》（GB31571-2015）表5、表6标准限值。非甲烷总烃排放浓度需满足《重污染天气重点行业应急减排措施制定技术指南（2020年修订版）》炼油与石油化工行业A级企业相关控制要求。</w:t>
            </w:r>
          </w:p>
        </w:tc>
      </w:tr>
      <w:tr w14:paraId="0719BB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vAlign w:val="center"/>
          </w:tcPr>
          <w:p w14:paraId="7D317AA8">
            <w:pPr>
              <w:adjustRightInd w:val="0"/>
              <w:snapToGrid w:val="0"/>
              <w:jc w:val="center"/>
              <w:rPr>
                <w:rFonts w:hint="eastAsia"/>
                <w:szCs w:val="21"/>
              </w:rPr>
            </w:pPr>
          </w:p>
        </w:tc>
        <w:tc>
          <w:tcPr>
            <w:tcW w:w="1755" w:type="dxa"/>
            <w:vAlign w:val="center"/>
          </w:tcPr>
          <w:p w14:paraId="6E3B7D6F">
            <w:pPr>
              <w:adjustRightInd w:val="0"/>
              <w:snapToGrid w:val="0"/>
              <w:jc w:val="center"/>
              <w:rPr>
                <w:rFonts w:hint="eastAsia"/>
                <w:szCs w:val="21"/>
              </w:rPr>
            </w:pPr>
            <w:r>
              <w:rPr>
                <w:rFonts w:hint="eastAsia"/>
                <w:szCs w:val="21"/>
              </w:rPr>
              <w:t>无组织废气</w:t>
            </w:r>
          </w:p>
        </w:tc>
        <w:tc>
          <w:tcPr>
            <w:tcW w:w="1755" w:type="dxa"/>
            <w:vMerge w:val="continue"/>
            <w:vAlign w:val="center"/>
          </w:tcPr>
          <w:p w14:paraId="7B47F5A5">
            <w:pPr>
              <w:adjustRightInd w:val="0"/>
              <w:snapToGrid w:val="0"/>
              <w:jc w:val="center"/>
              <w:rPr>
                <w:rFonts w:hint="eastAsia"/>
                <w:szCs w:val="21"/>
              </w:rPr>
            </w:pPr>
          </w:p>
        </w:tc>
        <w:tc>
          <w:tcPr>
            <w:tcW w:w="1755" w:type="dxa"/>
            <w:vAlign w:val="center"/>
          </w:tcPr>
          <w:p w14:paraId="12A7B18E">
            <w:pPr>
              <w:adjustRightInd w:val="0"/>
              <w:snapToGrid w:val="0"/>
              <w:jc w:val="center"/>
              <w:rPr>
                <w:rFonts w:hint="eastAsia"/>
                <w:szCs w:val="21"/>
              </w:rPr>
            </w:pPr>
            <w:r>
              <w:rPr>
                <w:szCs w:val="21"/>
              </w:rPr>
              <w:t>采用技术质量可靠的设备、仪表控制、阀门等，烃类机泵采用无泄漏屏蔽泵。采用密闭集输流程，对各设备、阀门、法兰、泵、连接件等进行定期的检查、检修；定期开展泄漏检测和修复工作。</w:t>
            </w:r>
          </w:p>
        </w:tc>
        <w:tc>
          <w:tcPr>
            <w:tcW w:w="1757" w:type="dxa"/>
            <w:vAlign w:val="center"/>
          </w:tcPr>
          <w:p w14:paraId="46535CBE">
            <w:pPr>
              <w:adjustRightInd w:val="0"/>
              <w:snapToGrid w:val="0"/>
              <w:jc w:val="center"/>
              <w:rPr>
                <w:rFonts w:hint="eastAsia"/>
                <w:szCs w:val="21"/>
              </w:rPr>
            </w:pPr>
            <w:r>
              <w:rPr>
                <w:szCs w:val="21"/>
              </w:rPr>
              <w:t>项目厂界无组织排放污染物参照执行《石油化学工业污染物排放标准（含2024 年修改单）》（GB31571-2015）中表7 相关标准限值。厂内非甲烷总烃排放浓度满足《挥发性有机物无组织排放控制标准》（GB37822-2019）中表A.1 厂区内VOCs 无组织排放限值中特别排放限值的要求。</w:t>
            </w:r>
          </w:p>
        </w:tc>
      </w:tr>
      <w:tr w14:paraId="1B8A92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1778" w:type="dxa"/>
            <w:vAlign w:val="center"/>
          </w:tcPr>
          <w:p w14:paraId="01461B43">
            <w:pPr>
              <w:adjustRightInd w:val="0"/>
              <w:snapToGrid w:val="0"/>
              <w:jc w:val="center"/>
              <w:rPr>
                <w:rFonts w:hint="eastAsia"/>
                <w:szCs w:val="21"/>
              </w:rPr>
            </w:pPr>
            <w:r>
              <w:rPr>
                <w:szCs w:val="21"/>
              </w:rPr>
              <w:t>地表水环境</w:t>
            </w:r>
          </w:p>
        </w:tc>
        <w:tc>
          <w:tcPr>
            <w:tcW w:w="1755" w:type="dxa"/>
            <w:vAlign w:val="center"/>
          </w:tcPr>
          <w:p w14:paraId="79909BDF">
            <w:pPr>
              <w:adjustRightInd w:val="0"/>
              <w:snapToGrid w:val="0"/>
              <w:jc w:val="center"/>
              <w:rPr>
                <w:rFonts w:hint="eastAsia"/>
                <w:szCs w:val="21"/>
              </w:rPr>
            </w:pPr>
            <w:r>
              <w:rPr>
                <w:rFonts w:hint="eastAsia"/>
                <w:szCs w:val="21"/>
              </w:rPr>
              <w:t>生产废水</w:t>
            </w:r>
          </w:p>
        </w:tc>
        <w:tc>
          <w:tcPr>
            <w:tcW w:w="1755" w:type="dxa"/>
            <w:vAlign w:val="center"/>
          </w:tcPr>
          <w:p w14:paraId="3BB8C59B">
            <w:pPr>
              <w:adjustRightInd w:val="0"/>
              <w:snapToGrid w:val="0"/>
              <w:jc w:val="center"/>
              <w:rPr>
                <w:rFonts w:hint="eastAsia"/>
                <w:szCs w:val="21"/>
              </w:rPr>
            </w:pPr>
            <w:r>
              <w:rPr>
                <w:rFonts w:hint="eastAsia"/>
              </w:rPr>
              <w:t>悬浮物、化学需氧量、五日生化需氧量、氨氮、石油类、苯、甲苯、二甲苯等</w:t>
            </w:r>
          </w:p>
        </w:tc>
        <w:tc>
          <w:tcPr>
            <w:tcW w:w="1755" w:type="dxa"/>
            <w:vAlign w:val="center"/>
          </w:tcPr>
          <w:p w14:paraId="3A81999C">
            <w:pPr>
              <w:adjustRightInd w:val="0"/>
              <w:snapToGrid w:val="0"/>
              <w:jc w:val="center"/>
              <w:rPr>
                <w:rFonts w:hint="eastAsia"/>
                <w:szCs w:val="21"/>
              </w:rPr>
            </w:pPr>
            <w:r>
              <w:rPr>
                <w:rFonts w:hint="eastAsia"/>
              </w:rPr>
              <w:t>经厂内污水处理站处理后，排入园区污水处理厂</w:t>
            </w:r>
          </w:p>
        </w:tc>
        <w:tc>
          <w:tcPr>
            <w:tcW w:w="1757" w:type="dxa"/>
            <w:vAlign w:val="center"/>
          </w:tcPr>
          <w:p w14:paraId="18EEC865">
            <w:pPr>
              <w:adjustRightInd w:val="0"/>
              <w:snapToGrid w:val="0"/>
              <w:jc w:val="center"/>
              <w:rPr>
                <w:rFonts w:hint="eastAsia"/>
                <w:szCs w:val="21"/>
              </w:rPr>
            </w:pPr>
            <w:r>
              <w:rPr>
                <w:rFonts w:hint="eastAsia"/>
              </w:rPr>
              <w:t>《石油化学工业污染物排放标准》（</w:t>
            </w:r>
            <w:r>
              <w:t>GB31571-2015</w:t>
            </w:r>
            <w:r>
              <w:rPr>
                <w:rFonts w:hint="eastAsia"/>
              </w:rPr>
              <w:t>，含</w:t>
            </w:r>
            <w:r>
              <w:t>2024</w:t>
            </w:r>
            <w:r>
              <w:rPr>
                <w:rFonts w:hint="eastAsia"/>
              </w:rPr>
              <w:t>年修改单）表</w:t>
            </w:r>
            <w:r>
              <w:t>1</w:t>
            </w:r>
            <w:r>
              <w:rPr>
                <w:rFonts w:hint="eastAsia"/>
              </w:rPr>
              <w:t>间接排放限值，未作规定的污染物执行《污水综合排放标准》（</w:t>
            </w:r>
            <w:r>
              <w:t>8978-1996</w:t>
            </w:r>
            <w:r>
              <w:rPr>
                <w:rFonts w:hint="eastAsia"/>
              </w:rPr>
              <w:t>）表</w:t>
            </w:r>
            <w:r>
              <w:t>4</w:t>
            </w:r>
            <w:r>
              <w:rPr>
                <w:rFonts w:hint="eastAsia"/>
              </w:rPr>
              <w:t>三级标准</w:t>
            </w:r>
          </w:p>
        </w:tc>
      </w:tr>
      <w:tr w14:paraId="0F6A61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1778" w:type="dxa"/>
            <w:vAlign w:val="center"/>
          </w:tcPr>
          <w:p w14:paraId="1425683C">
            <w:pPr>
              <w:adjustRightInd w:val="0"/>
              <w:snapToGrid w:val="0"/>
              <w:jc w:val="center"/>
              <w:rPr>
                <w:rFonts w:hint="eastAsia"/>
                <w:szCs w:val="21"/>
              </w:rPr>
            </w:pPr>
            <w:r>
              <w:rPr>
                <w:szCs w:val="21"/>
              </w:rPr>
              <w:t>声环境</w:t>
            </w:r>
          </w:p>
        </w:tc>
        <w:tc>
          <w:tcPr>
            <w:tcW w:w="1755" w:type="dxa"/>
            <w:vAlign w:val="center"/>
          </w:tcPr>
          <w:p w14:paraId="7A1C6EEE">
            <w:pPr>
              <w:adjustRightInd w:val="0"/>
              <w:snapToGrid w:val="0"/>
              <w:jc w:val="center"/>
              <w:rPr>
                <w:rFonts w:hint="eastAsia"/>
                <w:szCs w:val="21"/>
              </w:rPr>
            </w:pPr>
            <w:r>
              <w:rPr>
                <w:szCs w:val="21"/>
              </w:rPr>
              <w:t>生产设备噪声</w:t>
            </w:r>
          </w:p>
        </w:tc>
        <w:tc>
          <w:tcPr>
            <w:tcW w:w="1755" w:type="dxa"/>
            <w:vAlign w:val="center"/>
          </w:tcPr>
          <w:p w14:paraId="2FD895F3">
            <w:pPr>
              <w:adjustRightInd w:val="0"/>
              <w:snapToGrid w:val="0"/>
              <w:jc w:val="center"/>
              <w:rPr>
                <w:rFonts w:hint="eastAsia"/>
                <w:szCs w:val="21"/>
              </w:rPr>
            </w:pPr>
            <w:r>
              <w:rPr>
                <w:szCs w:val="21"/>
              </w:rPr>
              <w:t>等效A声级</w:t>
            </w:r>
          </w:p>
        </w:tc>
        <w:tc>
          <w:tcPr>
            <w:tcW w:w="1755" w:type="dxa"/>
            <w:vAlign w:val="center"/>
          </w:tcPr>
          <w:p w14:paraId="22FD5DED">
            <w:pPr>
              <w:adjustRightInd w:val="0"/>
              <w:snapToGrid w:val="0"/>
              <w:jc w:val="center"/>
              <w:rPr>
                <w:rFonts w:hint="eastAsia"/>
                <w:szCs w:val="21"/>
              </w:rPr>
            </w:pPr>
            <w:r>
              <w:rPr>
                <w:szCs w:val="21"/>
              </w:rPr>
              <w:t>选用高效低噪声设备、安装减振底座等。</w:t>
            </w:r>
          </w:p>
        </w:tc>
        <w:tc>
          <w:tcPr>
            <w:tcW w:w="1757" w:type="dxa"/>
            <w:vAlign w:val="center"/>
          </w:tcPr>
          <w:p w14:paraId="6D090DFC">
            <w:pPr>
              <w:adjustRightInd w:val="0"/>
              <w:snapToGrid w:val="0"/>
              <w:jc w:val="center"/>
              <w:rPr>
                <w:rFonts w:hint="eastAsia"/>
                <w:szCs w:val="21"/>
              </w:rPr>
            </w:pPr>
            <w:r>
              <w:rPr>
                <w:szCs w:val="21"/>
              </w:rPr>
              <w:t>《工业企业厂界环境噪声排放标准》（GB12348-2008）中的3类标准。</w:t>
            </w:r>
          </w:p>
        </w:tc>
      </w:tr>
      <w:tr w14:paraId="0C921A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1778" w:type="dxa"/>
            <w:vAlign w:val="center"/>
          </w:tcPr>
          <w:p w14:paraId="5475876A">
            <w:pPr>
              <w:adjustRightInd w:val="0"/>
              <w:snapToGrid w:val="0"/>
              <w:jc w:val="center"/>
              <w:rPr>
                <w:rFonts w:hint="eastAsia"/>
                <w:szCs w:val="21"/>
              </w:rPr>
            </w:pPr>
            <w:r>
              <w:rPr>
                <w:szCs w:val="21"/>
              </w:rPr>
              <w:t>电磁辐射</w:t>
            </w:r>
          </w:p>
        </w:tc>
        <w:tc>
          <w:tcPr>
            <w:tcW w:w="7022" w:type="dxa"/>
            <w:gridSpan w:val="4"/>
            <w:vAlign w:val="center"/>
          </w:tcPr>
          <w:p w14:paraId="0A3ACB33">
            <w:pPr>
              <w:adjustRightInd w:val="0"/>
              <w:snapToGrid w:val="0"/>
              <w:jc w:val="center"/>
              <w:rPr>
                <w:rFonts w:hint="eastAsia"/>
                <w:szCs w:val="21"/>
              </w:rPr>
            </w:pPr>
            <w:r>
              <w:rPr>
                <w:szCs w:val="21"/>
              </w:rPr>
              <w:t>无</w:t>
            </w:r>
          </w:p>
        </w:tc>
      </w:tr>
      <w:tr w14:paraId="2FD9E9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vAlign w:val="center"/>
          </w:tcPr>
          <w:p w14:paraId="6931CBB3">
            <w:pPr>
              <w:adjustRightInd w:val="0"/>
              <w:snapToGrid w:val="0"/>
              <w:jc w:val="center"/>
              <w:rPr>
                <w:rFonts w:hint="eastAsia"/>
                <w:szCs w:val="21"/>
              </w:rPr>
            </w:pPr>
            <w:r>
              <w:rPr>
                <w:szCs w:val="21"/>
              </w:rPr>
              <w:t>固体废物</w:t>
            </w:r>
          </w:p>
        </w:tc>
        <w:tc>
          <w:tcPr>
            <w:tcW w:w="7022" w:type="dxa"/>
            <w:gridSpan w:val="4"/>
            <w:vAlign w:val="center"/>
          </w:tcPr>
          <w:p w14:paraId="366084F8">
            <w:pPr>
              <w:adjustRightInd w:val="0"/>
              <w:snapToGrid w:val="0"/>
              <w:jc w:val="center"/>
              <w:rPr>
                <w:rFonts w:hint="eastAsia"/>
                <w:szCs w:val="21"/>
              </w:rPr>
            </w:pPr>
            <w:r>
              <w:rPr>
                <w:rFonts w:hint="eastAsia"/>
                <w:szCs w:val="21"/>
              </w:rPr>
              <w:t>本项目产生的固体废物主要为</w:t>
            </w:r>
            <w:r>
              <w:rPr>
                <w:szCs w:val="21"/>
              </w:rPr>
              <w:t>废活性炭、废检测管、废吸管、废试剂瓶、清罐油泥</w:t>
            </w:r>
            <w:r>
              <w:rPr>
                <w:rFonts w:hint="eastAsia"/>
                <w:szCs w:val="21"/>
              </w:rPr>
              <w:t>，</w:t>
            </w:r>
            <w:r>
              <w:rPr>
                <w:szCs w:val="21"/>
              </w:rPr>
              <w:t>暂存危废贮存库，定期委托有资质的单位处理</w:t>
            </w:r>
            <w:r>
              <w:rPr>
                <w:rFonts w:hint="eastAsia"/>
                <w:szCs w:val="21"/>
              </w:rPr>
              <w:t>。</w:t>
            </w:r>
          </w:p>
        </w:tc>
      </w:tr>
      <w:tr w14:paraId="708C67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vAlign w:val="center"/>
          </w:tcPr>
          <w:p w14:paraId="55F2B58D">
            <w:pPr>
              <w:adjustRightInd w:val="0"/>
              <w:snapToGrid w:val="0"/>
              <w:jc w:val="center"/>
              <w:rPr>
                <w:rFonts w:hint="eastAsia"/>
                <w:szCs w:val="21"/>
              </w:rPr>
            </w:pPr>
            <w:r>
              <w:rPr>
                <w:szCs w:val="21"/>
              </w:rPr>
              <w:t>土壤及地下水</w:t>
            </w:r>
          </w:p>
          <w:p w14:paraId="5B2BBADD">
            <w:pPr>
              <w:adjustRightInd w:val="0"/>
              <w:snapToGrid w:val="0"/>
              <w:jc w:val="center"/>
              <w:rPr>
                <w:rFonts w:hint="eastAsia"/>
                <w:szCs w:val="21"/>
              </w:rPr>
            </w:pPr>
            <w:r>
              <w:rPr>
                <w:szCs w:val="21"/>
              </w:rPr>
              <w:t>污染防治措施</w:t>
            </w:r>
          </w:p>
        </w:tc>
        <w:tc>
          <w:tcPr>
            <w:tcW w:w="7022" w:type="dxa"/>
            <w:gridSpan w:val="4"/>
            <w:vAlign w:val="center"/>
          </w:tcPr>
          <w:p w14:paraId="37AC858E">
            <w:pPr>
              <w:adjustRightInd w:val="0"/>
              <w:snapToGrid w:val="0"/>
              <w:jc w:val="center"/>
              <w:rPr>
                <w:rFonts w:hint="eastAsia"/>
                <w:szCs w:val="21"/>
              </w:rPr>
            </w:pPr>
            <w:r>
              <w:rPr>
                <w:szCs w:val="21"/>
              </w:rPr>
              <w:t>厂区进行分区防渗，储罐区、装卸区进行重点防渗。</w:t>
            </w:r>
          </w:p>
        </w:tc>
      </w:tr>
      <w:tr w14:paraId="3F70A1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vAlign w:val="center"/>
          </w:tcPr>
          <w:p w14:paraId="555F64AB">
            <w:pPr>
              <w:adjustRightInd w:val="0"/>
              <w:snapToGrid w:val="0"/>
              <w:jc w:val="center"/>
              <w:rPr>
                <w:rFonts w:hint="eastAsia"/>
                <w:szCs w:val="21"/>
              </w:rPr>
            </w:pPr>
            <w:r>
              <w:rPr>
                <w:szCs w:val="21"/>
              </w:rPr>
              <w:t>生态保护措施</w:t>
            </w:r>
          </w:p>
        </w:tc>
        <w:tc>
          <w:tcPr>
            <w:tcW w:w="7022" w:type="dxa"/>
            <w:gridSpan w:val="4"/>
            <w:vAlign w:val="center"/>
          </w:tcPr>
          <w:p w14:paraId="47A5D1DB">
            <w:pPr>
              <w:adjustRightInd w:val="0"/>
              <w:snapToGrid w:val="0"/>
              <w:jc w:val="center"/>
              <w:rPr>
                <w:rFonts w:hint="eastAsia"/>
                <w:szCs w:val="21"/>
              </w:rPr>
            </w:pPr>
            <w:r>
              <w:rPr>
                <w:szCs w:val="21"/>
              </w:rPr>
              <w:t>项目占地为规划的工业用地，严格控制施工范围，做好施工期生态保护措施，不会对区域生态环境造成影响。</w:t>
            </w:r>
          </w:p>
        </w:tc>
      </w:tr>
      <w:tr w14:paraId="1D15E0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vAlign w:val="center"/>
          </w:tcPr>
          <w:p w14:paraId="5EE96356">
            <w:pPr>
              <w:adjustRightInd w:val="0"/>
              <w:snapToGrid w:val="0"/>
              <w:jc w:val="center"/>
              <w:rPr>
                <w:rFonts w:hint="eastAsia"/>
                <w:spacing w:val="-8"/>
                <w:szCs w:val="21"/>
              </w:rPr>
            </w:pPr>
            <w:r>
              <w:rPr>
                <w:spacing w:val="-8"/>
                <w:szCs w:val="21"/>
              </w:rPr>
              <w:t>环境风险</w:t>
            </w:r>
          </w:p>
          <w:p w14:paraId="3A94BBF3">
            <w:pPr>
              <w:adjustRightInd w:val="0"/>
              <w:snapToGrid w:val="0"/>
              <w:jc w:val="center"/>
              <w:rPr>
                <w:rFonts w:hint="eastAsia"/>
                <w:spacing w:val="-8"/>
                <w:szCs w:val="21"/>
              </w:rPr>
            </w:pPr>
            <w:r>
              <w:rPr>
                <w:spacing w:val="-8"/>
                <w:szCs w:val="21"/>
              </w:rPr>
              <w:t>防范措施</w:t>
            </w:r>
          </w:p>
        </w:tc>
        <w:tc>
          <w:tcPr>
            <w:tcW w:w="7022" w:type="dxa"/>
            <w:gridSpan w:val="4"/>
            <w:vAlign w:val="center"/>
          </w:tcPr>
          <w:p w14:paraId="571C3BE2">
            <w:pPr>
              <w:adjustRightInd w:val="0"/>
              <w:snapToGrid w:val="0"/>
              <w:jc w:val="center"/>
              <w:rPr>
                <w:rFonts w:hint="eastAsia"/>
                <w:szCs w:val="21"/>
              </w:rPr>
            </w:pPr>
            <w:r>
              <w:rPr>
                <w:szCs w:val="21"/>
              </w:rPr>
              <w:t>1、厂区总平面布置符合防范事故要求，</w:t>
            </w:r>
            <w:r>
              <w:rPr>
                <w:rFonts w:hint="eastAsia"/>
                <w:szCs w:val="21"/>
              </w:rPr>
              <w:t>依托一期</w:t>
            </w:r>
            <w:r>
              <w:rPr>
                <w:szCs w:val="21"/>
              </w:rPr>
              <w:t>有效容积为6600m</w:t>
            </w:r>
            <w:r>
              <w:rPr>
                <w:szCs w:val="21"/>
                <w:vertAlign w:val="superscript"/>
              </w:rPr>
              <w:t>3</w:t>
            </w:r>
            <w:r>
              <w:rPr>
                <w:szCs w:val="21"/>
              </w:rPr>
              <w:t>的事故水池，满足事故风险应急要求；</w:t>
            </w:r>
          </w:p>
          <w:p w14:paraId="34E7BA09">
            <w:pPr>
              <w:adjustRightInd w:val="0"/>
              <w:snapToGrid w:val="0"/>
              <w:jc w:val="center"/>
              <w:rPr>
                <w:rFonts w:hint="eastAsia"/>
                <w:szCs w:val="21"/>
              </w:rPr>
            </w:pPr>
            <w:r>
              <w:rPr>
                <w:szCs w:val="21"/>
              </w:rPr>
              <w:t>2、制定严格的生产操作规程，加强作业工人的安全教育，杜绝因工作失误造成的事故；</w:t>
            </w:r>
          </w:p>
          <w:p w14:paraId="1870C3DC">
            <w:pPr>
              <w:adjustRightInd w:val="0"/>
              <w:snapToGrid w:val="0"/>
              <w:jc w:val="center"/>
              <w:rPr>
                <w:rFonts w:hint="eastAsia"/>
                <w:szCs w:val="21"/>
              </w:rPr>
            </w:pPr>
            <w:r>
              <w:rPr>
                <w:rFonts w:hint="eastAsia"/>
                <w:szCs w:val="21"/>
              </w:rPr>
              <w:t>3、</w:t>
            </w:r>
            <w:r>
              <w:rPr>
                <w:szCs w:val="21"/>
              </w:rPr>
              <w:t>厂区进行分区防渗，储罐区、装卸区进行重点防渗</w:t>
            </w:r>
            <w:r>
              <w:rPr>
                <w:rFonts w:hint="eastAsia"/>
                <w:szCs w:val="21"/>
              </w:rPr>
              <w:t>；</w:t>
            </w:r>
          </w:p>
          <w:p w14:paraId="76FB2DB8">
            <w:pPr>
              <w:adjustRightInd w:val="0"/>
              <w:snapToGrid w:val="0"/>
              <w:jc w:val="center"/>
              <w:rPr>
                <w:rFonts w:hint="eastAsia"/>
                <w:szCs w:val="21"/>
              </w:rPr>
            </w:pPr>
            <w:r>
              <w:rPr>
                <w:rFonts w:hint="eastAsia"/>
                <w:szCs w:val="21"/>
              </w:rPr>
              <w:t>4</w:t>
            </w:r>
            <w:r>
              <w:rPr>
                <w:szCs w:val="21"/>
              </w:rPr>
              <w:t>、按规范要求更新完善企业突发环境事件应急预案，并按要求落实及备案，定期演练。</w:t>
            </w:r>
          </w:p>
        </w:tc>
      </w:tr>
      <w:tr w14:paraId="03B3DE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778" w:type="dxa"/>
            <w:vAlign w:val="center"/>
          </w:tcPr>
          <w:p w14:paraId="6B610D73">
            <w:pPr>
              <w:adjustRightInd w:val="0"/>
              <w:snapToGrid w:val="0"/>
              <w:jc w:val="center"/>
              <w:rPr>
                <w:rFonts w:hint="eastAsia"/>
                <w:spacing w:val="-8"/>
                <w:szCs w:val="21"/>
              </w:rPr>
            </w:pPr>
            <w:r>
              <w:rPr>
                <w:spacing w:val="-8"/>
                <w:szCs w:val="21"/>
              </w:rPr>
              <w:t>其他环境</w:t>
            </w:r>
          </w:p>
          <w:p w14:paraId="054DDC55">
            <w:pPr>
              <w:adjustRightInd w:val="0"/>
              <w:snapToGrid w:val="0"/>
              <w:jc w:val="center"/>
              <w:rPr>
                <w:rFonts w:hint="eastAsia"/>
                <w:spacing w:val="-8"/>
                <w:szCs w:val="21"/>
              </w:rPr>
            </w:pPr>
            <w:r>
              <w:rPr>
                <w:spacing w:val="-8"/>
                <w:szCs w:val="21"/>
              </w:rPr>
              <w:t>管理要求</w:t>
            </w:r>
          </w:p>
        </w:tc>
        <w:tc>
          <w:tcPr>
            <w:tcW w:w="7022" w:type="dxa"/>
            <w:gridSpan w:val="4"/>
            <w:vAlign w:val="center"/>
          </w:tcPr>
          <w:p w14:paraId="170A5D8E">
            <w:pPr>
              <w:adjustRightInd w:val="0"/>
              <w:snapToGrid w:val="0"/>
              <w:rPr>
                <w:rFonts w:hint="eastAsia"/>
                <w:szCs w:val="21"/>
              </w:rPr>
            </w:pPr>
            <w:r>
              <w:rPr>
                <w:szCs w:val="21"/>
              </w:rPr>
              <w:t>监控相关污染物，满足日常监测需要、排污口规范化。</w:t>
            </w:r>
          </w:p>
        </w:tc>
      </w:tr>
    </w:tbl>
    <w:p w14:paraId="2671DD93">
      <w:pPr>
        <w:pStyle w:val="13"/>
        <w:jc w:val="center"/>
        <w:outlineLvl w:val="0"/>
        <w:rPr>
          <w:rFonts w:hint="eastAsia" w:ascii="黑体" w:hAnsi="黑体" w:eastAsia="黑体"/>
          <w:snapToGrid w:val="0"/>
          <w:sz w:val="30"/>
          <w:szCs w:val="30"/>
        </w:rPr>
      </w:pPr>
      <w:r>
        <w:rPr>
          <w:snapToGrid w:val="0"/>
        </w:rPr>
        <w:br w:type="page"/>
      </w:r>
      <w:r>
        <w:rPr>
          <w:rFonts w:hint="eastAsia" w:ascii="黑体" w:hAnsi="黑体" w:eastAsia="黑体"/>
          <w:snapToGrid w:val="0"/>
          <w:sz w:val="30"/>
          <w:szCs w:val="30"/>
        </w:rPr>
        <w:t>六、结论</w:t>
      </w:r>
    </w:p>
    <w:tbl>
      <w:tblPr>
        <w:tblStyle w:val="1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45DFC7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1991" w:hRule="atLeast"/>
          <w:jc w:val="center"/>
        </w:trPr>
        <w:tc>
          <w:tcPr>
            <w:tcW w:w="8865" w:type="dxa"/>
            <w:vAlign w:val="center"/>
          </w:tcPr>
          <w:p w14:paraId="794E249E">
            <w:pPr>
              <w:spacing w:line="360" w:lineRule="auto"/>
              <w:ind w:firstLine="480" w:firstLineChars="200"/>
              <w:rPr>
                <w:rFonts w:hint="eastAsia"/>
              </w:rPr>
            </w:pPr>
            <w:r>
              <w:t>本项目选址符合所在区</w:t>
            </w:r>
            <w:r>
              <w:rPr>
                <w:rFonts w:hint="eastAsia"/>
              </w:rPr>
              <w:t>域</w:t>
            </w:r>
            <w:r>
              <w:t>生态保护红线、资源利用上线、环境质量底线和负面清单的要求；建设单位在生产经营过程中只要保证遵守相关环保法律法规，落实“三同时制度”，保证有效地实施相应环境保护措施，妥善处理处置废气、噪声、固体废物等污染物的前提下，从环境保护角度分析，本项目建设是可行的。</w:t>
            </w:r>
          </w:p>
        </w:tc>
      </w:tr>
    </w:tbl>
    <w:p w14:paraId="350477D4">
      <w:pPr>
        <w:rPr>
          <w:rFonts w:hint="eastAsia"/>
        </w:rPr>
        <w:sectPr>
          <w:pgSz w:w="11906" w:h="16838"/>
          <w:pgMar w:top="1701" w:right="1531" w:bottom="1701" w:left="1531" w:header="851" w:footer="851" w:gutter="0"/>
          <w:cols w:space="720" w:num="1"/>
          <w:docGrid w:linePitch="312" w:charSpace="0"/>
        </w:sectPr>
      </w:pPr>
    </w:p>
    <w:p w14:paraId="0775DF7A">
      <w:pPr>
        <w:pStyle w:val="13"/>
        <w:adjustRightInd w:val="0"/>
        <w:snapToGrid w:val="0"/>
        <w:spacing w:before="0" w:beforeAutospacing="0" w:after="0" w:afterAutospacing="0" w:line="648" w:lineRule="auto"/>
        <w:outlineLvl w:val="0"/>
        <w:rPr>
          <w:rFonts w:hint="eastAsia" w:ascii="黑体" w:hAnsi="黑体" w:eastAsia="黑体"/>
          <w:snapToGrid w:val="0"/>
          <w:sz w:val="32"/>
          <w:szCs w:val="32"/>
        </w:rPr>
      </w:pPr>
      <w:r>
        <w:rPr>
          <w:rFonts w:hint="eastAsia" w:ascii="黑体" w:hAnsi="黑体" w:eastAsia="黑体"/>
          <w:snapToGrid w:val="0"/>
          <w:sz w:val="32"/>
          <w:szCs w:val="32"/>
        </w:rPr>
        <w:t>附表</w:t>
      </w:r>
    </w:p>
    <w:p w14:paraId="500B0E88">
      <w:pPr>
        <w:pStyle w:val="13"/>
        <w:adjustRightInd w:val="0"/>
        <w:snapToGrid w:val="0"/>
        <w:spacing w:before="0" w:beforeAutospacing="0" w:after="0" w:afterAutospacing="0" w:line="552" w:lineRule="auto"/>
        <w:jc w:val="center"/>
        <w:outlineLvl w:val="0"/>
        <w:rPr>
          <w:rFonts w:hint="eastAsia" w:ascii="方正小标宋_GBK" w:hAnsi="黑体" w:eastAsia="方正小标宋_GBK"/>
          <w:snapToGrid w:val="0"/>
          <w:sz w:val="38"/>
          <w:szCs w:val="38"/>
        </w:rPr>
      </w:pPr>
      <w:r>
        <w:rPr>
          <w:rFonts w:hint="eastAsia" w:ascii="方正小标宋_GBK" w:hAnsi="黑体" w:eastAsia="方正小标宋_GBK"/>
          <w:snapToGrid w:val="0"/>
          <w:sz w:val="38"/>
          <w:szCs w:val="38"/>
        </w:rPr>
        <w:t>建设项目污染物排放量汇总表</w:t>
      </w:r>
    </w:p>
    <w:tbl>
      <w:tblPr>
        <w:tblStyle w:val="16"/>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761"/>
        <w:gridCol w:w="1959"/>
        <w:gridCol w:w="826"/>
      </w:tblGrid>
      <w:tr w14:paraId="6703EC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tcMar>
              <w:left w:w="28" w:type="dxa"/>
              <w:right w:w="28" w:type="dxa"/>
            </w:tcMar>
            <w:vAlign w:val="center"/>
          </w:tcPr>
          <w:p w14:paraId="53394E9F">
            <w:pPr>
              <w:pStyle w:val="32"/>
              <w:spacing w:beforeLines="0" w:afterLines="0" w:line="240" w:lineRule="auto"/>
              <w:jc w:val="right"/>
              <w:rPr>
                <w:rFonts w:hint="eastAsia" w:ascii="黑体" w:hAnsi="黑体" w:eastAsia="黑体" w:cs="宋体"/>
                <w:snapToGrid w:val="0"/>
                <w:color w:val="000000"/>
                <w:spacing w:val="-6"/>
                <w:kern w:val="21"/>
                <w:szCs w:val="21"/>
              </w:rPr>
            </w:pPr>
            <w:r>
              <w:rPr>
                <w:rFonts w:hint="eastAsia" w:ascii="黑体" w:hAnsi="黑体" w:eastAsia="黑体" w:cs="宋体"/>
                <w:snapToGrid w:val="0"/>
                <w:color w:val="000000"/>
                <w:spacing w:val="-6"/>
                <w:kern w:val="21"/>
                <w:szCs w:val="21"/>
              </w:rPr>
              <w:t>项目</w:t>
            </w:r>
          </w:p>
          <w:p w14:paraId="588A1415">
            <w:pPr>
              <w:pStyle w:val="32"/>
              <w:spacing w:beforeLines="0" w:afterLines="0" w:line="240" w:lineRule="auto"/>
              <w:jc w:val="left"/>
              <w:rPr>
                <w:rFonts w:hint="eastAsia" w:ascii="黑体" w:hAnsi="黑体" w:eastAsia="黑体" w:cs="宋体"/>
                <w:snapToGrid w:val="0"/>
                <w:color w:val="000000"/>
                <w:spacing w:val="-6"/>
                <w:kern w:val="21"/>
                <w:szCs w:val="21"/>
              </w:rPr>
            </w:pPr>
            <w:r>
              <w:rPr>
                <w:rFonts w:hint="eastAsia" w:ascii="黑体" w:hAnsi="黑体" w:eastAsia="黑体" w:cs="宋体"/>
                <w:snapToGrid w:val="0"/>
                <w:color w:val="000000"/>
                <w:spacing w:val="-6"/>
                <w:kern w:val="21"/>
                <w:szCs w:val="21"/>
              </w:rPr>
              <w:t>分类</w:t>
            </w:r>
          </w:p>
        </w:tc>
        <w:tc>
          <w:tcPr>
            <w:tcW w:w="1417" w:type="dxa"/>
            <w:tcMar>
              <w:left w:w="28" w:type="dxa"/>
              <w:right w:w="28" w:type="dxa"/>
            </w:tcMar>
            <w:vAlign w:val="center"/>
          </w:tcPr>
          <w:p w14:paraId="4431602A">
            <w:pPr>
              <w:pStyle w:val="32"/>
              <w:spacing w:beforeLines="0" w:afterLines="0" w:line="240" w:lineRule="auto"/>
              <w:rPr>
                <w:rFonts w:hint="eastAsia" w:ascii="黑体" w:hAnsi="黑体" w:eastAsia="黑体" w:cs="宋体"/>
                <w:snapToGrid w:val="0"/>
                <w:color w:val="000000"/>
                <w:spacing w:val="-6"/>
                <w:kern w:val="21"/>
                <w:szCs w:val="21"/>
              </w:rPr>
            </w:pPr>
            <w:r>
              <w:rPr>
                <w:rFonts w:hint="eastAsia" w:ascii="黑体" w:hAnsi="黑体" w:eastAsia="黑体" w:cs="宋体"/>
                <w:snapToGrid w:val="0"/>
                <w:color w:val="000000"/>
                <w:spacing w:val="-6"/>
                <w:kern w:val="21"/>
                <w:szCs w:val="21"/>
              </w:rPr>
              <w:t>污染物名称</w:t>
            </w:r>
          </w:p>
        </w:tc>
        <w:tc>
          <w:tcPr>
            <w:tcW w:w="1701" w:type="dxa"/>
            <w:tcMar>
              <w:left w:w="28" w:type="dxa"/>
              <w:right w:w="28" w:type="dxa"/>
            </w:tcMar>
            <w:vAlign w:val="center"/>
          </w:tcPr>
          <w:p w14:paraId="354312BC">
            <w:pPr>
              <w:pStyle w:val="32"/>
              <w:spacing w:beforeLines="0" w:afterLines="0" w:line="240" w:lineRule="auto"/>
              <w:rPr>
                <w:rFonts w:hint="eastAsia" w:ascii="黑体" w:hAnsi="黑体" w:eastAsia="黑体"/>
                <w:snapToGrid w:val="0"/>
                <w:color w:val="000000"/>
                <w:spacing w:val="-6"/>
                <w:kern w:val="21"/>
                <w:szCs w:val="21"/>
              </w:rPr>
            </w:pPr>
            <w:r>
              <w:rPr>
                <w:rFonts w:ascii="黑体" w:hAnsi="黑体" w:eastAsia="黑体"/>
                <w:snapToGrid w:val="0"/>
                <w:color w:val="000000"/>
                <w:spacing w:val="-6"/>
                <w:kern w:val="21"/>
                <w:szCs w:val="21"/>
              </w:rPr>
              <w:t>现有工程</w:t>
            </w:r>
          </w:p>
          <w:p w14:paraId="69328A37">
            <w:pPr>
              <w:pStyle w:val="32"/>
              <w:spacing w:beforeLines="0" w:afterLines="0" w:line="240" w:lineRule="auto"/>
              <w:rPr>
                <w:rFonts w:hint="eastAsia" w:ascii="黑体" w:hAnsi="黑体" w:eastAsia="黑体"/>
                <w:snapToGrid w:val="0"/>
                <w:color w:val="000000"/>
                <w:spacing w:val="-6"/>
                <w:kern w:val="21"/>
                <w:szCs w:val="21"/>
              </w:rPr>
            </w:pPr>
            <w:r>
              <w:rPr>
                <w:rFonts w:ascii="黑体" w:hAnsi="黑体" w:eastAsia="黑体"/>
                <w:snapToGrid w:val="0"/>
                <w:color w:val="000000"/>
                <w:spacing w:val="-6"/>
                <w:kern w:val="21"/>
                <w:szCs w:val="21"/>
              </w:rPr>
              <w:t>排放量（固</w:t>
            </w:r>
            <w:r>
              <w:rPr>
                <w:rFonts w:hint="eastAsia" w:ascii="黑体" w:hAnsi="黑体" w:eastAsia="黑体"/>
                <w:snapToGrid w:val="0"/>
                <w:color w:val="000000"/>
                <w:spacing w:val="-6"/>
                <w:kern w:val="21"/>
                <w:szCs w:val="21"/>
              </w:rPr>
              <w:t>体</w:t>
            </w:r>
            <w:r>
              <w:rPr>
                <w:rFonts w:ascii="黑体" w:hAnsi="黑体" w:eastAsia="黑体"/>
                <w:snapToGrid w:val="0"/>
                <w:color w:val="000000"/>
                <w:spacing w:val="-6"/>
                <w:kern w:val="21"/>
                <w:szCs w:val="21"/>
              </w:rPr>
              <w:t>废</w:t>
            </w:r>
            <w:r>
              <w:rPr>
                <w:rFonts w:hint="eastAsia" w:ascii="黑体" w:hAnsi="黑体" w:eastAsia="黑体"/>
                <w:snapToGrid w:val="0"/>
                <w:color w:val="000000"/>
                <w:spacing w:val="-6"/>
                <w:kern w:val="21"/>
                <w:szCs w:val="21"/>
              </w:rPr>
              <w:t>物</w:t>
            </w:r>
            <w:r>
              <w:rPr>
                <w:rFonts w:ascii="黑体" w:hAnsi="黑体" w:eastAsia="黑体"/>
                <w:snapToGrid w:val="0"/>
                <w:color w:val="000000"/>
                <w:spacing w:val="-6"/>
                <w:kern w:val="21"/>
                <w:szCs w:val="21"/>
              </w:rPr>
              <w:t>产生量）</w:t>
            </w:r>
            <w:r>
              <w:rPr>
                <w:rFonts w:ascii="黑体" w:hAnsi="黑体" w:eastAsia="黑体"/>
                <w:snapToGrid w:val="0"/>
                <w:color w:val="000000"/>
                <w:spacing w:val="-6"/>
                <w:kern w:val="21"/>
                <w:szCs w:val="21"/>
              </w:rPr>
              <w:fldChar w:fldCharType="begin"/>
            </w:r>
            <w:r>
              <w:rPr>
                <w:rFonts w:ascii="黑体" w:hAnsi="黑体" w:eastAsia="黑体"/>
                <w:snapToGrid w:val="0"/>
                <w:color w:val="000000"/>
                <w:spacing w:val="-6"/>
                <w:kern w:val="21"/>
                <w:szCs w:val="21"/>
              </w:rPr>
              <w:instrText xml:space="preserve"> = 1 \* GB3 \* MERGEFORMAT </w:instrText>
            </w:r>
            <w:r>
              <w:rPr>
                <w:rFonts w:ascii="黑体" w:hAnsi="黑体" w:eastAsia="黑体"/>
                <w:snapToGrid w:val="0"/>
                <w:color w:val="000000"/>
                <w:spacing w:val="-6"/>
                <w:kern w:val="21"/>
                <w:szCs w:val="21"/>
              </w:rPr>
              <w:fldChar w:fldCharType="separate"/>
            </w:r>
            <w:r>
              <w:rPr>
                <w:rFonts w:hint="eastAsia" w:ascii="黑体" w:hAnsi="黑体" w:eastAsia="黑体" w:cs="宋体"/>
                <w:kern w:val="2"/>
                <w:szCs w:val="21"/>
              </w:rPr>
              <w:t>①</w:t>
            </w:r>
            <w:r>
              <w:rPr>
                <w:rFonts w:ascii="黑体" w:hAnsi="黑体" w:eastAsia="黑体"/>
                <w:snapToGrid w:val="0"/>
                <w:color w:val="000000"/>
                <w:spacing w:val="-6"/>
                <w:kern w:val="21"/>
                <w:szCs w:val="21"/>
              </w:rPr>
              <w:fldChar w:fldCharType="end"/>
            </w:r>
          </w:p>
        </w:tc>
        <w:tc>
          <w:tcPr>
            <w:tcW w:w="1276" w:type="dxa"/>
            <w:tcMar>
              <w:left w:w="28" w:type="dxa"/>
              <w:right w:w="28" w:type="dxa"/>
            </w:tcMar>
            <w:vAlign w:val="center"/>
          </w:tcPr>
          <w:p w14:paraId="52ED4A9A">
            <w:pPr>
              <w:pStyle w:val="32"/>
              <w:spacing w:beforeLines="0" w:afterLines="0" w:line="240" w:lineRule="auto"/>
              <w:rPr>
                <w:rFonts w:hint="eastAsia" w:ascii="黑体" w:hAnsi="黑体" w:eastAsia="黑体"/>
                <w:snapToGrid w:val="0"/>
                <w:color w:val="000000"/>
                <w:spacing w:val="-6"/>
                <w:kern w:val="21"/>
                <w:szCs w:val="21"/>
              </w:rPr>
            </w:pPr>
            <w:r>
              <w:rPr>
                <w:rFonts w:ascii="黑体" w:hAnsi="黑体" w:eastAsia="黑体"/>
                <w:snapToGrid w:val="0"/>
                <w:color w:val="000000"/>
                <w:spacing w:val="-6"/>
                <w:kern w:val="21"/>
                <w:szCs w:val="21"/>
              </w:rPr>
              <w:t>现有工程</w:t>
            </w:r>
          </w:p>
          <w:p w14:paraId="7453E1FD">
            <w:pPr>
              <w:pStyle w:val="32"/>
              <w:spacing w:beforeLines="0" w:afterLines="0" w:line="240" w:lineRule="auto"/>
              <w:rPr>
                <w:rFonts w:hint="eastAsia" w:ascii="黑体" w:hAnsi="黑体" w:eastAsia="黑体"/>
                <w:snapToGrid w:val="0"/>
                <w:color w:val="000000"/>
                <w:spacing w:val="-6"/>
                <w:kern w:val="21"/>
                <w:szCs w:val="21"/>
              </w:rPr>
            </w:pPr>
            <w:r>
              <w:rPr>
                <w:rFonts w:ascii="黑体" w:hAnsi="黑体" w:eastAsia="黑体"/>
                <w:snapToGrid w:val="0"/>
                <w:color w:val="000000"/>
                <w:spacing w:val="-6"/>
                <w:kern w:val="21"/>
                <w:szCs w:val="21"/>
              </w:rPr>
              <w:t>许可排放量</w:t>
            </w:r>
          </w:p>
          <w:p w14:paraId="5111A444">
            <w:pPr>
              <w:pStyle w:val="32"/>
              <w:spacing w:beforeLines="0" w:afterLines="0"/>
              <w:rPr>
                <w:rFonts w:hint="eastAsia" w:ascii="黑体" w:hAnsi="黑体" w:eastAsia="黑体"/>
                <w:snapToGrid w:val="0"/>
                <w:color w:val="000000"/>
                <w:spacing w:val="-6"/>
                <w:kern w:val="21"/>
                <w:szCs w:val="21"/>
              </w:rPr>
            </w:pPr>
            <w:r>
              <w:rPr>
                <w:rFonts w:ascii="黑体" w:hAnsi="黑体" w:eastAsia="黑体"/>
                <w:snapToGrid w:val="0"/>
                <w:color w:val="000000"/>
                <w:spacing w:val="-6"/>
                <w:kern w:val="21"/>
                <w:szCs w:val="21"/>
              </w:rPr>
              <w:fldChar w:fldCharType="begin"/>
            </w:r>
            <w:r>
              <w:rPr>
                <w:rFonts w:ascii="黑体" w:hAnsi="黑体" w:eastAsia="黑体"/>
                <w:snapToGrid w:val="0"/>
                <w:color w:val="000000"/>
                <w:spacing w:val="-6"/>
                <w:kern w:val="21"/>
                <w:szCs w:val="21"/>
              </w:rPr>
              <w:instrText xml:space="preserve"> = 2 \* GB3 \* MERGEFORMAT </w:instrText>
            </w:r>
            <w:r>
              <w:rPr>
                <w:rFonts w:ascii="黑体" w:hAnsi="黑体" w:eastAsia="黑体"/>
                <w:snapToGrid w:val="0"/>
                <w:color w:val="000000"/>
                <w:spacing w:val="-6"/>
                <w:kern w:val="21"/>
                <w:szCs w:val="21"/>
              </w:rPr>
              <w:fldChar w:fldCharType="separate"/>
            </w:r>
            <w:r>
              <w:rPr>
                <w:rFonts w:hint="eastAsia" w:ascii="黑体" w:hAnsi="黑体" w:eastAsia="黑体" w:cs="宋体"/>
                <w:snapToGrid w:val="0"/>
                <w:color w:val="000000"/>
                <w:spacing w:val="-6"/>
                <w:kern w:val="21"/>
                <w:szCs w:val="21"/>
              </w:rPr>
              <w:t>②</w:t>
            </w:r>
            <w:r>
              <w:rPr>
                <w:rFonts w:ascii="黑体" w:hAnsi="黑体" w:eastAsia="黑体"/>
                <w:snapToGrid w:val="0"/>
                <w:color w:val="000000"/>
                <w:spacing w:val="-6"/>
                <w:kern w:val="21"/>
                <w:szCs w:val="21"/>
              </w:rPr>
              <w:fldChar w:fldCharType="end"/>
            </w:r>
          </w:p>
        </w:tc>
        <w:tc>
          <w:tcPr>
            <w:tcW w:w="1701" w:type="dxa"/>
            <w:tcMar>
              <w:left w:w="28" w:type="dxa"/>
              <w:right w:w="28" w:type="dxa"/>
            </w:tcMar>
            <w:vAlign w:val="center"/>
          </w:tcPr>
          <w:p w14:paraId="2CD79A33">
            <w:pPr>
              <w:pStyle w:val="32"/>
              <w:spacing w:beforeLines="0" w:afterLines="0" w:line="240" w:lineRule="auto"/>
              <w:rPr>
                <w:rFonts w:hint="eastAsia" w:ascii="黑体" w:hAnsi="黑体" w:eastAsia="黑体"/>
                <w:snapToGrid w:val="0"/>
                <w:color w:val="000000"/>
                <w:spacing w:val="-6"/>
                <w:kern w:val="21"/>
                <w:szCs w:val="21"/>
              </w:rPr>
            </w:pPr>
            <w:r>
              <w:rPr>
                <w:rFonts w:ascii="黑体" w:hAnsi="黑体" w:eastAsia="黑体"/>
                <w:snapToGrid w:val="0"/>
                <w:color w:val="000000"/>
                <w:spacing w:val="-6"/>
                <w:kern w:val="21"/>
                <w:szCs w:val="21"/>
              </w:rPr>
              <w:t>在建工程</w:t>
            </w:r>
          </w:p>
          <w:p w14:paraId="664353AB">
            <w:pPr>
              <w:pStyle w:val="32"/>
              <w:spacing w:beforeLines="0" w:afterLines="0" w:line="240" w:lineRule="auto"/>
              <w:rPr>
                <w:rFonts w:hint="eastAsia" w:ascii="黑体" w:hAnsi="黑体" w:eastAsia="黑体"/>
                <w:snapToGrid w:val="0"/>
                <w:color w:val="000000"/>
                <w:spacing w:val="-6"/>
                <w:kern w:val="21"/>
                <w:szCs w:val="21"/>
              </w:rPr>
            </w:pPr>
            <w:r>
              <w:rPr>
                <w:rFonts w:ascii="黑体" w:hAnsi="黑体" w:eastAsia="黑体"/>
                <w:snapToGrid w:val="0"/>
                <w:color w:val="000000"/>
                <w:spacing w:val="-6"/>
                <w:kern w:val="21"/>
                <w:szCs w:val="21"/>
              </w:rPr>
              <w:t>排放量（固</w:t>
            </w:r>
            <w:r>
              <w:rPr>
                <w:rFonts w:hint="eastAsia" w:ascii="黑体" w:hAnsi="黑体" w:eastAsia="黑体"/>
                <w:snapToGrid w:val="0"/>
                <w:color w:val="000000"/>
                <w:spacing w:val="-6"/>
                <w:kern w:val="21"/>
                <w:szCs w:val="21"/>
              </w:rPr>
              <w:t>体</w:t>
            </w:r>
            <w:r>
              <w:rPr>
                <w:rFonts w:ascii="黑体" w:hAnsi="黑体" w:eastAsia="黑体"/>
                <w:snapToGrid w:val="0"/>
                <w:color w:val="000000"/>
                <w:spacing w:val="-6"/>
                <w:kern w:val="21"/>
                <w:szCs w:val="21"/>
              </w:rPr>
              <w:t>废</w:t>
            </w:r>
            <w:r>
              <w:rPr>
                <w:rFonts w:hint="eastAsia" w:ascii="黑体" w:hAnsi="黑体" w:eastAsia="黑体"/>
                <w:snapToGrid w:val="0"/>
                <w:color w:val="000000"/>
                <w:spacing w:val="-6"/>
                <w:kern w:val="21"/>
                <w:szCs w:val="21"/>
              </w:rPr>
              <w:t>物</w:t>
            </w:r>
            <w:r>
              <w:rPr>
                <w:rFonts w:ascii="黑体" w:hAnsi="黑体" w:eastAsia="黑体"/>
                <w:snapToGrid w:val="0"/>
                <w:color w:val="000000"/>
                <w:spacing w:val="-6"/>
                <w:kern w:val="21"/>
                <w:szCs w:val="21"/>
              </w:rPr>
              <w:t>产生量）</w:t>
            </w:r>
            <w:r>
              <w:rPr>
                <w:rFonts w:ascii="黑体" w:hAnsi="黑体" w:eastAsia="黑体"/>
                <w:snapToGrid w:val="0"/>
                <w:color w:val="000000"/>
                <w:spacing w:val="-6"/>
                <w:kern w:val="21"/>
                <w:szCs w:val="21"/>
              </w:rPr>
              <w:fldChar w:fldCharType="begin"/>
            </w:r>
            <w:r>
              <w:rPr>
                <w:rFonts w:ascii="黑体" w:hAnsi="黑体" w:eastAsia="黑体"/>
                <w:snapToGrid w:val="0"/>
                <w:color w:val="000000"/>
                <w:spacing w:val="-6"/>
                <w:kern w:val="21"/>
                <w:szCs w:val="21"/>
              </w:rPr>
              <w:instrText xml:space="preserve"> = 3 \* GB3 \* MERGEFORMAT </w:instrText>
            </w:r>
            <w:r>
              <w:rPr>
                <w:rFonts w:ascii="黑体" w:hAnsi="黑体" w:eastAsia="黑体"/>
                <w:snapToGrid w:val="0"/>
                <w:color w:val="000000"/>
                <w:spacing w:val="-6"/>
                <w:kern w:val="21"/>
                <w:szCs w:val="21"/>
              </w:rPr>
              <w:fldChar w:fldCharType="separate"/>
            </w:r>
            <w:r>
              <w:rPr>
                <w:rFonts w:hint="eastAsia" w:ascii="黑体" w:hAnsi="黑体" w:eastAsia="黑体" w:cs="宋体"/>
                <w:kern w:val="2"/>
                <w:szCs w:val="21"/>
              </w:rPr>
              <w:t>③</w:t>
            </w:r>
            <w:r>
              <w:rPr>
                <w:rFonts w:ascii="黑体" w:hAnsi="黑体" w:eastAsia="黑体"/>
                <w:snapToGrid w:val="0"/>
                <w:color w:val="000000"/>
                <w:spacing w:val="-6"/>
                <w:kern w:val="21"/>
                <w:szCs w:val="21"/>
              </w:rPr>
              <w:fldChar w:fldCharType="end"/>
            </w:r>
          </w:p>
        </w:tc>
        <w:tc>
          <w:tcPr>
            <w:tcW w:w="1559" w:type="dxa"/>
            <w:tcMar>
              <w:left w:w="28" w:type="dxa"/>
              <w:right w:w="28" w:type="dxa"/>
            </w:tcMar>
            <w:vAlign w:val="center"/>
          </w:tcPr>
          <w:p w14:paraId="3FEDA95A">
            <w:pPr>
              <w:pStyle w:val="32"/>
              <w:spacing w:beforeLines="0" w:afterLines="0" w:line="240" w:lineRule="auto"/>
              <w:rPr>
                <w:rFonts w:hint="eastAsia" w:ascii="黑体" w:hAnsi="黑体" w:eastAsia="黑体"/>
                <w:snapToGrid w:val="0"/>
                <w:color w:val="000000"/>
                <w:spacing w:val="-6"/>
                <w:kern w:val="21"/>
                <w:szCs w:val="21"/>
              </w:rPr>
            </w:pPr>
            <w:r>
              <w:rPr>
                <w:rFonts w:ascii="黑体" w:hAnsi="黑体" w:eastAsia="黑体"/>
                <w:snapToGrid w:val="0"/>
                <w:color w:val="000000"/>
                <w:spacing w:val="-6"/>
                <w:kern w:val="21"/>
                <w:szCs w:val="21"/>
              </w:rPr>
              <w:t>本项目</w:t>
            </w:r>
          </w:p>
          <w:p w14:paraId="1B86C08F">
            <w:pPr>
              <w:pStyle w:val="32"/>
              <w:spacing w:beforeLines="0" w:afterLines="0" w:line="240" w:lineRule="auto"/>
              <w:rPr>
                <w:rFonts w:hint="eastAsia" w:ascii="黑体" w:hAnsi="黑体" w:eastAsia="黑体"/>
                <w:snapToGrid w:val="0"/>
                <w:color w:val="000000"/>
                <w:spacing w:val="-6"/>
                <w:kern w:val="21"/>
                <w:szCs w:val="21"/>
              </w:rPr>
            </w:pPr>
            <w:r>
              <w:rPr>
                <w:rFonts w:ascii="黑体" w:hAnsi="黑体" w:eastAsia="黑体"/>
                <w:snapToGrid w:val="0"/>
                <w:color w:val="000000"/>
                <w:spacing w:val="-6"/>
                <w:kern w:val="21"/>
                <w:szCs w:val="21"/>
              </w:rPr>
              <w:t>排放量（固</w:t>
            </w:r>
            <w:r>
              <w:rPr>
                <w:rFonts w:hint="eastAsia" w:ascii="黑体" w:hAnsi="黑体" w:eastAsia="黑体"/>
                <w:snapToGrid w:val="0"/>
                <w:color w:val="000000"/>
                <w:spacing w:val="-6"/>
                <w:kern w:val="21"/>
                <w:szCs w:val="21"/>
              </w:rPr>
              <w:t>体</w:t>
            </w:r>
            <w:r>
              <w:rPr>
                <w:rFonts w:ascii="黑体" w:hAnsi="黑体" w:eastAsia="黑体"/>
                <w:snapToGrid w:val="0"/>
                <w:color w:val="000000"/>
                <w:spacing w:val="-6"/>
                <w:kern w:val="21"/>
                <w:szCs w:val="21"/>
              </w:rPr>
              <w:t>废</w:t>
            </w:r>
            <w:r>
              <w:rPr>
                <w:rFonts w:hint="eastAsia" w:ascii="黑体" w:hAnsi="黑体" w:eastAsia="黑体"/>
                <w:snapToGrid w:val="0"/>
                <w:color w:val="000000"/>
                <w:spacing w:val="-6"/>
                <w:kern w:val="21"/>
                <w:szCs w:val="21"/>
              </w:rPr>
              <w:t>物</w:t>
            </w:r>
            <w:r>
              <w:rPr>
                <w:rFonts w:ascii="黑体" w:hAnsi="黑体" w:eastAsia="黑体"/>
                <w:snapToGrid w:val="0"/>
                <w:color w:val="000000"/>
                <w:spacing w:val="-6"/>
                <w:kern w:val="21"/>
                <w:szCs w:val="21"/>
              </w:rPr>
              <w:t>产生量）</w:t>
            </w:r>
            <w:r>
              <w:rPr>
                <w:rFonts w:ascii="黑体" w:hAnsi="黑体" w:eastAsia="黑体"/>
                <w:snapToGrid w:val="0"/>
                <w:color w:val="000000"/>
                <w:spacing w:val="-6"/>
                <w:kern w:val="21"/>
                <w:szCs w:val="21"/>
              </w:rPr>
              <w:fldChar w:fldCharType="begin"/>
            </w:r>
            <w:r>
              <w:rPr>
                <w:rFonts w:ascii="黑体" w:hAnsi="黑体" w:eastAsia="黑体"/>
                <w:snapToGrid w:val="0"/>
                <w:color w:val="000000"/>
                <w:spacing w:val="-6"/>
                <w:kern w:val="21"/>
                <w:szCs w:val="21"/>
              </w:rPr>
              <w:instrText xml:space="preserve"> = 4 \* GB3 \* MERGEFORMAT </w:instrText>
            </w:r>
            <w:r>
              <w:rPr>
                <w:rFonts w:ascii="黑体" w:hAnsi="黑体" w:eastAsia="黑体"/>
                <w:snapToGrid w:val="0"/>
                <w:color w:val="000000"/>
                <w:spacing w:val="-6"/>
                <w:kern w:val="21"/>
                <w:szCs w:val="21"/>
              </w:rPr>
              <w:fldChar w:fldCharType="separate"/>
            </w:r>
            <w:r>
              <w:rPr>
                <w:rFonts w:hint="eastAsia" w:ascii="黑体" w:hAnsi="黑体" w:eastAsia="黑体" w:cs="宋体"/>
                <w:kern w:val="2"/>
                <w:szCs w:val="21"/>
              </w:rPr>
              <w:t>④</w:t>
            </w:r>
            <w:r>
              <w:rPr>
                <w:rFonts w:ascii="黑体" w:hAnsi="黑体" w:eastAsia="黑体"/>
                <w:snapToGrid w:val="0"/>
                <w:color w:val="000000"/>
                <w:spacing w:val="-6"/>
                <w:kern w:val="21"/>
                <w:szCs w:val="21"/>
              </w:rPr>
              <w:fldChar w:fldCharType="end"/>
            </w:r>
          </w:p>
        </w:tc>
        <w:tc>
          <w:tcPr>
            <w:tcW w:w="1761" w:type="dxa"/>
            <w:tcMar>
              <w:left w:w="28" w:type="dxa"/>
              <w:right w:w="28" w:type="dxa"/>
            </w:tcMar>
            <w:vAlign w:val="center"/>
          </w:tcPr>
          <w:p w14:paraId="1B95DFC7">
            <w:pPr>
              <w:pStyle w:val="32"/>
              <w:spacing w:beforeLines="0" w:afterLines="0" w:line="240" w:lineRule="auto"/>
              <w:rPr>
                <w:rFonts w:hint="eastAsia" w:ascii="黑体" w:hAnsi="黑体" w:eastAsia="黑体"/>
                <w:snapToGrid w:val="0"/>
                <w:color w:val="000000"/>
                <w:spacing w:val="-16"/>
                <w:kern w:val="21"/>
                <w:szCs w:val="21"/>
              </w:rPr>
            </w:pPr>
            <w:r>
              <w:rPr>
                <w:rFonts w:ascii="黑体" w:hAnsi="黑体" w:eastAsia="黑体"/>
                <w:snapToGrid w:val="0"/>
                <w:color w:val="000000"/>
                <w:spacing w:val="-16"/>
                <w:kern w:val="21"/>
                <w:szCs w:val="21"/>
              </w:rPr>
              <w:t>以新带老削减量</w:t>
            </w:r>
          </w:p>
          <w:p w14:paraId="5FB6A71D">
            <w:pPr>
              <w:pStyle w:val="32"/>
              <w:spacing w:beforeLines="0" w:afterLines="0" w:line="240" w:lineRule="auto"/>
              <w:rPr>
                <w:rFonts w:hint="eastAsia" w:ascii="黑体" w:hAnsi="黑体" w:eastAsia="黑体"/>
                <w:snapToGrid w:val="0"/>
                <w:color w:val="000000"/>
                <w:spacing w:val="-16"/>
                <w:kern w:val="21"/>
                <w:szCs w:val="21"/>
              </w:rPr>
            </w:pPr>
            <w:r>
              <w:rPr>
                <w:rFonts w:ascii="黑体" w:hAnsi="黑体" w:eastAsia="黑体"/>
                <w:snapToGrid w:val="0"/>
                <w:color w:val="000000"/>
                <w:spacing w:val="-16"/>
                <w:kern w:val="21"/>
                <w:szCs w:val="21"/>
              </w:rPr>
              <w:t>（新建项目不填）</w:t>
            </w:r>
            <w:r>
              <w:rPr>
                <w:rFonts w:ascii="黑体" w:hAnsi="黑体" w:eastAsia="黑体"/>
                <w:snapToGrid w:val="0"/>
                <w:color w:val="000000"/>
                <w:spacing w:val="-16"/>
                <w:kern w:val="21"/>
                <w:szCs w:val="21"/>
              </w:rPr>
              <w:fldChar w:fldCharType="begin"/>
            </w:r>
            <w:r>
              <w:rPr>
                <w:rFonts w:ascii="黑体" w:hAnsi="黑体" w:eastAsia="黑体"/>
                <w:snapToGrid w:val="0"/>
                <w:color w:val="000000"/>
                <w:spacing w:val="-16"/>
                <w:kern w:val="21"/>
                <w:szCs w:val="21"/>
              </w:rPr>
              <w:instrText xml:space="preserve"> = 5 \* GB3 \* MERGEFORMAT </w:instrText>
            </w:r>
            <w:r>
              <w:rPr>
                <w:rFonts w:ascii="黑体" w:hAnsi="黑体" w:eastAsia="黑体"/>
                <w:snapToGrid w:val="0"/>
                <w:color w:val="000000"/>
                <w:spacing w:val="-16"/>
                <w:kern w:val="21"/>
                <w:szCs w:val="21"/>
              </w:rPr>
              <w:fldChar w:fldCharType="separate"/>
            </w:r>
            <w:r>
              <w:rPr>
                <w:rFonts w:hint="eastAsia" w:ascii="黑体" w:hAnsi="黑体" w:eastAsia="黑体" w:cs="宋体"/>
                <w:kern w:val="2"/>
                <w:szCs w:val="21"/>
              </w:rPr>
              <w:t>⑤</w:t>
            </w:r>
            <w:r>
              <w:rPr>
                <w:rFonts w:ascii="黑体" w:hAnsi="黑体" w:eastAsia="黑体"/>
                <w:snapToGrid w:val="0"/>
                <w:color w:val="000000"/>
                <w:spacing w:val="-16"/>
                <w:kern w:val="21"/>
                <w:szCs w:val="21"/>
              </w:rPr>
              <w:fldChar w:fldCharType="end"/>
            </w:r>
          </w:p>
        </w:tc>
        <w:tc>
          <w:tcPr>
            <w:tcW w:w="1959" w:type="dxa"/>
            <w:tcMar>
              <w:left w:w="28" w:type="dxa"/>
              <w:right w:w="28" w:type="dxa"/>
            </w:tcMar>
            <w:vAlign w:val="center"/>
          </w:tcPr>
          <w:p w14:paraId="7D35EADC">
            <w:pPr>
              <w:pStyle w:val="32"/>
              <w:spacing w:beforeLines="0" w:afterLines="0" w:line="240" w:lineRule="auto"/>
              <w:rPr>
                <w:rFonts w:hint="eastAsia" w:ascii="黑体" w:hAnsi="黑体" w:eastAsia="黑体"/>
                <w:snapToGrid w:val="0"/>
                <w:color w:val="000000"/>
                <w:spacing w:val="-16"/>
                <w:kern w:val="21"/>
                <w:szCs w:val="21"/>
              </w:rPr>
            </w:pPr>
            <w:r>
              <w:rPr>
                <w:rFonts w:ascii="黑体" w:hAnsi="黑体" w:eastAsia="黑体"/>
                <w:snapToGrid w:val="0"/>
                <w:color w:val="000000"/>
                <w:spacing w:val="-16"/>
                <w:kern w:val="21"/>
                <w:szCs w:val="21"/>
              </w:rPr>
              <w:t>本项目建成后</w:t>
            </w:r>
          </w:p>
          <w:p w14:paraId="187FE645">
            <w:pPr>
              <w:pStyle w:val="32"/>
              <w:spacing w:beforeLines="0" w:afterLines="0" w:line="240" w:lineRule="auto"/>
              <w:rPr>
                <w:rFonts w:hint="eastAsia" w:ascii="黑体" w:hAnsi="黑体" w:eastAsia="黑体"/>
                <w:snapToGrid w:val="0"/>
                <w:color w:val="000000"/>
                <w:spacing w:val="-16"/>
                <w:kern w:val="21"/>
                <w:szCs w:val="21"/>
              </w:rPr>
            </w:pPr>
            <w:r>
              <w:rPr>
                <w:rFonts w:hint="eastAsia" w:ascii="黑体" w:hAnsi="黑体" w:eastAsia="黑体"/>
                <w:snapToGrid w:val="0"/>
                <w:color w:val="000000"/>
                <w:spacing w:val="-16"/>
                <w:kern w:val="21"/>
                <w:szCs w:val="21"/>
              </w:rPr>
              <w:t>全厂</w:t>
            </w:r>
            <w:r>
              <w:rPr>
                <w:rFonts w:ascii="黑体" w:hAnsi="黑体" w:eastAsia="黑体"/>
                <w:snapToGrid w:val="0"/>
                <w:color w:val="000000"/>
                <w:spacing w:val="-16"/>
                <w:kern w:val="21"/>
                <w:szCs w:val="21"/>
              </w:rPr>
              <w:t>排放量（固</w:t>
            </w:r>
            <w:r>
              <w:rPr>
                <w:rFonts w:hint="eastAsia" w:ascii="黑体" w:hAnsi="黑体" w:eastAsia="黑体"/>
                <w:snapToGrid w:val="0"/>
                <w:color w:val="000000"/>
                <w:spacing w:val="-16"/>
                <w:kern w:val="21"/>
                <w:szCs w:val="21"/>
              </w:rPr>
              <w:t>体</w:t>
            </w:r>
            <w:r>
              <w:rPr>
                <w:rFonts w:ascii="黑体" w:hAnsi="黑体" w:eastAsia="黑体"/>
                <w:snapToGrid w:val="0"/>
                <w:color w:val="000000"/>
                <w:spacing w:val="-16"/>
                <w:kern w:val="21"/>
                <w:szCs w:val="21"/>
              </w:rPr>
              <w:t>废</w:t>
            </w:r>
            <w:r>
              <w:rPr>
                <w:rFonts w:hint="eastAsia" w:ascii="黑体" w:hAnsi="黑体" w:eastAsia="黑体"/>
                <w:snapToGrid w:val="0"/>
                <w:color w:val="000000"/>
                <w:spacing w:val="-16"/>
                <w:kern w:val="21"/>
                <w:szCs w:val="21"/>
              </w:rPr>
              <w:t>物</w:t>
            </w:r>
            <w:r>
              <w:rPr>
                <w:rFonts w:ascii="黑体" w:hAnsi="黑体" w:eastAsia="黑体"/>
                <w:snapToGrid w:val="0"/>
                <w:color w:val="000000"/>
                <w:spacing w:val="-16"/>
                <w:kern w:val="21"/>
                <w:szCs w:val="21"/>
              </w:rPr>
              <w:t>产生量）</w:t>
            </w:r>
            <w:r>
              <w:rPr>
                <w:rFonts w:ascii="黑体" w:hAnsi="黑体" w:eastAsia="黑体"/>
                <w:snapToGrid w:val="0"/>
                <w:color w:val="000000"/>
                <w:spacing w:val="-16"/>
                <w:kern w:val="21"/>
                <w:szCs w:val="21"/>
              </w:rPr>
              <w:fldChar w:fldCharType="begin"/>
            </w:r>
            <w:r>
              <w:rPr>
                <w:rFonts w:ascii="黑体" w:hAnsi="黑体" w:eastAsia="黑体"/>
                <w:snapToGrid w:val="0"/>
                <w:color w:val="000000"/>
                <w:spacing w:val="-16"/>
                <w:kern w:val="21"/>
                <w:szCs w:val="21"/>
              </w:rPr>
              <w:instrText xml:space="preserve"> = 6 \* GB3 \* MERGEFORMAT </w:instrText>
            </w:r>
            <w:r>
              <w:rPr>
                <w:rFonts w:ascii="黑体" w:hAnsi="黑体" w:eastAsia="黑体"/>
                <w:snapToGrid w:val="0"/>
                <w:color w:val="000000"/>
                <w:spacing w:val="-16"/>
                <w:kern w:val="21"/>
                <w:szCs w:val="21"/>
              </w:rPr>
              <w:fldChar w:fldCharType="separate"/>
            </w:r>
            <w:r>
              <w:rPr>
                <w:rFonts w:hint="eastAsia" w:ascii="黑体" w:hAnsi="黑体" w:eastAsia="黑体" w:cs="宋体"/>
                <w:kern w:val="2"/>
                <w:szCs w:val="21"/>
              </w:rPr>
              <w:t>⑥</w:t>
            </w:r>
            <w:r>
              <w:rPr>
                <w:rFonts w:ascii="黑体" w:hAnsi="黑体" w:eastAsia="黑体"/>
                <w:snapToGrid w:val="0"/>
                <w:color w:val="000000"/>
                <w:spacing w:val="-16"/>
                <w:kern w:val="21"/>
                <w:szCs w:val="21"/>
              </w:rPr>
              <w:fldChar w:fldCharType="end"/>
            </w:r>
          </w:p>
        </w:tc>
        <w:tc>
          <w:tcPr>
            <w:tcW w:w="826" w:type="dxa"/>
            <w:tcMar>
              <w:left w:w="28" w:type="dxa"/>
              <w:right w:w="28" w:type="dxa"/>
            </w:tcMar>
            <w:vAlign w:val="center"/>
          </w:tcPr>
          <w:p w14:paraId="7DB1B1B7">
            <w:pPr>
              <w:pStyle w:val="32"/>
              <w:spacing w:beforeLines="0" w:afterLines="0" w:line="240" w:lineRule="auto"/>
              <w:rPr>
                <w:rFonts w:hint="eastAsia" w:ascii="黑体" w:hAnsi="黑体" w:eastAsia="黑体"/>
                <w:snapToGrid w:val="0"/>
                <w:color w:val="000000"/>
                <w:spacing w:val="-6"/>
                <w:kern w:val="21"/>
                <w:szCs w:val="21"/>
              </w:rPr>
            </w:pPr>
            <w:r>
              <w:rPr>
                <w:rFonts w:ascii="黑体" w:hAnsi="黑体" w:eastAsia="黑体"/>
                <w:snapToGrid w:val="0"/>
                <w:color w:val="000000"/>
                <w:spacing w:val="-6"/>
                <w:kern w:val="21"/>
                <w:szCs w:val="21"/>
              </w:rPr>
              <w:t>变化量</w:t>
            </w:r>
          </w:p>
          <w:p w14:paraId="24FBB2B7">
            <w:pPr>
              <w:pStyle w:val="32"/>
              <w:spacing w:beforeLines="0" w:afterLines="0" w:line="240" w:lineRule="auto"/>
              <w:rPr>
                <w:rFonts w:hint="eastAsia" w:ascii="黑体" w:hAnsi="黑体" w:eastAsia="黑体"/>
                <w:snapToGrid w:val="0"/>
                <w:color w:val="000000"/>
                <w:spacing w:val="-6"/>
                <w:kern w:val="21"/>
                <w:szCs w:val="21"/>
              </w:rPr>
            </w:pPr>
            <w:r>
              <w:rPr>
                <w:rFonts w:ascii="黑体" w:hAnsi="黑体" w:eastAsia="黑体"/>
                <w:snapToGrid w:val="0"/>
                <w:color w:val="000000"/>
                <w:spacing w:val="-6"/>
                <w:kern w:val="21"/>
                <w:szCs w:val="21"/>
              </w:rPr>
              <w:fldChar w:fldCharType="begin"/>
            </w:r>
            <w:r>
              <w:rPr>
                <w:rFonts w:ascii="黑体" w:hAnsi="黑体" w:eastAsia="黑体"/>
                <w:snapToGrid w:val="0"/>
                <w:color w:val="000000"/>
                <w:spacing w:val="-6"/>
                <w:kern w:val="21"/>
                <w:szCs w:val="21"/>
              </w:rPr>
              <w:instrText xml:space="preserve"> = 7 \* GB3 \* MERGEFORMAT </w:instrText>
            </w:r>
            <w:r>
              <w:rPr>
                <w:rFonts w:ascii="黑体" w:hAnsi="黑体" w:eastAsia="黑体"/>
                <w:snapToGrid w:val="0"/>
                <w:color w:val="000000"/>
                <w:spacing w:val="-6"/>
                <w:kern w:val="21"/>
                <w:szCs w:val="21"/>
              </w:rPr>
              <w:fldChar w:fldCharType="separate"/>
            </w:r>
            <w:r>
              <w:rPr>
                <w:rFonts w:hint="eastAsia" w:ascii="黑体" w:hAnsi="黑体" w:eastAsia="黑体" w:cs="宋体"/>
                <w:kern w:val="2"/>
                <w:szCs w:val="21"/>
              </w:rPr>
              <w:t>⑦</w:t>
            </w:r>
            <w:r>
              <w:rPr>
                <w:rFonts w:ascii="黑体" w:hAnsi="黑体" w:eastAsia="黑体"/>
                <w:snapToGrid w:val="0"/>
                <w:color w:val="000000"/>
                <w:spacing w:val="-6"/>
                <w:kern w:val="21"/>
                <w:szCs w:val="21"/>
              </w:rPr>
              <w:fldChar w:fldCharType="end"/>
            </w:r>
          </w:p>
        </w:tc>
      </w:tr>
      <w:tr w14:paraId="32A09E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1C91D230">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废气</w:t>
            </w:r>
          </w:p>
        </w:tc>
        <w:tc>
          <w:tcPr>
            <w:tcW w:w="1417" w:type="dxa"/>
            <w:vAlign w:val="center"/>
          </w:tcPr>
          <w:p w14:paraId="213944F2">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氮氧化物</w:t>
            </w:r>
          </w:p>
        </w:tc>
        <w:tc>
          <w:tcPr>
            <w:tcW w:w="1701" w:type="dxa"/>
            <w:vAlign w:val="center"/>
          </w:tcPr>
          <w:p w14:paraId="2D16B2A9">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w:t>
            </w:r>
          </w:p>
        </w:tc>
        <w:tc>
          <w:tcPr>
            <w:tcW w:w="1276" w:type="dxa"/>
            <w:vAlign w:val="center"/>
          </w:tcPr>
          <w:p w14:paraId="5AD0C074">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701" w:type="dxa"/>
            <w:vAlign w:val="center"/>
          </w:tcPr>
          <w:p w14:paraId="157411C9">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54.36t/a</w:t>
            </w:r>
          </w:p>
        </w:tc>
        <w:tc>
          <w:tcPr>
            <w:tcW w:w="1559" w:type="dxa"/>
            <w:vAlign w:val="center"/>
          </w:tcPr>
          <w:p w14:paraId="20DB1839">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761" w:type="dxa"/>
            <w:vAlign w:val="center"/>
          </w:tcPr>
          <w:p w14:paraId="103D1222">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959" w:type="dxa"/>
            <w:vAlign w:val="center"/>
          </w:tcPr>
          <w:p w14:paraId="11ED6A83">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54.36t/a</w:t>
            </w:r>
          </w:p>
        </w:tc>
        <w:tc>
          <w:tcPr>
            <w:tcW w:w="826" w:type="dxa"/>
            <w:vAlign w:val="center"/>
          </w:tcPr>
          <w:p w14:paraId="5C1BD3FE">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r>
      <w:tr w14:paraId="6262F0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56E000B4">
            <w:pPr>
              <w:pStyle w:val="32"/>
              <w:spacing w:beforeLines="0" w:afterLines="0" w:line="240" w:lineRule="auto"/>
              <w:rPr>
                <w:rFonts w:hint="eastAsia" w:hAnsi="宋体" w:cs="宋体"/>
                <w:snapToGrid w:val="0"/>
                <w:color w:val="000000"/>
                <w:kern w:val="21"/>
                <w:szCs w:val="21"/>
              </w:rPr>
            </w:pPr>
          </w:p>
        </w:tc>
        <w:tc>
          <w:tcPr>
            <w:tcW w:w="1417" w:type="dxa"/>
            <w:vAlign w:val="center"/>
          </w:tcPr>
          <w:p w14:paraId="6A87DE9E">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挥发性有机物</w:t>
            </w:r>
          </w:p>
        </w:tc>
        <w:tc>
          <w:tcPr>
            <w:tcW w:w="1701" w:type="dxa"/>
            <w:vAlign w:val="center"/>
          </w:tcPr>
          <w:p w14:paraId="79743C72">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w:t>
            </w:r>
          </w:p>
        </w:tc>
        <w:tc>
          <w:tcPr>
            <w:tcW w:w="1276" w:type="dxa"/>
            <w:vAlign w:val="center"/>
          </w:tcPr>
          <w:p w14:paraId="7B3FD493">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701" w:type="dxa"/>
            <w:vAlign w:val="center"/>
          </w:tcPr>
          <w:p w14:paraId="5ACB12A6">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43.29t/a</w:t>
            </w:r>
          </w:p>
        </w:tc>
        <w:tc>
          <w:tcPr>
            <w:tcW w:w="1559" w:type="dxa"/>
            <w:vAlign w:val="center"/>
          </w:tcPr>
          <w:p w14:paraId="3B973EE6">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13.921</w:t>
            </w:r>
            <w:r>
              <w:rPr>
                <w:rFonts w:ascii="Times New Roman"/>
                <w:snapToGrid w:val="0"/>
                <w:color w:val="000000"/>
                <w:kern w:val="21"/>
                <w:szCs w:val="21"/>
              </w:rPr>
              <w:t>t/a</w:t>
            </w:r>
          </w:p>
        </w:tc>
        <w:tc>
          <w:tcPr>
            <w:tcW w:w="1761" w:type="dxa"/>
            <w:vAlign w:val="center"/>
          </w:tcPr>
          <w:p w14:paraId="3454DA2B">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959" w:type="dxa"/>
            <w:vAlign w:val="center"/>
          </w:tcPr>
          <w:p w14:paraId="36426A94">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57.211</w:t>
            </w:r>
            <w:r>
              <w:rPr>
                <w:rFonts w:ascii="Times New Roman"/>
                <w:snapToGrid w:val="0"/>
                <w:color w:val="000000"/>
                <w:kern w:val="21"/>
                <w:szCs w:val="21"/>
              </w:rPr>
              <w:t>t/a</w:t>
            </w:r>
          </w:p>
        </w:tc>
        <w:tc>
          <w:tcPr>
            <w:tcW w:w="826" w:type="dxa"/>
            <w:vAlign w:val="center"/>
          </w:tcPr>
          <w:p w14:paraId="2CFF8A21">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w:t>
            </w:r>
            <w:r>
              <w:rPr>
                <w:rFonts w:hint="eastAsia" w:ascii="Times New Roman"/>
                <w:snapToGrid w:val="0"/>
                <w:color w:val="000000"/>
                <w:kern w:val="21"/>
                <w:szCs w:val="21"/>
              </w:rPr>
              <w:t>13.921</w:t>
            </w:r>
          </w:p>
        </w:tc>
      </w:tr>
      <w:tr w14:paraId="035E3A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7D2B0BE9">
            <w:pPr>
              <w:pStyle w:val="32"/>
              <w:spacing w:beforeLines="0" w:afterLines="0" w:line="240" w:lineRule="auto"/>
              <w:rPr>
                <w:rFonts w:hint="eastAsia" w:hAnsi="宋体" w:cs="宋体"/>
                <w:snapToGrid w:val="0"/>
                <w:color w:val="000000"/>
                <w:kern w:val="21"/>
                <w:szCs w:val="21"/>
              </w:rPr>
            </w:pPr>
          </w:p>
        </w:tc>
        <w:tc>
          <w:tcPr>
            <w:tcW w:w="1417" w:type="dxa"/>
            <w:vAlign w:val="center"/>
          </w:tcPr>
          <w:p w14:paraId="7774E127">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二氧化硫</w:t>
            </w:r>
          </w:p>
        </w:tc>
        <w:tc>
          <w:tcPr>
            <w:tcW w:w="1701" w:type="dxa"/>
            <w:vAlign w:val="center"/>
          </w:tcPr>
          <w:p w14:paraId="59EE8A94">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w:t>
            </w:r>
          </w:p>
        </w:tc>
        <w:tc>
          <w:tcPr>
            <w:tcW w:w="1276" w:type="dxa"/>
            <w:vAlign w:val="center"/>
          </w:tcPr>
          <w:p w14:paraId="2F4741E2">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701" w:type="dxa"/>
            <w:vAlign w:val="center"/>
          </w:tcPr>
          <w:p w14:paraId="5BB74714">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2.42t/a</w:t>
            </w:r>
          </w:p>
        </w:tc>
        <w:tc>
          <w:tcPr>
            <w:tcW w:w="1559" w:type="dxa"/>
            <w:vAlign w:val="center"/>
          </w:tcPr>
          <w:p w14:paraId="212EAB26">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761" w:type="dxa"/>
            <w:vAlign w:val="center"/>
          </w:tcPr>
          <w:p w14:paraId="1668A554">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959" w:type="dxa"/>
            <w:vAlign w:val="center"/>
          </w:tcPr>
          <w:p w14:paraId="479B36CC">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2.42t/a</w:t>
            </w:r>
          </w:p>
        </w:tc>
        <w:tc>
          <w:tcPr>
            <w:tcW w:w="826" w:type="dxa"/>
            <w:vAlign w:val="center"/>
          </w:tcPr>
          <w:p w14:paraId="2891FB30">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r>
      <w:tr w14:paraId="592948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50F44735">
            <w:pPr>
              <w:pStyle w:val="32"/>
              <w:spacing w:beforeLines="0" w:afterLines="0" w:line="240" w:lineRule="auto"/>
              <w:rPr>
                <w:rFonts w:hint="eastAsia" w:hAnsi="宋体" w:cs="宋体"/>
                <w:snapToGrid w:val="0"/>
                <w:color w:val="000000"/>
                <w:kern w:val="21"/>
                <w:szCs w:val="21"/>
              </w:rPr>
            </w:pPr>
          </w:p>
        </w:tc>
        <w:tc>
          <w:tcPr>
            <w:tcW w:w="1417" w:type="dxa"/>
            <w:vAlign w:val="center"/>
          </w:tcPr>
          <w:p w14:paraId="465C8D67">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颗粒物</w:t>
            </w:r>
          </w:p>
        </w:tc>
        <w:tc>
          <w:tcPr>
            <w:tcW w:w="1701" w:type="dxa"/>
            <w:vAlign w:val="center"/>
          </w:tcPr>
          <w:p w14:paraId="67A97764">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w:t>
            </w:r>
          </w:p>
        </w:tc>
        <w:tc>
          <w:tcPr>
            <w:tcW w:w="1276" w:type="dxa"/>
            <w:vAlign w:val="center"/>
          </w:tcPr>
          <w:p w14:paraId="6B562266">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701" w:type="dxa"/>
            <w:vAlign w:val="center"/>
          </w:tcPr>
          <w:p w14:paraId="6272928C">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9.12t/a</w:t>
            </w:r>
          </w:p>
        </w:tc>
        <w:tc>
          <w:tcPr>
            <w:tcW w:w="1559" w:type="dxa"/>
            <w:vAlign w:val="center"/>
          </w:tcPr>
          <w:p w14:paraId="606CE97D">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761" w:type="dxa"/>
            <w:vAlign w:val="center"/>
          </w:tcPr>
          <w:p w14:paraId="4D463813">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959" w:type="dxa"/>
            <w:vAlign w:val="center"/>
          </w:tcPr>
          <w:p w14:paraId="19E21EAD">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9.12t/a</w:t>
            </w:r>
          </w:p>
        </w:tc>
        <w:tc>
          <w:tcPr>
            <w:tcW w:w="826" w:type="dxa"/>
            <w:vAlign w:val="center"/>
          </w:tcPr>
          <w:p w14:paraId="12BF8A4C">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r>
      <w:tr w14:paraId="78DB80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Align w:val="center"/>
          </w:tcPr>
          <w:p w14:paraId="08A0EBD0">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废水</w:t>
            </w:r>
          </w:p>
        </w:tc>
        <w:tc>
          <w:tcPr>
            <w:tcW w:w="1417" w:type="dxa"/>
            <w:vAlign w:val="center"/>
          </w:tcPr>
          <w:p w14:paraId="2083350D">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废水量</w:t>
            </w:r>
          </w:p>
        </w:tc>
        <w:tc>
          <w:tcPr>
            <w:tcW w:w="1701" w:type="dxa"/>
            <w:vAlign w:val="center"/>
          </w:tcPr>
          <w:p w14:paraId="6496E6D2">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276" w:type="dxa"/>
            <w:vAlign w:val="center"/>
          </w:tcPr>
          <w:p w14:paraId="0C2201D9">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701" w:type="dxa"/>
            <w:vAlign w:val="center"/>
          </w:tcPr>
          <w:p w14:paraId="0FADA977">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181475.8 t/a</w:t>
            </w:r>
          </w:p>
        </w:tc>
        <w:tc>
          <w:tcPr>
            <w:tcW w:w="1559" w:type="dxa"/>
            <w:vAlign w:val="center"/>
          </w:tcPr>
          <w:p w14:paraId="144B0696">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77.76t/a</w:t>
            </w:r>
          </w:p>
        </w:tc>
        <w:tc>
          <w:tcPr>
            <w:tcW w:w="1761" w:type="dxa"/>
            <w:vAlign w:val="center"/>
          </w:tcPr>
          <w:p w14:paraId="1D485F7E">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959" w:type="dxa"/>
            <w:vAlign w:val="center"/>
          </w:tcPr>
          <w:p w14:paraId="7C8424AF">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181553.56 t/a</w:t>
            </w:r>
          </w:p>
        </w:tc>
        <w:tc>
          <w:tcPr>
            <w:tcW w:w="826" w:type="dxa"/>
            <w:vAlign w:val="center"/>
          </w:tcPr>
          <w:p w14:paraId="74804B73">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+77.76</w:t>
            </w:r>
          </w:p>
        </w:tc>
      </w:tr>
      <w:tr w14:paraId="7E89F0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735CD904">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一般固体废物</w:t>
            </w:r>
          </w:p>
        </w:tc>
        <w:tc>
          <w:tcPr>
            <w:tcW w:w="1417" w:type="dxa"/>
            <w:vAlign w:val="center"/>
          </w:tcPr>
          <w:p w14:paraId="4BFE6E6E">
            <w:pPr>
              <w:pStyle w:val="32"/>
              <w:spacing w:beforeLines="0" w:afterLines="0" w:line="240" w:lineRule="auto"/>
              <w:rPr>
                <w:rFonts w:hint="eastAsia" w:hAnsi="宋体" w:cs="宋体"/>
                <w:snapToGrid w:val="0"/>
                <w:color w:val="000000"/>
                <w:kern w:val="21"/>
                <w:szCs w:val="21"/>
              </w:rPr>
            </w:pPr>
            <w:r>
              <w:rPr>
                <w:rFonts w:hint="eastAsia" w:hAnsi="宋体" w:cs="宋体"/>
                <w:color w:val="000000" w:themeColor="text1"/>
                <w:sz w:val="18"/>
                <w:szCs w:val="18"/>
                <w14:textFill>
                  <w14:solidFill>
                    <w14:schemeClr w14:val="tx1"/>
                  </w14:solidFill>
                </w14:textFill>
              </w:rPr>
              <w:t>废超滤膜</w:t>
            </w:r>
          </w:p>
        </w:tc>
        <w:tc>
          <w:tcPr>
            <w:tcW w:w="1701" w:type="dxa"/>
            <w:vAlign w:val="center"/>
          </w:tcPr>
          <w:p w14:paraId="7ADF5516">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276" w:type="dxa"/>
            <w:vAlign w:val="center"/>
          </w:tcPr>
          <w:p w14:paraId="64D0391B">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701" w:type="dxa"/>
            <w:vAlign w:val="center"/>
          </w:tcPr>
          <w:p w14:paraId="232BB46D">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8t/a</w:t>
            </w:r>
          </w:p>
        </w:tc>
        <w:tc>
          <w:tcPr>
            <w:tcW w:w="1559" w:type="dxa"/>
            <w:vAlign w:val="center"/>
          </w:tcPr>
          <w:p w14:paraId="5EB5777D">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c>
          <w:tcPr>
            <w:tcW w:w="1761" w:type="dxa"/>
            <w:vAlign w:val="center"/>
          </w:tcPr>
          <w:p w14:paraId="72B5D198">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959" w:type="dxa"/>
            <w:vAlign w:val="center"/>
          </w:tcPr>
          <w:p w14:paraId="4436B698">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8t/a</w:t>
            </w:r>
          </w:p>
        </w:tc>
        <w:tc>
          <w:tcPr>
            <w:tcW w:w="826" w:type="dxa"/>
            <w:vAlign w:val="center"/>
          </w:tcPr>
          <w:p w14:paraId="0207C129">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r>
      <w:tr w14:paraId="5277D9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0CDC3798">
            <w:pPr>
              <w:pStyle w:val="32"/>
              <w:spacing w:beforeLines="0" w:afterLines="0" w:line="240" w:lineRule="auto"/>
              <w:rPr>
                <w:rFonts w:hint="eastAsia" w:hAnsi="宋体" w:cs="宋体"/>
                <w:snapToGrid w:val="0"/>
                <w:color w:val="000000"/>
                <w:kern w:val="21"/>
                <w:szCs w:val="21"/>
              </w:rPr>
            </w:pPr>
          </w:p>
        </w:tc>
        <w:tc>
          <w:tcPr>
            <w:tcW w:w="1417" w:type="dxa"/>
            <w:vAlign w:val="center"/>
          </w:tcPr>
          <w:p w14:paraId="774D8B92">
            <w:pPr>
              <w:pStyle w:val="32"/>
              <w:spacing w:beforeLines="0" w:afterLines="0" w:line="240" w:lineRule="auto"/>
              <w:rPr>
                <w:rFonts w:hint="eastAsia" w:hAnsi="宋体" w:cs="宋体"/>
                <w:snapToGrid w:val="0"/>
                <w:color w:val="000000"/>
                <w:kern w:val="21"/>
                <w:szCs w:val="21"/>
              </w:rPr>
            </w:pPr>
            <w:r>
              <w:rPr>
                <w:rFonts w:hint="eastAsia" w:hAnsi="宋体" w:cs="宋体"/>
                <w:color w:val="000000" w:themeColor="text1"/>
                <w:sz w:val="18"/>
                <w:szCs w:val="18"/>
                <w14:textFill>
                  <w14:solidFill>
                    <w14:schemeClr w14:val="tx1"/>
                  </w14:solidFill>
                </w14:textFill>
              </w:rPr>
              <w:t>废反渗透膜</w:t>
            </w:r>
          </w:p>
        </w:tc>
        <w:tc>
          <w:tcPr>
            <w:tcW w:w="1701" w:type="dxa"/>
            <w:vAlign w:val="center"/>
          </w:tcPr>
          <w:p w14:paraId="74F05992">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276" w:type="dxa"/>
            <w:vAlign w:val="center"/>
          </w:tcPr>
          <w:p w14:paraId="43A927DB">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701" w:type="dxa"/>
            <w:vAlign w:val="center"/>
          </w:tcPr>
          <w:p w14:paraId="4B6AD31A">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0.5t/a</w:t>
            </w:r>
          </w:p>
        </w:tc>
        <w:tc>
          <w:tcPr>
            <w:tcW w:w="1559" w:type="dxa"/>
            <w:vAlign w:val="center"/>
          </w:tcPr>
          <w:p w14:paraId="5C315E6A">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c>
          <w:tcPr>
            <w:tcW w:w="1761" w:type="dxa"/>
            <w:vAlign w:val="center"/>
          </w:tcPr>
          <w:p w14:paraId="6CFFFDC5">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959" w:type="dxa"/>
            <w:vAlign w:val="center"/>
          </w:tcPr>
          <w:p w14:paraId="33B752AC">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0.5</w:t>
            </w:r>
          </w:p>
        </w:tc>
        <w:tc>
          <w:tcPr>
            <w:tcW w:w="826" w:type="dxa"/>
            <w:vAlign w:val="center"/>
          </w:tcPr>
          <w:p w14:paraId="1AEB5DBD">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r>
      <w:tr w14:paraId="7B08ED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7F7BD5D3">
            <w:pPr>
              <w:pStyle w:val="32"/>
              <w:spacing w:beforeLines="0" w:afterLines="0" w:line="240" w:lineRule="auto"/>
              <w:rPr>
                <w:rFonts w:hint="eastAsia" w:hAnsi="宋体" w:cs="宋体"/>
                <w:snapToGrid w:val="0"/>
                <w:color w:val="000000"/>
                <w:kern w:val="21"/>
                <w:szCs w:val="21"/>
              </w:rPr>
            </w:pPr>
          </w:p>
        </w:tc>
        <w:tc>
          <w:tcPr>
            <w:tcW w:w="1417" w:type="dxa"/>
            <w:vAlign w:val="center"/>
          </w:tcPr>
          <w:p w14:paraId="4CC6FE5B">
            <w:pPr>
              <w:pStyle w:val="32"/>
              <w:spacing w:beforeLines="0" w:afterLines="0" w:line="240" w:lineRule="auto"/>
              <w:rPr>
                <w:rFonts w:hint="eastAsia" w:hAnsi="宋体" w:cs="宋体"/>
                <w:snapToGrid w:val="0"/>
                <w:color w:val="000000"/>
                <w:kern w:val="21"/>
                <w:szCs w:val="21"/>
              </w:rPr>
            </w:pPr>
            <w:r>
              <w:rPr>
                <w:rFonts w:hint="eastAsia" w:hAnsi="宋体" w:cs="宋体"/>
                <w:color w:val="000000" w:themeColor="text1"/>
                <w:sz w:val="18"/>
                <w:szCs w:val="18"/>
                <w14:textFill>
                  <w14:solidFill>
                    <w14:schemeClr w14:val="tx1"/>
                  </w14:solidFill>
                </w14:textFill>
              </w:rPr>
              <w:t>废过滤材料</w:t>
            </w:r>
          </w:p>
        </w:tc>
        <w:tc>
          <w:tcPr>
            <w:tcW w:w="1701" w:type="dxa"/>
            <w:vAlign w:val="center"/>
          </w:tcPr>
          <w:p w14:paraId="0918C8E5">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276" w:type="dxa"/>
            <w:vAlign w:val="center"/>
          </w:tcPr>
          <w:p w14:paraId="16DFB8E2">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701" w:type="dxa"/>
            <w:vAlign w:val="center"/>
          </w:tcPr>
          <w:p w14:paraId="1FC478B7">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0.5t/a</w:t>
            </w:r>
          </w:p>
        </w:tc>
        <w:tc>
          <w:tcPr>
            <w:tcW w:w="1559" w:type="dxa"/>
            <w:vAlign w:val="center"/>
          </w:tcPr>
          <w:p w14:paraId="4F57CA50">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c>
          <w:tcPr>
            <w:tcW w:w="1761" w:type="dxa"/>
            <w:vAlign w:val="center"/>
          </w:tcPr>
          <w:p w14:paraId="75F943FD">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959" w:type="dxa"/>
            <w:vAlign w:val="center"/>
          </w:tcPr>
          <w:p w14:paraId="76B23472">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0.5</w:t>
            </w:r>
          </w:p>
        </w:tc>
        <w:tc>
          <w:tcPr>
            <w:tcW w:w="826" w:type="dxa"/>
            <w:vAlign w:val="center"/>
          </w:tcPr>
          <w:p w14:paraId="2D92FD37">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r>
      <w:tr w14:paraId="13FD04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209CEA8E">
            <w:pPr>
              <w:pStyle w:val="32"/>
              <w:spacing w:beforeLines="0" w:afterLines="0" w:line="240" w:lineRule="auto"/>
              <w:rPr>
                <w:rFonts w:hint="eastAsia" w:hAnsi="宋体" w:cs="宋体"/>
                <w:snapToGrid w:val="0"/>
                <w:color w:val="000000"/>
                <w:kern w:val="21"/>
                <w:szCs w:val="21"/>
              </w:rPr>
            </w:pPr>
          </w:p>
        </w:tc>
        <w:tc>
          <w:tcPr>
            <w:tcW w:w="1417" w:type="dxa"/>
            <w:vAlign w:val="center"/>
          </w:tcPr>
          <w:p w14:paraId="3EDEFF76">
            <w:pPr>
              <w:pStyle w:val="32"/>
              <w:spacing w:beforeLines="0" w:afterLines="0" w:line="240" w:lineRule="auto"/>
              <w:rPr>
                <w:rFonts w:hint="eastAsia" w:hAnsi="宋体" w:cs="宋体"/>
                <w:snapToGrid w:val="0"/>
                <w:color w:val="000000"/>
                <w:kern w:val="21"/>
                <w:szCs w:val="21"/>
              </w:rPr>
            </w:pPr>
            <w:r>
              <w:rPr>
                <w:rFonts w:hint="eastAsia" w:hAnsi="宋体" w:cs="宋体"/>
                <w:color w:val="000000" w:themeColor="text1"/>
                <w:sz w:val="18"/>
                <w:szCs w:val="18"/>
                <w14:textFill>
                  <w14:solidFill>
                    <w14:schemeClr w14:val="tx1"/>
                  </w14:solidFill>
                </w14:textFill>
              </w:rPr>
              <w:t>非危化品废包装</w:t>
            </w:r>
          </w:p>
        </w:tc>
        <w:tc>
          <w:tcPr>
            <w:tcW w:w="1701" w:type="dxa"/>
            <w:vAlign w:val="center"/>
          </w:tcPr>
          <w:p w14:paraId="0BFB1C59">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276" w:type="dxa"/>
            <w:vAlign w:val="center"/>
          </w:tcPr>
          <w:p w14:paraId="3B7B4AF0">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701" w:type="dxa"/>
            <w:vAlign w:val="center"/>
          </w:tcPr>
          <w:p w14:paraId="03F6B368">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0.1t/a</w:t>
            </w:r>
          </w:p>
        </w:tc>
        <w:tc>
          <w:tcPr>
            <w:tcW w:w="1559" w:type="dxa"/>
            <w:vAlign w:val="center"/>
          </w:tcPr>
          <w:p w14:paraId="2A4D4492">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c>
          <w:tcPr>
            <w:tcW w:w="1761" w:type="dxa"/>
            <w:vAlign w:val="center"/>
          </w:tcPr>
          <w:p w14:paraId="714C59D2">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959" w:type="dxa"/>
            <w:vAlign w:val="center"/>
          </w:tcPr>
          <w:p w14:paraId="191EC3C1">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0.1t/a</w:t>
            </w:r>
          </w:p>
        </w:tc>
        <w:tc>
          <w:tcPr>
            <w:tcW w:w="826" w:type="dxa"/>
            <w:vAlign w:val="center"/>
          </w:tcPr>
          <w:p w14:paraId="4C487D55">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r>
      <w:tr w14:paraId="5E6034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6F07365A">
            <w:pPr>
              <w:pStyle w:val="32"/>
              <w:spacing w:beforeLines="0" w:afterLines="0" w:line="240" w:lineRule="auto"/>
              <w:rPr>
                <w:rFonts w:hint="eastAsia" w:hAnsi="宋体" w:cs="宋体"/>
                <w:snapToGrid w:val="0"/>
                <w:color w:val="000000"/>
                <w:kern w:val="21"/>
                <w:szCs w:val="21"/>
              </w:rPr>
            </w:pPr>
          </w:p>
        </w:tc>
        <w:tc>
          <w:tcPr>
            <w:tcW w:w="1417" w:type="dxa"/>
            <w:vAlign w:val="center"/>
          </w:tcPr>
          <w:p w14:paraId="02BD1BBA">
            <w:pPr>
              <w:pStyle w:val="32"/>
              <w:spacing w:beforeLines="0" w:afterLines="0" w:line="240" w:lineRule="auto"/>
              <w:rPr>
                <w:rFonts w:hint="eastAsia" w:hAnsi="宋体" w:cs="宋体"/>
                <w:color w:val="000000" w:themeColor="text1"/>
                <w:sz w:val="18"/>
                <w:szCs w:val="18"/>
                <w14:textFill>
                  <w14:solidFill>
                    <w14:schemeClr w14:val="tx1"/>
                  </w14:solidFill>
                </w14:textFill>
              </w:rPr>
            </w:pPr>
            <w:r>
              <w:rPr>
                <w:rFonts w:hint="eastAsia" w:hAnsi="宋体" w:cs="宋体"/>
                <w:color w:val="000000" w:themeColor="text1"/>
                <w:sz w:val="18"/>
                <w:szCs w:val="18"/>
                <w14:textFill>
                  <w14:solidFill>
                    <w14:schemeClr w14:val="tx1"/>
                  </w14:solidFill>
                </w14:textFill>
              </w:rPr>
              <w:t>废吸附剂</w:t>
            </w:r>
          </w:p>
        </w:tc>
        <w:tc>
          <w:tcPr>
            <w:tcW w:w="1701" w:type="dxa"/>
            <w:vAlign w:val="center"/>
          </w:tcPr>
          <w:p w14:paraId="2BDD59F5">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w:t>
            </w:r>
          </w:p>
        </w:tc>
        <w:tc>
          <w:tcPr>
            <w:tcW w:w="1276" w:type="dxa"/>
            <w:vAlign w:val="center"/>
          </w:tcPr>
          <w:p w14:paraId="65D0C600">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w:t>
            </w:r>
          </w:p>
        </w:tc>
        <w:tc>
          <w:tcPr>
            <w:tcW w:w="1701" w:type="dxa"/>
            <w:vAlign w:val="center"/>
          </w:tcPr>
          <w:p w14:paraId="1548CF1C">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18t/a</w:t>
            </w:r>
          </w:p>
        </w:tc>
        <w:tc>
          <w:tcPr>
            <w:tcW w:w="1559" w:type="dxa"/>
            <w:vAlign w:val="center"/>
          </w:tcPr>
          <w:p w14:paraId="253E283C">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c>
          <w:tcPr>
            <w:tcW w:w="1761" w:type="dxa"/>
            <w:vAlign w:val="center"/>
          </w:tcPr>
          <w:p w14:paraId="5C9A4F13">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959" w:type="dxa"/>
            <w:vAlign w:val="center"/>
          </w:tcPr>
          <w:p w14:paraId="26D87E78">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18t/a</w:t>
            </w:r>
          </w:p>
        </w:tc>
        <w:tc>
          <w:tcPr>
            <w:tcW w:w="826" w:type="dxa"/>
            <w:vAlign w:val="center"/>
          </w:tcPr>
          <w:p w14:paraId="5A789104">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r>
      <w:tr w14:paraId="3AAFA4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5AE1D169">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危险废物</w:t>
            </w:r>
          </w:p>
        </w:tc>
        <w:tc>
          <w:tcPr>
            <w:tcW w:w="1417" w:type="dxa"/>
            <w:vAlign w:val="center"/>
          </w:tcPr>
          <w:p w14:paraId="242B8529">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污泥</w:t>
            </w:r>
          </w:p>
        </w:tc>
        <w:tc>
          <w:tcPr>
            <w:tcW w:w="1701" w:type="dxa"/>
            <w:vAlign w:val="center"/>
          </w:tcPr>
          <w:p w14:paraId="34A02B78">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276" w:type="dxa"/>
            <w:vAlign w:val="center"/>
          </w:tcPr>
          <w:p w14:paraId="7FB06F8F">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701" w:type="dxa"/>
            <w:vAlign w:val="center"/>
          </w:tcPr>
          <w:p w14:paraId="2EB4C067">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1t/a</w:t>
            </w:r>
          </w:p>
        </w:tc>
        <w:tc>
          <w:tcPr>
            <w:tcW w:w="1559" w:type="dxa"/>
            <w:vAlign w:val="center"/>
          </w:tcPr>
          <w:p w14:paraId="67460835">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c>
          <w:tcPr>
            <w:tcW w:w="1761" w:type="dxa"/>
            <w:vAlign w:val="center"/>
          </w:tcPr>
          <w:p w14:paraId="04B5BC77">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959" w:type="dxa"/>
            <w:vAlign w:val="center"/>
          </w:tcPr>
          <w:p w14:paraId="4B0BC139">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1t/a</w:t>
            </w:r>
          </w:p>
        </w:tc>
        <w:tc>
          <w:tcPr>
            <w:tcW w:w="826" w:type="dxa"/>
            <w:vAlign w:val="center"/>
          </w:tcPr>
          <w:p w14:paraId="1D00970E">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r>
      <w:tr w14:paraId="6B51B1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23A11669">
            <w:pPr>
              <w:pStyle w:val="32"/>
              <w:spacing w:beforeLines="0" w:afterLines="0" w:line="240" w:lineRule="auto"/>
              <w:rPr>
                <w:rFonts w:hint="eastAsia" w:hAnsi="宋体" w:cs="宋体"/>
                <w:snapToGrid w:val="0"/>
                <w:color w:val="000000"/>
                <w:kern w:val="21"/>
                <w:szCs w:val="21"/>
              </w:rPr>
            </w:pPr>
          </w:p>
        </w:tc>
        <w:tc>
          <w:tcPr>
            <w:tcW w:w="1417" w:type="dxa"/>
            <w:vAlign w:val="center"/>
          </w:tcPr>
          <w:p w14:paraId="75E586CB">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废油</w:t>
            </w:r>
          </w:p>
        </w:tc>
        <w:tc>
          <w:tcPr>
            <w:tcW w:w="1701" w:type="dxa"/>
            <w:vAlign w:val="center"/>
          </w:tcPr>
          <w:p w14:paraId="017112FC">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276" w:type="dxa"/>
            <w:vAlign w:val="center"/>
          </w:tcPr>
          <w:p w14:paraId="69F1FD20">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701" w:type="dxa"/>
            <w:vAlign w:val="center"/>
          </w:tcPr>
          <w:p w14:paraId="03889B95">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0.1t/a</w:t>
            </w:r>
          </w:p>
        </w:tc>
        <w:tc>
          <w:tcPr>
            <w:tcW w:w="1559" w:type="dxa"/>
            <w:vAlign w:val="center"/>
          </w:tcPr>
          <w:p w14:paraId="2AC551BC">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c>
          <w:tcPr>
            <w:tcW w:w="1761" w:type="dxa"/>
            <w:vAlign w:val="center"/>
          </w:tcPr>
          <w:p w14:paraId="6EDD7262">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959" w:type="dxa"/>
            <w:vAlign w:val="center"/>
          </w:tcPr>
          <w:p w14:paraId="407A18AE">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0.1t/a</w:t>
            </w:r>
          </w:p>
        </w:tc>
        <w:tc>
          <w:tcPr>
            <w:tcW w:w="826" w:type="dxa"/>
            <w:vAlign w:val="center"/>
          </w:tcPr>
          <w:p w14:paraId="2711A773">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r>
      <w:tr w14:paraId="72B787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0C5193EC">
            <w:pPr>
              <w:pStyle w:val="32"/>
              <w:spacing w:beforeLines="0" w:afterLines="0" w:line="240" w:lineRule="auto"/>
              <w:rPr>
                <w:rFonts w:hint="eastAsia" w:hAnsi="宋体" w:cs="宋体"/>
                <w:snapToGrid w:val="0"/>
                <w:color w:val="000000"/>
                <w:kern w:val="21"/>
                <w:szCs w:val="21"/>
              </w:rPr>
            </w:pPr>
          </w:p>
        </w:tc>
        <w:tc>
          <w:tcPr>
            <w:tcW w:w="1417" w:type="dxa"/>
            <w:vAlign w:val="center"/>
          </w:tcPr>
          <w:p w14:paraId="30A47870">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废活性炭</w:t>
            </w:r>
          </w:p>
        </w:tc>
        <w:tc>
          <w:tcPr>
            <w:tcW w:w="1701" w:type="dxa"/>
            <w:vAlign w:val="center"/>
          </w:tcPr>
          <w:p w14:paraId="30AD20E7">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276" w:type="dxa"/>
            <w:vAlign w:val="center"/>
          </w:tcPr>
          <w:p w14:paraId="7CD40AF1">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701" w:type="dxa"/>
            <w:vAlign w:val="center"/>
          </w:tcPr>
          <w:p w14:paraId="6DB4B543">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1.56t/a</w:t>
            </w:r>
          </w:p>
        </w:tc>
        <w:tc>
          <w:tcPr>
            <w:tcW w:w="1559" w:type="dxa"/>
            <w:vAlign w:val="center"/>
          </w:tcPr>
          <w:p w14:paraId="489AB2F7">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3t/a</w:t>
            </w:r>
          </w:p>
        </w:tc>
        <w:tc>
          <w:tcPr>
            <w:tcW w:w="1761" w:type="dxa"/>
            <w:vAlign w:val="center"/>
          </w:tcPr>
          <w:p w14:paraId="71D08FA9">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959" w:type="dxa"/>
            <w:vAlign w:val="center"/>
          </w:tcPr>
          <w:p w14:paraId="69242FBE">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4.56</w:t>
            </w:r>
            <w:r>
              <w:rPr>
                <w:rFonts w:ascii="Times New Roman"/>
                <w:snapToGrid w:val="0"/>
                <w:color w:val="000000"/>
                <w:kern w:val="21"/>
                <w:szCs w:val="21"/>
              </w:rPr>
              <w:t>t/a</w:t>
            </w:r>
          </w:p>
        </w:tc>
        <w:tc>
          <w:tcPr>
            <w:tcW w:w="826" w:type="dxa"/>
            <w:vAlign w:val="center"/>
          </w:tcPr>
          <w:p w14:paraId="2C4874DA">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+3</w:t>
            </w:r>
          </w:p>
        </w:tc>
      </w:tr>
      <w:tr w14:paraId="0EA9D3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05C66A88">
            <w:pPr>
              <w:pStyle w:val="32"/>
              <w:spacing w:beforeLines="0" w:afterLines="0" w:line="240" w:lineRule="auto"/>
              <w:rPr>
                <w:rFonts w:hint="eastAsia" w:hAnsi="宋体" w:cs="宋体"/>
                <w:snapToGrid w:val="0"/>
                <w:color w:val="000000"/>
                <w:kern w:val="21"/>
                <w:szCs w:val="21"/>
              </w:rPr>
            </w:pPr>
          </w:p>
        </w:tc>
        <w:tc>
          <w:tcPr>
            <w:tcW w:w="1417" w:type="dxa"/>
            <w:vAlign w:val="center"/>
          </w:tcPr>
          <w:p w14:paraId="27F1898C">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废变压器油</w:t>
            </w:r>
          </w:p>
        </w:tc>
        <w:tc>
          <w:tcPr>
            <w:tcW w:w="1701" w:type="dxa"/>
            <w:vAlign w:val="center"/>
          </w:tcPr>
          <w:p w14:paraId="783684CA">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276" w:type="dxa"/>
            <w:vAlign w:val="center"/>
          </w:tcPr>
          <w:p w14:paraId="5E913DC8">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701" w:type="dxa"/>
            <w:vAlign w:val="center"/>
          </w:tcPr>
          <w:p w14:paraId="04FBFA00">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5m</w:t>
            </w:r>
            <w:r>
              <w:rPr>
                <w:rFonts w:ascii="Times New Roman"/>
                <w:snapToGrid w:val="0"/>
                <w:color w:val="000000"/>
                <w:kern w:val="21"/>
                <w:szCs w:val="21"/>
                <w:vertAlign w:val="superscript"/>
              </w:rPr>
              <w:t>3</w:t>
            </w:r>
            <w:r>
              <w:rPr>
                <w:rFonts w:ascii="Times New Roman"/>
                <w:snapToGrid w:val="0"/>
                <w:color w:val="000000"/>
                <w:kern w:val="21"/>
                <w:szCs w:val="21"/>
              </w:rPr>
              <w:t>/a</w:t>
            </w:r>
          </w:p>
        </w:tc>
        <w:tc>
          <w:tcPr>
            <w:tcW w:w="1559" w:type="dxa"/>
            <w:vAlign w:val="center"/>
          </w:tcPr>
          <w:p w14:paraId="51B28B65">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c>
          <w:tcPr>
            <w:tcW w:w="1761" w:type="dxa"/>
            <w:vAlign w:val="center"/>
          </w:tcPr>
          <w:p w14:paraId="499A80C6">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959" w:type="dxa"/>
            <w:vAlign w:val="center"/>
          </w:tcPr>
          <w:p w14:paraId="474B1906">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5m</w:t>
            </w:r>
            <w:r>
              <w:rPr>
                <w:rFonts w:ascii="Times New Roman"/>
                <w:snapToGrid w:val="0"/>
                <w:color w:val="000000"/>
                <w:kern w:val="21"/>
                <w:szCs w:val="21"/>
                <w:vertAlign w:val="superscript"/>
              </w:rPr>
              <w:t>3</w:t>
            </w:r>
            <w:r>
              <w:rPr>
                <w:rFonts w:ascii="Times New Roman"/>
                <w:snapToGrid w:val="0"/>
                <w:color w:val="000000"/>
                <w:kern w:val="21"/>
                <w:szCs w:val="21"/>
              </w:rPr>
              <w:t>/a</w:t>
            </w:r>
          </w:p>
        </w:tc>
        <w:tc>
          <w:tcPr>
            <w:tcW w:w="826" w:type="dxa"/>
            <w:vAlign w:val="center"/>
          </w:tcPr>
          <w:p w14:paraId="270BE701">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r>
      <w:tr w14:paraId="5CBF2B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72E7A808">
            <w:pPr>
              <w:pStyle w:val="32"/>
              <w:spacing w:beforeLines="0" w:afterLines="0" w:line="240" w:lineRule="auto"/>
              <w:rPr>
                <w:rFonts w:hint="eastAsia" w:hAnsi="宋体" w:cs="宋体"/>
                <w:snapToGrid w:val="0"/>
                <w:color w:val="000000"/>
                <w:kern w:val="21"/>
                <w:szCs w:val="21"/>
              </w:rPr>
            </w:pPr>
          </w:p>
        </w:tc>
        <w:tc>
          <w:tcPr>
            <w:tcW w:w="1417" w:type="dxa"/>
            <w:vAlign w:val="center"/>
          </w:tcPr>
          <w:p w14:paraId="3C262FF2">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废铅蓄电池</w:t>
            </w:r>
          </w:p>
        </w:tc>
        <w:tc>
          <w:tcPr>
            <w:tcW w:w="1701" w:type="dxa"/>
            <w:vAlign w:val="center"/>
          </w:tcPr>
          <w:p w14:paraId="200A2644">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276" w:type="dxa"/>
            <w:vAlign w:val="center"/>
          </w:tcPr>
          <w:p w14:paraId="406ABFE4">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701" w:type="dxa"/>
            <w:vAlign w:val="center"/>
          </w:tcPr>
          <w:p w14:paraId="5A5068B7">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0.72t/a</w:t>
            </w:r>
          </w:p>
        </w:tc>
        <w:tc>
          <w:tcPr>
            <w:tcW w:w="1559" w:type="dxa"/>
            <w:vAlign w:val="center"/>
          </w:tcPr>
          <w:p w14:paraId="59CE1AFB">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c>
          <w:tcPr>
            <w:tcW w:w="1761" w:type="dxa"/>
            <w:vAlign w:val="center"/>
          </w:tcPr>
          <w:p w14:paraId="52EDFB9B">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959" w:type="dxa"/>
            <w:vAlign w:val="center"/>
          </w:tcPr>
          <w:p w14:paraId="0EDA3CC8">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0.72t/a</w:t>
            </w:r>
          </w:p>
        </w:tc>
        <w:tc>
          <w:tcPr>
            <w:tcW w:w="826" w:type="dxa"/>
            <w:vAlign w:val="center"/>
          </w:tcPr>
          <w:p w14:paraId="655A8578">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r>
      <w:tr w14:paraId="5AA9A0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2CE19A1C">
            <w:pPr>
              <w:pStyle w:val="32"/>
              <w:spacing w:beforeLines="0" w:afterLines="0" w:line="240" w:lineRule="auto"/>
              <w:rPr>
                <w:rFonts w:hint="eastAsia" w:hAnsi="宋体" w:cs="宋体"/>
                <w:snapToGrid w:val="0"/>
                <w:color w:val="000000"/>
                <w:kern w:val="21"/>
                <w:szCs w:val="21"/>
              </w:rPr>
            </w:pPr>
          </w:p>
        </w:tc>
        <w:tc>
          <w:tcPr>
            <w:tcW w:w="1417" w:type="dxa"/>
            <w:vAlign w:val="center"/>
          </w:tcPr>
          <w:p w14:paraId="65E1E85B">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废试剂瓶</w:t>
            </w:r>
          </w:p>
        </w:tc>
        <w:tc>
          <w:tcPr>
            <w:tcW w:w="1701" w:type="dxa"/>
            <w:vAlign w:val="center"/>
          </w:tcPr>
          <w:p w14:paraId="269BD024">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276" w:type="dxa"/>
            <w:vAlign w:val="center"/>
          </w:tcPr>
          <w:p w14:paraId="428CA9D4">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701" w:type="dxa"/>
            <w:vAlign w:val="center"/>
          </w:tcPr>
          <w:p w14:paraId="295BFF10">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0.1t/a</w:t>
            </w:r>
          </w:p>
        </w:tc>
        <w:tc>
          <w:tcPr>
            <w:tcW w:w="1559" w:type="dxa"/>
            <w:vAlign w:val="center"/>
          </w:tcPr>
          <w:p w14:paraId="4954C282">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c>
          <w:tcPr>
            <w:tcW w:w="1761" w:type="dxa"/>
            <w:vAlign w:val="center"/>
          </w:tcPr>
          <w:p w14:paraId="53B6C9D2">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959" w:type="dxa"/>
            <w:vAlign w:val="center"/>
          </w:tcPr>
          <w:p w14:paraId="266959E7">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0.1t/a</w:t>
            </w:r>
          </w:p>
        </w:tc>
        <w:tc>
          <w:tcPr>
            <w:tcW w:w="826" w:type="dxa"/>
            <w:vAlign w:val="center"/>
          </w:tcPr>
          <w:p w14:paraId="32AAB9E0">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r>
      <w:tr w14:paraId="6DADC4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1359A571">
            <w:pPr>
              <w:pStyle w:val="32"/>
              <w:spacing w:beforeLines="0" w:afterLines="0" w:line="240" w:lineRule="auto"/>
              <w:rPr>
                <w:rFonts w:hint="eastAsia" w:hAnsi="宋体" w:cs="宋体"/>
                <w:snapToGrid w:val="0"/>
                <w:color w:val="000000"/>
                <w:kern w:val="21"/>
                <w:szCs w:val="21"/>
              </w:rPr>
            </w:pPr>
          </w:p>
        </w:tc>
        <w:tc>
          <w:tcPr>
            <w:tcW w:w="1417" w:type="dxa"/>
            <w:vAlign w:val="center"/>
          </w:tcPr>
          <w:p w14:paraId="712C9985">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废机油</w:t>
            </w:r>
          </w:p>
        </w:tc>
        <w:tc>
          <w:tcPr>
            <w:tcW w:w="1701" w:type="dxa"/>
            <w:vAlign w:val="center"/>
          </w:tcPr>
          <w:p w14:paraId="570A695E">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276" w:type="dxa"/>
            <w:vAlign w:val="center"/>
          </w:tcPr>
          <w:p w14:paraId="45792446">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701" w:type="dxa"/>
            <w:vAlign w:val="center"/>
          </w:tcPr>
          <w:p w14:paraId="53716533">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0.5t/a</w:t>
            </w:r>
          </w:p>
        </w:tc>
        <w:tc>
          <w:tcPr>
            <w:tcW w:w="1559" w:type="dxa"/>
            <w:vAlign w:val="center"/>
          </w:tcPr>
          <w:p w14:paraId="40443237">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c>
          <w:tcPr>
            <w:tcW w:w="1761" w:type="dxa"/>
            <w:vAlign w:val="center"/>
          </w:tcPr>
          <w:p w14:paraId="134735E9">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959" w:type="dxa"/>
            <w:vAlign w:val="center"/>
          </w:tcPr>
          <w:p w14:paraId="2DEBDB86">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0.5t/a</w:t>
            </w:r>
          </w:p>
        </w:tc>
        <w:tc>
          <w:tcPr>
            <w:tcW w:w="826" w:type="dxa"/>
            <w:vAlign w:val="center"/>
          </w:tcPr>
          <w:p w14:paraId="4C518024">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r>
      <w:tr w14:paraId="727F64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3E56C579">
            <w:pPr>
              <w:pStyle w:val="32"/>
              <w:spacing w:beforeLines="0" w:afterLines="0" w:line="240" w:lineRule="auto"/>
              <w:rPr>
                <w:rFonts w:hint="eastAsia" w:hAnsi="宋体" w:cs="宋体"/>
                <w:snapToGrid w:val="0"/>
                <w:color w:val="000000"/>
                <w:kern w:val="21"/>
                <w:szCs w:val="21"/>
              </w:rPr>
            </w:pPr>
          </w:p>
        </w:tc>
        <w:tc>
          <w:tcPr>
            <w:tcW w:w="1417" w:type="dxa"/>
            <w:vAlign w:val="center"/>
          </w:tcPr>
          <w:p w14:paraId="21E28E4C">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废油桶</w:t>
            </w:r>
          </w:p>
        </w:tc>
        <w:tc>
          <w:tcPr>
            <w:tcW w:w="1701" w:type="dxa"/>
            <w:vAlign w:val="center"/>
          </w:tcPr>
          <w:p w14:paraId="0B79BD33">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276" w:type="dxa"/>
            <w:vAlign w:val="center"/>
          </w:tcPr>
          <w:p w14:paraId="585BFADC">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701" w:type="dxa"/>
            <w:vAlign w:val="center"/>
          </w:tcPr>
          <w:p w14:paraId="5BB39FA3">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0.1 t/a</w:t>
            </w:r>
          </w:p>
        </w:tc>
        <w:tc>
          <w:tcPr>
            <w:tcW w:w="1559" w:type="dxa"/>
            <w:vAlign w:val="center"/>
          </w:tcPr>
          <w:p w14:paraId="150028A1">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c>
          <w:tcPr>
            <w:tcW w:w="1761" w:type="dxa"/>
            <w:vAlign w:val="center"/>
          </w:tcPr>
          <w:p w14:paraId="422357FE">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959" w:type="dxa"/>
            <w:vAlign w:val="center"/>
          </w:tcPr>
          <w:p w14:paraId="60F38B41">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0.1 t/a</w:t>
            </w:r>
          </w:p>
        </w:tc>
        <w:tc>
          <w:tcPr>
            <w:tcW w:w="826" w:type="dxa"/>
            <w:vAlign w:val="center"/>
          </w:tcPr>
          <w:p w14:paraId="7A323099">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r>
      <w:tr w14:paraId="2BDF81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69EB3C1D">
            <w:pPr>
              <w:pStyle w:val="32"/>
              <w:spacing w:beforeLines="0" w:afterLines="0" w:line="240" w:lineRule="auto"/>
              <w:rPr>
                <w:rFonts w:hint="eastAsia" w:hAnsi="宋体" w:cs="宋体"/>
                <w:snapToGrid w:val="0"/>
                <w:color w:val="000000"/>
                <w:kern w:val="21"/>
                <w:szCs w:val="21"/>
              </w:rPr>
            </w:pPr>
          </w:p>
        </w:tc>
        <w:tc>
          <w:tcPr>
            <w:tcW w:w="1417" w:type="dxa"/>
            <w:vAlign w:val="center"/>
          </w:tcPr>
          <w:p w14:paraId="006E1B13">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危化品废包装</w:t>
            </w:r>
          </w:p>
        </w:tc>
        <w:tc>
          <w:tcPr>
            <w:tcW w:w="1701" w:type="dxa"/>
            <w:vAlign w:val="center"/>
          </w:tcPr>
          <w:p w14:paraId="1B116905">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276" w:type="dxa"/>
            <w:vAlign w:val="center"/>
          </w:tcPr>
          <w:p w14:paraId="05F69261">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701" w:type="dxa"/>
            <w:vAlign w:val="center"/>
          </w:tcPr>
          <w:p w14:paraId="5F5A3CA2">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0.1t/a</w:t>
            </w:r>
          </w:p>
        </w:tc>
        <w:tc>
          <w:tcPr>
            <w:tcW w:w="1559" w:type="dxa"/>
            <w:vAlign w:val="center"/>
          </w:tcPr>
          <w:p w14:paraId="23D50D8C">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c>
          <w:tcPr>
            <w:tcW w:w="1761" w:type="dxa"/>
            <w:vAlign w:val="center"/>
          </w:tcPr>
          <w:p w14:paraId="3F758B3A">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959" w:type="dxa"/>
            <w:vAlign w:val="center"/>
          </w:tcPr>
          <w:p w14:paraId="1B6B01F8">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0.1t/a</w:t>
            </w:r>
          </w:p>
        </w:tc>
        <w:tc>
          <w:tcPr>
            <w:tcW w:w="826" w:type="dxa"/>
            <w:vAlign w:val="center"/>
          </w:tcPr>
          <w:p w14:paraId="73374F06">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r>
      <w:tr w14:paraId="408B97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100C86CA">
            <w:pPr>
              <w:pStyle w:val="32"/>
              <w:spacing w:beforeLines="0" w:afterLines="0" w:line="240" w:lineRule="auto"/>
              <w:rPr>
                <w:rFonts w:hint="eastAsia" w:hAnsi="宋体" w:cs="宋体"/>
                <w:snapToGrid w:val="0"/>
                <w:color w:val="000000"/>
                <w:kern w:val="21"/>
                <w:szCs w:val="21"/>
              </w:rPr>
            </w:pPr>
          </w:p>
        </w:tc>
        <w:tc>
          <w:tcPr>
            <w:tcW w:w="1417" w:type="dxa"/>
            <w:vAlign w:val="center"/>
          </w:tcPr>
          <w:p w14:paraId="4B9BBB2A">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废检测管</w:t>
            </w:r>
          </w:p>
        </w:tc>
        <w:tc>
          <w:tcPr>
            <w:tcW w:w="1701" w:type="dxa"/>
            <w:vAlign w:val="center"/>
          </w:tcPr>
          <w:p w14:paraId="3068148C">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w:t>
            </w:r>
          </w:p>
        </w:tc>
        <w:tc>
          <w:tcPr>
            <w:tcW w:w="1276" w:type="dxa"/>
            <w:vAlign w:val="center"/>
          </w:tcPr>
          <w:p w14:paraId="23E913FB">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w:t>
            </w:r>
          </w:p>
        </w:tc>
        <w:tc>
          <w:tcPr>
            <w:tcW w:w="1701" w:type="dxa"/>
            <w:vAlign w:val="center"/>
          </w:tcPr>
          <w:p w14:paraId="3FB044D9">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0</w:t>
            </w:r>
          </w:p>
        </w:tc>
        <w:tc>
          <w:tcPr>
            <w:tcW w:w="1559" w:type="dxa"/>
            <w:vAlign w:val="center"/>
          </w:tcPr>
          <w:p w14:paraId="684E094E">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2kg/a</w:t>
            </w:r>
          </w:p>
        </w:tc>
        <w:tc>
          <w:tcPr>
            <w:tcW w:w="1761" w:type="dxa"/>
            <w:vAlign w:val="center"/>
          </w:tcPr>
          <w:p w14:paraId="14C7D253">
            <w:pPr>
              <w:pStyle w:val="32"/>
              <w:spacing w:beforeLines="0" w:afterLines="0" w:line="240" w:lineRule="auto"/>
              <w:rPr>
                <w:rFonts w:ascii="Times New Roman"/>
                <w:snapToGrid w:val="0"/>
                <w:color w:val="000000"/>
                <w:kern w:val="21"/>
                <w:szCs w:val="21"/>
              </w:rPr>
            </w:pPr>
          </w:p>
        </w:tc>
        <w:tc>
          <w:tcPr>
            <w:tcW w:w="1959" w:type="dxa"/>
            <w:vAlign w:val="center"/>
          </w:tcPr>
          <w:p w14:paraId="50DC7D96">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2kg/a</w:t>
            </w:r>
          </w:p>
        </w:tc>
        <w:tc>
          <w:tcPr>
            <w:tcW w:w="826" w:type="dxa"/>
            <w:vAlign w:val="center"/>
          </w:tcPr>
          <w:p w14:paraId="35CACF9D">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r>
              <w:rPr>
                <w:rFonts w:ascii="Times New Roman"/>
                <w:snapToGrid w:val="0"/>
                <w:color w:val="000000"/>
                <w:kern w:val="21"/>
                <w:szCs w:val="21"/>
              </w:rPr>
              <w:t>2kg/a</w:t>
            </w:r>
          </w:p>
        </w:tc>
      </w:tr>
      <w:tr w14:paraId="275D71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4652E2EF">
            <w:pPr>
              <w:pStyle w:val="32"/>
              <w:spacing w:beforeLines="0" w:afterLines="0" w:line="240" w:lineRule="auto"/>
              <w:rPr>
                <w:rFonts w:hint="eastAsia" w:hAnsi="宋体" w:cs="宋体"/>
                <w:snapToGrid w:val="0"/>
                <w:color w:val="000000"/>
                <w:kern w:val="21"/>
                <w:szCs w:val="21"/>
              </w:rPr>
            </w:pPr>
          </w:p>
        </w:tc>
        <w:tc>
          <w:tcPr>
            <w:tcW w:w="1417" w:type="dxa"/>
            <w:vAlign w:val="center"/>
          </w:tcPr>
          <w:p w14:paraId="74D8C7BB">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废吸管</w:t>
            </w:r>
          </w:p>
        </w:tc>
        <w:tc>
          <w:tcPr>
            <w:tcW w:w="1701" w:type="dxa"/>
            <w:vAlign w:val="center"/>
          </w:tcPr>
          <w:p w14:paraId="3B735A21">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w:t>
            </w:r>
          </w:p>
        </w:tc>
        <w:tc>
          <w:tcPr>
            <w:tcW w:w="1276" w:type="dxa"/>
            <w:vAlign w:val="center"/>
          </w:tcPr>
          <w:p w14:paraId="53556DF1">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w:t>
            </w:r>
          </w:p>
        </w:tc>
        <w:tc>
          <w:tcPr>
            <w:tcW w:w="1701" w:type="dxa"/>
            <w:vAlign w:val="center"/>
          </w:tcPr>
          <w:p w14:paraId="0F679B1C">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0</w:t>
            </w:r>
          </w:p>
        </w:tc>
        <w:tc>
          <w:tcPr>
            <w:tcW w:w="1559" w:type="dxa"/>
            <w:vAlign w:val="center"/>
          </w:tcPr>
          <w:p w14:paraId="14B62B82">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2.7kg/a</w:t>
            </w:r>
          </w:p>
        </w:tc>
        <w:tc>
          <w:tcPr>
            <w:tcW w:w="1761" w:type="dxa"/>
            <w:vAlign w:val="center"/>
          </w:tcPr>
          <w:p w14:paraId="2BAFE5C1">
            <w:pPr>
              <w:pStyle w:val="32"/>
              <w:spacing w:beforeLines="0" w:afterLines="0" w:line="240" w:lineRule="auto"/>
              <w:rPr>
                <w:rFonts w:ascii="Times New Roman"/>
                <w:snapToGrid w:val="0"/>
                <w:color w:val="000000"/>
                <w:kern w:val="21"/>
                <w:szCs w:val="21"/>
              </w:rPr>
            </w:pPr>
          </w:p>
        </w:tc>
        <w:tc>
          <w:tcPr>
            <w:tcW w:w="1959" w:type="dxa"/>
            <w:vAlign w:val="center"/>
          </w:tcPr>
          <w:p w14:paraId="160DFA8D">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2.7kg/a</w:t>
            </w:r>
          </w:p>
        </w:tc>
        <w:tc>
          <w:tcPr>
            <w:tcW w:w="826" w:type="dxa"/>
            <w:vAlign w:val="center"/>
          </w:tcPr>
          <w:p w14:paraId="3151BA1B">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r>
              <w:rPr>
                <w:rFonts w:ascii="Times New Roman"/>
                <w:snapToGrid w:val="0"/>
                <w:color w:val="000000"/>
                <w:kern w:val="21"/>
                <w:szCs w:val="21"/>
              </w:rPr>
              <w:t>2.7kg/a</w:t>
            </w:r>
          </w:p>
        </w:tc>
      </w:tr>
      <w:tr w14:paraId="43DC09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46CCB819">
            <w:pPr>
              <w:pStyle w:val="32"/>
              <w:spacing w:beforeLines="0" w:afterLines="0" w:line="240" w:lineRule="auto"/>
              <w:rPr>
                <w:rFonts w:hint="eastAsia" w:hAnsi="宋体" w:cs="宋体"/>
                <w:snapToGrid w:val="0"/>
                <w:color w:val="000000"/>
                <w:kern w:val="21"/>
                <w:szCs w:val="21"/>
              </w:rPr>
            </w:pPr>
          </w:p>
        </w:tc>
        <w:tc>
          <w:tcPr>
            <w:tcW w:w="1417" w:type="dxa"/>
            <w:vAlign w:val="center"/>
          </w:tcPr>
          <w:p w14:paraId="36BF799D">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废试剂瓶</w:t>
            </w:r>
          </w:p>
        </w:tc>
        <w:tc>
          <w:tcPr>
            <w:tcW w:w="1701" w:type="dxa"/>
            <w:vAlign w:val="center"/>
          </w:tcPr>
          <w:p w14:paraId="6AA95067">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w:t>
            </w:r>
          </w:p>
        </w:tc>
        <w:tc>
          <w:tcPr>
            <w:tcW w:w="1276" w:type="dxa"/>
            <w:vAlign w:val="center"/>
          </w:tcPr>
          <w:p w14:paraId="7C7E6D7C">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w:t>
            </w:r>
          </w:p>
        </w:tc>
        <w:tc>
          <w:tcPr>
            <w:tcW w:w="1701" w:type="dxa"/>
            <w:vAlign w:val="center"/>
          </w:tcPr>
          <w:p w14:paraId="193B27BC">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0</w:t>
            </w:r>
          </w:p>
        </w:tc>
        <w:tc>
          <w:tcPr>
            <w:tcW w:w="1559" w:type="dxa"/>
            <w:vAlign w:val="center"/>
          </w:tcPr>
          <w:p w14:paraId="0D700A2D">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5.6kg/a</w:t>
            </w:r>
          </w:p>
        </w:tc>
        <w:tc>
          <w:tcPr>
            <w:tcW w:w="1761" w:type="dxa"/>
            <w:vAlign w:val="center"/>
          </w:tcPr>
          <w:p w14:paraId="1E4320A3">
            <w:pPr>
              <w:pStyle w:val="32"/>
              <w:spacing w:beforeLines="0" w:afterLines="0" w:line="240" w:lineRule="auto"/>
              <w:rPr>
                <w:rFonts w:ascii="Times New Roman"/>
                <w:snapToGrid w:val="0"/>
                <w:color w:val="000000"/>
                <w:kern w:val="21"/>
                <w:szCs w:val="21"/>
              </w:rPr>
            </w:pPr>
          </w:p>
        </w:tc>
        <w:tc>
          <w:tcPr>
            <w:tcW w:w="1959" w:type="dxa"/>
            <w:vAlign w:val="center"/>
          </w:tcPr>
          <w:p w14:paraId="1047E136">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5.6kg/a</w:t>
            </w:r>
          </w:p>
        </w:tc>
        <w:tc>
          <w:tcPr>
            <w:tcW w:w="826" w:type="dxa"/>
            <w:vAlign w:val="center"/>
          </w:tcPr>
          <w:p w14:paraId="30979FD9">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r>
              <w:rPr>
                <w:rFonts w:ascii="Times New Roman"/>
                <w:snapToGrid w:val="0"/>
                <w:color w:val="000000"/>
                <w:kern w:val="21"/>
                <w:szCs w:val="21"/>
              </w:rPr>
              <w:t>5.6kg/a</w:t>
            </w:r>
          </w:p>
        </w:tc>
      </w:tr>
      <w:tr w14:paraId="345CCF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6B613F0E">
            <w:pPr>
              <w:pStyle w:val="32"/>
              <w:spacing w:beforeLines="0" w:afterLines="0" w:line="240" w:lineRule="auto"/>
              <w:rPr>
                <w:rFonts w:hint="eastAsia" w:hAnsi="宋体" w:cs="宋体"/>
                <w:snapToGrid w:val="0"/>
                <w:color w:val="000000"/>
                <w:kern w:val="21"/>
                <w:szCs w:val="21"/>
              </w:rPr>
            </w:pPr>
          </w:p>
        </w:tc>
        <w:tc>
          <w:tcPr>
            <w:tcW w:w="1417" w:type="dxa"/>
            <w:vAlign w:val="center"/>
          </w:tcPr>
          <w:p w14:paraId="0CBCF459">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清罐油泥</w:t>
            </w:r>
          </w:p>
        </w:tc>
        <w:tc>
          <w:tcPr>
            <w:tcW w:w="1701" w:type="dxa"/>
            <w:vAlign w:val="center"/>
          </w:tcPr>
          <w:p w14:paraId="47F6C257">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w:t>
            </w:r>
          </w:p>
        </w:tc>
        <w:tc>
          <w:tcPr>
            <w:tcW w:w="1276" w:type="dxa"/>
            <w:vAlign w:val="center"/>
          </w:tcPr>
          <w:p w14:paraId="608A4C6F">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w:t>
            </w:r>
          </w:p>
        </w:tc>
        <w:tc>
          <w:tcPr>
            <w:tcW w:w="1701" w:type="dxa"/>
            <w:vAlign w:val="center"/>
          </w:tcPr>
          <w:p w14:paraId="34A32D72">
            <w:pPr>
              <w:pStyle w:val="32"/>
              <w:spacing w:beforeLines="0" w:afterLines="0" w:line="240" w:lineRule="auto"/>
              <w:rPr>
                <w:rFonts w:ascii="Times New Roman"/>
                <w:snapToGrid w:val="0"/>
                <w:color w:val="000000"/>
                <w:kern w:val="21"/>
                <w:szCs w:val="21"/>
              </w:rPr>
            </w:pPr>
            <w:r>
              <w:rPr>
                <w:rFonts w:hint="eastAsia" w:ascii="Times New Roman"/>
                <w:snapToGrid w:val="0"/>
                <w:color w:val="000000"/>
                <w:kern w:val="21"/>
                <w:szCs w:val="21"/>
              </w:rPr>
              <w:t>0</w:t>
            </w:r>
          </w:p>
        </w:tc>
        <w:tc>
          <w:tcPr>
            <w:tcW w:w="1559" w:type="dxa"/>
            <w:vAlign w:val="center"/>
          </w:tcPr>
          <w:p w14:paraId="73133033">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4.22t/a</w:t>
            </w:r>
          </w:p>
        </w:tc>
        <w:tc>
          <w:tcPr>
            <w:tcW w:w="1761" w:type="dxa"/>
            <w:vAlign w:val="center"/>
          </w:tcPr>
          <w:p w14:paraId="422D00CD">
            <w:pPr>
              <w:pStyle w:val="32"/>
              <w:spacing w:beforeLines="0" w:afterLines="0" w:line="240" w:lineRule="auto"/>
              <w:rPr>
                <w:rFonts w:ascii="Times New Roman"/>
                <w:snapToGrid w:val="0"/>
                <w:color w:val="000000"/>
                <w:kern w:val="21"/>
                <w:szCs w:val="21"/>
              </w:rPr>
            </w:pPr>
          </w:p>
        </w:tc>
        <w:tc>
          <w:tcPr>
            <w:tcW w:w="1959" w:type="dxa"/>
            <w:vAlign w:val="center"/>
          </w:tcPr>
          <w:p w14:paraId="53847E15">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4.22t/a</w:t>
            </w:r>
          </w:p>
        </w:tc>
        <w:tc>
          <w:tcPr>
            <w:tcW w:w="826" w:type="dxa"/>
            <w:vAlign w:val="center"/>
          </w:tcPr>
          <w:p w14:paraId="1CE5BBA8">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r>
              <w:rPr>
                <w:rFonts w:ascii="Times New Roman"/>
                <w:snapToGrid w:val="0"/>
                <w:color w:val="000000"/>
                <w:kern w:val="21"/>
                <w:szCs w:val="21"/>
              </w:rPr>
              <w:t>4.22t/a</w:t>
            </w:r>
          </w:p>
        </w:tc>
      </w:tr>
      <w:tr w14:paraId="5DCDC4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005" w:type="dxa"/>
            <w:gridSpan w:val="2"/>
            <w:vAlign w:val="center"/>
          </w:tcPr>
          <w:p w14:paraId="5EBDD7AD">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生活垃圾</w:t>
            </w:r>
          </w:p>
        </w:tc>
        <w:tc>
          <w:tcPr>
            <w:tcW w:w="1701" w:type="dxa"/>
            <w:vAlign w:val="center"/>
          </w:tcPr>
          <w:p w14:paraId="3407F385">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276" w:type="dxa"/>
            <w:vAlign w:val="center"/>
          </w:tcPr>
          <w:p w14:paraId="30160FD5">
            <w:pPr>
              <w:pStyle w:val="32"/>
              <w:spacing w:beforeLines="0" w:afterLines="0" w:line="240" w:lineRule="auto"/>
              <w:rPr>
                <w:rFonts w:hint="eastAsia" w:hAnsi="宋体" w:cs="宋体"/>
                <w:snapToGrid w:val="0"/>
                <w:color w:val="000000"/>
                <w:kern w:val="21"/>
                <w:szCs w:val="21"/>
              </w:rPr>
            </w:pPr>
            <w:r>
              <w:rPr>
                <w:rFonts w:hint="eastAsia" w:ascii="Times New Roman"/>
                <w:snapToGrid w:val="0"/>
                <w:color w:val="000000"/>
                <w:kern w:val="21"/>
                <w:szCs w:val="21"/>
              </w:rPr>
              <w:t>/</w:t>
            </w:r>
          </w:p>
        </w:tc>
        <w:tc>
          <w:tcPr>
            <w:tcW w:w="1701" w:type="dxa"/>
            <w:vAlign w:val="center"/>
          </w:tcPr>
          <w:p w14:paraId="596A220A">
            <w:pPr>
              <w:pStyle w:val="32"/>
              <w:spacing w:beforeLines="0" w:afterLines="0" w:line="240" w:lineRule="auto"/>
              <w:rPr>
                <w:rFonts w:ascii="Times New Roman"/>
                <w:snapToGrid w:val="0"/>
                <w:color w:val="000000"/>
                <w:kern w:val="21"/>
                <w:szCs w:val="21"/>
              </w:rPr>
            </w:pPr>
            <w:r>
              <w:rPr>
                <w:rFonts w:ascii="Times New Roman"/>
                <w:snapToGrid w:val="0"/>
                <w:color w:val="000000"/>
                <w:kern w:val="21"/>
                <w:szCs w:val="21"/>
              </w:rPr>
              <w:t>29.3t/a</w:t>
            </w:r>
          </w:p>
        </w:tc>
        <w:tc>
          <w:tcPr>
            <w:tcW w:w="1559" w:type="dxa"/>
            <w:vAlign w:val="center"/>
          </w:tcPr>
          <w:p w14:paraId="57A8B44C">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c>
          <w:tcPr>
            <w:tcW w:w="1761" w:type="dxa"/>
            <w:vAlign w:val="center"/>
          </w:tcPr>
          <w:p w14:paraId="7E199934">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w:t>
            </w:r>
          </w:p>
        </w:tc>
        <w:tc>
          <w:tcPr>
            <w:tcW w:w="1959" w:type="dxa"/>
            <w:vAlign w:val="center"/>
          </w:tcPr>
          <w:p w14:paraId="371758AD">
            <w:pPr>
              <w:pStyle w:val="32"/>
              <w:spacing w:beforeLines="0" w:afterLines="0" w:line="240" w:lineRule="auto"/>
              <w:rPr>
                <w:rFonts w:hint="eastAsia" w:hAnsi="宋体" w:cs="宋体"/>
                <w:snapToGrid w:val="0"/>
                <w:color w:val="000000"/>
                <w:kern w:val="21"/>
                <w:szCs w:val="21"/>
              </w:rPr>
            </w:pPr>
            <w:r>
              <w:rPr>
                <w:rFonts w:ascii="Times New Roman"/>
                <w:snapToGrid w:val="0"/>
                <w:color w:val="000000"/>
                <w:kern w:val="21"/>
                <w:szCs w:val="21"/>
              </w:rPr>
              <w:t>29.3t/a</w:t>
            </w:r>
          </w:p>
        </w:tc>
        <w:tc>
          <w:tcPr>
            <w:tcW w:w="826" w:type="dxa"/>
            <w:vAlign w:val="center"/>
          </w:tcPr>
          <w:p w14:paraId="15B1B732">
            <w:pPr>
              <w:pStyle w:val="32"/>
              <w:spacing w:beforeLines="0" w:afterLines="0" w:line="240" w:lineRule="auto"/>
              <w:rPr>
                <w:rFonts w:hint="eastAsia" w:hAnsi="宋体" w:cs="宋体"/>
                <w:snapToGrid w:val="0"/>
                <w:color w:val="000000"/>
                <w:kern w:val="21"/>
                <w:szCs w:val="21"/>
              </w:rPr>
            </w:pPr>
            <w:r>
              <w:rPr>
                <w:rFonts w:hint="eastAsia" w:hAnsi="宋体" w:cs="宋体"/>
                <w:snapToGrid w:val="0"/>
                <w:color w:val="000000"/>
                <w:kern w:val="21"/>
                <w:szCs w:val="21"/>
              </w:rPr>
              <w:t>0</w:t>
            </w:r>
          </w:p>
        </w:tc>
      </w:tr>
    </w:tbl>
    <w:p w14:paraId="24849D6B">
      <w:pPr>
        <w:pStyle w:val="32"/>
        <w:spacing w:before="192" w:beforeLines="80" w:after="24"/>
        <w:jc w:val="left"/>
        <w:rPr>
          <w:rFonts w:hint="eastAsia" w:hAnsi="宋体"/>
          <w:snapToGrid w:val="0"/>
          <w:color w:val="000000"/>
          <w:spacing w:val="-6"/>
          <w:kern w:val="21"/>
          <w:szCs w:val="21"/>
        </w:rPr>
      </w:pPr>
      <w:r>
        <w:rPr>
          <w:rFonts w:hAnsi="宋体"/>
          <w:snapToGrid w:val="0"/>
          <w:color w:val="000000"/>
          <w:kern w:val="21"/>
          <w:szCs w:val="21"/>
        </w:rPr>
        <w:t>注：</w:t>
      </w:r>
      <w:r>
        <w:rPr>
          <w:rFonts w:hAnsi="宋体"/>
          <w:snapToGrid w:val="0"/>
          <w:color w:val="000000"/>
          <w:spacing w:val="-16"/>
          <w:kern w:val="21"/>
          <w:szCs w:val="21"/>
        </w:rPr>
        <w:fldChar w:fldCharType="begin"/>
      </w:r>
      <w:r>
        <w:rPr>
          <w:rFonts w:hAnsi="宋体"/>
          <w:snapToGrid w:val="0"/>
          <w:color w:val="000000"/>
          <w:spacing w:val="-16"/>
          <w:kern w:val="21"/>
          <w:szCs w:val="21"/>
        </w:rPr>
        <w:instrText xml:space="preserve"> = 6 \* GB3 \* MERGEFORMAT </w:instrText>
      </w:r>
      <w:r>
        <w:rPr>
          <w:rFonts w:hAnsi="宋体"/>
          <w:snapToGrid w:val="0"/>
          <w:color w:val="000000"/>
          <w:spacing w:val="-16"/>
          <w:kern w:val="21"/>
          <w:szCs w:val="21"/>
        </w:rPr>
        <w:fldChar w:fldCharType="separate"/>
      </w:r>
      <w:r>
        <w:rPr>
          <w:rFonts w:hint="eastAsia" w:hAnsi="宋体"/>
          <w:szCs w:val="21"/>
        </w:rPr>
        <w:t>⑥</w:t>
      </w:r>
      <w:r>
        <w:rPr>
          <w:rFonts w:hAnsi="宋体"/>
          <w:snapToGrid w:val="0"/>
          <w:color w:val="000000"/>
          <w:spacing w:val="-16"/>
          <w:kern w:val="21"/>
          <w:szCs w:val="21"/>
        </w:rPr>
        <w:fldChar w:fldCharType="end"/>
      </w:r>
      <w:r>
        <w:rPr>
          <w:rFonts w:hAnsi="宋体"/>
          <w:snapToGrid w:val="0"/>
          <w:color w:val="000000"/>
          <w:spacing w:val="-16"/>
          <w:kern w:val="21"/>
          <w:szCs w:val="21"/>
        </w:rPr>
        <w:t>=</w:t>
      </w:r>
      <w:r>
        <w:rPr>
          <w:rFonts w:hAnsi="宋体"/>
          <w:snapToGrid w:val="0"/>
          <w:color w:val="000000"/>
          <w:spacing w:val="-6"/>
          <w:kern w:val="21"/>
          <w:szCs w:val="21"/>
        </w:rPr>
        <w:fldChar w:fldCharType="begin"/>
      </w:r>
      <w:r>
        <w:rPr>
          <w:rFonts w:hAnsi="宋体"/>
          <w:snapToGrid w:val="0"/>
          <w:color w:val="000000"/>
          <w:spacing w:val="-6"/>
          <w:kern w:val="21"/>
          <w:szCs w:val="21"/>
        </w:rPr>
        <w:instrText xml:space="preserve"> = 1 \* GB3 \* MERGEFORMAT </w:instrText>
      </w:r>
      <w:r>
        <w:rPr>
          <w:rFonts w:hAnsi="宋体"/>
          <w:snapToGrid w:val="0"/>
          <w:color w:val="000000"/>
          <w:spacing w:val="-6"/>
          <w:kern w:val="21"/>
          <w:szCs w:val="21"/>
        </w:rPr>
        <w:fldChar w:fldCharType="separate"/>
      </w:r>
      <w:r>
        <w:rPr>
          <w:rFonts w:hint="eastAsia" w:hAnsi="宋体"/>
          <w:szCs w:val="21"/>
        </w:rPr>
        <w:t>①</w:t>
      </w:r>
      <w:r>
        <w:rPr>
          <w:rFonts w:hAnsi="宋体"/>
          <w:snapToGrid w:val="0"/>
          <w:color w:val="000000"/>
          <w:spacing w:val="-6"/>
          <w:kern w:val="21"/>
          <w:szCs w:val="21"/>
        </w:rPr>
        <w:fldChar w:fldCharType="end"/>
      </w:r>
      <w:r>
        <w:rPr>
          <w:rFonts w:hAnsi="宋体"/>
          <w:snapToGrid w:val="0"/>
          <w:color w:val="000000"/>
          <w:spacing w:val="-6"/>
          <w:kern w:val="21"/>
          <w:szCs w:val="21"/>
        </w:rPr>
        <w:t>+</w:t>
      </w:r>
      <w:r>
        <w:rPr>
          <w:rFonts w:hAnsi="宋体"/>
          <w:snapToGrid w:val="0"/>
          <w:color w:val="000000"/>
          <w:spacing w:val="-6"/>
          <w:kern w:val="21"/>
          <w:szCs w:val="21"/>
        </w:rPr>
        <w:fldChar w:fldCharType="begin"/>
      </w:r>
      <w:r>
        <w:rPr>
          <w:rFonts w:hAnsi="宋体"/>
          <w:snapToGrid w:val="0"/>
          <w:color w:val="000000"/>
          <w:spacing w:val="-6"/>
          <w:kern w:val="21"/>
          <w:szCs w:val="21"/>
        </w:rPr>
        <w:instrText xml:space="preserve"> = 3 \* GB3 \* MERGEFORMAT </w:instrText>
      </w:r>
      <w:r>
        <w:rPr>
          <w:rFonts w:hAnsi="宋体"/>
          <w:snapToGrid w:val="0"/>
          <w:color w:val="000000"/>
          <w:spacing w:val="-6"/>
          <w:kern w:val="21"/>
          <w:szCs w:val="21"/>
        </w:rPr>
        <w:fldChar w:fldCharType="separate"/>
      </w:r>
      <w:r>
        <w:rPr>
          <w:rFonts w:hint="eastAsia" w:hAnsi="宋体"/>
          <w:szCs w:val="21"/>
        </w:rPr>
        <w:t>③</w:t>
      </w:r>
      <w:r>
        <w:rPr>
          <w:rFonts w:hAnsi="宋体"/>
          <w:snapToGrid w:val="0"/>
          <w:color w:val="000000"/>
          <w:spacing w:val="-6"/>
          <w:kern w:val="21"/>
          <w:szCs w:val="21"/>
        </w:rPr>
        <w:fldChar w:fldCharType="end"/>
      </w:r>
      <w:r>
        <w:rPr>
          <w:rFonts w:hAnsi="宋体"/>
          <w:snapToGrid w:val="0"/>
          <w:color w:val="000000"/>
          <w:spacing w:val="-6"/>
          <w:kern w:val="21"/>
          <w:szCs w:val="21"/>
        </w:rPr>
        <w:t>+</w:t>
      </w:r>
      <w:r>
        <w:rPr>
          <w:rFonts w:hAnsi="宋体"/>
          <w:snapToGrid w:val="0"/>
          <w:color w:val="000000"/>
          <w:spacing w:val="-6"/>
          <w:kern w:val="21"/>
          <w:szCs w:val="21"/>
        </w:rPr>
        <w:fldChar w:fldCharType="begin"/>
      </w:r>
      <w:r>
        <w:rPr>
          <w:rFonts w:hAnsi="宋体"/>
          <w:snapToGrid w:val="0"/>
          <w:color w:val="000000"/>
          <w:spacing w:val="-6"/>
          <w:kern w:val="21"/>
          <w:szCs w:val="21"/>
        </w:rPr>
        <w:instrText xml:space="preserve"> = 4 \* GB3 \* MERGEFORMAT </w:instrText>
      </w:r>
      <w:r>
        <w:rPr>
          <w:rFonts w:hAnsi="宋体"/>
          <w:snapToGrid w:val="0"/>
          <w:color w:val="000000"/>
          <w:spacing w:val="-6"/>
          <w:kern w:val="21"/>
          <w:szCs w:val="21"/>
        </w:rPr>
        <w:fldChar w:fldCharType="separate"/>
      </w:r>
      <w:r>
        <w:rPr>
          <w:rFonts w:hint="eastAsia" w:hAnsi="宋体"/>
          <w:szCs w:val="21"/>
        </w:rPr>
        <w:t>④</w:t>
      </w:r>
      <w:r>
        <w:rPr>
          <w:rFonts w:hAnsi="宋体"/>
          <w:snapToGrid w:val="0"/>
          <w:color w:val="000000"/>
          <w:spacing w:val="-6"/>
          <w:kern w:val="21"/>
          <w:szCs w:val="21"/>
        </w:rPr>
        <w:fldChar w:fldCharType="end"/>
      </w:r>
      <w:r>
        <w:rPr>
          <w:rFonts w:hAnsi="宋体"/>
          <w:snapToGrid w:val="0"/>
          <w:color w:val="000000"/>
          <w:spacing w:val="-6"/>
          <w:kern w:val="21"/>
          <w:szCs w:val="21"/>
        </w:rPr>
        <w:t>-</w:t>
      </w:r>
      <w:r>
        <w:rPr>
          <w:rFonts w:hAnsi="宋体"/>
          <w:snapToGrid w:val="0"/>
          <w:color w:val="000000"/>
          <w:spacing w:val="-16"/>
          <w:kern w:val="21"/>
          <w:szCs w:val="21"/>
        </w:rPr>
        <w:fldChar w:fldCharType="begin"/>
      </w:r>
      <w:r>
        <w:rPr>
          <w:rFonts w:hAnsi="宋体"/>
          <w:snapToGrid w:val="0"/>
          <w:color w:val="000000"/>
          <w:spacing w:val="-16"/>
          <w:kern w:val="21"/>
          <w:szCs w:val="21"/>
        </w:rPr>
        <w:instrText xml:space="preserve"> = 5 \* GB3 \* MERGEFORMAT </w:instrText>
      </w:r>
      <w:r>
        <w:rPr>
          <w:rFonts w:hAnsi="宋体"/>
          <w:snapToGrid w:val="0"/>
          <w:color w:val="000000"/>
          <w:spacing w:val="-16"/>
          <w:kern w:val="21"/>
          <w:szCs w:val="21"/>
        </w:rPr>
        <w:fldChar w:fldCharType="separate"/>
      </w:r>
      <w:r>
        <w:rPr>
          <w:rFonts w:hint="eastAsia" w:hAnsi="宋体"/>
          <w:szCs w:val="21"/>
        </w:rPr>
        <w:t>⑤</w:t>
      </w:r>
      <w:r>
        <w:rPr>
          <w:rFonts w:hAnsi="宋体"/>
          <w:snapToGrid w:val="0"/>
          <w:color w:val="000000"/>
          <w:spacing w:val="-16"/>
          <w:kern w:val="21"/>
          <w:szCs w:val="21"/>
        </w:rPr>
        <w:fldChar w:fldCharType="end"/>
      </w:r>
      <w:r>
        <w:rPr>
          <w:rFonts w:hAnsi="宋体"/>
          <w:snapToGrid w:val="0"/>
          <w:color w:val="000000"/>
          <w:spacing w:val="-16"/>
          <w:kern w:val="21"/>
          <w:szCs w:val="21"/>
        </w:rPr>
        <w:t>；</w:t>
      </w:r>
      <w:r>
        <w:rPr>
          <w:rFonts w:hAnsi="宋体"/>
          <w:snapToGrid w:val="0"/>
          <w:color w:val="000000"/>
          <w:spacing w:val="-6"/>
          <w:kern w:val="21"/>
          <w:szCs w:val="21"/>
        </w:rPr>
        <w:fldChar w:fldCharType="begin"/>
      </w:r>
      <w:r>
        <w:rPr>
          <w:rFonts w:hAnsi="宋体"/>
          <w:snapToGrid w:val="0"/>
          <w:color w:val="000000"/>
          <w:spacing w:val="-6"/>
          <w:kern w:val="21"/>
          <w:szCs w:val="21"/>
        </w:rPr>
        <w:instrText xml:space="preserve"> = 7 \* GB3 \* MERGEFORMAT </w:instrText>
      </w:r>
      <w:r>
        <w:rPr>
          <w:rFonts w:hAnsi="宋体"/>
          <w:snapToGrid w:val="0"/>
          <w:color w:val="000000"/>
          <w:spacing w:val="-6"/>
          <w:kern w:val="21"/>
          <w:szCs w:val="21"/>
        </w:rPr>
        <w:fldChar w:fldCharType="separate"/>
      </w:r>
      <w:r>
        <w:rPr>
          <w:rFonts w:hint="eastAsia" w:hAnsi="宋体"/>
          <w:szCs w:val="21"/>
        </w:rPr>
        <w:t>⑦</w:t>
      </w:r>
      <w:r>
        <w:rPr>
          <w:rFonts w:hAnsi="宋体"/>
          <w:snapToGrid w:val="0"/>
          <w:color w:val="000000"/>
          <w:spacing w:val="-6"/>
          <w:kern w:val="21"/>
          <w:szCs w:val="21"/>
        </w:rPr>
        <w:fldChar w:fldCharType="end"/>
      </w:r>
      <w:r>
        <w:rPr>
          <w:rFonts w:hAnsi="宋体"/>
          <w:snapToGrid w:val="0"/>
          <w:color w:val="000000"/>
          <w:spacing w:val="-6"/>
          <w:kern w:val="21"/>
          <w:szCs w:val="21"/>
        </w:rPr>
        <w:t>=</w:t>
      </w:r>
      <w:r>
        <w:rPr>
          <w:rFonts w:hAnsi="宋体"/>
          <w:snapToGrid w:val="0"/>
          <w:color w:val="000000"/>
          <w:spacing w:val="-16"/>
          <w:kern w:val="21"/>
          <w:szCs w:val="21"/>
        </w:rPr>
        <w:fldChar w:fldCharType="begin"/>
      </w:r>
      <w:r>
        <w:rPr>
          <w:rFonts w:hAnsi="宋体"/>
          <w:snapToGrid w:val="0"/>
          <w:color w:val="000000"/>
          <w:spacing w:val="-16"/>
          <w:kern w:val="21"/>
          <w:szCs w:val="21"/>
        </w:rPr>
        <w:instrText xml:space="preserve"> = 6 \* GB3 \* MERGEFORMAT </w:instrText>
      </w:r>
      <w:r>
        <w:rPr>
          <w:rFonts w:hAnsi="宋体"/>
          <w:snapToGrid w:val="0"/>
          <w:color w:val="000000"/>
          <w:spacing w:val="-16"/>
          <w:kern w:val="21"/>
          <w:szCs w:val="21"/>
        </w:rPr>
        <w:fldChar w:fldCharType="separate"/>
      </w:r>
      <w:r>
        <w:rPr>
          <w:rFonts w:hint="eastAsia" w:hAnsi="宋体"/>
          <w:szCs w:val="21"/>
        </w:rPr>
        <w:t>⑥</w:t>
      </w:r>
      <w:r>
        <w:rPr>
          <w:rFonts w:hAnsi="宋体"/>
          <w:snapToGrid w:val="0"/>
          <w:color w:val="000000"/>
          <w:spacing w:val="-16"/>
          <w:kern w:val="21"/>
          <w:szCs w:val="21"/>
        </w:rPr>
        <w:fldChar w:fldCharType="end"/>
      </w:r>
      <w:r>
        <w:rPr>
          <w:rFonts w:hAnsi="宋体"/>
          <w:snapToGrid w:val="0"/>
          <w:color w:val="000000"/>
          <w:spacing w:val="-16"/>
          <w:kern w:val="21"/>
          <w:szCs w:val="21"/>
        </w:rPr>
        <w:t>-</w:t>
      </w:r>
      <w:r>
        <w:rPr>
          <w:rFonts w:hAnsi="宋体"/>
          <w:snapToGrid w:val="0"/>
          <w:color w:val="000000"/>
          <w:spacing w:val="-6"/>
          <w:kern w:val="21"/>
          <w:szCs w:val="21"/>
        </w:rPr>
        <w:fldChar w:fldCharType="begin"/>
      </w:r>
      <w:r>
        <w:rPr>
          <w:rFonts w:hAnsi="宋体"/>
          <w:snapToGrid w:val="0"/>
          <w:color w:val="000000"/>
          <w:spacing w:val="-6"/>
          <w:kern w:val="21"/>
          <w:szCs w:val="21"/>
        </w:rPr>
        <w:instrText xml:space="preserve"> = 1 \* GB3 \* MERGEFORMAT </w:instrText>
      </w:r>
      <w:r>
        <w:rPr>
          <w:rFonts w:hAnsi="宋体"/>
          <w:snapToGrid w:val="0"/>
          <w:color w:val="000000"/>
          <w:spacing w:val="-6"/>
          <w:kern w:val="21"/>
          <w:szCs w:val="21"/>
        </w:rPr>
        <w:fldChar w:fldCharType="separate"/>
      </w:r>
      <w:r>
        <w:rPr>
          <w:rFonts w:hint="eastAsia" w:hAnsi="宋体"/>
          <w:szCs w:val="21"/>
        </w:rPr>
        <w:t>①</w:t>
      </w:r>
      <w:r>
        <w:rPr>
          <w:rFonts w:hAnsi="宋体"/>
          <w:snapToGrid w:val="0"/>
          <w:color w:val="000000"/>
          <w:spacing w:val="-6"/>
          <w:kern w:val="21"/>
          <w:szCs w:val="21"/>
        </w:rPr>
        <w:fldChar w:fldCharType="end"/>
      </w:r>
    </w:p>
    <w:p w14:paraId="0E97E2DF">
      <w:pPr>
        <w:rPr>
          <w:rFonts w:hint="eastAsia"/>
        </w:rPr>
      </w:pPr>
    </w:p>
    <w:p w14:paraId="73E7460C">
      <w:pPr>
        <w:rPr>
          <w:rFonts w:hint="eastAsia"/>
        </w:rPr>
        <w:sectPr>
          <w:footerReference r:id="rId6" w:type="default"/>
          <w:pgSz w:w="16838" w:h="11906" w:orient="landscape"/>
          <w:pgMar w:top="1701" w:right="1531" w:bottom="1701" w:left="1531" w:header="851" w:footer="851" w:gutter="0"/>
          <w:cols w:space="720" w:num="1"/>
          <w:docGrid w:linePitch="312" w:charSpace="0"/>
        </w:sectPr>
      </w:pPr>
    </w:p>
    <w:p w14:paraId="193B5DFF">
      <w:pPr>
        <w:ind w:firstLine="964" w:firstLineChars="200"/>
        <w:jc w:val="center"/>
        <w:rPr>
          <w:rFonts w:hint="eastAsia"/>
          <w:b/>
          <w:sz w:val="48"/>
          <w:szCs w:val="48"/>
        </w:rPr>
      </w:pPr>
      <w:r>
        <w:rPr>
          <w:rFonts w:hint="eastAsia"/>
          <w:b/>
          <w:sz w:val="48"/>
          <w:szCs w:val="48"/>
        </w:rPr>
        <w:t>新疆龙都化工有限公司</w:t>
      </w:r>
    </w:p>
    <w:p w14:paraId="1591B07E">
      <w:pPr>
        <w:ind w:firstLine="964" w:firstLineChars="200"/>
        <w:jc w:val="center"/>
        <w:rPr>
          <w:rFonts w:hint="eastAsia"/>
          <w:b/>
          <w:sz w:val="48"/>
          <w:szCs w:val="48"/>
        </w:rPr>
      </w:pPr>
      <w:r>
        <w:rPr>
          <w:rFonts w:hint="eastAsia"/>
          <w:b/>
          <w:sz w:val="48"/>
          <w:szCs w:val="48"/>
        </w:rPr>
        <w:t>20万吨/年劣质苯类物综合利用项目</w:t>
      </w:r>
    </w:p>
    <w:p w14:paraId="112C95BD">
      <w:pPr>
        <w:ind w:firstLine="723" w:firstLineChars="200"/>
        <w:jc w:val="center"/>
        <w:rPr>
          <w:rFonts w:hint="eastAsia"/>
          <w:b/>
          <w:sz w:val="36"/>
          <w:szCs w:val="36"/>
        </w:rPr>
      </w:pPr>
    </w:p>
    <w:p w14:paraId="76791D78">
      <w:pPr>
        <w:rPr>
          <w:rFonts w:hint="eastAsia"/>
          <w:b/>
          <w:sz w:val="36"/>
          <w:szCs w:val="36"/>
        </w:rPr>
      </w:pPr>
    </w:p>
    <w:p w14:paraId="1F6C6C12">
      <w:pPr>
        <w:rPr>
          <w:rFonts w:hint="eastAsia"/>
          <w:b/>
          <w:sz w:val="36"/>
          <w:szCs w:val="36"/>
        </w:rPr>
      </w:pPr>
    </w:p>
    <w:p w14:paraId="1D7AC289">
      <w:pPr>
        <w:rPr>
          <w:rFonts w:hint="eastAsia"/>
          <w:b/>
          <w:sz w:val="36"/>
          <w:szCs w:val="36"/>
        </w:rPr>
      </w:pPr>
    </w:p>
    <w:p w14:paraId="0985CD00">
      <w:pPr>
        <w:pStyle w:val="13"/>
        <w:adjustRightInd w:val="0"/>
        <w:snapToGrid w:val="0"/>
        <w:spacing w:before="648" w:beforeLines="270" w:beforeAutospacing="0" w:after="648" w:afterLines="270" w:afterAutospacing="0" w:line="360" w:lineRule="auto"/>
        <w:jc w:val="center"/>
        <w:outlineLvl w:val="0"/>
        <w:rPr>
          <w:rFonts w:hint="eastAsia"/>
          <w:b/>
          <w:sz w:val="48"/>
          <w:szCs w:val="48"/>
        </w:rPr>
      </w:pPr>
      <w:r>
        <w:rPr>
          <w:rFonts w:hint="eastAsia" w:ascii="方正小标宋_GBK" w:hAnsi="黑体" w:eastAsia="方正小标宋_GBK"/>
          <w:snapToGrid w:val="0"/>
          <w:sz w:val="38"/>
          <w:szCs w:val="38"/>
        </w:rPr>
        <w:t>环境风险</w:t>
      </w:r>
      <w:r>
        <w:rPr>
          <w:rFonts w:ascii="方正小标宋_GBK" w:hAnsi="黑体" w:eastAsia="方正小标宋_GBK"/>
          <w:snapToGrid w:val="0"/>
          <w:sz w:val="38"/>
          <w:szCs w:val="38"/>
        </w:rPr>
        <w:t>专题评价</w:t>
      </w:r>
    </w:p>
    <w:p w14:paraId="6D163A8F">
      <w:pPr>
        <w:ind w:firstLine="560" w:firstLineChars="200"/>
        <w:jc w:val="center"/>
        <w:rPr>
          <w:rFonts w:hint="eastAsia"/>
          <w:snapToGrid w:val="0"/>
          <w:sz w:val="28"/>
          <w:szCs w:val="28"/>
        </w:rPr>
      </w:pPr>
    </w:p>
    <w:p w14:paraId="08D17DAF">
      <w:pPr>
        <w:ind w:firstLine="560" w:firstLineChars="200"/>
        <w:jc w:val="center"/>
        <w:rPr>
          <w:rFonts w:hint="eastAsia"/>
          <w:snapToGrid w:val="0"/>
          <w:sz w:val="28"/>
          <w:szCs w:val="28"/>
        </w:rPr>
      </w:pPr>
    </w:p>
    <w:p w14:paraId="67CF4E41">
      <w:pPr>
        <w:ind w:firstLine="560" w:firstLineChars="200"/>
        <w:jc w:val="center"/>
        <w:rPr>
          <w:rFonts w:hint="eastAsia"/>
          <w:snapToGrid w:val="0"/>
          <w:sz w:val="28"/>
          <w:szCs w:val="28"/>
        </w:rPr>
      </w:pPr>
    </w:p>
    <w:p w14:paraId="16FA0FD9">
      <w:pPr>
        <w:ind w:firstLine="560" w:firstLineChars="200"/>
        <w:jc w:val="center"/>
        <w:rPr>
          <w:rFonts w:hint="eastAsia"/>
          <w:snapToGrid w:val="0"/>
          <w:sz w:val="28"/>
          <w:szCs w:val="28"/>
        </w:rPr>
      </w:pPr>
    </w:p>
    <w:p w14:paraId="123EB174">
      <w:pPr>
        <w:ind w:firstLine="560" w:firstLineChars="200"/>
        <w:jc w:val="center"/>
        <w:rPr>
          <w:rFonts w:hint="eastAsia"/>
          <w:snapToGrid w:val="0"/>
          <w:sz w:val="28"/>
          <w:szCs w:val="28"/>
        </w:rPr>
      </w:pPr>
    </w:p>
    <w:p w14:paraId="0A2A7CC5">
      <w:pPr>
        <w:ind w:firstLine="560" w:firstLineChars="200"/>
        <w:jc w:val="center"/>
        <w:rPr>
          <w:rFonts w:hint="eastAsia"/>
          <w:snapToGrid w:val="0"/>
          <w:sz w:val="28"/>
          <w:szCs w:val="28"/>
        </w:rPr>
      </w:pPr>
    </w:p>
    <w:p w14:paraId="1B014BF0">
      <w:pPr>
        <w:ind w:firstLine="560" w:firstLineChars="200"/>
        <w:jc w:val="center"/>
        <w:rPr>
          <w:rFonts w:hint="eastAsia"/>
          <w:snapToGrid w:val="0"/>
          <w:sz w:val="28"/>
          <w:szCs w:val="28"/>
        </w:rPr>
      </w:pPr>
    </w:p>
    <w:p w14:paraId="1BCAFCC6">
      <w:pPr>
        <w:ind w:firstLine="560" w:firstLineChars="200"/>
        <w:jc w:val="center"/>
        <w:rPr>
          <w:rFonts w:hint="eastAsia"/>
          <w:snapToGrid w:val="0"/>
          <w:sz w:val="28"/>
          <w:szCs w:val="28"/>
        </w:rPr>
      </w:pPr>
    </w:p>
    <w:p w14:paraId="554FEF73">
      <w:pPr>
        <w:rPr>
          <w:rFonts w:hint="eastAsia"/>
          <w:snapToGrid w:val="0"/>
          <w:sz w:val="28"/>
          <w:szCs w:val="28"/>
        </w:rPr>
      </w:pPr>
    </w:p>
    <w:p w14:paraId="76A1FF77">
      <w:pPr>
        <w:autoSpaceDE w:val="0"/>
        <w:autoSpaceDN w:val="0"/>
        <w:adjustRightInd w:val="0"/>
        <w:rPr>
          <w:rFonts w:hAnsi="Calibri"/>
          <w:color w:val="000000"/>
        </w:rPr>
      </w:pPr>
    </w:p>
    <w:p w14:paraId="3FD27FA0">
      <w:pPr>
        <w:ind w:firstLine="560" w:firstLineChars="200"/>
        <w:jc w:val="center"/>
        <w:rPr>
          <w:rFonts w:hint="eastAsia"/>
          <w:snapToGrid w:val="0"/>
          <w:sz w:val="28"/>
          <w:szCs w:val="28"/>
        </w:rPr>
      </w:pPr>
      <w:r>
        <w:rPr>
          <w:rFonts w:hint="eastAsia"/>
          <w:snapToGrid w:val="0"/>
          <w:sz w:val="28"/>
          <w:szCs w:val="28"/>
        </w:rPr>
        <w:t>2026年5月</w:t>
      </w:r>
    </w:p>
    <w:p w14:paraId="0976FFA9">
      <w:pPr>
        <w:rPr>
          <w:rFonts w:hint="eastAsia"/>
        </w:rPr>
      </w:pPr>
    </w:p>
    <w:p w14:paraId="353AA467">
      <w:pPr>
        <w:ind w:left="360"/>
        <w:rPr>
          <w:rFonts w:hint="eastAsia"/>
        </w:rPr>
      </w:pPr>
      <w:r>
        <w:br w:type="page"/>
      </w:r>
    </w:p>
    <w:p w14:paraId="25C1CB20">
      <w:pPr>
        <w:adjustRightInd w:val="0"/>
        <w:snapToGrid w:val="0"/>
        <w:spacing w:line="360" w:lineRule="auto"/>
        <w:rPr>
          <w:rFonts w:hint="eastAsia"/>
          <w:b/>
          <w:spacing w:val="-10"/>
        </w:rPr>
      </w:pPr>
      <w:r>
        <w:rPr>
          <w:rFonts w:hint="eastAsia"/>
          <w:b/>
          <w:spacing w:val="-10"/>
          <w:sz w:val="28"/>
          <w:szCs w:val="28"/>
        </w:rPr>
        <w:t>环境风险评价</w:t>
      </w:r>
    </w:p>
    <w:p w14:paraId="169A5DF3">
      <w:pPr>
        <w:adjustRightInd w:val="0"/>
        <w:snapToGrid w:val="0"/>
        <w:spacing w:line="360" w:lineRule="auto"/>
        <w:rPr>
          <w:rFonts w:hint="eastAsia"/>
          <w:b/>
          <w:spacing w:val="-10"/>
        </w:rPr>
      </w:pPr>
      <w:r>
        <w:rPr>
          <w:b/>
          <w:spacing w:val="-10"/>
        </w:rPr>
        <w:t>1</w:t>
      </w:r>
      <w:r>
        <w:rPr>
          <w:rFonts w:hint="eastAsia"/>
          <w:b/>
          <w:spacing w:val="-10"/>
        </w:rPr>
        <w:t xml:space="preserve"> </w:t>
      </w:r>
      <w:r>
        <w:rPr>
          <w:b/>
          <w:spacing w:val="-10"/>
        </w:rPr>
        <w:t>环境风险评价的目的</w:t>
      </w:r>
    </w:p>
    <w:p w14:paraId="3B12E627">
      <w:pPr>
        <w:adjustRightInd w:val="0"/>
        <w:snapToGrid w:val="0"/>
        <w:spacing w:line="360" w:lineRule="auto"/>
        <w:ind w:firstLine="440" w:firstLineChars="200"/>
        <w:rPr>
          <w:rFonts w:hint="eastAsia"/>
          <w:bCs/>
          <w:spacing w:val="-10"/>
        </w:rPr>
      </w:pPr>
      <w:r>
        <w:rPr>
          <w:bCs/>
          <w:spacing w:val="-10"/>
        </w:rPr>
        <w:t>环境风险评价的目的是分析和预测建设项目存在的潜在危险、有害因素，建设项目建设和运行期间可能发生的突发事件和事故（一般不包括人为破坏及自然灾害），引起有毒有害和易燃易爆等物质泄漏，所造成的人身安全与</w:t>
      </w:r>
      <w:r>
        <w:rPr>
          <w:rFonts w:hint="eastAsia"/>
          <w:bCs/>
          <w:spacing w:val="-10"/>
        </w:rPr>
        <w:t>生态</w:t>
      </w:r>
      <w:r>
        <w:rPr>
          <w:bCs/>
          <w:spacing w:val="-10"/>
        </w:rPr>
        <w:t>环境影响和损害程度，提出合理可行的防范、应急与减缓措施，以使建设项目事故率、损失和</w:t>
      </w:r>
      <w:r>
        <w:rPr>
          <w:rFonts w:hint="eastAsia"/>
          <w:bCs/>
          <w:spacing w:val="-10"/>
        </w:rPr>
        <w:t>生态</w:t>
      </w:r>
      <w:r>
        <w:rPr>
          <w:bCs/>
          <w:spacing w:val="-10"/>
        </w:rPr>
        <w:t>环境影响达到可接受水平。</w:t>
      </w:r>
    </w:p>
    <w:p w14:paraId="5F144CD1">
      <w:pPr>
        <w:adjustRightInd w:val="0"/>
        <w:snapToGrid w:val="0"/>
        <w:spacing w:line="360" w:lineRule="auto"/>
        <w:rPr>
          <w:rFonts w:hint="eastAsia"/>
          <w:b/>
          <w:spacing w:val="-10"/>
        </w:rPr>
      </w:pPr>
      <w:r>
        <w:rPr>
          <w:b/>
          <w:spacing w:val="-10"/>
        </w:rPr>
        <w:t>2</w:t>
      </w:r>
      <w:r>
        <w:rPr>
          <w:rFonts w:hint="eastAsia"/>
          <w:b/>
          <w:spacing w:val="-10"/>
        </w:rPr>
        <w:t xml:space="preserve"> </w:t>
      </w:r>
      <w:r>
        <w:rPr>
          <w:b/>
          <w:spacing w:val="-10"/>
        </w:rPr>
        <w:t>项目现状</w:t>
      </w:r>
    </w:p>
    <w:p w14:paraId="780AA9D9">
      <w:pPr>
        <w:adjustRightInd w:val="0"/>
        <w:snapToGrid w:val="0"/>
        <w:spacing w:line="360" w:lineRule="auto"/>
        <w:ind w:firstLine="440" w:firstLineChars="200"/>
        <w:rPr>
          <w:rFonts w:hint="eastAsia"/>
          <w:bCs/>
          <w:spacing w:val="-10"/>
        </w:rPr>
      </w:pPr>
      <w:r>
        <w:rPr>
          <w:bCs/>
          <w:spacing w:val="-10"/>
        </w:rPr>
        <w:t>新疆龙都石油化工有限公司20万吨/年劣质苯类物综合利用项目位于吉木萨尔县北庭工业园区，项目分两期建设，已统一完成项目备案。</w:t>
      </w:r>
    </w:p>
    <w:p w14:paraId="4C22EDB5">
      <w:pPr>
        <w:adjustRightInd w:val="0"/>
        <w:snapToGrid w:val="0"/>
        <w:spacing w:line="360" w:lineRule="auto"/>
        <w:ind w:firstLine="440" w:firstLineChars="200"/>
        <w:rPr>
          <w:rFonts w:hint="eastAsia"/>
          <w:bCs/>
          <w:spacing w:val="-10"/>
        </w:rPr>
      </w:pPr>
      <w:r>
        <w:rPr>
          <w:bCs/>
          <w:spacing w:val="-10"/>
        </w:rPr>
        <w:t>一期工程为20万吨/年劣质苯类物加氢装置及配套公辅设施，已取得昌吉州生态环境局环评批复，目前主体设施基本建成，尚未竣工投产。二期工程为本次评价的60万吨/年成品油调配项目，与一期同址建设，仅依托公用工程，工艺相互独立；一期产品全部外售，无物料作为二期原料，二期所需原料均为市场外购。</w:t>
      </w:r>
    </w:p>
    <w:p w14:paraId="28D3E849">
      <w:pPr>
        <w:adjustRightInd w:val="0"/>
        <w:snapToGrid w:val="0"/>
        <w:spacing w:line="360" w:lineRule="auto"/>
        <w:ind w:firstLine="440" w:firstLineChars="200"/>
        <w:rPr>
          <w:rFonts w:hint="eastAsia"/>
          <w:bCs/>
          <w:spacing w:val="-10"/>
        </w:rPr>
      </w:pPr>
      <w:r>
        <w:rPr>
          <w:bCs/>
          <w:spacing w:val="-10"/>
        </w:rPr>
        <w:t>项目采用物理调和工艺生产车用汽油及车用柴油，废气、噪声、固废等污染防治措施均按规范设计，已制定完善的废气、噪声及后续土壤地下水自行监测计划，各项环保措施与监测要求均符合园区及行业管控标准。</w:t>
      </w:r>
    </w:p>
    <w:p w14:paraId="648303BF">
      <w:pPr>
        <w:adjustRightInd w:val="0"/>
        <w:snapToGrid w:val="0"/>
        <w:spacing w:line="360" w:lineRule="auto"/>
        <w:rPr>
          <w:rFonts w:hint="eastAsia"/>
          <w:b/>
          <w:spacing w:val="-10"/>
        </w:rPr>
      </w:pPr>
      <w:r>
        <w:rPr>
          <w:b/>
          <w:spacing w:val="-10"/>
        </w:rPr>
        <w:t>3</w:t>
      </w:r>
      <w:r>
        <w:rPr>
          <w:rFonts w:hint="eastAsia"/>
          <w:b/>
          <w:spacing w:val="-10"/>
        </w:rPr>
        <w:t xml:space="preserve"> </w:t>
      </w:r>
      <w:r>
        <w:rPr>
          <w:b/>
          <w:spacing w:val="-10"/>
        </w:rPr>
        <w:t>风险调查</w:t>
      </w:r>
    </w:p>
    <w:p w14:paraId="11339E51">
      <w:pPr>
        <w:adjustRightInd w:val="0"/>
        <w:snapToGrid w:val="0"/>
        <w:spacing w:line="360" w:lineRule="auto"/>
        <w:rPr>
          <w:rFonts w:hint="eastAsia"/>
          <w:b/>
          <w:spacing w:val="-10"/>
        </w:rPr>
      </w:pPr>
      <w:r>
        <w:rPr>
          <w:b/>
          <w:spacing w:val="-10"/>
        </w:rPr>
        <w:t>3.1项目风险源调查</w:t>
      </w:r>
    </w:p>
    <w:p w14:paraId="044D3A6F">
      <w:pPr>
        <w:adjustRightInd w:val="0"/>
        <w:snapToGrid w:val="0"/>
        <w:spacing w:line="360" w:lineRule="auto"/>
        <w:ind w:firstLine="480" w:firstLineChars="200"/>
        <w:rPr>
          <w:rFonts w:hint="eastAsia"/>
        </w:rPr>
      </w:pPr>
      <w:r>
        <w:rPr>
          <w:rFonts w:hint="eastAsia"/>
        </w:rPr>
        <w:t>本项目罐区共储存7种物料，包括</w:t>
      </w:r>
      <w:r>
        <w:t>MTBE、异辛烷、轻质石脑油、混合芳烃、轻质燃料油、煤基柴油</w:t>
      </w:r>
      <w:r>
        <w:rPr>
          <w:rFonts w:hint="eastAsia"/>
        </w:rPr>
        <w:t>、</w:t>
      </w:r>
      <w:r>
        <w:t>车用汽油</w:t>
      </w:r>
      <w:r>
        <w:rPr>
          <w:rFonts w:hint="eastAsia"/>
        </w:rPr>
        <w:t>及</w:t>
      </w:r>
      <w:r>
        <w:t>车用柴油</w:t>
      </w:r>
      <w:r>
        <w:rPr>
          <w:rFonts w:hint="eastAsia"/>
        </w:rPr>
        <w:t>，以上物料均属于易燃易爆的危险物质。其危险化学品</w:t>
      </w:r>
      <w:r>
        <w:t>的理化特性见表</w:t>
      </w:r>
      <w:r>
        <w:rPr>
          <w:rFonts w:hint="eastAsia"/>
        </w:rPr>
        <w:t>6-1至6-7。</w:t>
      </w:r>
    </w:p>
    <w:p w14:paraId="21C75FDC">
      <w:pPr>
        <w:adjustRightInd w:val="0"/>
        <w:snapToGrid w:val="0"/>
        <w:ind w:firstLine="440" w:firstLineChars="200"/>
        <w:rPr>
          <w:rFonts w:hint="eastAsia"/>
          <w:bCs/>
          <w:spacing w:val="-10"/>
        </w:rPr>
      </w:pPr>
    </w:p>
    <w:p w14:paraId="78B542DA">
      <w:pPr>
        <w:adjustRightInd w:val="0"/>
        <w:snapToGrid w:val="0"/>
        <w:jc w:val="center"/>
        <w:rPr>
          <w:rFonts w:hint="eastAsia"/>
          <w:b/>
          <w:bCs/>
          <w:spacing w:val="-10"/>
        </w:rPr>
      </w:pPr>
      <w:r>
        <w:rPr>
          <w:b/>
          <w:bCs/>
          <w:spacing w:val="-10"/>
        </w:rPr>
        <w:t>表6-1</w:t>
      </w:r>
      <w:r>
        <w:rPr>
          <w:rFonts w:hint="eastAsia"/>
          <w:b/>
          <w:bCs/>
          <w:spacing w:val="-10"/>
        </w:rPr>
        <w:t xml:space="preserve">  </w:t>
      </w:r>
      <w:r>
        <w:rPr>
          <w:b/>
          <w:spacing w:val="-10"/>
        </w:rPr>
        <w:t>柴油</w:t>
      </w:r>
      <w:r>
        <w:rPr>
          <w:b/>
          <w:bCs/>
          <w:spacing w:val="-10"/>
        </w:rPr>
        <w:t>理化性质、危险危害特性及防护措施表</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3"/>
        <w:gridCol w:w="2002"/>
        <w:gridCol w:w="2050"/>
        <w:gridCol w:w="1774"/>
        <w:gridCol w:w="1981"/>
      </w:tblGrid>
      <w:tr w14:paraId="486D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010" w:type="dxa"/>
            <w:vAlign w:val="center"/>
          </w:tcPr>
          <w:p w14:paraId="5CD28D6B">
            <w:pPr>
              <w:jc w:val="center"/>
              <w:rPr>
                <w:rFonts w:hint="eastAsia"/>
              </w:rPr>
            </w:pPr>
            <w:r>
              <w:rPr>
                <w:szCs w:val="21"/>
              </w:rPr>
              <w:t>特别警示</w:t>
            </w:r>
          </w:p>
        </w:tc>
        <w:tc>
          <w:tcPr>
            <w:tcW w:w="7707" w:type="dxa"/>
            <w:gridSpan w:val="4"/>
            <w:vAlign w:val="center"/>
          </w:tcPr>
          <w:p w14:paraId="14883530">
            <w:pPr>
              <w:jc w:val="center"/>
              <w:rPr>
                <w:rFonts w:hint="eastAsia"/>
              </w:rPr>
            </w:pPr>
            <w:r>
              <w:rPr>
                <w:szCs w:val="21"/>
              </w:rPr>
              <w:t>易燃液，不得使用直流水扑救。</w:t>
            </w:r>
          </w:p>
        </w:tc>
      </w:tr>
      <w:tr w14:paraId="55F73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010" w:type="dxa"/>
            <w:vMerge w:val="restart"/>
            <w:vAlign w:val="center"/>
          </w:tcPr>
          <w:p w14:paraId="21764F9A">
            <w:pPr>
              <w:jc w:val="center"/>
              <w:rPr>
                <w:rFonts w:hint="eastAsia"/>
              </w:rPr>
            </w:pPr>
            <w:r>
              <w:rPr>
                <w:szCs w:val="21"/>
              </w:rPr>
              <w:t>标识</w:t>
            </w:r>
          </w:p>
        </w:tc>
        <w:tc>
          <w:tcPr>
            <w:tcW w:w="7707" w:type="dxa"/>
            <w:gridSpan w:val="4"/>
            <w:vAlign w:val="center"/>
          </w:tcPr>
          <w:p w14:paraId="52D87B18">
            <w:pPr>
              <w:jc w:val="center"/>
              <w:rPr>
                <w:rFonts w:hint="eastAsia"/>
              </w:rPr>
            </w:pPr>
            <w:r>
              <w:rPr>
                <w:szCs w:val="21"/>
              </w:rPr>
              <w:t>英文名：Dieseloil</w:t>
            </w:r>
          </w:p>
        </w:tc>
      </w:tr>
      <w:tr w14:paraId="3B794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010" w:type="dxa"/>
            <w:vMerge w:val="restart"/>
            <w:vAlign w:val="center"/>
          </w:tcPr>
          <w:p w14:paraId="073C20B1">
            <w:pPr>
              <w:jc w:val="center"/>
              <w:rPr>
                <w:rFonts w:hint="eastAsia"/>
              </w:rPr>
            </w:pPr>
            <w:r>
              <w:rPr>
                <w:szCs w:val="21"/>
              </w:rPr>
              <w:t>理化性质</w:t>
            </w:r>
          </w:p>
        </w:tc>
        <w:tc>
          <w:tcPr>
            <w:tcW w:w="7707" w:type="dxa"/>
            <w:gridSpan w:val="4"/>
            <w:vAlign w:val="center"/>
          </w:tcPr>
          <w:p w14:paraId="28BED189">
            <w:pPr>
              <w:jc w:val="center"/>
              <w:rPr>
                <w:rFonts w:hint="eastAsia"/>
              </w:rPr>
            </w:pPr>
            <w:r>
              <w:rPr>
                <w:szCs w:val="21"/>
              </w:rPr>
              <w:t>外观与性状：稍有粘性的棕色液体</w:t>
            </w:r>
          </w:p>
        </w:tc>
      </w:tr>
      <w:tr w14:paraId="1906A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010" w:type="dxa"/>
            <w:vMerge w:val="continue"/>
            <w:vAlign w:val="center"/>
          </w:tcPr>
          <w:p w14:paraId="36ACF526">
            <w:pPr>
              <w:jc w:val="center"/>
              <w:rPr>
                <w:rFonts w:hint="eastAsia"/>
              </w:rPr>
            </w:pPr>
          </w:p>
        </w:tc>
        <w:tc>
          <w:tcPr>
            <w:tcW w:w="7707" w:type="dxa"/>
            <w:gridSpan w:val="4"/>
            <w:vAlign w:val="center"/>
          </w:tcPr>
          <w:p w14:paraId="24457E2F">
            <w:pPr>
              <w:jc w:val="center"/>
              <w:rPr>
                <w:rFonts w:hint="eastAsia"/>
              </w:rPr>
            </w:pPr>
            <w:r>
              <w:rPr>
                <w:szCs w:val="21"/>
              </w:rPr>
              <w:t>毒性：刺激作用</w:t>
            </w:r>
          </w:p>
        </w:tc>
      </w:tr>
      <w:tr w14:paraId="18902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010" w:type="dxa"/>
            <w:vMerge w:val="continue"/>
            <w:vAlign w:val="center"/>
          </w:tcPr>
          <w:p w14:paraId="2E4AF687">
            <w:pPr>
              <w:jc w:val="center"/>
              <w:rPr>
                <w:rFonts w:hint="eastAsia"/>
              </w:rPr>
            </w:pPr>
          </w:p>
        </w:tc>
        <w:tc>
          <w:tcPr>
            <w:tcW w:w="7707" w:type="dxa"/>
            <w:gridSpan w:val="4"/>
            <w:vAlign w:val="center"/>
          </w:tcPr>
          <w:p w14:paraId="0CE06BB1">
            <w:pPr>
              <w:jc w:val="center"/>
              <w:rPr>
                <w:rFonts w:hint="eastAsia"/>
              </w:rPr>
            </w:pPr>
            <w:r>
              <w:rPr>
                <w:szCs w:val="21"/>
              </w:rPr>
              <w:t>禁忌物：强氧化剂、卤素</w:t>
            </w:r>
          </w:p>
        </w:tc>
      </w:tr>
      <w:tr w14:paraId="72BA4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010" w:type="dxa"/>
            <w:vMerge w:val="continue"/>
            <w:vAlign w:val="center"/>
          </w:tcPr>
          <w:p w14:paraId="6D15E4D0">
            <w:pPr>
              <w:jc w:val="center"/>
              <w:rPr>
                <w:rFonts w:hint="eastAsia"/>
              </w:rPr>
            </w:pPr>
          </w:p>
        </w:tc>
        <w:tc>
          <w:tcPr>
            <w:tcW w:w="7707" w:type="dxa"/>
            <w:gridSpan w:val="4"/>
            <w:vAlign w:val="center"/>
          </w:tcPr>
          <w:p w14:paraId="7BF7F68C">
            <w:pPr>
              <w:jc w:val="center"/>
              <w:rPr>
                <w:rFonts w:hint="eastAsia"/>
              </w:rPr>
            </w:pPr>
            <w:r>
              <w:rPr>
                <w:szCs w:val="21"/>
              </w:rPr>
              <w:t>侵入途径：吸入、食入、经皮吸收</w:t>
            </w:r>
          </w:p>
        </w:tc>
      </w:tr>
      <w:tr w14:paraId="05732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010" w:type="dxa"/>
            <w:vMerge w:val="continue"/>
            <w:vAlign w:val="center"/>
          </w:tcPr>
          <w:p w14:paraId="6EC73149">
            <w:pPr>
              <w:jc w:val="center"/>
              <w:rPr>
                <w:rFonts w:hint="eastAsia"/>
              </w:rPr>
            </w:pPr>
          </w:p>
        </w:tc>
        <w:tc>
          <w:tcPr>
            <w:tcW w:w="4000" w:type="dxa"/>
            <w:gridSpan w:val="2"/>
            <w:vAlign w:val="center"/>
          </w:tcPr>
          <w:p w14:paraId="6ABAB16E">
            <w:pPr>
              <w:jc w:val="center"/>
              <w:rPr>
                <w:rFonts w:hint="eastAsia"/>
              </w:rPr>
            </w:pPr>
            <w:r>
              <w:rPr>
                <w:szCs w:val="21"/>
              </w:rPr>
              <w:t>相对密度（水=1）</w:t>
            </w:r>
          </w:p>
        </w:tc>
        <w:tc>
          <w:tcPr>
            <w:tcW w:w="3707" w:type="dxa"/>
            <w:gridSpan w:val="2"/>
            <w:vAlign w:val="center"/>
          </w:tcPr>
          <w:p w14:paraId="1735C92B">
            <w:pPr>
              <w:jc w:val="center"/>
              <w:rPr>
                <w:rFonts w:hint="eastAsia"/>
              </w:rPr>
            </w:pPr>
            <w:r>
              <w:rPr>
                <w:szCs w:val="21"/>
              </w:rPr>
              <w:t>0.87-0.9</w:t>
            </w:r>
          </w:p>
        </w:tc>
      </w:tr>
      <w:tr w14:paraId="296DA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010" w:type="dxa"/>
            <w:vMerge w:val="continue"/>
            <w:vAlign w:val="center"/>
          </w:tcPr>
          <w:p w14:paraId="2CE980DA">
            <w:pPr>
              <w:jc w:val="center"/>
              <w:rPr>
                <w:rFonts w:hint="eastAsia"/>
              </w:rPr>
            </w:pPr>
          </w:p>
        </w:tc>
        <w:tc>
          <w:tcPr>
            <w:tcW w:w="1976" w:type="dxa"/>
            <w:vAlign w:val="center"/>
          </w:tcPr>
          <w:p w14:paraId="1500F96C">
            <w:pPr>
              <w:jc w:val="center"/>
              <w:rPr>
                <w:rFonts w:hint="eastAsia"/>
              </w:rPr>
            </w:pPr>
            <w:r>
              <w:rPr>
                <w:szCs w:val="21"/>
              </w:rPr>
              <w:t>熔点℃</w:t>
            </w:r>
          </w:p>
        </w:tc>
        <w:tc>
          <w:tcPr>
            <w:tcW w:w="2024" w:type="dxa"/>
            <w:vAlign w:val="center"/>
          </w:tcPr>
          <w:p w14:paraId="616D6FFC">
            <w:pPr>
              <w:jc w:val="center"/>
              <w:rPr>
                <w:rFonts w:hint="eastAsia"/>
              </w:rPr>
            </w:pPr>
            <w:r>
              <w:rPr>
                <w:szCs w:val="21"/>
              </w:rPr>
              <w:t>＜-18</w:t>
            </w:r>
          </w:p>
        </w:tc>
        <w:tc>
          <w:tcPr>
            <w:tcW w:w="1751" w:type="dxa"/>
            <w:vAlign w:val="center"/>
          </w:tcPr>
          <w:p w14:paraId="3E6E08E3">
            <w:pPr>
              <w:jc w:val="center"/>
              <w:rPr>
                <w:rFonts w:hint="eastAsia"/>
              </w:rPr>
            </w:pPr>
            <w:r>
              <w:rPr>
                <w:szCs w:val="21"/>
              </w:rPr>
              <w:t>沸点℃</w:t>
            </w:r>
          </w:p>
        </w:tc>
        <w:tc>
          <w:tcPr>
            <w:tcW w:w="1956" w:type="dxa"/>
            <w:vAlign w:val="center"/>
          </w:tcPr>
          <w:p w14:paraId="1E57CD59">
            <w:pPr>
              <w:jc w:val="center"/>
              <w:rPr>
                <w:rFonts w:hint="eastAsia"/>
              </w:rPr>
            </w:pPr>
            <w:r>
              <w:rPr>
                <w:szCs w:val="21"/>
              </w:rPr>
              <w:t>282-338</w:t>
            </w:r>
          </w:p>
        </w:tc>
      </w:tr>
      <w:tr w14:paraId="28AFA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010" w:type="dxa"/>
            <w:vMerge w:val="continue"/>
            <w:vAlign w:val="center"/>
          </w:tcPr>
          <w:p w14:paraId="6E33B7D6">
            <w:pPr>
              <w:jc w:val="center"/>
              <w:rPr>
                <w:rFonts w:hint="eastAsia"/>
              </w:rPr>
            </w:pPr>
          </w:p>
        </w:tc>
        <w:tc>
          <w:tcPr>
            <w:tcW w:w="1976" w:type="dxa"/>
            <w:vAlign w:val="center"/>
          </w:tcPr>
          <w:p w14:paraId="51207E2F">
            <w:pPr>
              <w:jc w:val="center"/>
              <w:rPr>
                <w:rFonts w:hint="eastAsia"/>
              </w:rPr>
            </w:pPr>
            <w:r>
              <w:rPr>
                <w:szCs w:val="21"/>
              </w:rPr>
              <w:t>闪点℃</w:t>
            </w:r>
          </w:p>
        </w:tc>
        <w:tc>
          <w:tcPr>
            <w:tcW w:w="2024" w:type="dxa"/>
            <w:vAlign w:val="center"/>
          </w:tcPr>
          <w:p w14:paraId="6695AB36">
            <w:pPr>
              <w:jc w:val="center"/>
              <w:rPr>
                <w:rFonts w:hint="eastAsia"/>
              </w:rPr>
            </w:pPr>
            <w:r>
              <w:rPr>
                <w:szCs w:val="21"/>
              </w:rPr>
              <w:t>55</w:t>
            </w:r>
          </w:p>
        </w:tc>
        <w:tc>
          <w:tcPr>
            <w:tcW w:w="1751" w:type="dxa"/>
            <w:vAlign w:val="center"/>
          </w:tcPr>
          <w:p w14:paraId="16D6242A">
            <w:pPr>
              <w:jc w:val="center"/>
              <w:rPr>
                <w:rFonts w:hint="eastAsia"/>
              </w:rPr>
            </w:pPr>
            <w:r>
              <w:rPr>
                <w:szCs w:val="21"/>
              </w:rPr>
              <w:t>自然温度℃</w:t>
            </w:r>
          </w:p>
        </w:tc>
        <w:tc>
          <w:tcPr>
            <w:tcW w:w="1956" w:type="dxa"/>
            <w:vAlign w:val="center"/>
          </w:tcPr>
          <w:p w14:paraId="3036282A">
            <w:pPr>
              <w:jc w:val="center"/>
              <w:rPr>
                <w:rFonts w:hint="eastAsia"/>
              </w:rPr>
            </w:pPr>
            <w:r>
              <w:rPr>
                <w:szCs w:val="21"/>
              </w:rPr>
              <w:t>257</w:t>
            </w:r>
          </w:p>
        </w:tc>
      </w:tr>
      <w:tr w14:paraId="7B33D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010" w:type="dxa"/>
            <w:vAlign w:val="center"/>
          </w:tcPr>
          <w:p w14:paraId="750C5B36">
            <w:pPr>
              <w:jc w:val="center"/>
              <w:rPr>
                <w:rFonts w:hint="eastAsia"/>
              </w:rPr>
            </w:pPr>
            <w:r>
              <w:rPr>
                <w:szCs w:val="21"/>
              </w:rPr>
              <w:t>危险特性</w:t>
            </w:r>
          </w:p>
        </w:tc>
        <w:tc>
          <w:tcPr>
            <w:tcW w:w="7707" w:type="dxa"/>
            <w:gridSpan w:val="4"/>
            <w:vAlign w:val="center"/>
          </w:tcPr>
          <w:p w14:paraId="76141343">
            <w:pPr>
              <w:jc w:val="center"/>
              <w:rPr>
                <w:rFonts w:hint="eastAsia"/>
              </w:rPr>
            </w:pPr>
            <w:r>
              <w:rPr>
                <w:szCs w:val="21"/>
              </w:rPr>
              <w:t>遇明火、高热与氧化剂接触，有引起燃烧爆炸的危险，若遇高热，容器内压增大，有开裂和爆炸的危险。</w:t>
            </w:r>
          </w:p>
        </w:tc>
      </w:tr>
      <w:tr w14:paraId="488CD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010" w:type="dxa"/>
            <w:vAlign w:val="center"/>
          </w:tcPr>
          <w:p w14:paraId="0F39DC1D">
            <w:pPr>
              <w:jc w:val="center"/>
              <w:rPr>
                <w:rFonts w:hint="eastAsia"/>
              </w:rPr>
            </w:pPr>
            <w:r>
              <w:rPr>
                <w:szCs w:val="21"/>
              </w:rPr>
              <w:t>呼吸系统防护</w:t>
            </w:r>
          </w:p>
        </w:tc>
        <w:tc>
          <w:tcPr>
            <w:tcW w:w="7707" w:type="dxa"/>
            <w:gridSpan w:val="4"/>
            <w:vAlign w:val="center"/>
          </w:tcPr>
          <w:p w14:paraId="39BDFC82">
            <w:pPr>
              <w:pStyle w:val="7"/>
              <w:spacing w:line="240" w:lineRule="auto"/>
              <w:jc w:val="center"/>
              <w:rPr>
                <w:sz w:val="21"/>
                <w:szCs w:val="21"/>
              </w:rPr>
            </w:pPr>
            <w:r>
              <w:rPr>
                <w:sz w:val="21"/>
                <w:szCs w:val="21"/>
              </w:rPr>
              <w:t>一般不需要特殊防护，但建议特殊情况下，佩带供气式呼吸器。</w:t>
            </w:r>
          </w:p>
        </w:tc>
      </w:tr>
      <w:tr w14:paraId="0AC77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1010" w:type="dxa"/>
            <w:vAlign w:val="center"/>
          </w:tcPr>
          <w:p w14:paraId="5DD44FAB">
            <w:pPr>
              <w:jc w:val="center"/>
              <w:rPr>
                <w:rFonts w:hint="eastAsia"/>
              </w:rPr>
            </w:pPr>
            <w:r>
              <w:rPr>
                <w:szCs w:val="21"/>
              </w:rPr>
              <w:t>主要用途</w:t>
            </w:r>
          </w:p>
        </w:tc>
        <w:tc>
          <w:tcPr>
            <w:tcW w:w="7707" w:type="dxa"/>
            <w:gridSpan w:val="4"/>
            <w:vAlign w:val="center"/>
          </w:tcPr>
          <w:p w14:paraId="350137D3">
            <w:pPr>
              <w:pStyle w:val="7"/>
              <w:spacing w:line="240" w:lineRule="auto"/>
              <w:jc w:val="center"/>
              <w:rPr>
                <w:sz w:val="21"/>
                <w:szCs w:val="21"/>
              </w:rPr>
            </w:pPr>
            <w:r>
              <w:rPr>
                <w:sz w:val="21"/>
                <w:szCs w:val="21"/>
              </w:rPr>
              <w:t>用作柴油机的燃料。</w:t>
            </w:r>
          </w:p>
        </w:tc>
      </w:tr>
      <w:tr w14:paraId="4A3A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010" w:type="dxa"/>
            <w:vAlign w:val="center"/>
          </w:tcPr>
          <w:p w14:paraId="215E722C">
            <w:pPr>
              <w:jc w:val="center"/>
              <w:rPr>
                <w:rFonts w:hint="eastAsia"/>
              </w:rPr>
            </w:pPr>
            <w:r>
              <w:rPr>
                <w:szCs w:val="21"/>
              </w:rPr>
              <w:t>健康危害</w:t>
            </w:r>
          </w:p>
        </w:tc>
        <w:tc>
          <w:tcPr>
            <w:tcW w:w="7707" w:type="dxa"/>
            <w:gridSpan w:val="4"/>
            <w:vAlign w:val="center"/>
          </w:tcPr>
          <w:p w14:paraId="3F4EB9CE">
            <w:pPr>
              <w:adjustRightInd w:val="0"/>
              <w:snapToGrid w:val="0"/>
              <w:rPr>
                <w:rFonts w:hint="eastAsia"/>
                <w:bCs/>
                <w:spacing w:val="-10"/>
                <w:szCs w:val="21"/>
              </w:rPr>
            </w:pPr>
            <w:r>
              <w:rPr>
                <w:szCs w:val="21"/>
              </w:rPr>
              <w:t>皮肤接触可为主要吸收途径，可致急性肾脏损害。可引起接解性皮炎、油性痤疮。吸入其雾滴或液体呛入可引起吸入性肺炎，能经胎盘进入胎儿血中，</w:t>
            </w:r>
            <w:r>
              <w:rPr>
                <w:bCs/>
                <w:spacing w:val="-10"/>
                <w:szCs w:val="21"/>
              </w:rPr>
              <w:t>柴油</w:t>
            </w:r>
            <w:r>
              <w:rPr>
                <w:szCs w:val="21"/>
              </w:rPr>
              <w:t>废气可引起眼、鼻刺激症状，头晕及头痛。</w:t>
            </w:r>
          </w:p>
        </w:tc>
      </w:tr>
      <w:tr w14:paraId="79DB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010" w:type="dxa"/>
            <w:vAlign w:val="center"/>
          </w:tcPr>
          <w:p w14:paraId="5397222E">
            <w:pPr>
              <w:jc w:val="center"/>
              <w:rPr>
                <w:rFonts w:hint="eastAsia"/>
              </w:rPr>
            </w:pPr>
            <w:r>
              <w:rPr>
                <w:szCs w:val="21"/>
              </w:rPr>
              <w:t>灭火方法</w:t>
            </w:r>
          </w:p>
        </w:tc>
        <w:tc>
          <w:tcPr>
            <w:tcW w:w="7707" w:type="dxa"/>
            <w:gridSpan w:val="4"/>
            <w:vAlign w:val="center"/>
          </w:tcPr>
          <w:p w14:paraId="680722AA">
            <w:pPr>
              <w:pStyle w:val="7"/>
              <w:spacing w:line="240" w:lineRule="auto"/>
              <w:jc w:val="center"/>
              <w:rPr>
                <w:sz w:val="21"/>
                <w:szCs w:val="21"/>
              </w:rPr>
            </w:pPr>
            <w:r>
              <w:rPr>
                <w:sz w:val="21"/>
                <w:szCs w:val="21"/>
              </w:rPr>
              <w:t>雾状水、泡沫、干粉、二氧化碳、砂土。</w:t>
            </w:r>
          </w:p>
          <w:p w14:paraId="74C9B96F">
            <w:pPr>
              <w:pStyle w:val="7"/>
              <w:spacing w:line="240" w:lineRule="auto"/>
              <w:jc w:val="center"/>
              <w:rPr>
                <w:sz w:val="21"/>
                <w:szCs w:val="21"/>
              </w:rPr>
            </w:pPr>
            <w:r>
              <w:rPr>
                <w:sz w:val="21"/>
                <w:szCs w:val="21"/>
              </w:rPr>
              <w:t>注意事项：消防人员须佩戴防毒面具、穿全身消防服，在上风向灭火。尽可能将容器从火场移至空旷处，喷水保持火场容器冷却，直至灭火结束。处在火场中的容器若已变色或从安全泄压装置中产生声音，必须马上撤离。</w:t>
            </w:r>
          </w:p>
        </w:tc>
      </w:tr>
      <w:tr w14:paraId="446DE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010" w:type="dxa"/>
            <w:vAlign w:val="center"/>
          </w:tcPr>
          <w:p w14:paraId="7EF429B9">
            <w:pPr>
              <w:jc w:val="center"/>
              <w:rPr>
                <w:rFonts w:hint="eastAsia"/>
              </w:rPr>
            </w:pPr>
            <w:r>
              <w:rPr>
                <w:szCs w:val="21"/>
              </w:rPr>
              <w:t>急救措施</w:t>
            </w:r>
          </w:p>
        </w:tc>
        <w:tc>
          <w:tcPr>
            <w:tcW w:w="7707" w:type="dxa"/>
            <w:gridSpan w:val="4"/>
            <w:vAlign w:val="center"/>
          </w:tcPr>
          <w:p w14:paraId="77F1A7B3">
            <w:pPr>
              <w:jc w:val="center"/>
              <w:rPr>
                <w:rFonts w:hint="eastAsia"/>
              </w:rPr>
            </w:pPr>
            <w:r>
              <w:rPr>
                <w:szCs w:val="21"/>
              </w:rPr>
              <w:t>吸入：迅速脱离现场至空气新鲜处，保持呼吸道通畅，如呼吸困难给氧，如呼吸停止，立即进行人工呼吸，就医。</w:t>
            </w:r>
          </w:p>
          <w:p w14:paraId="0CBB63DC">
            <w:pPr>
              <w:jc w:val="center"/>
              <w:rPr>
                <w:rFonts w:hint="eastAsia"/>
              </w:rPr>
            </w:pPr>
            <w:r>
              <w:rPr>
                <w:szCs w:val="21"/>
              </w:rPr>
              <w:t>食入：尽快彻底洗胃，就医。</w:t>
            </w:r>
          </w:p>
          <w:p w14:paraId="0BF29CB5">
            <w:pPr>
              <w:jc w:val="center"/>
              <w:rPr>
                <w:rFonts w:hint="eastAsia"/>
              </w:rPr>
            </w:pPr>
            <w:r>
              <w:rPr>
                <w:szCs w:val="21"/>
              </w:rPr>
              <w:t>皮肤接触：立即脱去污染的衣着，用肥皂水和清水彻底冲洗皮肤，就医。</w:t>
            </w:r>
          </w:p>
          <w:p w14:paraId="75727E8D">
            <w:pPr>
              <w:jc w:val="center"/>
              <w:rPr>
                <w:rFonts w:hint="eastAsia"/>
              </w:rPr>
            </w:pPr>
            <w:r>
              <w:rPr>
                <w:szCs w:val="21"/>
              </w:rPr>
              <w:t>眼睛接触：立即提起眼睑，用大量流动清水或生理盐水冲洗，就医。</w:t>
            </w:r>
          </w:p>
        </w:tc>
      </w:tr>
    </w:tbl>
    <w:p w14:paraId="48344842">
      <w:pPr>
        <w:adjustRightInd w:val="0"/>
        <w:snapToGrid w:val="0"/>
        <w:jc w:val="center"/>
        <w:rPr>
          <w:rFonts w:hint="eastAsia"/>
          <w:b/>
          <w:bCs/>
          <w:spacing w:val="-10"/>
        </w:rPr>
      </w:pPr>
      <w:r>
        <w:rPr>
          <w:rFonts w:hint="eastAsia"/>
          <w:b/>
          <w:bCs/>
          <w:spacing w:val="-10"/>
        </w:rPr>
        <w:t>表6-2  汽油的理化性质及危险特性表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0"/>
        <w:gridCol w:w="1963"/>
        <w:gridCol w:w="1838"/>
        <w:gridCol w:w="1123"/>
        <w:gridCol w:w="1538"/>
        <w:gridCol w:w="876"/>
        <w:gridCol w:w="936"/>
      </w:tblGrid>
      <w:tr w14:paraId="3D5C9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restart"/>
          </w:tcPr>
          <w:p w14:paraId="3711ECF5">
            <w:pPr>
              <w:rPr>
                <w:rFonts w:hint="eastAsia"/>
              </w:rPr>
            </w:pPr>
            <w:r>
              <w:rPr>
                <w:rFonts w:hint="eastAsia"/>
              </w:rPr>
              <w:t>标识</w:t>
            </w:r>
          </w:p>
        </w:tc>
        <w:tc>
          <w:tcPr>
            <w:tcW w:w="1985" w:type="dxa"/>
          </w:tcPr>
          <w:p w14:paraId="45BC41AE">
            <w:pPr>
              <w:rPr>
                <w:rFonts w:hint="eastAsia"/>
              </w:rPr>
            </w:pPr>
            <w:r>
              <w:rPr>
                <w:rFonts w:hint="eastAsia"/>
              </w:rPr>
              <w:t>英文名</w:t>
            </w:r>
          </w:p>
        </w:tc>
        <w:tc>
          <w:tcPr>
            <w:tcW w:w="1843" w:type="dxa"/>
          </w:tcPr>
          <w:p w14:paraId="62307F69">
            <w:pPr>
              <w:rPr>
                <w:rFonts w:hint="eastAsia"/>
              </w:rPr>
            </w:pPr>
            <w:r>
              <w:rPr>
                <w:rFonts w:hint="eastAsia"/>
              </w:rPr>
              <w:t>gasoline</w:t>
            </w:r>
          </w:p>
        </w:tc>
        <w:tc>
          <w:tcPr>
            <w:tcW w:w="1134" w:type="dxa"/>
          </w:tcPr>
          <w:p w14:paraId="6E2E47C7">
            <w:pPr>
              <w:rPr>
                <w:rFonts w:hint="eastAsia"/>
              </w:rPr>
            </w:pPr>
            <w:r>
              <w:rPr>
                <w:rFonts w:hint="eastAsia"/>
              </w:rPr>
              <w:t>分子式</w:t>
            </w:r>
          </w:p>
        </w:tc>
        <w:tc>
          <w:tcPr>
            <w:tcW w:w="1543" w:type="dxa"/>
          </w:tcPr>
          <w:p w14:paraId="4916C0AC">
            <w:pPr>
              <w:rPr>
                <w:rFonts w:hint="eastAsia"/>
              </w:rPr>
            </w:pPr>
            <w:r>
              <w:t>C</w:t>
            </w:r>
            <w:r>
              <w:rPr>
                <w:vertAlign w:val="subscript"/>
              </w:rPr>
              <w:t>5</w:t>
            </w:r>
            <w:r>
              <w:t>H</w:t>
            </w:r>
            <w:r>
              <w:rPr>
                <w:vertAlign w:val="subscript"/>
              </w:rPr>
              <w:t>12</w:t>
            </w:r>
            <w:r>
              <w:rPr>
                <w:rFonts w:hint="eastAsia"/>
              </w:rPr>
              <w:t>-</w:t>
            </w:r>
            <w:r>
              <w:t>C</w:t>
            </w:r>
            <w:r>
              <w:rPr>
                <w:vertAlign w:val="subscript"/>
              </w:rPr>
              <w:t>12</w:t>
            </w:r>
            <w:r>
              <w:t>H</w:t>
            </w:r>
            <w:r>
              <w:rPr>
                <w:vertAlign w:val="subscript"/>
              </w:rPr>
              <w:t>26</w:t>
            </w:r>
          </w:p>
          <w:p w14:paraId="7994B8C1">
            <w:pPr>
              <w:rPr>
                <w:rFonts w:hint="eastAsia"/>
              </w:rPr>
            </w:pPr>
          </w:p>
        </w:tc>
        <w:tc>
          <w:tcPr>
            <w:tcW w:w="883" w:type="dxa"/>
          </w:tcPr>
          <w:p w14:paraId="5C15BA06">
            <w:pPr>
              <w:rPr>
                <w:rFonts w:hint="eastAsia"/>
              </w:rPr>
            </w:pPr>
            <w:r>
              <w:rPr>
                <w:rFonts w:hint="eastAsia"/>
              </w:rPr>
              <w:t>分子量</w:t>
            </w:r>
          </w:p>
        </w:tc>
        <w:tc>
          <w:tcPr>
            <w:tcW w:w="884" w:type="dxa"/>
          </w:tcPr>
          <w:p w14:paraId="5980CD9B">
            <w:pPr>
              <w:rPr>
                <w:rFonts w:hint="eastAsia"/>
              </w:rPr>
            </w:pPr>
            <w:r>
              <w:rPr>
                <w:rFonts w:hint="eastAsia"/>
              </w:rPr>
              <w:t>72-170</w:t>
            </w:r>
          </w:p>
        </w:tc>
      </w:tr>
      <w:tr w14:paraId="6641C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tcPr>
          <w:p w14:paraId="246BA7C9">
            <w:pPr>
              <w:rPr>
                <w:rFonts w:hint="eastAsia"/>
              </w:rPr>
            </w:pPr>
          </w:p>
        </w:tc>
        <w:tc>
          <w:tcPr>
            <w:tcW w:w="1985" w:type="dxa"/>
          </w:tcPr>
          <w:p w14:paraId="51109C37">
            <w:pPr>
              <w:rPr>
                <w:rFonts w:hint="eastAsia"/>
              </w:rPr>
            </w:pPr>
            <w:r>
              <w:rPr>
                <w:rFonts w:hint="eastAsia"/>
              </w:rPr>
              <w:t>别名</w:t>
            </w:r>
          </w:p>
        </w:tc>
        <w:tc>
          <w:tcPr>
            <w:tcW w:w="1843" w:type="dxa"/>
          </w:tcPr>
          <w:p w14:paraId="0545CDCA">
            <w:pPr>
              <w:rPr>
                <w:rFonts w:hint="eastAsia"/>
              </w:rPr>
            </w:pPr>
            <w:r>
              <w:rPr>
                <w:rFonts w:hint="eastAsia"/>
              </w:rPr>
              <w:t>/</w:t>
            </w:r>
          </w:p>
        </w:tc>
        <w:tc>
          <w:tcPr>
            <w:tcW w:w="2677" w:type="dxa"/>
            <w:gridSpan w:val="2"/>
          </w:tcPr>
          <w:p w14:paraId="61F46FC2">
            <w:pPr>
              <w:rPr>
                <w:rFonts w:hint="eastAsia"/>
              </w:rPr>
            </w:pPr>
            <w:r>
              <w:rPr>
                <w:rFonts w:hint="eastAsia"/>
              </w:rPr>
              <w:t>UN编号</w:t>
            </w:r>
          </w:p>
        </w:tc>
        <w:tc>
          <w:tcPr>
            <w:tcW w:w="1767" w:type="dxa"/>
            <w:gridSpan w:val="2"/>
          </w:tcPr>
          <w:p w14:paraId="79705A36">
            <w:pPr>
              <w:rPr>
                <w:rFonts w:hint="eastAsia"/>
              </w:rPr>
            </w:pPr>
            <w:r>
              <w:rPr>
                <w:rFonts w:hint="eastAsia"/>
              </w:rPr>
              <w:t>1203</w:t>
            </w:r>
          </w:p>
        </w:tc>
      </w:tr>
      <w:tr w14:paraId="2403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tcPr>
          <w:p w14:paraId="04E28F4C">
            <w:pPr>
              <w:rPr>
                <w:rFonts w:hint="eastAsia"/>
              </w:rPr>
            </w:pPr>
          </w:p>
        </w:tc>
        <w:tc>
          <w:tcPr>
            <w:tcW w:w="1985" w:type="dxa"/>
          </w:tcPr>
          <w:p w14:paraId="02A018DA">
            <w:pPr>
              <w:rPr>
                <w:rFonts w:hint="eastAsia"/>
              </w:rPr>
            </w:pPr>
            <w:r>
              <w:rPr>
                <w:rFonts w:hint="eastAsia"/>
              </w:rPr>
              <w:t>危险货物编号</w:t>
            </w:r>
          </w:p>
        </w:tc>
        <w:tc>
          <w:tcPr>
            <w:tcW w:w="6287" w:type="dxa"/>
            <w:gridSpan w:val="5"/>
          </w:tcPr>
          <w:p w14:paraId="4D0A6CFA">
            <w:pPr>
              <w:rPr>
                <w:rFonts w:hint="eastAsia"/>
              </w:rPr>
            </w:pPr>
            <w:r>
              <w:rPr>
                <w:rFonts w:hint="eastAsia"/>
              </w:rPr>
              <w:t>31001</w:t>
            </w:r>
          </w:p>
        </w:tc>
      </w:tr>
      <w:tr w14:paraId="3F3A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restart"/>
          </w:tcPr>
          <w:p w14:paraId="3903EC60">
            <w:pPr>
              <w:rPr>
                <w:rFonts w:hint="eastAsia"/>
              </w:rPr>
            </w:pPr>
            <w:r>
              <w:rPr>
                <w:rFonts w:hint="eastAsia"/>
              </w:rPr>
              <w:t>理化性质</w:t>
            </w:r>
          </w:p>
        </w:tc>
        <w:tc>
          <w:tcPr>
            <w:tcW w:w="1985" w:type="dxa"/>
          </w:tcPr>
          <w:p w14:paraId="668FF112">
            <w:pPr>
              <w:rPr>
                <w:rFonts w:hint="eastAsia"/>
              </w:rPr>
            </w:pPr>
            <w:r>
              <w:rPr>
                <w:rFonts w:hint="eastAsia"/>
              </w:rPr>
              <w:t>外观与性状</w:t>
            </w:r>
          </w:p>
        </w:tc>
        <w:tc>
          <w:tcPr>
            <w:tcW w:w="6287" w:type="dxa"/>
            <w:gridSpan w:val="5"/>
          </w:tcPr>
          <w:p w14:paraId="13B91A7F">
            <w:pPr>
              <w:rPr>
                <w:rFonts w:hint="eastAsia"/>
              </w:rPr>
            </w:pPr>
            <w:r>
              <w:rPr>
                <w:rFonts w:hint="eastAsia"/>
              </w:rPr>
              <w:t>无色或淡黄色易挥发液体，具有特殊臭味。</w:t>
            </w:r>
          </w:p>
        </w:tc>
      </w:tr>
      <w:tr w14:paraId="75FB6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tcPr>
          <w:p w14:paraId="35EEF1F7">
            <w:pPr>
              <w:rPr>
                <w:rFonts w:hint="eastAsia"/>
              </w:rPr>
            </w:pPr>
          </w:p>
        </w:tc>
        <w:tc>
          <w:tcPr>
            <w:tcW w:w="1985" w:type="dxa"/>
          </w:tcPr>
          <w:p w14:paraId="2AC5725D">
            <w:pPr>
              <w:rPr>
                <w:rFonts w:hint="eastAsia"/>
              </w:rPr>
            </w:pPr>
            <w:r>
              <w:rPr>
                <w:rFonts w:hint="eastAsia"/>
              </w:rPr>
              <w:t>熔点℃</w:t>
            </w:r>
          </w:p>
        </w:tc>
        <w:tc>
          <w:tcPr>
            <w:tcW w:w="1843" w:type="dxa"/>
          </w:tcPr>
          <w:p w14:paraId="73C12742">
            <w:pPr>
              <w:rPr>
                <w:rFonts w:hint="eastAsia"/>
              </w:rPr>
            </w:pPr>
            <w:r>
              <w:rPr>
                <w:rFonts w:hint="eastAsia"/>
              </w:rPr>
              <w:t>-95.4~-90.5</w:t>
            </w:r>
          </w:p>
        </w:tc>
        <w:tc>
          <w:tcPr>
            <w:tcW w:w="2677" w:type="dxa"/>
            <w:gridSpan w:val="2"/>
          </w:tcPr>
          <w:p w14:paraId="540C0822">
            <w:pPr>
              <w:rPr>
                <w:rFonts w:hint="eastAsia"/>
              </w:rPr>
            </w:pPr>
            <w:r>
              <w:rPr>
                <w:rFonts w:hint="eastAsia"/>
              </w:rPr>
              <w:t>相对密度（空气=1）</w:t>
            </w:r>
          </w:p>
        </w:tc>
        <w:tc>
          <w:tcPr>
            <w:tcW w:w="1767" w:type="dxa"/>
            <w:gridSpan w:val="2"/>
          </w:tcPr>
          <w:p w14:paraId="6CA0F59D">
            <w:pPr>
              <w:rPr>
                <w:rFonts w:hint="eastAsia"/>
              </w:rPr>
            </w:pPr>
            <w:r>
              <w:rPr>
                <w:rFonts w:hint="eastAsia"/>
              </w:rPr>
              <w:t>0.7~0.8</w:t>
            </w:r>
          </w:p>
        </w:tc>
      </w:tr>
      <w:tr w14:paraId="0B90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tcPr>
          <w:p w14:paraId="49706E54">
            <w:pPr>
              <w:rPr>
                <w:rFonts w:hint="eastAsia"/>
              </w:rPr>
            </w:pPr>
          </w:p>
        </w:tc>
        <w:tc>
          <w:tcPr>
            <w:tcW w:w="1985" w:type="dxa"/>
          </w:tcPr>
          <w:p w14:paraId="794570D7">
            <w:pPr>
              <w:rPr>
                <w:rFonts w:hint="eastAsia"/>
              </w:rPr>
            </w:pPr>
            <w:r>
              <w:rPr>
                <w:rFonts w:hint="eastAsia"/>
              </w:rPr>
              <w:t>沸点℃</w:t>
            </w:r>
          </w:p>
        </w:tc>
        <w:tc>
          <w:tcPr>
            <w:tcW w:w="1843" w:type="dxa"/>
          </w:tcPr>
          <w:p w14:paraId="7806F09F">
            <w:pPr>
              <w:rPr>
                <w:rFonts w:hint="eastAsia"/>
              </w:rPr>
            </w:pPr>
            <w:r>
              <w:rPr>
                <w:rFonts w:hint="eastAsia"/>
              </w:rPr>
              <w:t>25~220</w:t>
            </w:r>
          </w:p>
        </w:tc>
        <w:tc>
          <w:tcPr>
            <w:tcW w:w="2677" w:type="dxa"/>
            <w:gridSpan w:val="2"/>
          </w:tcPr>
          <w:p w14:paraId="3D4A022B">
            <w:pPr>
              <w:rPr>
                <w:rFonts w:hint="eastAsia"/>
              </w:rPr>
            </w:pPr>
            <w:r>
              <w:rPr>
                <w:rFonts w:hint="eastAsia"/>
              </w:rPr>
              <w:t>临界温度℃</w:t>
            </w:r>
          </w:p>
        </w:tc>
        <w:tc>
          <w:tcPr>
            <w:tcW w:w="1767" w:type="dxa"/>
            <w:gridSpan w:val="2"/>
          </w:tcPr>
          <w:p w14:paraId="5B41EF94">
            <w:pPr>
              <w:rPr>
                <w:rFonts w:hint="eastAsia"/>
              </w:rPr>
            </w:pPr>
            <w:r>
              <w:rPr>
                <w:rFonts w:hint="eastAsia"/>
              </w:rPr>
              <w:t>/</w:t>
            </w:r>
          </w:p>
        </w:tc>
      </w:tr>
      <w:tr w14:paraId="276F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tcPr>
          <w:p w14:paraId="536C2C73">
            <w:pPr>
              <w:rPr>
                <w:rFonts w:hint="eastAsia"/>
              </w:rPr>
            </w:pPr>
          </w:p>
        </w:tc>
        <w:tc>
          <w:tcPr>
            <w:tcW w:w="1985" w:type="dxa"/>
          </w:tcPr>
          <w:p w14:paraId="77F20BB2">
            <w:pPr>
              <w:rPr>
                <w:rFonts w:hint="eastAsia"/>
              </w:rPr>
            </w:pPr>
            <w:r>
              <w:rPr>
                <w:rFonts w:hint="eastAsia"/>
              </w:rPr>
              <w:t>相对密度（水=1）</w:t>
            </w:r>
          </w:p>
        </w:tc>
        <w:tc>
          <w:tcPr>
            <w:tcW w:w="1843" w:type="dxa"/>
          </w:tcPr>
          <w:p w14:paraId="1BB7964A">
            <w:pPr>
              <w:rPr>
                <w:rFonts w:hint="eastAsia"/>
              </w:rPr>
            </w:pPr>
            <w:r>
              <w:rPr>
                <w:rFonts w:hint="eastAsia"/>
              </w:rPr>
              <w:t>0.70~0.79</w:t>
            </w:r>
          </w:p>
        </w:tc>
        <w:tc>
          <w:tcPr>
            <w:tcW w:w="2677" w:type="dxa"/>
            <w:gridSpan w:val="2"/>
          </w:tcPr>
          <w:p w14:paraId="6D0D5AA3">
            <w:pPr>
              <w:rPr>
                <w:rFonts w:hint="eastAsia"/>
              </w:rPr>
            </w:pPr>
            <w:r>
              <w:rPr>
                <w:rFonts w:hint="eastAsia"/>
              </w:rPr>
              <w:t>临界压力MPa</w:t>
            </w:r>
          </w:p>
        </w:tc>
        <w:tc>
          <w:tcPr>
            <w:tcW w:w="1767" w:type="dxa"/>
            <w:gridSpan w:val="2"/>
          </w:tcPr>
          <w:p w14:paraId="345B238A">
            <w:pPr>
              <w:rPr>
                <w:rFonts w:hint="eastAsia"/>
              </w:rPr>
            </w:pPr>
            <w:r>
              <w:rPr>
                <w:rFonts w:hint="eastAsia"/>
              </w:rPr>
              <w:t>/</w:t>
            </w:r>
          </w:p>
        </w:tc>
      </w:tr>
      <w:tr w14:paraId="366F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tcPr>
          <w:p w14:paraId="708DB69C">
            <w:pPr>
              <w:rPr>
                <w:rFonts w:hint="eastAsia"/>
              </w:rPr>
            </w:pPr>
          </w:p>
        </w:tc>
        <w:tc>
          <w:tcPr>
            <w:tcW w:w="1985" w:type="dxa"/>
          </w:tcPr>
          <w:p w14:paraId="07A37FA1">
            <w:pPr>
              <w:rPr>
                <w:rFonts w:hint="eastAsia"/>
              </w:rPr>
            </w:pPr>
            <w:r>
              <w:rPr>
                <w:rFonts w:hint="eastAsia"/>
              </w:rPr>
              <w:t>饱和蒸气压</w:t>
            </w:r>
          </w:p>
        </w:tc>
        <w:tc>
          <w:tcPr>
            <w:tcW w:w="1843" w:type="dxa"/>
          </w:tcPr>
          <w:p w14:paraId="2663E7D5">
            <w:pPr>
              <w:rPr>
                <w:rFonts w:hint="eastAsia"/>
              </w:rPr>
            </w:pPr>
            <w:r>
              <w:rPr>
                <w:rFonts w:hint="eastAsia"/>
              </w:rPr>
              <w:t>/</w:t>
            </w:r>
          </w:p>
        </w:tc>
        <w:tc>
          <w:tcPr>
            <w:tcW w:w="2677" w:type="dxa"/>
            <w:gridSpan w:val="2"/>
          </w:tcPr>
          <w:p w14:paraId="61C18D86">
            <w:pPr>
              <w:rPr>
                <w:rFonts w:hint="eastAsia"/>
              </w:rPr>
            </w:pPr>
            <w:r>
              <w:rPr>
                <w:rFonts w:hint="eastAsia"/>
              </w:rPr>
              <w:t>燃烧热</w:t>
            </w:r>
          </w:p>
        </w:tc>
        <w:tc>
          <w:tcPr>
            <w:tcW w:w="1767" w:type="dxa"/>
            <w:gridSpan w:val="2"/>
          </w:tcPr>
          <w:p w14:paraId="595F41E4">
            <w:pPr>
              <w:rPr>
                <w:rFonts w:hint="eastAsia"/>
              </w:rPr>
            </w:pPr>
            <w:r>
              <w:rPr>
                <w:rFonts w:hint="eastAsia"/>
              </w:rPr>
              <w:t>/</w:t>
            </w:r>
          </w:p>
        </w:tc>
      </w:tr>
      <w:tr w14:paraId="50FE3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tcPr>
          <w:p w14:paraId="77C45ECF">
            <w:pPr>
              <w:rPr>
                <w:rFonts w:hint="eastAsia"/>
              </w:rPr>
            </w:pPr>
          </w:p>
        </w:tc>
        <w:tc>
          <w:tcPr>
            <w:tcW w:w="1985" w:type="dxa"/>
          </w:tcPr>
          <w:p w14:paraId="43763092">
            <w:pPr>
              <w:rPr>
                <w:rFonts w:hint="eastAsia"/>
              </w:rPr>
            </w:pPr>
            <w:r>
              <w:rPr>
                <w:rFonts w:hint="eastAsia"/>
              </w:rPr>
              <w:t>最小引燃能量</w:t>
            </w:r>
          </w:p>
        </w:tc>
        <w:tc>
          <w:tcPr>
            <w:tcW w:w="1843" w:type="dxa"/>
          </w:tcPr>
          <w:p w14:paraId="2832372B">
            <w:pPr>
              <w:rPr>
                <w:rFonts w:hint="eastAsia"/>
              </w:rPr>
            </w:pPr>
            <w:r>
              <w:rPr>
                <w:rFonts w:hint="eastAsia"/>
              </w:rPr>
              <w:t>0.25</w:t>
            </w:r>
          </w:p>
        </w:tc>
        <w:tc>
          <w:tcPr>
            <w:tcW w:w="2677" w:type="dxa"/>
            <w:gridSpan w:val="2"/>
          </w:tcPr>
          <w:p w14:paraId="297B3634">
            <w:pPr>
              <w:rPr>
                <w:rFonts w:hint="eastAsia"/>
              </w:rPr>
            </w:pPr>
          </w:p>
        </w:tc>
        <w:tc>
          <w:tcPr>
            <w:tcW w:w="1767" w:type="dxa"/>
            <w:gridSpan w:val="2"/>
          </w:tcPr>
          <w:p w14:paraId="76DB2A9A">
            <w:pPr>
              <w:rPr>
                <w:rFonts w:hint="eastAsia"/>
              </w:rPr>
            </w:pPr>
          </w:p>
        </w:tc>
      </w:tr>
      <w:tr w14:paraId="2A4CD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tcPr>
          <w:p w14:paraId="4433CFE8">
            <w:pPr>
              <w:rPr>
                <w:rFonts w:hint="eastAsia"/>
              </w:rPr>
            </w:pPr>
          </w:p>
        </w:tc>
        <w:tc>
          <w:tcPr>
            <w:tcW w:w="1985" w:type="dxa"/>
          </w:tcPr>
          <w:p w14:paraId="12BBBFF7">
            <w:pPr>
              <w:rPr>
                <w:rFonts w:hint="eastAsia"/>
              </w:rPr>
            </w:pPr>
            <w:r>
              <w:rPr>
                <w:rFonts w:hint="eastAsia"/>
              </w:rPr>
              <w:t>溶解性</w:t>
            </w:r>
          </w:p>
        </w:tc>
        <w:tc>
          <w:tcPr>
            <w:tcW w:w="6287" w:type="dxa"/>
            <w:gridSpan w:val="5"/>
          </w:tcPr>
          <w:p w14:paraId="4C81CAC6">
            <w:pPr>
              <w:rPr>
                <w:rFonts w:hint="eastAsia"/>
              </w:rPr>
            </w:pPr>
            <w:r>
              <w:rPr>
                <w:rFonts w:hint="eastAsia"/>
              </w:rPr>
              <w:t>不溶于水，易溶于苯、二硫化碳、醇、脂肪。</w:t>
            </w:r>
          </w:p>
        </w:tc>
      </w:tr>
      <w:tr w14:paraId="15A5D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restart"/>
          </w:tcPr>
          <w:p w14:paraId="61677921">
            <w:pPr>
              <w:rPr>
                <w:rFonts w:hint="eastAsia"/>
              </w:rPr>
            </w:pPr>
            <w:r>
              <w:rPr>
                <w:rFonts w:hint="eastAsia"/>
              </w:rPr>
              <w:t>毒性与危害</w:t>
            </w:r>
          </w:p>
        </w:tc>
        <w:tc>
          <w:tcPr>
            <w:tcW w:w="1985" w:type="dxa"/>
          </w:tcPr>
          <w:p w14:paraId="599EC0E7">
            <w:pPr>
              <w:rPr>
                <w:rFonts w:hint="eastAsia"/>
              </w:rPr>
            </w:pPr>
            <w:r>
              <w:rPr>
                <w:rFonts w:hint="eastAsia"/>
              </w:rPr>
              <w:t>接触限值</w:t>
            </w:r>
          </w:p>
        </w:tc>
        <w:tc>
          <w:tcPr>
            <w:tcW w:w="6287" w:type="dxa"/>
            <w:gridSpan w:val="5"/>
          </w:tcPr>
          <w:p w14:paraId="23BA27C0">
            <w:pPr>
              <w:rPr>
                <w:rFonts w:hint="eastAsia"/>
              </w:rPr>
            </w:pPr>
            <w:r>
              <w:t>中国MAC:300mg/m</w:t>
            </w:r>
            <w:r>
              <w:rPr>
                <w:vertAlign w:val="superscript"/>
              </w:rPr>
              <w:t>3</w:t>
            </w:r>
            <w:r>
              <w:t xml:space="preserve"> (溶剂汽油)</w:t>
            </w:r>
          </w:p>
          <w:p w14:paraId="3793B83C">
            <w:pPr>
              <w:rPr>
                <w:rFonts w:hint="eastAsia"/>
              </w:rPr>
            </w:pPr>
            <w:r>
              <w:t>前苏联MAC:300mg/m</w:t>
            </w:r>
            <w:r>
              <w:rPr>
                <w:vertAlign w:val="superscript"/>
              </w:rPr>
              <w:t>3</w:t>
            </w:r>
          </w:p>
          <w:p w14:paraId="390F9437">
            <w:pPr>
              <w:rPr>
                <w:rFonts w:hint="eastAsia"/>
              </w:rPr>
            </w:pPr>
            <w:r>
              <w:t>美国TWA:ACGIH300ppm,890mg/m</w:t>
            </w:r>
            <w:r>
              <w:rPr>
                <w:vertAlign w:val="superscript"/>
              </w:rPr>
              <w:t>3</w:t>
            </w:r>
          </w:p>
          <w:p w14:paraId="7EF4EFF1">
            <w:pPr>
              <w:rPr>
                <w:rFonts w:hint="eastAsia"/>
              </w:rPr>
            </w:pPr>
            <w:r>
              <w:t>美国STEL:ACGIH500ppm,1480mg/m</w:t>
            </w:r>
            <w:r>
              <w:rPr>
                <w:vertAlign w:val="superscript"/>
              </w:rPr>
              <w:t>3</w:t>
            </w:r>
          </w:p>
        </w:tc>
      </w:tr>
      <w:tr w14:paraId="044F6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tcPr>
          <w:p w14:paraId="176E6C2E">
            <w:pPr>
              <w:rPr>
                <w:rFonts w:hint="eastAsia"/>
              </w:rPr>
            </w:pPr>
          </w:p>
        </w:tc>
        <w:tc>
          <w:tcPr>
            <w:tcW w:w="1985" w:type="dxa"/>
          </w:tcPr>
          <w:p w14:paraId="0238DD1B">
            <w:pPr>
              <w:rPr>
                <w:rFonts w:hint="eastAsia"/>
              </w:rPr>
            </w:pPr>
            <w:r>
              <w:rPr>
                <w:rFonts w:hint="eastAsia"/>
              </w:rPr>
              <w:t>侵入途径</w:t>
            </w:r>
          </w:p>
        </w:tc>
        <w:tc>
          <w:tcPr>
            <w:tcW w:w="6287" w:type="dxa"/>
            <w:gridSpan w:val="5"/>
          </w:tcPr>
          <w:p w14:paraId="73183FAB">
            <w:pPr>
              <w:rPr>
                <w:rFonts w:hint="eastAsia"/>
              </w:rPr>
            </w:pPr>
            <w:r>
              <w:t>吸入、食入、经皮吸收</w:t>
            </w:r>
          </w:p>
        </w:tc>
      </w:tr>
      <w:tr w14:paraId="08ECE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tcPr>
          <w:p w14:paraId="7665BBD0">
            <w:pPr>
              <w:rPr>
                <w:rFonts w:hint="eastAsia"/>
              </w:rPr>
            </w:pPr>
          </w:p>
        </w:tc>
        <w:tc>
          <w:tcPr>
            <w:tcW w:w="1985" w:type="dxa"/>
          </w:tcPr>
          <w:p w14:paraId="37E3216F">
            <w:pPr>
              <w:rPr>
                <w:rFonts w:hint="eastAsia"/>
              </w:rPr>
            </w:pPr>
            <w:r>
              <w:rPr>
                <w:rFonts w:hint="eastAsia"/>
              </w:rPr>
              <w:t>健康危害</w:t>
            </w:r>
          </w:p>
        </w:tc>
        <w:tc>
          <w:tcPr>
            <w:tcW w:w="6287" w:type="dxa"/>
            <w:gridSpan w:val="5"/>
          </w:tcPr>
          <w:p w14:paraId="4130A7D6">
            <w:pPr>
              <w:rPr>
                <w:rFonts w:hint="eastAsia"/>
              </w:rPr>
            </w:pPr>
            <w:r>
              <w:rPr>
                <w:b/>
                <w:bCs/>
              </w:rPr>
              <w:t>急性中毒</w:t>
            </w:r>
            <w:r>
              <w:t>：对中枢神经系统有麻醉作用。轻度头晕、头痛、恶心、步态不稳；高浓度可致意识丧失、呼吸停止。可伴有周围神经病及化学性肺炎。</w:t>
            </w:r>
          </w:p>
          <w:p w14:paraId="02A38953">
            <w:pPr>
              <w:rPr>
                <w:rFonts w:hint="eastAsia"/>
              </w:rPr>
            </w:pPr>
            <w:r>
              <w:rPr>
                <w:b/>
                <w:bCs/>
              </w:rPr>
              <w:t>慢性中毒</w:t>
            </w:r>
            <w:r>
              <w:t>：神经衰弱综合征、植物神经功能失调，皮肤损害。</w:t>
            </w:r>
          </w:p>
          <w:p w14:paraId="3F99C37A">
            <w:pPr>
              <w:rPr>
                <w:rFonts w:hint="eastAsia"/>
              </w:rPr>
            </w:pPr>
            <w:r>
              <w:rPr>
                <w:b/>
                <w:bCs/>
              </w:rPr>
              <w:t>特殊危害</w:t>
            </w:r>
            <w:r>
              <w:t>：液体吸入呼吸道可致吸入性肺炎；溅入眼内可致角膜溃疡、穿孔甚至失明。</w:t>
            </w:r>
          </w:p>
        </w:tc>
      </w:tr>
      <w:tr w14:paraId="2D12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562" w:type="dxa"/>
            <w:vMerge w:val="restart"/>
          </w:tcPr>
          <w:p w14:paraId="0308EF23">
            <w:pPr>
              <w:rPr>
                <w:rFonts w:hint="eastAsia"/>
              </w:rPr>
            </w:pPr>
            <w:r>
              <w:rPr>
                <w:rFonts w:hint="eastAsia"/>
              </w:rPr>
              <w:t>燃烧爆炸危险性</w:t>
            </w:r>
          </w:p>
        </w:tc>
        <w:tc>
          <w:tcPr>
            <w:tcW w:w="1985" w:type="dxa"/>
          </w:tcPr>
          <w:p w14:paraId="08CAB323">
            <w:pPr>
              <w:rPr>
                <w:rFonts w:hint="eastAsia"/>
              </w:rPr>
            </w:pPr>
            <w:r>
              <w:rPr>
                <w:rFonts w:hint="eastAsia"/>
              </w:rPr>
              <w:t>燃烧性</w:t>
            </w:r>
          </w:p>
        </w:tc>
        <w:tc>
          <w:tcPr>
            <w:tcW w:w="1843" w:type="dxa"/>
          </w:tcPr>
          <w:p w14:paraId="6346F9A4">
            <w:pPr>
              <w:rPr>
                <w:rFonts w:hint="eastAsia"/>
              </w:rPr>
            </w:pPr>
            <w:r>
              <w:rPr>
                <w:rFonts w:hint="eastAsia"/>
              </w:rPr>
              <w:t>易燃</w:t>
            </w:r>
          </w:p>
        </w:tc>
        <w:tc>
          <w:tcPr>
            <w:tcW w:w="2677" w:type="dxa"/>
            <w:gridSpan w:val="2"/>
          </w:tcPr>
          <w:p w14:paraId="34E3F4B1">
            <w:pPr>
              <w:rPr>
                <w:rFonts w:hint="eastAsia"/>
              </w:rPr>
            </w:pPr>
            <w:r>
              <w:rPr>
                <w:rFonts w:hint="eastAsia"/>
              </w:rPr>
              <w:t>闪点℃</w:t>
            </w:r>
          </w:p>
        </w:tc>
        <w:tc>
          <w:tcPr>
            <w:tcW w:w="1767" w:type="dxa"/>
            <w:gridSpan w:val="2"/>
          </w:tcPr>
          <w:p w14:paraId="282EF8FA">
            <w:pPr>
              <w:rPr>
                <w:rFonts w:hint="eastAsia"/>
              </w:rPr>
            </w:pPr>
            <w:r>
              <w:rPr>
                <w:rFonts w:hint="eastAsia"/>
              </w:rPr>
              <w:t>-50</w:t>
            </w:r>
          </w:p>
        </w:tc>
      </w:tr>
      <w:tr w14:paraId="4DF5D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tcPr>
          <w:p w14:paraId="34ADBF6F">
            <w:pPr>
              <w:rPr>
                <w:rFonts w:hint="eastAsia"/>
              </w:rPr>
            </w:pPr>
          </w:p>
        </w:tc>
        <w:tc>
          <w:tcPr>
            <w:tcW w:w="1985" w:type="dxa"/>
          </w:tcPr>
          <w:p w14:paraId="0895C218">
            <w:pPr>
              <w:rPr>
                <w:rFonts w:hint="eastAsia"/>
              </w:rPr>
            </w:pPr>
            <w:r>
              <w:rPr>
                <w:rFonts w:hint="eastAsia"/>
              </w:rPr>
              <w:t>引燃温度℃</w:t>
            </w:r>
          </w:p>
        </w:tc>
        <w:tc>
          <w:tcPr>
            <w:tcW w:w="1843" w:type="dxa"/>
          </w:tcPr>
          <w:p w14:paraId="7443D21B">
            <w:pPr>
              <w:rPr>
                <w:rFonts w:hint="eastAsia"/>
              </w:rPr>
            </w:pPr>
            <w:r>
              <w:rPr>
                <w:rFonts w:hint="eastAsia"/>
              </w:rPr>
              <w:t>250~530</w:t>
            </w:r>
          </w:p>
        </w:tc>
        <w:tc>
          <w:tcPr>
            <w:tcW w:w="2677" w:type="dxa"/>
            <w:gridSpan w:val="2"/>
          </w:tcPr>
          <w:p w14:paraId="68E04945">
            <w:pPr>
              <w:rPr>
                <w:rFonts w:hint="eastAsia"/>
              </w:rPr>
            </w:pPr>
            <w:r>
              <w:rPr>
                <w:rFonts w:hint="eastAsia"/>
              </w:rPr>
              <w:t>爆炸极限%</w:t>
            </w:r>
          </w:p>
        </w:tc>
        <w:tc>
          <w:tcPr>
            <w:tcW w:w="1767" w:type="dxa"/>
            <w:gridSpan w:val="2"/>
          </w:tcPr>
          <w:p w14:paraId="7F67D8D2">
            <w:pPr>
              <w:rPr>
                <w:rFonts w:hint="eastAsia"/>
              </w:rPr>
            </w:pPr>
            <w:r>
              <w:rPr>
                <w:rFonts w:hint="eastAsia"/>
              </w:rPr>
              <w:t>下线1.3，上限7.6</w:t>
            </w:r>
          </w:p>
        </w:tc>
      </w:tr>
      <w:tr w14:paraId="33EAA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tcPr>
          <w:p w14:paraId="550F2FF6">
            <w:pPr>
              <w:rPr>
                <w:rFonts w:hint="eastAsia"/>
              </w:rPr>
            </w:pPr>
          </w:p>
        </w:tc>
        <w:tc>
          <w:tcPr>
            <w:tcW w:w="1985" w:type="dxa"/>
          </w:tcPr>
          <w:p w14:paraId="42AFD765">
            <w:pPr>
              <w:rPr>
                <w:rFonts w:hint="eastAsia"/>
              </w:rPr>
            </w:pPr>
            <w:r>
              <w:rPr>
                <w:rFonts w:hint="eastAsia"/>
              </w:rPr>
              <w:t>危险特性</w:t>
            </w:r>
          </w:p>
        </w:tc>
        <w:tc>
          <w:tcPr>
            <w:tcW w:w="6287" w:type="dxa"/>
            <w:gridSpan w:val="5"/>
          </w:tcPr>
          <w:p w14:paraId="63BBBA65">
            <w:pPr>
              <w:rPr>
                <w:rFonts w:hint="eastAsia"/>
              </w:rPr>
            </w:pPr>
            <w:r>
              <w:t>极易燃烧。蒸气与空气可形成爆炸性混合物。遇明火、高热极易燃烧爆炸。与氧化剂能发生强烈反应。蒸气比空气重，能在较低处扩散到相当远的地方，遇明火会引着回燃。</w:t>
            </w:r>
          </w:p>
        </w:tc>
      </w:tr>
      <w:tr w14:paraId="32C8D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tcPr>
          <w:p w14:paraId="4C337D7F">
            <w:pPr>
              <w:rPr>
                <w:rFonts w:hint="eastAsia"/>
              </w:rPr>
            </w:pPr>
          </w:p>
        </w:tc>
        <w:tc>
          <w:tcPr>
            <w:tcW w:w="1985" w:type="dxa"/>
          </w:tcPr>
          <w:p w14:paraId="6E6242CE">
            <w:pPr>
              <w:rPr>
                <w:rFonts w:hint="eastAsia"/>
              </w:rPr>
            </w:pPr>
            <w:r>
              <w:rPr>
                <w:rFonts w:hint="eastAsia"/>
              </w:rPr>
              <w:t>燃烧分解产物</w:t>
            </w:r>
          </w:p>
        </w:tc>
        <w:tc>
          <w:tcPr>
            <w:tcW w:w="6287" w:type="dxa"/>
            <w:gridSpan w:val="5"/>
          </w:tcPr>
          <w:p w14:paraId="653EBC40">
            <w:pPr>
              <w:rPr>
                <w:rFonts w:hint="eastAsia"/>
              </w:rPr>
            </w:pPr>
            <w:r>
              <w:rPr>
                <w:rFonts w:hint="eastAsia"/>
              </w:rPr>
              <w:t>一氧化碳、二氧化碳</w:t>
            </w:r>
          </w:p>
        </w:tc>
      </w:tr>
      <w:tr w14:paraId="120F5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tcPr>
          <w:p w14:paraId="5D18C9D9">
            <w:pPr>
              <w:rPr>
                <w:rFonts w:hint="eastAsia"/>
              </w:rPr>
            </w:pPr>
          </w:p>
        </w:tc>
        <w:tc>
          <w:tcPr>
            <w:tcW w:w="1985" w:type="dxa"/>
          </w:tcPr>
          <w:p w14:paraId="1B048132">
            <w:pPr>
              <w:rPr>
                <w:rFonts w:hint="eastAsia"/>
              </w:rPr>
            </w:pPr>
            <w:r>
              <w:rPr>
                <w:rFonts w:hint="eastAsia"/>
              </w:rPr>
              <w:t>稳定性</w:t>
            </w:r>
          </w:p>
        </w:tc>
        <w:tc>
          <w:tcPr>
            <w:tcW w:w="6287" w:type="dxa"/>
            <w:gridSpan w:val="5"/>
          </w:tcPr>
          <w:p w14:paraId="1558FDDA">
            <w:pPr>
              <w:rPr>
                <w:rFonts w:hint="eastAsia"/>
              </w:rPr>
            </w:pPr>
            <w:r>
              <w:rPr>
                <w:rFonts w:hint="eastAsia"/>
              </w:rPr>
              <w:t>稳定</w:t>
            </w:r>
          </w:p>
        </w:tc>
      </w:tr>
      <w:tr w14:paraId="167FB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tcPr>
          <w:p w14:paraId="71E98460">
            <w:pPr>
              <w:rPr>
                <w:rFonts w:hint="eastAsia"/>
              </w:rPr>
            </w:pPr>
          </w:p>
        </w:tc>
        <w:tc>
          <w:tcPr>
            <w:tcW w:w="1985" w:type="dxa"/>
          </w:tcPr>
          <w:p w14:paraId="268840E7">
            <w:pPr>
              <w:rPr>
                <w:rFonts w:hint="eastAsia"/>
              </w:rPr>
            </w:pPr>
            <w:r>
              <w:rPr>
                <w:rFonts w:hint="eastAsia"/>
              </w:rPr>
              <w:t>聚合危害</w:t>
            </w:r>
          </w:p>
        </w:tc>
        <w:tc>
          <w:tcPr>
            <w:tcW w:w="6287" w:type="dxa"/>
            <w:gridSpan w:val="5"/>
          </w:tcPr>
          <w:p w14:paraId="6E643CDC">
            <w:pPr>
              <w:rPr>
                <w:rFonts w:hint="eastAsia"/>
              </w:rPr>
            </w:pPr>
            <w:r>
              <w:rPr>
                <w:rFonts w:hint="eastAsia"/>
              </w:rPr>
              <w:t>不聚合</w:t>
            </w:r>
          </w:p>
        </w:tc>
      </w:tr>
      <w:tr w14:paraId="70093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tcPr>
          <w:p w14:paraId="0C5FE4C6">
            <w:pPr>
              <w:rPr>
                <w:rFonts w:hint="eastAsia"/>
              </w:rPr>
            </w:pPr>
          </w:p>
        </w:tc>
        <w:tc>
          <w:tcPr>
            <w:tcW w:w="1985" w:type="dxa"/>
          </w:tcPr>
          <w:p w14:paraId="55D83F18">
            <w:pPr>
              <w:rPr>
                <w:rFonts w:hint="eastAsia"/>
              </w:rPr>
            </w:pPr>
            <w:r>
              <w:rPr>
                <w:rFonts w:hint="eastAsia"/>
              </w:rPr>
              <w:t>禁忌物</w:t>
            </w:r>
          </w:p>
        </w:tc>
        <w:tc>
          <w:tcPr>
            <w:tcW w:w="6287" w:type="dxa"/>
            <w:gridSpan w:val="5"/>
          </w:tcPr>
          <w:p w14:paraId="63F95A47">
            <w:pPr>
              <w:rPr>
                <w:rFonts w:hint="eastAsia"/>
              </w:rPr>
            </w:pPr>
            <w:r>
              <w:rPr>
                <w:rFonts w:hint="eastAsia"/>
              </w:rPr>
              <w:t>强氧化剂</w:t>
            </w:r>
          </w:p>
        </w:tc>
      </w:tr>
      <w:tr w14:paraId="4D61A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tcPr>
          <w:p w14:paraId="2CC85C44">
            <w:pPr>
              <w:rPr>
                <w:rFonts w:hint="eastAsia"/>
              </w:rPr>
            </w:pPr>
          </w:p>
        </w:tc>
        <w:tc>
          <w:tcPr>
            <w:tcW w:w="1985" w:type="dxa"/>
          </w:tcPr>
          <w:p w14:paraId="1D885C2B">
            <w:pPr>
              <w:rPr>
                <w:rFonts w:hint="eastAsia"/>
              </w:rPr>
            </w:pPr>
            <w:r>
              <w:rPr>
                <w:rFonts w:hint="eastAsia"/>
              </w:rPr>
              <w:t>灭火方法</w:t>
            </w:r>
          </w:p>
        </w:tc>
        <w:tc>
          <w:tcPr>
            <w:tcW w:w="6287" w:type="dxa"/>
            <w:gridSpan w:val="5"/>
          </w:tcPr>
          <w:p w14:paraId="0E49CF9C">
            <w:pPr>
              <w:rPr>
                <w:rFonts w:hint="eastAsia"/>
              </w:rPr>
            </w:pPr>
            <w:r>
              <w:t>喷水冷却容器，可能的话将容器从火场移至空旷处。</w:t>
            </w:r>
          </w:p>
          <w:p w14:paraId="1344B1B2">
            <w:pPr>
              <w:rPr>
                <w:rFonts w:hint="eastAsia"/>
              </w:rPr>
            </w:pPr>
            <w:r>
              <w:t>灭火剂：泡沫、干粉、二氧化碳。用水灭火无效。</w:t>
            </w:r>
          </w:p>
        </w:tc>
      </w:tr>
    </w:tbl>
    <w:p w14:paraId="7D4D7EAF">
      <w:pPr>
        <w:jc w:val="center"/>
        <w:rPr>
          <w:rFonts w:hint="eastAsia"/>
          <w:b/>
          <w:bCs/>
          <w:szCs w:val="32"/>
        </w:rPr>
      </w:pPr>
      <w:r>
        <w:rPr>
          <w:rFonts w:hint="eastAsia"/>
          <w:b/>
          <w:bCs/>
          <w:szCs w:val="32"/>
        </w:rPr>
        <w:t>表6-3  石脑油的理化性质及危险特性表</w:t>
      </w:r>
    </w:p>
    <w:tbl>
      <w:tblPr>
        <w:tblStyle w:val="16"/>
        <w:tblW w:w="878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97"/>
        <w:gridCol w:w="1900"/>
        <w:gridCol w:w="860"/>
        <w:gridCol w:w="300"/>
        <w:gridCol w:w="300"/>
        <w:gridCol w:w="1120"/>
        <w:gridCol w:w="280"/>
        <w:gridCol w:w="760"/>
        <w:gridCol w:w="700"/>
        <w:gridCol w:w="980"/>
        <w:gridCol w:w="1120"/>
        <w:gridCol w:w="169"/>
      </w:tblGrid>
      <w:tr w14:paraId="1675A8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20" w:hRule="atLeast"/>
          <w:jc w:val="center"/>
        </w:trPr>
        <w:tc>
          <w:tcPr>
            <w:tcW w:w="297" w:type="dxa"/>
            <w:vMerge w:val="restart"/>
            <w:tcBorders>
              <w:top w:val="single" w:color="auto" w:sz="2" w:space="0"/>
              <w:left w:val="single" w:color="auto" w:sz="2" w:space="0"/>
              <w:bottom w:val="single" w:color="auto" w:sz="2" w:space="0"/>
              <w:right w:val="single" w:color="auto" w:sz="2" w:space="0"/>
            </w:tcBorders>
            <w:vAlign w:val="center"/>
          </w:tcPr>
          <w:p w14:paraId="62F1D2AD">
            <w:pPr>
              <w:rPr>
                <w:rFonts w:hint="eastAsia"/>
                <w:bCs/>
              </w:rPr>
            </w:pPr>
            <w:r>
              <w:rPr>
                <w:bCs/>
              </w:rPr>
              <w:t>标识</w:t>
            </w:r>
          </w:p>
        </w:tc>
        <w:tc>
          <w:tcPr>
            <w:tcW w:w="6220" w:type="dxa"/>
            <w:gridSpan w:val="8"/>
            <w:tcBorders>
              <w:top w:val="single" w:color="auto" w:sz="2" w:space="0"/>
              <w:left w:val="single" w:color="auto" w:sz="2" w:space="0"/>
              <w:bottom w:val="single" w:color="auto" w:sz="2" w:space="0"/>
              <w:right w:val="single" w:color="auto" w:sz="2" w:space="0"/>
            </w:tcBorders>
            <w:vAlign w:val="center"/>
          </w:tcPr>
          <w:p w14:paraId="722C3207">
            <w:pPr>
              <w:rPr>
                <w:rFonts w:hint="eastAsia"/>
              </w:rPr>
            </w:pPr>
            <w:r>
              <w:t>中文名：石脑油；溶剂油</w:t>
            </w:r>
          </w:p>
        </w:tc>
        <w:tc>
          <w:tcPr>
            <w:tcW w:w="2269" w:type="dxa"/>
            <w:gridSpan w:val="3"/>
            <w:tcBorders>
              <w:top w:val="single" w:color="auto" w:sz="2" w:space="0"/>
              <w:left w:val="single" w:color="auto" w:sz="2" w:space="0"/>
              <w:bottom w:val="single" w:color="auto" w:sz="2" w:space="0"/>
              <w:right w:val="single" w:color="auto" w:sz="2" w:space="0"/>
            </w:tcBorders>
            <w:vAlign w:val="center"/>
          </w:tcPr>
          <w:p w14:paraId="24882810">
            <w:pPr>
              <w:rPr>
                <w:rFonts w:hint="eastAsia"/>
              </w:rPr>
            </w:pPr>
            <w:r>
              <w:t>危险货物编号：32004</w:t>
            </w:r>
          </w:p>
        </w:tc>
      </w:tr>
      <w:tr w14:paraId="04D285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20" w:hRule="atLeast"/>
          <w:jc w:val="center"/>
        </w:trPr>
        <w:tc>
          <w:tcPr>
            <w:tcW w:w="297" w:type="dxa"/>
            <w:vMerge w:val="continue"/>
            <w:tcBorders>
              <w:top w:val="single" w:color="auto" w:sz="2" w:space="0"/>
              <w:left w:val="single" w:color="auto" w:sz="2" w:space="0"/>
              <w:bottom w:val="single" w:color="auto" w:sz="2" w:space="0"/>
              <w:right w:val="single" w:color="auto" w:sz="2" w:space="0"/>
            </w:tcBorders>
            <w:vAlign w:val="center"/>
          </w:tcPr>
          <w:p w14:paraId="3ACD5924">
            <w:pPr>
              <w:rPr>
                <w:rFonts w:hint="eastAsia"/>
              </w:rPr>
            </w:pPr>
          </w:p>
        </w:tc>
        <w:tc>
          <w:tcPr>
            <w:tcW w:w="6220" w:type="dxa"/>
            <w:gridSpan w:val="8"/>
            <w:tcBorders>
              <w:top w:val="single" w:color="auto" w:sz="2" w:space="0"/>
              <w:left w:val="single" w:color="auto" w:sz="2" w:space="0"/>
              <w:bottom w:val="single" w:color="auto" w:sz="2" w:space="0"/>
              <w:right w:val="single" w:color="auto" w:sz="2" w:space="0"/>
            </w:tcBorders>
            <w:vAlign w:val="center"/>
          </w:tcPr>
          <w:p w14:paraId="72E1877A">
            <w:pPr>
              <w:rPr>
                <w:rFonts w:hint="eastAsia"/>
              </w:rPr>
            </w:pPr>
            <w:r>
              <w:t>英文名: Grude oil；Naphtha；Naphtha Solvent</w:t>
            </w:r>
          </w:p>
        </w:tc>
        <w:tc>
          <w:tcPr>
            <w:tcW w:w="2269" w:type="dxa"/>
            <w:gridSpan w:val="3"/>
            <w:tcBorders>
              <w:top w:val="single" w:color="auto" w:sz="2" w:space="0"/>
              <w:left w:val="single" w:color="auto" w:sz="2" w:space="0"/>
              <w:bottom w:val="single" w:color="auto" w:sz="2" w:space="0"/>
              <w:right w:val="single" w:color="auto" w:sz="2" w:space="0"/>
            </w:tcBorders>
            <w:vAlign w:val="center"/>
          </w:tcPr>
          <w:p w14:paraId="51174583">
            <w:pPr>
              <w:rPr>
                <w:rFonts w:hint="eastAsia"/>
              </w:rPr>
            </w:pPr>
            <w:r>
              <w:t>UN编号:1256， 2553</w:t>
            </w:r>
          </w:p>
        </w:tc>
      </w:tr>
      <w:tr w14:paraId="4F6CB3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7" w:type="dxa"/>
            <w:vMerge w:val="continue"/>
            <w:tcBorders>
              <w:top w:val="single" w:color="auto" w:sz="2" w:space="0"/>
              <w:left w:val="single" w:color="auto" w:sz="2" w:space="0"/>
              <w:bottom w:val="single" w:color="auto" w:sz="2" w:space="0"/>
              <w:right w:val="single" w:color="auto" w:sz="2" w:space="0"/>
            </w:tcBorders>
            <w:vAlign w:val="center"/>
          </w:tcPr>
          <w:p w14:paraId="1B59B589">
            <w:pPr>
              <w:rPr>
                <w:rFonts w:hint="eastAsia"/>
              </w:rPr>
            </w:pPr>
          </w:p>
        </w:tc>
        <w:tc>
          <w:tcPr>
            <w:tcW w:w="3060" w:type="dxa"/>
            <w:gridSpan w:val="3"/>
            <w:tcBorders>
              <w:top w:val="single" w:color="auto" w:sz="2" w:space="0"/>
              <w:left w:val="single" w:color="auto" w:sz="2" w:space="0"/>
              <w:bottom w:val="single" w:color="auto" w:sz="2" w:space="0"/>
              <w:right w:val="single" w:color="auto" w:sz="2" w:space="0"/>
            </w:tcBorders>
            <w:vAlign w:val="center"/>
          </w:tcPr>
          <w:p w14:paraId="5B95F74C">
            <w:pPr>
              <w:rPr>
                <w:rFonts w:hint="eastAsia"/>
              </w:rPr>
            </w:pPr>
            <w:r>
              <w:t>分子式：/</w:t>
            </w:r>
          </w:p>
        </w:tc>
        <w:tc>
          <w:tcPr>
            <w:tcW w:w="5429" w:type="dxa"/>
            <w:gridSpan w:val="8"/>
            <w:tcBorders>
              <w:top w:val="single" w:color="auto" w:sz="2" w:space="0"/>
              <w:left w:val="single" w:color="auto" w:sz="2" w:space="0"/>
              <w:bottom w:val="single" w:color="auto" w:sz="2" w:space="0"/>
              <w:right w:val="single" w:color="auto" w:sz="2" w:space="0"/>
            </w:tcBorders>
            <w:vAlign w:val="center"/>
          </w:tcPr>
          <w:p w14:paraId="79ABD08D">
            <w:pPr>
              <w:rPr>
                <w:rFonts w:hint="eastAsia"/>
              </w:rPr>
            </w:pPr>
            <w:r>
              <w:t>分子量：/</w:t>
            </w:r>
          </w:p>
        </w:tc>
      </w:tr>
      <w:tr w14:paraId="09235B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7" w:type="dxa"/>
            <w:vMerge w:val="restart"/>
            <w:tcBorders>
              <w:top w:val="nil"/>
              <w:left w:val="single" w:color="auto" w:sz="2" w:space="0"/>
              <w:bottom w:val="single" w:color="auto" w:sz="2" w:space="0"/>
              <w:right w:val="single" w:color="auto" w:sz="2" w:space="0"/>
            </w:tcBorders>
            <w:vAlign w:val="center"/>
          </w:tcPr>
          <w:p w14:paraId="182D10EE">
            <w:pPr>
              <w:rPr>
                <w:rFonts w:hint="eastAsia"/>
              </w:rPr>
            </w:pPr>
            <w:r>
              <w:t>理化性</w:t>
            </w:r>
            <w:r>
              <w:rPr>
                <w:b/>
              </w:rPr>
              <w:t>质</w:t>
            </w:r>
          </w:p>
        </w:tc>
        <w:tc>
          <w:tcPr>
            <w:tcW w:w="1900" w:type="dxa"/>
            <w:tcBorders>
              <w:top w:val="single" w:color="auto" w:sz="2" w:space="0"/>
              <w:left w:val="single" w:color="auto" w:sz="2" w:space="0"/>
              <w:bottom w:val="single" w:color="auto" w:sz="2" w:space="0"/>
              <w:right w:val="single" w:color="auto" w:sz="2" w:space="0"/>
            </w:tcBorders>
            <w:vAlign w:val="center"/>
          </w:tcPr>
          <w:p w14:paraId="13EF3F40">
            <w:pPr>
              <w:rPr>
                <w:rFonts w:hint="eastAsia"/>
              </w:rPr>
            </w:pPr>
            <w:r>
              <w:t>外观与性状</w:t>
            </w:r>
          </w:p>
        </w:tc>
        <w:tc>
          <w:tcPr>
            <w:tcW w:w="6589" w:type="dxa"/>
            <w:gridSpan w:val="10"/>
            <w:tcBorders>
              <w:top w:val="single" w:color="auto" w:sz="2" w:space="0"/>
              <w:left w:val="single" w:color="auto" w:sz="2" w:space="0"/>
              <w:bottom w:val="single" w:color="auto" w:sz="2" w:space="0"/>
              <w:right w:val="single" w:color="auto" w:sz="2" w:space="0"/>
            </w:tcBorders>
            <w:vAlign w:val="center"/>
          </w:tcPr>
          <w:p w14:paraId="5C5A23FC">
            <w:pPr>
              <w:rPr>
                <w:rFonts w:hint="eastAsia"/>
              </w:rPr>
            </w:pPr>
            <w:r>
              <w:t>无色或浅黄色液体。</w:t>
            </w:r>
          </w:p>
        </w:tc>
      </w:tr>
      <w:tr w14:paraId="483302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jc w:val="center"/>
        </w:trPr>
        <w:tc>
          <w:tcPr>
            <w:tcW w:w="297" w:type="dxa"/>
            <w:vMerge w:val="continue"/>
            <w:tcBorders>
              <w:top w:val="nil"/>
              <w:left w:val="single" w:color="auto" w:sz="2" w:space="0"/>
              <w:bottom w:val="single" w:color="auto" w:sz="2" w:space="0"/>
              <w:right w:val="single" w:color="auto" w:sz="2" w:space="0"/>
            </w:tcBorders>
            <w:vAlign w:val="center"/>
          </w:tcPr>
          <w:p w14:paraId="2C690021">
            <w:pPr>
              <w:rPr>
                <w:rFonts w:hint="eastAsia"/>
              </w:rPr>
            </w:pPr>
          </w:p>
        </w:tc>
        <w:tc>
          <w:tcPr>
            <w:tcW w:w="1900" w:type="dxa"/>
            <w:tcBorders>
              <w:top w:val="single" w:color="auto" w:sz="2" w:space="0"/>
              <w:left w:val="single" w:color="auto" w:sz="2" w:space="0"/>
              <w:bottom w:val="single" w:color="auto" w:sz="2" w:space="0"/>
              <w:right w:val="single" w:color="auto" w:sz="2" w:space="0"/>
            </w:tcBorders>
            <w:vAlign w:val="center"/>
          </w:tcPr>
          <w:p w14:paraId="5336B5DF">
            <w:pPr>
              <w:rPr>
                <w:rFonts w:hint="eastAsia"/>
              </w:rPr>
            </w:pPr>
            <w:r>
              <w:t>熔点(℃)</w:t>
            </w:r>
          </w:p>
        </w:tc>
        <w:tc>
          <w:tcPr>
            <w:tcW w:w="860" w:type="dxa"/>
            <w:tcBorders>
              <w:top w:val="single" w:color="auto" w:sz="2" w:space="0"/>
              <w:left w:val="single" w:color="auto" w:sz="2" w:space="0"/>
              <w:bottom w:val="single" w:color="auto" w:sz="2" w:space="0"/>
              <w:right w:val="single" w:color="auto" w:sz="2" w:space="0"/>
            </w:tcBorders>
            <w:vAlign w:val="center"/>
          </w:tcPr>
          <w:p w14:paraId="74EC1B94">
            <w:pPr>
              <w:rPr>
                <w:rFonts w:hint="eastAsia"/>
              </w:rPr>
            </w:pPr>
            <w:r>
              <w:t>/</w:t>
            </w:r>
          </w:p>
        </w:tc>
        <w:tc>
          <w:tcPr>
            <w:tcW w:w="2000" w:type="dxa"/>
            <w:gridSpan w:val="4"/>
            <w:tcBorders>
              <w:top w:val="single" w:color="auto" w:sz="2" w:space="0"/>
              <w:left w:val="single" w:color="auto" w:sz="2" w:space="0"/>
              <w:bottom w:val="single" w:color="auto" w:sz="2" w:space="0"/>
              <w:right w:val="single" w:color="auto" w:sz="2" w:space="0"/>
            </w:tcBorders>
            <w:vAlign w:val="center"/>
          </w:tcPr>
          <w:p w14:paraId="20EAE85D">
            <w:pPr>
              <w:rPr>
                <w:rFonts w:hint="eastAsia"/>
              </w:rPr>
            </w:pPr>
            <w:r>
              <w:t>相对密度(水=1)</w:t>
            </w:r>
          </w:p>
        </w:tc>
        <w:tc>
          <w:tcPr>
            <w:tcW w:w="1460" w:type="dxa"/>
            <w:gridSpan w:val="2"/>
            <w:tcBorders>
              <w:top w:val="single" w:color="auto" w:sz="2" w:space="0"/>
              <w:left w:val="single" w:color="auto" w:sz="2" w:space="0"/>
              <w:bottom w:val="single" w:color="auto" w:sz="2" w:space="0"/>
              <w:right w:val="single" w:color="auto" w:sz="2" w:space="0"/>
            </w:tcBorders>
            <w:vAlign w:val="center"/>
          </w:tcPr>
          <w:p w14:paraId="6EE10B54">
            <w:pPr>
              <w:rPr>
                <w:rFonts w:hint="eastAsia"/>
              </w:rPr>
            </w:pPr>
            <w:r>
              <w:t>0.78~0.97</w:t>
            </w:r>
          </w:p>
        </w:tc>
        <w:tc>
          <w:tcPr>
            <w:tcW w:w="2100" w:type="dxa"/>
            <w:gridSpan w:val="2"/>
            <w:tcBorders>
              <w:top w:val="single" w:color="auto" w:sz="2" w:space="0"/>
              <w:left w:val="single" w:color="auto" w:sz="2" w:space="0"/>
              <w:bottom w:val="single" w:color="auto" w:sz="2" w:space="0"/>
              <w:right w:val="single" w:color="auto" w:sz="2" w:space="0"/>
            </w:tcBorders>
            <w:vAlign w:val="center"/>
          </w:tcPr>
          <w:p w14:paraId="4A7C83A9">
            <w:pPr>
              <w:rPr>
                <w:rFonts w:hint="eastAsia"/>
              </w:rPr>
            </w:pPr>
            <w:r>
              <w:t>相对密度(空气=1)</w:t>
            </w:r>
          </w:p>
        </w:tc>
        <w:tc>
          <w:tcPr>
            <w:tcW w:w="169" w:type="dxa"/>
            <w:tcBorders>
              <w:top w:val="single" w:color="auto" w:sz="2" w:space="0"/>
              <w:left w:val="single" w:color="auto" w:sz="2" w:space="0"/>
              <w:bottom w:val="single" w:color="auto" w:sz="2" w:space="0"/>
              <w:right w:val="single" w:color="auto" w:sz="2" w:space="0"/>
            </w:tcBorders>
            <w:vAlign w:val="center"/>
          </w:tcPr>
          <w:p w14:paraId="25D3C4D6">
            <w:pPr>
              <w:rPr>
                <w:rFonts w:hint="eastAsia"/>
              </w:rPr>
            </w:pPr>
            <w:r>
              <w:t>/</w:t>
            </w:r>
          </w:p>
        </w:tc>
      </w:tr>
      <w:tr w14:paraId="605B31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7" w:type="dxa"/>
            <w:vMerge w:val="continue"/>
            <w:tcBorders>
              <w:top w:val="nil"/>
              <w:left w:val="single" w:color="auto" w:sz="2" w:space="0"/>
              <w:bottom w:val="single" w:color="auto" w:sz="2" w:space="0"/>
              <w:right w:val="single" w:color="auto" w:sz="2" w:space="0"/>
            </w:tcBorders>
            <w:vAlign w:val="center"/>
          </w:tcPr>
          <w:p w14:paraId="67F13B1B">
            <w:pPr>
              <w:rPr>
                <w:rFonts w:hint="eastAsia"/>
              </w:rPr>
            </w:pPr>
          </w:p>
        </w:tc>
        <w:tc>
          <w:tcPr>
            <w:tcW w:w="1900" w:type="dxa"/>
            <w:tcBorders>
              <w:top w:val="single" w:color="auto" w:sz="2" w:space="0"/>
              <w:left w:val="single" w:color="auto" w:sz="2" w:space="0"/>
              <w:bottom w:val="single" w:color="auto" w:sz="2" w:space="0"/>
              <w:right w:val="single" w:color="auto" w:sz="2" w:space="0"/>
            </w:tcBorders>
            <w:vAlign w:val="center"/>
          </w:tcPr>
          <w:p w14:paraId="2C757265">
            <w:pPr>
              <w:rPr>
                <w:rFonts w:hint="eastAsia"/>
              </w:rPr>
            </w:pPr>
            <w:r>
              <w:t>沸点(℃)</w:t>
            </w:r>
          </w:p>
        </w:tc>
        <w:tc>
          <w:tcPr>
            <w:tcW w:w="1460" w:type="dxa"/>
            <w:gridSpan w:val="3"/>
            <w:tcBorders>
              <w:top w:val="single" w:color="auto" w:sz="2" w:space="0"/>
              <w:left w:val="single" w:color="auto" w:sz="2" w:space="0"/>
              <w:bottom w:val="single" w:color="auto" w:sz="2" w:space="0"/>
              <w:right w:val="single" w:color="auto" w:sz="2" w:space="0"/>
            </w:tcBorders>
            <w:vAlign w:val="center"/>
          </w:tcPr>
          <w:p w14:paraId="30B262A3">
            <w:pPr>
              <w:rPr>
                <w:rFonts w:hint="eastAsia"/>
              </w:rPr>
            </w:pPr>
            <w:r>
              <w:t>20~160</w:t>
            </w:r>
          </w:p>
        </w:tc>
        <w:tc>
          <w:tcPr>
            <w:tcW w:w="2860" w:type="dxa"/>
            <w:gridSpan w:val="4"/>
            <w:tcBorders>
              <w:top w:val="single" w:color="auto" w:sz="2" w:space="0"/>
              <w:left w:val="single" w:color="auto" w:sz="2" w:space="0"/>
              <w:bottom w:val="single" w:color="auto" w:sz="2" w:space="0"/>
              <w:right w:val="single" w:color="auto" w:sz="2" w:space="0"/>
            </w:tcBorders>
            <w:vAlign w:val="center"/>
          </w:tcPr>
          <w:p w14:paraId="467EC7CE">
            <w:pPr>
              <w:rPr>
                <w:rFonts w:hint="eastAsia"/>
              </w:rPr>
            </w:pPr>
            <w:r>
              <w:t>饱和蒸气压(kPa)</w:t>
            </w:r>
          </w:p>
        </w:tc>
        <w:tc>
          <w:tcPr>
            <w:tcW w:w="2269" w:type="dxa"/>
            <w:gridSpan w:val="3"/>
            <w:tcBorders>
              <w:top w:val="single" w:color="auto" w:sz="2" w:space="0"/>
              <w:left w:val="single" w:color="auto" w:sz="2" w:space="0"/>
              <w:bottom w:val="single" w:color="auto" w:sz="2" w:space="0"/>
              <w:right w:val="single" w:color="auto" w:sz="2" w:space="0"/>
            </w:tcBorders>
            <w:vAlign w:val="center"/>
          </w:tcPr>
          <w:p w14:paraId="08C3F358">
            <w:pPr>
              <w:rPr>
                <w:rFonts w:hint="eastAsia"/>
              </w:rPr>
            </w:pPr>
            <w:r>
              <w:t>/</w:t>
            </w:r>
          </w:p>
        </w:tc>
      </w:tr>
      <w:tr w14:paraId="33076E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00" w:hRule="atLeast"/>
          <w:jc w:val="center"/>
        </w:trPr>
        <w:tc>
          <w:tcPr>
            <w:tcW w:w="297" w:type="dxa"/>
            <w:vMerge w:val="continue"/>
            <w:tcBorders>
              <w:top w:val="nil"/>
              <w:left w:val="single" w:color="auto" w:sz="2" w:space="0"/>
              <w:bottom w:val="single" w:color="auto" w:sz="2" w:space="0"/>
              <w:right w:val="single" w:color="auto" w:sz="2" w:space="0"/>
            </w:tcBorders>
            <w:vAlign w:val="center"/>
          </w:tcPr>
          <w:p w14:paraId="258EFC8B">
            <w:pPr>
              <w:rPr>
                <w:rFonts w:hint="eastAsia"/>
              </w:rPr>
            </w:pPr>
          </w:p>
        </w:tc>
        <w:tc>
          <w:tcPr>
            <w:tcW w:w="1900" w:type="dxa"/>
            <w:tcBorders>
              <w:top w:val="single" w:color="auto" w:sz="2" w:space="0"/>
              <w:left w:val="single" w:color="auto" w:sz="2" w:space="0"/>
              <w:bottom w:val="single" w:color="auto" w:sz="2" w:space="0"/>
              <w:right w:val="single" w:color="auto" w:sz="2" w:space="0"/>
            </w:tcBorders>
            <w:vAlign w:val="center"/>
          </w:tcPr>
          <w:p w14:paraId="797B29C6">
            <w:pPr>
              <w:rPr>
                <w:rFonts w:hint="eastAsia"/>
              </w:rPr>
            </w:pPr>
            <w:r>
              <w:t>溶解性</w:t>
            </w:r>
          </w:p>
        </w:tc>
        <w:tc>
          <w:tcPr>
            <w:tcW w:w="6589" w:type="dxa"/>
            <w:gridSpan w:val="10"/>
            <w:tcBorders>
              <w:top w:val="single" w:color="auto" w:sz="2" w:space="0"/>
              <w:left w:val="single" w:color="auto" w:sz="2" w:space="0"/>
              <w:bottom w:val="single" w:color="auto" w:sz="2" w:space="0"/>
              <w:right w:val="single" w:color="auto" w:sz="2" w:space="0"/>
            </w:tcBorders>
            <w:vAlign w:val="center"/>
          </w:tcPr>
          <w:p w14:paraId="04FE8380">
            <w:pPr>
              <w:rPr>
                <w:rFonts w:hint="eastAsia"/>
              </w:rPr>
            </w:pPr>
            <w:r>
              <w:t>不溶于水，溶于多数有机溶剂。</w:t>
            </w:r>
          </w:p>
        </w:tc>
      </w:tr>
      <w:tr w14:paraId="44A68F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20" w:hRule="atLeast"/>
          <w:jc w:val="center"/>
        </w:trPr>
        <w:tc>
          <w:tcPr>
            <w:tcW w:w="297" w:type="dxa"/>
            <w:vMerge w:val="restart"/>
            <w:tcBorders>
              <w:top w:val="nil"/>
              <w:left w:val="single" w:color="auto" w:sz="2" w:space="0"/>
              <w:bottom w:val="single" w:color="auto" w:sz="2" w:space="0"/>
              <w:right w:val="single" w:color="auto" w:sz="2" w:space="0"/>
            </w:tcBorders>
            <w:vAlign w:val="center"/>
          </w:tcPr>
          <w:p w14:paraId="3F2C3257">
            <w:pPr>
              <w:rPr>
                <w:rFonts w:hint="eastAsia"/>
              </w:rPr>
            </w:pPr>
            <w:r>
              <w:t>毒性及健康危害</w:t>
            </w:r>
          </w:p>
        </w:tc>
        <w:tc>
          <w:tcPr>
            <w:tcW w:w="1900" w:type="dxa"/>
            <w:tcBorders>
              <w:top w:val="single" w:color="auto" w:sz="2" w:space="0"/>
              <w:left w:val="single" w:color="auto" w:sz="2" w:space="0"/>
              <w:bottom w:val="single" w:color="auto" w:sz="2" w:space="0"/>
              <w:right w:val="single" w:color="auto" w:sz="2" w:space="0"/>
            </w:tcBorders>
            <w:vAlign w:val="center"/>
          </w:tcPr>
          <w:p w14:paraId="1D940641">
            <w:pPr>
              <w:rPr>
                <w:rFonts w:hint="eastAsia"/>
              </w:rPr>
            </w:pPr>
            <w:r>
              <w:t>侵入途径</w:t>
            </w:r>
          </w:p>
        </w:tc>
        <w:tc>
          <w:tcPr>
            <w:tcW w:w="6589" w:type="dxa"/>
            <w:gridSpan w:val="10"/>
            <w:tcBorders>
              <w:top w:val="single" w:color="auto" w:sz="2" w:space="0"/>
              <w:left w:val="single" w:color="auto" w:sz="2" w:space="0"/>
              <w:bottom w:val="single" w:color="auto" w:sz="2" w:space="0"/>
              <w:right w:val="single" w:color="auto" w:sz="2" w:space="0"/>
            </w:tcBorders>
            <w:vAlign w:val="center"/>
          </w:tcPr>
          <w:p w14:paraId="52C0AC80">
            <w:pPr>
              <w:rPr>
                <w:rFonts w:hint="eastAsia"/>
              </w:rPr>
            </w:pPr>
            <w:r>
              <w:t>吸入、食入、经皮吸收。</w:t>
            </w:r>
          </w:p>
        </w:tc>
      </w:tr>
      <w:tr w14:paraId="06A6E9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7" w:type="dxa"/>
            <w:vMerge w:val="continue"/>
            <w:tcBorders>
              <w:top w:val="nil"/>
              <w:left w:val="single" w:color="auto" w:sz="2" w:space="0"/>
              <w:bottom w:val="single" w:color="auto" w:sz="2" w:space="0"/>
              <w:right w:val="single" w:color="auto" w:sz="2" w:space="0"/>
            </w:tcBorders>
            <w:vAlign w:val="center"/>
          </w:tcPr>
          <w:p w14:paraId="44EA7B5C">
            <w:pPr>
              <w:rPr>
                <w:rFonts w:hint="eastAsia"/>
              </w:rPr>
            </w:pPr>
          </w:p>
        </w:tc>
        <w:tc>
          <w:tcPr>
            <w:tcW w:w="1900" w:type="dxa"/>
            <w:tcBorders>
              <w:top w:val="single" w:color="auto" w:sz="2" w:space="0"/>
              <w:left w:val="single" w:color="auto" w:sz="2" w:space="0"/>
              <w:bottom w:val="single" w:color="auto" w:sz="2" w:space="0"/>
              <w:right w:val="single" w:color="auto" w:sz="2" w:space="0"/>
            </w:tcBorders>
            <w:vAlign w:val="center"/>
          </w:tcPr>
          <w:p w14:paraId="728B6357">
            <w:pPr>
              <w:rPr>
                <w:rFonts w:hint="eastAsia"/>
              </w:rPr>
            </w:pPr>
            <w:r>
              <w:t>毒性</w:t>
            </w:r>
          </w:p>
        </w:tc>
        <w:tc>
          <w:tcPr>
            <w:tcW w:w="6589" w:type="dxa"/>
            <w:gridSpan w:val="10"/>
            <w:tcBorders>
              <w:top w:val="single" w:color="auto" w:sz="2" w:space="0"/>
              <w:left w:val="single" w:color="auto" w:sz="2" w:space="0"/>
              <w:bottom w:val="single" w:color="auto" w:sz="2" w:space="0"/>
              <w:right w:val="single" w:color="auto" w:sz="2" w:space="0"/>
            </w:tcBorders>
            <w:vAlign w:val="center"/>
          </w:tcPr>
          <w:p w14:paraId="686F0886">
            <w:pPr>
              <w:rPr>
                <w:rFonts w:hint="eastAsia"/>
              </w:rPr>
            </w:pPr>
            <w:r>
              <w:t>LC₅₀: 16000mg/m³, 4小时(大鼠吸入)。</w:t>
            </w:r>
          </w:p>
        </w:tc>
      </w:tr>
      <w:tr w14:paraId="5AD052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jc w:val="center"/>
        </w:trPr>
        <w:tc>
          <w:tcPr>
            <w:tcW w:w="297" w:type="dxa"/>
            <w:vMerge w:val="continue"/>
            <w:tcBorders>
              <w:top w:val="nil"/>
              <w:left w:val="single" w:color="auto" w:sz="2" w:space="0"/>
              <w:bottom w:val="single" w:color="auto" w:sz="2" w:space="0"/>
              <w:right w:val="single" w:color="auto" w:sz="2" w:space="0"/>
            </w:tcBorders>
            <w:vAlign w:val="center"/>
          </w:tcPr>
          <w:p w14:paraId="4C605CE1">
            <w:pPr>
              <w:rPr>
                <w:rFonts w:hint="eastAsia"/>
              </w:rPr>
            </w:pPr>
          </w:p>
        </w:tc>
        <w:tc>
          <w:tcPr>
            <w:tcW w:w="1900" w:type="dxa"/>
            <w:tcBorders>
              <w:top w:val="single" w:color="auto" w:sz="2" w:space="0"/>
              <w:left w:val="single" w:color="auto" w:sz="2" w:space="0"/>
              <w:bottom w:val="single" w:color="auto" w:sz="2" w:space="0"/>
              <w:right w:val="single" w:color="auto" w:sz="2" w:space="0"/>
            </w:tcBorders>
            <w:vAlign w:val="center"/>
          </w:tcPr>
          <w:p w14:paraId="27D81050">
            <w:pPr>
              <w:rPr>
                <w:rFonts w:hint="eastAsia"/>
              </w:rPr>
            </w:pPr>
            <w:r>
              <w:t>健康危害</w:t>
            </w:r>
          </w:p>
        </w:tc>
        <w:tc>
          <w:tcPr>
            <w:tcW w:w="6589" w:type="dxa"/>
            <w:gridSpan w:val="10"/>
            <w:tcBorders>
              <w:top w:val="single" w:color="auto" w:sz="2" w:space="0"/>
              <w:left w:val="single" w:color="auto" w:sz="2" w:space="0"/>
              <w:bottom w:val="single" w:color="auto" w:sz="2" w:space="0"/>
              <w:right w:val="single" w:color="auto" w:sz="2" w:space="0"/>
            </w:tcBorders>
            <w:vAlign w:val="center"/>
          </w:tcPr>
          <w:p w14:paraId="26F6881C">
            <w:pPr>
              <w:rPr>
                <w:rFonts w:hint="eastAsia"/>
              </w:rPr>
            </w:pPr>
            <w:r>
              <w:t>蒸气可引起眼及上呼吸道刺激症状，如浓度过高，几分钟即可引起呼吸困难、紫绀等缺氧症状。</w:t>
            </w:r>
          </w:p>
        </w:tc>
      </w:tr>
      <w:tr w14:paraId="344E67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726" w:hRule="atLeast"/>
          <w:jc w:val="center"/>
        </w:trPr>
        <w:tc>
          <w:tcPr>
            <w:tcW w:w="297" w:type="dxa"/>
            <w:vMerge w:val="continue"/>
            <w:tcBorders>
              <w:top w:val="nil"/>
              <w:left w:val="single" w:color="auto" w:sz="2" w:space="0"/>
              <w:bottom w:val="single" w:color="auto" w:sz="2" w:space="0"/>
              <w:right w:val="single" w:color="auto" w:sz="2" w:space="0"/>
            </w:tcBorders>
            <w:vAlign w:val="center"/>
          </w:tcPr>
          <w:p w14:paraId="05032230">
            <w:pPr>
              <w:rPr>
                <w:rFonts w:hint="eastAsia"/>
              </w:rPr>
            </w:pPr>
          </w:p>
        </w:tc>
        <w:tc>
          <w:tcPr>
            <w:tcW w:w="1900" w:type="dxa"/>
            <w:tcBorders>
              <w:top w:val="single" w:color="auto" w:sz="2" w:space="0"/>
              <w:left w:val="single" w:color="auto" w:sz="2" w:space="0"/>
              <w:bottom w:val="single" w:color="auto" w:sz="2" w:space="0"/>
              <w:right w:val="single" w:color="auto" w:sz="2" w:space="0"/>
            </w:tcBorders>
          </w:tcPr>
          <w:p w14:paraId="644332C6">
            <w:pPr>
              <w:rPr>
                <w:rFonts w:hint="eastAsia"/>
              </w:rPr>
            </w:pPr>
            <w:r>
              <w:t>急救方法</w:t>
            </w:r>
          </w:p>
        </w:tc>
        <w:tc>
          <w:tcPr>
            <w:tcW w:w="6589" w:type="dxa"/>
            <w:gridSpan w:val="10"/>
            <w:tcBorders>
              <w:top w:val="single" w:color="auto" w:sz="2" w:space="0"/>
              <w:left w:val="single" w:color="auto" w:sz="2" w:space="0"/>
              <w:bottom w:val="single" w:color="auto" w:sz="2" w:space="0"/>
              <w:right w:val="single" w:color="auto" w:sz="2" w:space="0"/>
            </w:tcBorders>
          </w:tcPr>
          <w:p w14:paraId="00FFBDA2">
            <w:pPr>
              <w:rPr>
                <w:rFonts w:hint="eastAsia"/>
              </w:rPr>
            </w:pPr>
            <w:r>
              <w:t>皮肤接触：脱去被污染的衣着，用肥皂水和清水彻底冲洗皮肤。</w:t>
            </w:r>
          </w:p>
          <w:p w14:paraId="11378554">
            <w:pPr>
              <w:rPr>
                <w:rFonts w:hint="eastAsia"/>
              </w:rPr>
            </w:pPr>
            <w:r>
              <w:t>眼睛接触：提起眼睑，用流动清水或生理盐水冲洗。就医。</w:t>
            </w:r>
          </w:p>
          <w:p w14:paraId="1A029380">
            <w:pPr>
              <w:rPr>
                <w:rFonts w:hint="eastAsia"/>
              </w:rPr>
            </w:pPr>
            <w:r>
              <w:t>吸入：迅速脱离现场至空气新鲜处。保持呼吸道通畅。如呼吸困难，给输氧。如呼吸停止，立即进行人工呼吸。就医。</w:t>
            </w:r>
          </w:p>
          <w:p w14:paraId="6FE160E0">
            <w:pPr>
              <w:rPr>
                <w:rFonts w:hint="eastAsia"/>
              </w:rPr>
            </w:pPr>
            <w:r>
              <w:t>食入：误服者用水漱口，给饮牛奶或蛋清。就医。</w:t>
            </w:r>
          </w:p>
        </w:tc>
      </w:tr>
      <w:tr w14:paraId="6696D9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20" w:hRule="atLeast"/>
          <w:jc w:val="center"/>
        </w:trPr>
        <w:tc>
          <w:tcPr>
            <w:tcW w:w="297" w:type="dxa"/>
            <w:vMerge w:val="restart"/>
            <w:tcBorders>
              <w:top w:val="nil"/>
              <w:left w:val="single" w:color="auto" w:sz="2" w:space="0"/>
              <w:bottom w:val="single" w:color="auto" w:sz="2" w:space="0"/>
              <w:right w:val="single" w:color="auto" w:sz="2" w:space="0"/>
            </w:tcBorders>
            <w:vAlign w:val="center"/>
          </w:tcPr>
          <w:p w14:paraId="3EDB5E5C">
            <w:pPr>
              <w:rPr>
                <w:rFonts w:hint="eastAsia"/>
                <w:bCs/>
              </w:rPr>
            </w:pPr>
            <w:r>
              <w:rPr>
                <w:bCs/>
              </w:rPr>
              <w:t>燃烧爆炸危险性</w:t>
            </w:r>
          </w:p>
        </w:tc>
        <w:tc>
          <w:tcPr>
            <w:tcW w:w="1900" w:type="dxa"/>
            <w:tcBorders>
              <w:top w:val="single" w:color="auto" w:sz="2" w:space="0"/>
              <w:left w:val="single" w:color="auto" w:sz="2" w:space="0"/>
              <w:bottom w:val="single" w:color="auto" w:sz="2" w:space="0"/>
              <w:right w:val="single" w:color="auto" w:sz="2" w:space="0"/>
            </w:tcBorders>
            <w:vAlign w:val="center"/>
          </w:tcPr>
          <w:p w14:paraId="00BFC90A">
            <w:pPr>
              <w:rPr>
                <w:rFonts w:hint="eastAsia"/>
              </w:rPr>
            </w:pPr>
            <w:r>
              <w:t>燃烧性</w:t>
            </w:r>
          </w:p>
        </w:tc>
        <w:tc>
          <w:tcPr>
            <w:tcW w:w="1460" w:type="dxa"/>
            <w:gridSpan w:val="3"/>
            <w:tcBorders>
              <w:top w:val="single" w:color="auto" w:sz="2" w:space="0"/>
              <w:left w:val="single" w:color="auto" w:sz="2" w:space="0"/>
              <w:bottom w:val="single" w:color="auto" w:sz="2" w:space="0"/>
              <w:right w:val="single" w:color="auto" w:sz="2" w:space="0"/>
            </w:tcBorders>
            <w:vAlign w:val="center"/>
          </w:tcPr>
          <w:p w14:paraId="58904166">
            <w:pPr>
              <w:rPr>
                <w:rFonts w:hint="eastAsia"/>
              </w:rPr>
            </w:pPr>
            <w:r>
              <w:t>易燃</w:t>
            </w:r>
          </w:p>
        </w:tc>
        <w:tc>
          <w:tcPr>
            <w:tcW w:w="2160" w:type="dxa"/>
            <w:gridSpan w:val="3"/>
            <w:tcBorders>
              <w:top w:val="single" w:color="auto" w:sz="2" w:space="0"/>
              <w:left w:val="single" w:color="auto" w:sz="2" w:space="0"/>
              <w:bottom w:val="single" w:color="auto" w:sz="2" w:space="0"/>
              <w:right w:val="single" w:color="auto" w:sz="2" w:space="0"/>
            </w:tcBorders>
            <w:vAlign w:val="center"/>
          </w:tcPr>
          <w:p w14:paraId="3129CBCF">
            <w:pPr>
              <w:rPr>
                <w:rFonts w:hint="eastAsia"/>
              </w:rPr>
            </w:pPr>
            <w:r>
              <w:t>燃烧分解物</w:t>
            </w:r>
          </w:p>
        </w:tc>
        <w:tc>
          <w:tcPr>
            <w:tcW w:w="2969" w:type="dxa"/>
            <w:gridSpan w:val="4"/>
            <w:tcBorders>
              <w:top w:val="single" w:color="auto" w:sz="2" w:space="0"/>
              <w:left w:val="single" w:color="auto" w:sz="2" w:space="0"/>
              <w:bottom w:val="single" w:color="auto" w:sz="2" w:space="0"/>
              <w:right w:val="single" w:color="auto" w:sz="2" w:space="0"/>
            </w:tcBorders>
            <w:vAlign w:val="center"/>
          </w:tcPr>
          <w:p w14:paraId="2B7C9CC4">
            <w:pPr>
              <w:rPr>
                <w:rFonts w:hint="eastAsia"/>
              </w:rPr>
            </w:pPr>
            <w:r>
              <w:t>一氧化碳、二氧化碳。</w:t>
            </w:r>
          </w:p>
        </w:tc>
      </w:tr>
      <w:tr w14:paraId="02E3BE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20" w:hRule="atLeast"/>
          <w:jc w:val="center"/>
        </w:trPr>
        <w:tc>
          <w:tcPr>
            <w:tcW w:w="297" w:type="dxa"/>
            <w:vMerge w:val="continue"/>
            <w:tcBorders>
              <w:top w:val="nil"/>
              <w:left w:val="single" w:color="auto" w:sz="2" w:space="0"/>
              <w:bottom w:val="single" w:color="auto" w:sz="2" w:space="0"/>
              <w:right w:val="single" w:color="auto" w:sz="2" w:space="0"/>
            </w:tcBorders>
            <w:vAlign w:val="center"/>
          </w:tcPr>
          <w:p w14:paraId="4422FC96">
            <w:pPr>
              <w:rPr>
                <w:rFonts w:hint="eastAsia"/>
              </w:rPr>
            </w:pPr>
          </w:p>
        </w:tc>
        <w:tc>
          <w:tcPr>
            <w:tcW w:w="1900" w:type="dxa"/>
            <w:tcBorders>
              <w:top w:val="single" w:color="auto" w:sz="2" w:space="0"/>
              <w:left w:val="single" w:color="auto" w:sz="2" w:space="0"/>
              <w:bottom w:val="single" w:color="auto" w:sz="2" w:space="0"/>
              <w:right w:val="single" w:color="auto" w:sz="2" w:space="0"/>
            </w:tcBorders>
            <w:vAlign w:val="center"/>
          </w:tcPr>
          <w:p w14:paraId="0D40CE5A">
            <w:pPr>
              <w:rPr>
                <w:rFonts w:hint="eastAsia"/>
              </w:rPr>
            </w:pPr>
            <w:r>
              <w:t>闪点(℃)</w:t>
            </w:r>
          </w:p>
        </w:tc>
        <w:tc>
          <w:tcPr>
            <w:tcW w:w="1460" w:type="dxa"/>
            <w:gridSpan w:val="3"/>
            <w:tcBorders>
              <w:top w:val="single" w:color="auto" w:sz="2" w:space="0"/>
              <w:left w:val="single" w:color="auto" w:sz="2" w:space="0"/>
              <w:bottom w:val="single" w:color="auto" w:sz="2" w:space="0"/>
              <w:right w:val="single" w:color="auto" w:sz="2" w:space="0"/>
            </w:tcBorders>
            <w:vAlign w:val="center"/>
          </w:tcPr>
          <w:p w14:paraId="0A390D98">
            <w:pPr>
              <w:rPr>
                <w:rFonts w:hint="eastAsia"/>
              </w:rPr>
            </w:pPr>
            <w:r>
              <w:t>-2</w:t>
            </w:r>
          </w:p>
        </w:tc>
        <w:tc>
          <w:tcPr>
            <w:tcW w:w="2160" w:type="dxa"/>
            <w:gridSpan w:val="3"/>
            <w:tcBorders>
              <w:top w:val="single" w:color="auto" w:sz="2" w:space="0"/>
              <w:left w:val="single" w:color="auto" w:sz="2" w:space="0"/>
              <w:bottom w:val="single" w:color="auto" w:sz="2" w:space="0"/>
              <w:right w:val="single" w:color="auto" w:sz="2" w:space="0"/>
            </w:tcBorders>
            <w:vAlign w:val="center"/>
          </w:tcPr>
          <w:p w14:paraId="49CB2ADA">
            <w:pPr>
              <w:rPr>
                <w:rFonts w:hint="eastAsia"/>
              </w:rPr>
            </w:pPr>
            <w:r>
              <w:t>爆炸上限%(v%):</w:t>
            </w:r>
          </w:p>
        </w:tc>
        <w:tc>
          <w:tcPr>
            <w:tcW w:w="2969" w:type="dxa"/>
            <w:gridSpan w:val="4"/>
            <w:tcBorders>
              <w:top w:val="single" w:color="auto" w:sz="2" w:space="0"/>
              <w:left w:val="single" w:color="auto" w:sz="2" w:space="0"/>
              <w:bottom w:val="single" w:color="auto" w:sz="2" w:space="0"/>
              <w:right w:val="single" w:color="auto" w:sz="2" w:space="0"/>
            </w:tcBorders>
            <w:vAlign w:val="center"/>
          </w:tcPr>
          <w:p w14:paraId="1237D499">
            <w:pPr>
              <w:rPr>
                <w:rFonts w:hint="eastAsia"/>
              </w:rPr>
            </w:pPr>
            <w:r>
              <w:t>8.7</w:t>
            </w:r>
          </w:p>
        </w:tc>
      </w:tr>
      <w:tr w14:paraId="0B08B9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20" w:hRule="atLeast"/>
          <w:jc w:val="center"/>
        </w:trPr>
        <w:tc>
          <w:tcPr>
            <w:tcW w:w="297" w:type="dxa"/>
            <w:vMerge w:val="continue"/>
            <w:tcBorders>
              <w:top w:val="nil"/>
              <w:left w:val="single" w:color="auto" w:sz="2" w:space="0"/>
              <w:bottom w:val="single" w:color="auto" w:sz="2" w:space="0"/>
              <w:right w:val="single" w:color="auto" w:sz="2" w:space="0"/>
            </w:tcBorders>
            <w:vAlign w:val="center"/>
          </w:tcPr>
          <w:p w14:paraId="76115626">
            <w:pPr>
              <w:rPr>
                <w:rFonts w:hint="eastAsia"/>
              </w:rPr>
            </w:pPr>
          </w:p>
        </w:tc>
        <w:tc>
          <w:tcPr>
            <w:tcW w:w="1900" w:type="dxa"/>
            <w:tcBorders>
              <w:top w:val="single" w:color="auto" w:sz="2" w:space="0"/>
              <w:left w:val="single" w:color="auto" w:sz="2" w:space="0"/>
              <w:bottom w:val="single" w:color="auto" w:sz="2" w:space="0"/>
              <w:right w:val="single" w:color="auto" w:sz="2" w:space="0"/>
            </w:tcBorders>
            <w:vAlign w:val="center"/>
          </w:tcPr>
          <w:p w14:paraId="1222DB7B">
            <w:pPr>
              <w:rPr>
                <w:rFonts w:hint="eastAsia"/>
              </w:rPr>
            </w:pPr>
            <w:r>
              <w:t>自燃温度(℃)</w:t>
            </w:r>
          </w:p>
        </w:tc>
        <w:tc>
          <w:tcPr>
            <w:tcW w:w="1460" w:type="dxa"/>
            <w:gridSpan w:val="3"/>
            <w:tcBorders>
              <w:top w:val="single" w:color="auto" w:sz="2" w:space="0"/>
              <w:left w:val="single" w:color="auto" w:sz="2" w:space="0"/>
              <w:bottom w:val="single" w:color="auto" w:sz="2" w:space="0"/>
              <w:right w:val="single" w:color="auto" w:sz="2" w:space="0"/>
            </w:tcBorders>
            <w:vAlign w:val="center"/>
          </w:tcPr>
          <w:p w14:paraId="5E4AC8D6">
            <w:pPr>
              <w:rPr>
                <w:rFonts w:hint="eastAsia"/>
              </w:rPr>
            </w:pPr>
            <w:r>
              <w:t>350</w:t>
            </w:r>
          </w:p>
        </w:tc>
        <w:tc>
          <w:tcPr>
            <w:tcW w:w="2160" w:type="dxa"/>
            <w:gridSpan w:val="3"/>
            <w:tcBorders>
              <w:top w:val="single" w:color="auto" w:sz="2" w:space="0"/>
              <w:left w:val="single" w:color="auto" w:sz="2" w:space="0"/>
              <w:bottom w:val="single" w:color="auto" w:sz="2" w:space="0"/>
              <w:right w:val="single" w:color="auto" w:sz="2" w:space="0"/>
            </w:tcBorders>
            <w:vAlign w:val="center"/>
          </w:tcPr>
          <w:p w14:paraId="76079AB2">
            <w:pPr>
              <w:rPr>
                <w:rFonts w:hint="eastAsia"/>
              </w:rPr>
            </w:pPr>
            <w:r>
              <w:t>爆炸下限%(v%):</w:t>
            </w:r>
          </w:p>
        </w:tc>
        <w:tc>
          <w:tcPr>
            <w:tcW w:w="2969" w:type="dxa"/>
            <w:gridSpan w:val="4"/>
            <w:tcBorders>
              <w:top w:val="single" w:color="auto" w:sz="2" w:space="0"/>
              <w:left w:val="single" w:color="auto" w:sz="2" w:space="0"/>
              <w:bottom w:val="single" w:color="auto" w:sz="2" w:space="0"/>
              <w:right w:val="single" w:color="auto" w:sz="2" w:space="0"/>
            </w:tcBorders>
            <w:vAlign w:val="center"/>
          </w:tcPr>
          <w:p w14:paraId="1CC6A084">
            <w:pPr>
              <w:rPr>
                <w:rFonts w:hint="eastAsia"/>
              </w:rPr>
            </w:pPr>
            <w:r>
              <w:t>1.1</w:t>
            </w:r>
          </w:p>
        </w:tc>
      </w:tr>
      <w:tr w14:paraId="3EB82F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20" w:hRule="atLeast"/>
          <w:jc w:val="center"/>
        </w:trPr>
        <w:tc>
          <w:tcPr>
            <w:tcW w:w="297" w:type="dxa"/>
            <w:vMerge w:val="continue"/>
            <w:tcBorders>
              <w:top w:val="nil"/>
              <w:left w:val="single" w:color="auto" w:sz="2" w:space="0"/>
              <w:bottom w:val="single" w:color="auto" w:sz="2" w:space="0"/>
              <w:right w:val="single" w:color="auto" w:sz="2" w:space="0"/>
            </w:tcBorders>
            <w:vAlign w:val="center"/>
          </w:tcPr>
          <w:p w14:paraId="68C328A4">
            <w:pPr>
              <w:rPr>
                <w:rFonts w:hint="eastAsia"/>
              </w:rPr>
            </w:pPr>
          </w:p>
        </w:tc>
        <w:tc>
          <w:tcPr>
            <w:tcW w:w="1900" w:type="dxa"/>
            <w:tcBorders>
              <w:top w:val="single" w:color="auto" w:sz="2" w:space="0"/>
              <w:left w:val="single" w:color="auto" w:sz="2" w:space="0"/>
              <w:bottom w:val="single" w:color="auto" w:sz="2" w:space="0"/>
              <w:right w:val="single" w:color="auto" w:sz="2" w:space="0"/>
            </w:tcBorders>
            <w:vAlign w:val="center"/>
          </w:tcPr>
          <w:p w14:paraId="21FB144A">
            <w:pPr>
              <w:rPr>
                <w:rFonts w:hint="eastAsia"/>
              </w:rPr>
            </w:pPr>
            <w:r>
              <w:t>建规火险分级</w:t>
            </w:r>
          </w:p>
        </w:tc>
        <w:tc>
          <w:tcPr>
            <w:tcW w:w="1460" w:type="dxa"/>
            <w:gridSpan w:val="3"/>
            <w:tcBorders>
              <w:top w:val="single" w:color="auto" w:sz="2" w:space="0"/>
              <w:left w:val="single" w:color="auto" w:sz="2" w:space="0"/>
              <w:bottom w:val="single" w:color="auto" w:sz="2" w:space="0"/>
              <w:right w:val="single" w:color="auto" w:sz="2" w:space="0"/>
            </w:tcBorders>
            <w:vAlign w:val="center"/>
          </w:tcPr>
          <w:p w14:paraId="38462643">
            <w:pPr>
              <w:rPr>
                <w:rFonts w:hint="eastAsia"/>
              </w:rPr>
            </w:pPr>
            <w:r>
              <w:t>甲</w:t>
            </w:r>
          </w:p>
        </w:tc>
        <w:tc>
          <w:tcPr>
            <w:tcW w:w="1120" w:type="dxa"/>
            <w:tcBorders>
              <w:top w:val="single" w:color="auto" w:sz="2" w:space="0"/>
              <w:left w:val="single" w:color="auto" w:sz="2" w:space="0"/>
              <w:bottom w:val="single" w:color="auto" w:sz="2" w:space="0"/>
              <w:right w:val="single" w:color="auto" w:sz="2" w:space="0"/>
            </w:tcBorders>
            <w:vAlign w:val="center"/>
          </w:tcPr>
          <w:p w14:paraId="7636A7D6">
            <w:pPr>
              <w:rPr>
                <w:rFonts w:hint="eastAsia"/>
              </w:rPr>
            </w:pPr>
            <w:r>
              <w:t>稳定性</w:t>
            </w:r>
          </w:p>
        </w:tc>
        <w:tc>
          <w:tcPr>
            <w:tcW w:w="1040" w:type="dxa"/>
            <w:gridSpan w:val="2"/>
            <w:tcBorders>
              <w:top w:val="single" w:color="auto" w:sz="2" w:space="0"/>
              <w:left w:val="single" w:color="auto" w:sz="2" w:space="0"/>
              <w:bottom w:val="single" w:color="auto" w:sz="2" w:space="0"/>
              <w:right w:val="single" w:color="auto" w:sz="2" w:space="0"/>
            </w:tcBorders>
            <w:vAlign w:val="center"/>
          </w:tcPr>
          <w:p w14:paraId="29D1B23B">
            <w:pPr>
              <w:rPr>
                <w:rFonts w:hint="eastAsia"/>
              </w:rPr>
            </w:pPr>
            <w:r>
              <w:t>稳定</w:t>
            </w:r>
          </w:p>
        </w:tc>
        <w:tc>
          <w:tcPr>
            <w:tcW w:w="1680" w:type="dxa"/>
            <w:gridSpan w:val="2"/>
            <w:tcBorders>
              <w:top w:val="single" w:color="auto" w:sz="2" w:space="0"/>
              <w:left w:val="single" w:color="auto" w:sz="2" w:space="0"/>
              <w:bottom w:val="single" w:color="auto" w:sz="2" w:space="0"/>
              <w:right w:val="single" w:color="auto" w:sz="2" w:space="0"/>
            </w:tcBorders>
            <w:vAlign w:val="center"/>
          </w:tcPr>
          <w:p w14:paraId="6CAF5414">
            <w:pPr>
              <w:rPr>
                <w:rFonts w:hint="eastAsia"/>
              </w:rPr>
            </w:pPr>
            <w:r>
              <w:t>聚合危害</w:t>
            </w:r>
          </w:p>
        </w:tc>
        <w:tc>
          <w:tcPr>
            <w:tcW w:w="1289" w:type="dxa"/>
            <w:gridSpan w:val="2"/>
            <w:tcBorders>
              <w:top w:val="single" w:color="auto" w:sz="2" w:space="0"/>
              <w:left w:val="single" w:color="auto" w:sz="2" w:space="0"/>
              <w:bottom w:val="single" w:color="auto" w:sz="2" w:space="0"/>
              <w:right w:val="single" w:color="auto" w:sz="2" w:space="0"/>
            </w:tcBorders>
            <w:vAlign w:val="center"/>
          </w:tcPr>
          <w:p w14:paraId="1D396A85">
            <w:pPr>
              <w:rPr>
                <w:rFonts w:hint="eastAsia"/>
              </w:rPr>
            </w:pPr>
            <w:r>
              <w:t>不聚合</w:t>
            </w:r>
          </w:p>
        </w:tc>
      </w:tr>
      <w:tr w14:paraId="5BF371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20" w:hRule="atLeast"/>
          <w:jc w:val="center"/>
        </w:trPr>
        <w:tc>
          <w:tcPr>
            <w:tcW w:w="297" w:type="dxa"/>
            <w:vMerge w:val="continue"/>
            <w:tcBorders>
              <w:top w:val="nil"/>
              <w:left w:val="single" w:color="auto" w:sz="2" w:space="0"/>
              <w:bottom w:val="single" w:color="auto" w:sz="2" w:space="0"/>
              <w:right w:val="single" w:color="auto" w:sz="2" w:space="0"/>
            </w:tcBorders>
            <w:vAlign w:val="center"/>
          </w:tcPr>
          <w:p w14:paraId="3B02603E">
            <w:pPr>
              <w:rPr>
                <w:rFonts w:hint="eastAsia"/>
              </w:rPr>
            </w:pPr>
          </w:p>
        </w:tc>
        <w:tc>
          <w:tcPr>
            <w:tcW w:w="1900" w:type="dxa"/>
            <w:tcBorders>
              <w:top w:val="single" w:color="auto" w:sz="2" w:space="0"/>
              <w:left w:val="single" w:color="auto" w:sz="2" w:space="0"/>
              <w:bottom w:val="single" w:color="auto" w:sz="2" w:space="0"/>
              <w:right w:val="single" w:color="auto" w:sz="2" w:space="0"/>
            </w:tcBorders>
            <w:vAlign w:val="center"/>
          </w:tcPr>
          <w:p w14:paraId="65330D34">
            <w:pPr>
              <w:rPr>
                <w:rFonts w:hint="eastAsia"/>
              </w:rPr>
            </w:pPr>
            <w:r>
              <w:t>禁忌物</w:t>
            </w:r>
          </w:p>
        </w:tc>
        <w:tc>
          <w:tcPr>
            <w:tcW w:w="6589" w:type="dxa"/>
            <w:gridSpan w:val="10"/>
            <w:tcBorders>
              <w:top w:val="single" w:color="auto" w:sz="2" w:space="0"/>
              <w:left w:val="single" w:color="auto" w:sz="2" w:space="0"/>
              <w:bottom w:val="single" w:color="auto" w:sz="2" w:space="0"/>
              <w:right w:val="single" w:color="auto" w:sz="2" w:space="0"/>
            </w:tcBorders>
            <w:vAlign w:val="center"/>
          </w:tcPr>
          <w:p w14:paraId="728E6632">
            <w:pPr>
              <w:rPr>
                <w:rFonts w:hint="eastAsia"/>
              </w:rPr>
            </w:pPr>
            <w:r>
              <w:t>强氧化剂。</w:t>
            </w:r>
          </w:p>
        </w:tc>
      </w:tr>
      <w:tr w14:paraId="2087E7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00" w:hRule="atLeast"/>
          <w:jc w:val="center"/>
        </w:trPr>
        <w:tc>
          <w:tcPr>
            <w:tcW w:w="297" w:type="dxa"/>
            <w:vMerge w:val="continue"/>
            <w:tcBorders>
              <w:top w:val="nil"/>
              <w:left w:val="single" w:color="auto" w:sz="2" w:space="0"/>
              <w:bottom w:val="single" w:color="auto" w:sz="2" w:space="0"/>
              <w:right w:val="single" w:color="auto" w:sz="2" w:space="0"/>
            </w:tcBorders>
            <w:vAlign w:val="center"/>
          </w:tcPr>
          <w:p w14:paraId="2568F16B">
            <w:pPr>
              <w:rPr>
                <w:rFonts w:hint="eastAsia"/>
              </w:rPr>
            </w:pPr>
          </w:p>
        </w:tc>
        <w:tc>
          <w:tcPr>
            <w:tcW w:w="1900" w:type="dxa"/>
            <w:tcBorders>
              <w:top w:val="single" w:color="auto" w:sz="2" w:space="0"/>
              <w:left w:val="single" w:color="auto" w:sz="2" w:space="0"/>
              <w:bottom w:val="single" w:color="auto" w:sz="2" w:space="0"/>
              <w:right w:val="single" w:color="auto" w:sz="2" w:space="0"/>
            </w:tcBorders>
            <w:vAlign w:val="center"/>
          </w:tcPr>
          <w:p w14:paraId="46026F09">
            <w:pPr>
              <w:rPr>
                <w:rFonts w:hint="eastAsia"/>
              </w:rPr>
            </w:pPr>
            <w:r>
              <w:t>危险特性</w:t>
            </w:r>
          </w:p>
        </w:tc>
        <w:tc>
          <w:tcPr>
            <w:tcW w:w="6589" w:type="dxa"/>
            <w:gridSpan w:val="10"/>
            <w:tcBorders>
              <w:top w:val="single" w:color="auto" w:sz="2" w:space="0"/>
              <w:left w:val="single" w:color="auto" w:sz="2" w:space="0"/>
              <w:bottom w:val="single" w:color="auto" w:sz="2" w:space="0"/>
              <w:right w:val="single" w:color="auto" w:sz="2" w:space="0"/>
            </w:tcBorders>
            <w:vAlign w:val="center"/>
          </w:tcPr>
          <w:p w14:paraId="666A8BF3">
            <w:pPr>
              <w:rPr>
                <w:rFonts w:hint="eastAsia"/>
              </w:rPr>
            </w:pPr>
            <w:r>
              <w:t>其蒸气与空气可形成爆炸性混合物。遇明火、高热能引起燃烧爆炸。与氧化剂能发生强烈反应。其蒸气比空气重，能在较低处扩散到相当远的地方，遇明火会引着回燃。</w:t>
            </w:r>
          </w:p>
        </w:tc>
      </w:tr>
      <w:tr w14:paraId="360F6D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900" w:hRule="atLeast"/>
          <w:jc w:val="center"/>
        </w:trPr>
        <w:tc>
          <w:tcPr>
            <w:tcW w:w="297" w:type="dxa"/>
            <w:vMerge w:val="continue"/>
            <w:tcBorders>
              <w:top w:val="nil"/>
              <w:left w:val="single" w:color="auto" w:sz="2" w:space="0"/>
              <w:bottom w:val="nil"/>
              <w:right w:val="single" w:color="auto" w:sz="2" w:space="0"/>
            </w:tcBorders>
            <w:vAlign w:val="center"/>
          </w:tcPr>
          <w:p w14:paraId="18D2C855">
            <w:pPr>
              <w:rPr>
                <w:rFonts w:hint="eastAsia"/>
              </w:rPr>
            </w:pPr>
          </w:p>
        </w:tc>
        <w:tc>
          <w:tcPr>
            <w:tcW w:w="1900" w:type="dxa"/>
            <w:tcBorders>
              <w:top w:val="single" w:color="auto" w:sz="2" w:space="0"/>
              <w:left w:val="single" w:color="auto" w:sz="2" w:space="0"/>
              <w:bottom w:val="single" w:color="auto" w:sz="2" w:space="0"/>
              <w:right w:val="single" w:color="auto" w:sz="2" w:space="0"/>
            </w:tcBorders>
          </w:tcPr>
          <w:p w14:paraId="695C29F6">
            <w:pPr>
              <w:rPr>
                <w:rFonts w:hint="eastAsia"/>
              </w:rPr>
            </w:pPr>
            <w:r>
              <w:t>储运条件与泄漏处理</w:t>
            </w:r>
          </w:p>
        </w:tc>
        <w:tc>
          <w:tcPr>
            <w:tcW w:w="6589" w:type="dxa"/>
            <w:gridSpan w:val="10"/>
            <w:tcBorders>
              <w:top w:val="single" w:color="auto" w:sz="2" w:space="0"/>
              <w:left w:val="single" w:color="auto" w:sz="2" w:space="0"/>
              <w:bottom w:val="single" w:color="auto" w:sz="2" w:space="0"/>
              <w:right w:val="single" w:color="auto" w:sz="2" w:space="0"/>
            </w:tcBorders>
          </w:tcPr>
          <w:p w14:paraId="0FC2AE58">
            <w:pPr>
              <w:rPr>
                <w:rFonts w:hint="eastAsia"/>
              </w:rPr>
            </w:pPr>
            <w:r>
              <w:t>储运条件：储存于阴凉、通风的仓间内，远离火种、热源。防止阳光直射</w:t>
            </w:r>
            <w:r>
              <w:rPr>
                <w:rFonts w:hint="eastAsia"/>
              </w:rPr>
              <w:t>，</w:t>
            </w:r>
            <w:r>
              <w:t>保持容器密封。应与氧化剂分开存放</w:t>
            </w:r>
            <w:r>
              <w:rPr>
                <w:rFonts w:hint="eastAsia"/>
              </w:rPr>
              <w:t>，</w:t>
            </w:r>
            <w:r>
              <w:t>搬运时应轻装轻卸，防止包装和容器损坏。运输时所用的槽(罐)车应有接地链，槽内可设孔隔板以减少震荡产生静电。严禁与氧化剂、食用化学品等混装混运。装运该物品的车辆排气管必须配备阻火装置，禁止使用易产生火花的机械设备和工具装卸。公路运输时要按规定路线行驶，勿在居民区和人口稠密区停留。铁路运输时要禁止溜放。严禁用木船、水泥船散装运输。</w:t>
            </w:r>
          </w:p>
          <w:p w14:paraId="3AA70FA1">
            <w:pPr>
              <w:rPr>
                <w:rFonts w:hint="eastAsia"/>
              </w:rPr>
            </w:pPr>
            <w:r>
              <w:t>泄漏处理：迅速撤离泄漏污染区人员至安全区，并进行隔离，严格限制出入。切断火源。建议应急处理人员戴自给正压式呼吸器，穿消防防护服。尽可能切断泄漏源。防止进入下水道、排洪沟等限制性空间。小量泄漏：用砂土、蛭石或其它惰性材料吸收。大量泄漏：构筑围堤或挖坑收容；用泡沫覆盖，降低蒸气灾害。用防爆泵转移至槽车或专用收集器内，回收或运送至废物处理厂所处置。</w:t>
            </w:r>
          </w:p>
        </w:tc>
      </w:tr>
      <w:tr w14:paraId="618F8F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071" w:hRule="atLeast"/>
          <w:jc w:val="center"/>
        </w:trPr>
        <w:tc>
          <w:tcPr>
            <w:tcW w:w="297" w:type="dxa"/>
            <w:tcBorders>
              <w:top w:val="nil"/>
              <w:left w:val="single" w:color="auto" w:sz="2" w:space="0"/>
              <w:bottom w:val="single" w:color="auto" w:sz="2" w:space="0"/>
              <w:right w:val="single" w:color="auto" w:sz="2" w:space="0"/>
            </w:tcBorders>
            <w:vAlign w:val="center"/>
          </w:tcPr>
          <w:p w14:paraId="33059855">
            <w:pPr>
              <w:rPr>
                <w:rFonts w:hint="eastAsia"/>
              </w:rPr>
            </w:pPr>
          </w:p>
        </w:tc>
        <w:tc>
          <w:tcPr>
            <w:tcW w:w="1900" w:type="dxa"/>
            <w:tcBorders>
              <w:top w:val="single" w:color="auto" w:sz="2" w:space="0"/>
              <w:left w:val="single" w:color="auto" w:sz="2" w:space="0"/>
              <w:bottom w:val="single" w:color="auto" w:sz="2" w:space="0"/>
              <w:right w:val="single" w:color="auto" w:sz="2" w:space="0"/>
            </w:tcBorders>
          </w:tcPr>
          <w:p w14:paraId="78B1D023">
            <w:pPr>
              <w:rPr>
                <w:rFonts w:hint="eastAsia"/>
              </w:rPr>
            </w:pPr>
            <w:r>
              <w:rPr>
                <w:rFonts w:hint="eastAsia"/>
              </w:rPr>
              <w:t>灭火方法</w:t>
            </w:r>
          </w:p>
        </w:tc>
        <w:tc>
          <w:tcPr>
            <w:tcW w:w="6589" w:type="dxa"/>
            <w:gridSpan w:val="10"/>
            <w:tcBorders>
              <w:top w:val="single" w:color="auto" w:sz="2" w:space="0"/>
              <w:left w:val="single" w:color="auto" w:sz="2" w:space="0"/>
              <w:bottom w:val="single" w:color="auto" w:sz="2" w:space="0"/>
              <w:right w:val="single" w:color="auto" w:sz="2" w:space="0"/>
            </w:tcBorders>
          </w:tcPr>
          <w:p w14:paraId="4AE92032">
            <w:pPr>
              <w:rPr>
                <w:rFonts w:hint="eastAsia"/>
              </w:rPr>
            </w:pPr>
            <w:r>
              <w:rPr>
                <w:rFonts w:hint="eastAsia"/>
              </w:rPr>
              <w:t>喷水冷却容器，可能的话将容器从火场移至空旷处。处在火场的容器若变色或从安全泄压装置中产生声音，必须马上撤离。</w:t>
            </w:r>
          </w:p>
          <w:p w14:paraId="588AD80F">
            <w:pPr>
              <w:rPr>
                <w:rFonts w:hint="eastAsia"/>
              </w:rPr>
            </w:pPr>
            <w:r>
              <w:rPr>
                <w:rFonts w:hint="eastAsia"/>
              </w:rPr>
              <w:t>灭火剂：泡沫、干粉、二氧化碳、砂土。用水灭火无效。</w:t>
            </w:r>
          </w:p>
        </w:tc>
      </w:tr>
    </w:tbl>
    <w:p w14:paraId="3CC60D8D">
      <w:pPr>
        <w:jc w:val="center"/>
        <w:rPr>
          <w:rFonts w:hint="eastAsia"/>
          <w:b/>
          <w:bCs/>
        </w:rPr>
      </w:pPr>
      <w:r>
        <w:rPr>
          <w:rFonts w:hint="eastAsia"/>
          <w:b/>
          <w:bCs/>
          <w:szCs w:val="32"/>
        </w:rPr>
        <w:t>表6-4  异辛烷的理化性质及危险特性</w:t>
      </w:r>
    </w:p>
    <w:tbl>
      <w:tblPr>
        <w:tblStyle w:val="16"/>
        <w:tblW w:w="878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301"/>
        <w:gridCol w:w="2060"/>
        <w:gridCol w:w="2780"/>
        <w:gridCol w:w="2200"/>
        <w:gridCol w:w="1448"/>
      </w:tblGrid>
      <w:tr w14:paraId="78BB76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jc w:val="center"/>
        </w:trPr>
        <w:tc>
          <w:tcPr>
            <w:tcW w:w="301" w:type="dxa"/>
            <w:vMerge w:val="restart"/>
            <w:tcBorders>
              <w:top w:val="single" w:color="auto" w:sz="2" w:space="0"/>
              <w:left w:val="single" w:color="auto" w:sz="2" w:space="0"/>
              <w:bottom w:val="single" w:color="auto" w:sz="2" w:space="0"/>
              <w:right w:val="single" w:color="auto" w:sz="2" w:space="0"/>
            </w:tcBorders>
            <w:vAlign w:val="center"/>
          </w:tcPr>
          <w:p w14:paraId="24D07EFF">
            <w:pPr>
              <w:rPr>
                <w:rFonts w:hint="eastAsia"/>
                <w:szCs w:val="21"/>
              </w:rPr>
            </w:pPr>
            <w:r>
              <w:rPr>
                <w:szCs w:val="21"/>
              </w:rPr>
              <w:t>标识</w:t>
            </w:r>
          </w:p>
        </w:tc>
        <w:tc>
          <w:tcPr>
            <w:tcW w:w="2060" w:type="dxa"/>
            <w:tcBorders>
              <w:top w:val="single" w:color="auto" w:sz="2" w:space="0"/>
              <w:left w:val="single" w:color="auto" w:sz="2" w:space="0"/>
              <w:bottom w:val="single" w:color="auto" w:sz="2" w:space="0"/>
              <w:right w:val="single" w:color="auto" w:sz="2" w:space="0"/>
            </w:tcBorders>
            <w:vAlign w:val="center"/>
          </w:tcPr>
          <w:p w14:paraId="6DA4D3DA">
            <w:pPr>
              <w:rPr>
                <w:rFonts w:hint="eastAsia"/>
                <w:szCs w:val="21"/>
              </w:rPr>
            </w:pPr>
            <w:r>
              <w:rPr>
                <w:szCs w:val="21"/>
              </w:rPr>
              <w:t>中文名</w:t>
            </w:r>
          </w:p>
        </w:tc>
        <w:tc>
          <w:tcPr>
            <w:tcW w:w="2780" w:type="dxa"/>
            <w:tcBorders>
              <w:top w:val="single" w:color="auto" w:sz="2" w:space="0"/>
              <w:left w:val="single" w:color="auto" w:sz="2" w:space="0"/>
              <w:bottom w:val="single" w:color="auto" w:sz="2" w:space="0"/>
              <w:right w:val="single" w:color="auto" w:sz="2" w:space="0"/>
            </w:tcBorders>
            <w:vAlign w:val="center"/>
          </w:tcPr>
          <w:p w14:paraId="67603C84">
            <w:pPr>
              <w:rPr>
                <w:rFonts w:hint="eastAsia"/>
                <w:szCs w:val="21"/>
              </w:rPr>
            </w:pPr>
            <w:r>
              <w:rPr>
                <w:szCs w:val="21"/>
              </w:rPr>
              <w:t>异辛烷</w:t>
            </w:r>
          </w:p>
        </w:tc>
        <w:tc>
          <w:tcPr>
            <w:tcW w:w="2200" w:type="dxa"/>
            <w:tcBorders>
              <w:top w:val="single" w:color="auto" w:sz="2" w:space="0"/>
              <w:left w:val="single" w:color="auto" w:sz="2" w:space="0"/>
              <w:bottom w:val="single" w:color="auto" w:sz="2" w:space="0"/>
              <w:right w:val="single" w:color="auto" w:sz="2" w:space="0"/>
            </w:tcBorders>
            <w:vAlign w:val="center"/>
          </w:tcPr>
          <w:p w14:paraId="71FE8A90">
            <w:pPr>
              <w:rPr>
                <w:rFonts w:hint="eastAsia"/>
                <w:szCs w:val="21"/>
              </w:rPr>
            </w:pPr>
            <w:r>
              <w:rPr>
                <w:szCs w:val="21"/>
              </w:rPr>
              <w:t>分子量</w:t>
            </w:r>
          </w:p>
        </w:tc>
        <w:tc>
          <w:tcPr>
            <w:tcW w:w="1448" w:type="dxa"/>
            <w:tcBorders>
              <w:top w:val="single" w:color="auto" w:sz="2" w:space="0"/>
              <w:left w:val="single" w:color="auto" w:sz="2" w:space="0"/>
              <w:bottom w:val="single" w:color="auto" w:sz="2" w:space="0"/>
              <w:right w:val="single" w:color="auto" w:sz="2" w:space="0"/>
            </w:tcBorders>
            <w:vAlign w:val="center"/>
          </w:tcPr>
          <w:p w14:paraId="4D16A4C2">
            <w:pPr>
              <w:rPr>
                <w:rFonts w:hint="eastAsia"/>
                <w:szCs w:val="21"/>
              </w:rPr>
            </w:pPr>
            <w:r>
              <w:rPr>
                <w:rFonts w:hint="eastAsia"/>
                <w:szCs w:val="21"/>
              </w:rPr>
              <w:t>114.2285</w:t>
            </w:r>
          </w:p>
        </w:tc>
      </w:tr>
      <w:tr w14:paraId="1B07FA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80" w:hRule="atLeast"/>
          <w:jc w:val="center"/>
        </w:trPr>
        <w:tc>
          <w:tcPr>
            <w:tcW w:w="301" w:type="dxa"/>
            <w:vMerge w:val="continue"/>
            <w:tcBorders>
              <w:top w:val="single" w:color="auto" w:sz="2" w:space="0"/>
              <w:left w:val="single" w:color="auto" w:sz="2" w:space="0"/>
              <w:bottom w:val="single" w:color="auto" w:sz="2" w:space="0"/>
              <w:right w:val="single" w:color="auto" w:sz="2" w:space="0"/>
            </w:tcBorders>
            <w:vAlign w:val="center"/>
          </w:tcPr>
          <w:p w14:paraId="4ABB062B">
            <w:pPr>
              <w:rPr>
                <w:rFonts w:hint="eastAsia"/>
                <w:szCs w:val="21"/>
              </w:rPr>
            </w:pPr>
          </w:p>
        </w:tc>
        <w:tc>
          <w:tcPr>
            <w:tcW w:w="2060" w:type="dxa"/>
            <w:tcBorders>
              <w:top w:val="single" w:color="auto" w:sz="2" w:space="0"/>
              <w:left w:val="single" w:color="auto" w:sz="2" w:space="0"/>
              <w:bottom w:val="single" w:color="auto" w:sz="2" w:space="0"/>
              <w:right w:val="single" w:color="auto" w:sz="2" w:space="0"/>
            </w:tcBorders>
            <w:vAlign w:val="center"/>
          </w:tcPr>
          <w:p w14:paraId="03E8800F">
            <w:pPr>
              <w:rPr>
                <w:rFonts w:hint="eastAsia"/>
                <w:szCs w:val="21"/>
              </w:rPr>
            </w:pPr>
            <w:r>
              <w:rPr>
                <w:szCs w:val="21"/>
              </w:rPr>
              <w:t>分子式</w:t>
            </w:r>
          </w:p>
        </w:tc>
        <w:tc>
          <w:tcPr>
            <w:tcW w:w="2780" w:type="dxa"/>
            <w:tcBorders>
              <w:top w:val="single" w:color="auto" w:sz="2" w:space="0"/>
              <w:left w:val="single" w:color="auto" w:sz="2" w:space="0"/>
              <w:bottom w:val="single" w:color="auto" w:sz="2" w:space="0"/>
              <w:right w:val="single" w:color="auto" w:sz="2" w:space="0"/>
            </w:tcBorders>
            <w:vAlign w:val="center"/>
          </w:tcPr>
          <w:p w14:paraId="09856A29">
            <w:pPr>
              <w:rPr>
                <w:rFonts w:hint="eastAsia"/>
                <w:szCs w:val="21"/>
              </w:rPr>
            </w:pPr>
            <w:r>
              <w:rPr>
                <w:szCs w:val="21"/>
              </w:rPr>
              <w:t>C₈H₁₈</w:t>
            </w:r>
          </w:p>
        </w:tc>
        <w:tc>
          <w:tcPr>
            <w:tcW w:w="2200" w:type="dxa"/>
            <w:tcBorders>
              <w:top w:val="single" w:color="auto" w:sz="2" w:space="0"/>
              <w:left w:val="single" w:color="auto" w:sz="2" w:space="0"/>
              <w:bottom w:val="single" w:color="auto" w:sz="2" w:space="0"/>
              <w:right w:val="single" w:color="auto" w:sz="2" w:space="0"/>
            </w:tcBorders>
            <w:vAlign w:val="center"/>
          </w:tcPr>
          <w:p w14:paraId="5E466EE6">
            <w:pPr>
              <w:rPr>
                <w:rFonts w:hint="eastAsia"/>
                <w:szCs w:val="21"/>
              </w:rPr>
            </w:pPr>
            <w:r>
              <w:rPr>
                <w:szCs w:val="21"/>
              </w:rPr>
              <w:t>CAS号</w:t>
            </w:r>
          </w:p>
        </w:tc>
        <w:tc>
          <w:tcPr>
            <w:tcW w:w="1448" w:type="dxa"/>
            <w:tcBorders>
              <w:top w:val="single" w:color="auto" w:sz="2" w:space="0"/>
              <w:left w:val="single" w:color="auto" w:sz="2" w:space="0"/>
              <w:bottom w:val="single" w:color="auto" w:sz="2" w:space="0"/>
              <w:right w:val="single" w:color="auto" w:sz="2" w:space="0"/>
            </w:tcBorders>
            <w:vAlign w:val="center"/>
          </w:tcPr>
          <w:p w14:paraId="4F195CBF">
            <w:pPr>
              <w:rPr>
                <w:rFonts w:hint="eastAsia"/>
                <w:szCs w:val="21"/>
              </w:rPr>
            </w:pPr>
            <w:r>
              <w:rPr>
                <w:szCs w:val="21"/>
              </w:rPr>
              <w:t>/</w:t>
            </w:r>
          </w:p>
        </w:tc>
      </w:tr>
      <w:tr w14:paraId="13FEB6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60" w:hRule="atLeast"/>
          <w:jc w:val="center"/>
        </w:trPr>
        <w:tc>
          <w:tcPr>
            <w:tcW w:w="301" w:type="dxa"/>
            <w:vMerge w:val="restart"/>
            <w:tcBorders>
              <w:top w:val="nil"/>
              <w:left w:val="single" w:color="auto" w:sz="2" w:space="0"/>
              <w:bottom w:val="single" w:color="auto" w:sz="2" w:space="0"/>
              <w:right w:val="single" w:color="auto" w:sz="2" w:space="0"/>
            </w:tcBorders>
            <w:vAlign w:val="center"/>
          </w:tcPr>
          <w:p w14:paraId="1C220F04">
            <w:pPr>
              <w:rPr>
                <w:rFonts w:hint="eastAsia"/>
                <w:szCs w:val="21"/>
              </w:rPr>
            </w:pPr>
            <w:r>
              <w:rPr>
                <w:szCs w:val="21"/>
              </w:rPr>
              <w:t>理化性质</w:t>
            </w:r>
          </w:p>
        </w:tc>
        <w:tc>
          <w:tcPr>
            <w:tcW w:w="2060" w:type="dxa"/>
            <w:tcBorders>
              <w:top w:val="single" w:color="auto" w:sz="2" w:space="0"/>
              <w:left w:val="single" w:color="auto" w:sz="2" w:space="0"/>
              <w:bottom w:val="single" w:color="auto" w:sz="2" w:space="0"/>
              <w:right w:val="single" w:color="auto" w:sz="2" w:space="0"/>
            </w:tcBorders>
            <w:vAlign w:val="center"/>
          </w:tcPr>
          <w:p w14:paraId="61A6D25C">
            <w:pPr>
              <w:rPr>
                <w:rFonts w:hint="eastAsia"/>
                <w:szCs w:val="21"/>
              </w:rPr>
            </w:pPr>
            <w:r>
              <w:rPr>
                <w:szCs w:val="21"/>
              </w:rPr>
              <w:t>外观与性状</w:t>
            </w:r>
          </w:p>
        </w:tc>
        <w:tc>
          <w:tcPr>
            <w:tcW w:w="2780" w:type="dxa"/>
            <w:tcBorders>
              <w:top w:val="single" w:color="auto" w:sz="2" w:space="0"/>
              <w:left w:val="single" w:color="auto" w:sz="2" w:space="0"/>
              <w:bottom w:val="single" w:color="auto" w:sz="2" w:space="0"/>
              <w:right w:val="single" w:color="auto" w:sz="2" w:space="0"/>
            </w:tcBorders>
            <w:vAlign w:val="center"/>
          </w:tcPr>
          <w:p w14:paraId="57E0FF51">
            <w:pPr>
              <w:rPr>
                <w:rFonts w:hint="eastAsia"/>
                <w:szCs w:val="21"/>
              </w:rPr>
            </w:pPr>
            <w:r>
              <w:rPr>
                <w:szCs w:val="21"/>
              </w:rPr>
              <w:t>无色液体</w:t>
            </w:r>
          </w:p>
        </w:tc>
        <w:tc>
          <w:tcPr>
            <w:tcW w:w="2200" w:type="dxa"/>
            <w:tcBorders>
              <w:top w:val="single" w:color="auto" w:sz="2" w:space="0"/>
              <w:left w:val="single" w:color="auto" w:sz="2" w:space="0"/>
              <w:bottom w:val="single" w:color="auto" w:sz="2" w:space="0"/>
              <w:right w:val="single" w:color="auto" w:sz="2" w:space="0"/>
            </w:tcBorders>
            <w:vAlign w:val="center"/>
          </w:tcPr>
          <w:p w14:paraId="6DAFB5D7">
            <w:pPr>
              <w:rPr>
                <w:rFonts w:hint="eastAsia"/>
                <w:szCs w:val="21"/>
              </w:rPr>
            </w:pPr>
            <w:r>
              <w:rPr>
                <w:szCs w:val="21"/>
              </w:rPr>
              <w:t>主要用途</w:t>
            </w:r>
          </w:p>
        </w:tc>
        <w:tc>
          <w:tcPr>
            <w:tcW w:w="1448" w:type="dxa"/>
            <w:tcBorders>
              <w:top w:val="single" w:color="auto" w:sz="2" w:space="0"/>
              <w:left w:val="single" w:color="auto" w:sz="2" w:space="0"/>
              <w:bottom w:val="single" w:color="auto" w:sz="2" w:space="0"/>
              <w:right w:val="single" w:color="auto" w:sz="2" w:space="0"/>
            </w:tcBorders>
            <w:vAlign w:val="center"/>
          </w:tcPr>
          <w:p w14:paraId="08DFFD22">
            <w:pPr>
              <w:rPr>
                <w:rFonts w:hint="eastAsia"/>
                <w:szCs w:val="21"/>
              </w:rPr>
            </w:pPr>
            <w:r>
              <w:rPr>
                <w:szCs w:val="21"/>
              </w:rPr>
              <w:t>/</w:t>
            </w:r>
          </w:p>
        </w:tc>
      </w:tr>
      <w:tr w14:paraId="6B07F5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80" w:hRule="atLeast"/>
          <w:jc w:val="center"/>
        </w:trPr>
        <w:tc>
          <w:tcPr>
            <w:tcW w:w="301" w:type="dxa"/>
            <w:vMerge w:val="continue"/>
            <w:tcBorders>
              <w:top w:val="nil"/>
              <w:left w:val="single" w:color="auto" w:sz="2" w:space="0"/>
              <w:bottom w:val="single" w:color="auto" w:sz="2" w:space="0"/>
              <w:right w:val="single" w:color="auto" w:sz="2" w:space="0"/>
            </w:tcBorders>
            <w:vAlign w:val="center"/>
          </w:tcPr>
          <w:p w14:paraId="2DBC7711">
            <w:pPr>
              <w:rPr>
                <w:rFonts w:hint="eastAsia"/>
                <w:szCs w:val="21"/>
              </w:rPr>
            </w:pPr>
          </w:p>
        </w:tc>
        <w:tc>
          <w:tcPr>
            <w:tcW w:w="2060" w:type="dxa"/>
            <w:tcBorders>
              <w:top w:val="single" w:color="auto" w:sz="2" w:space="0"/>
              <w:left w:val="single" w:color="auto" w:sz="2" w:space="0"/>
              <w:bottom w:val="single" w:color="auto" w:sz="2" w:space="0"/>
              <w:right w:val="single" w:color="auto" w:sz="2" w:space="0"/>
            </w:tcBorders>
            <w:vAlign w:val="center"/>
          </w:tcPr>
          <w:p w14:paraId="3230A044">
            <w:pPr>
              <w:rPr>
                <w:rFonts w:hint="eastAsia"/>
                <w:szCs w:val="21"/>
              </w:rPr>
            </w:pPr>
            <w:r>
              <w:rPr>
                <w:szCs w:val="21"/>
              </w:rPr>
              <w:t>熔点</w:t>
            </w:r>
          </w:p>
        </w:tc>
        <w:tc>
          <w:tcPr>
            <w:tcW w:w="2780" w:type="dxa"/>
            <w:tcBorders>
              <w:top w:val="single" w:color="auto" w:sz="2" w:space="0"/>
              <w:left w:val="single" w:color="auto" w:sz="2" w:space="0"/>
              <w:bottom w:val="single" w:color="auto" w:sz="2" w:space="0"/>
              <w:right w:val="single" w:color="auto" w:sz="2" w:space="0"/>
            </w:tcBorders>
            <w:vAlign w:val="center"/>
          </w:tcPr>
          <w:p w14:paraId="0E81296C">
            <w:pPr>
              <w:rPr>
                <w:rFonts w:hint="eastAsia"/>
                <w:szCs w:val="21"/>
              </w:rPr>
            </w:pPr>
            <w:r>
              <w:rPr>
                <w:szCs w:val="21"/>
              </w:rPr>
              <w:t>107.4℃</w:t>
            </w:r>
          </w:p>
        </w:tc>
        <w:tc>
          <w:tcPr>
            <w:tcW w:w="2200" w:type="dxa"/>
            <w:tcBorders>
              <w:top w:val="single" w:color="auto" w:sz="2" w:space="0"/>
              <w:left w:val="single" w:color="auto" w:sz="2" w:space="0"/>
              <w:bottom w:val="single" w:color="auto" w:sz="2" w:space="0"/>
              <w:right w:val="single" w:color="auto" w:sz="2" w:space="0"/>
            </w:tcBorders>
            <w:vAlign w:val="center"/>
          </w:tcPr>
          <w:p w14:paraId="0C1ECA1C">
            <w:pPr>
              <w:rPr>
                <w:rFonts w:hint="eastAsia"/>
                <w:szCs w:val="21"/>
              </w:rPr>
            </w:pPr>
            <w:r>
              <w:rPr>
                <w:szCs w:val="21"/>
              </w:rPr>
              <w:t>相对密度 (水=1)</w:t>
            </w:r>
          </w:p>
        </w:tc>
        <w:tc>
          <w:tcPr>
            <w:tcW w:w="1448" w:type="dxa"/>
            <w:tcBorders>
              <w:top w:val="single" w:color="auto" w:sz="2" w:space="0"/>
              <w:left w:val="single" w:color="auto" w:sz="2" w:space="0"/>
              <w:bottom w:val="single" w:color="auto" w:sz="2" w:space="0"/>
              <w:right w:val="single" w:color="auto" w:sz="2" w:space="0"/>
            </w:tcBorders>
            <w:vAlign w:val="center"/>
          </w:tcPr>
          <w:p w14:paraId="143C5EA7">
            <w:pPr>
              <w:rPr>
                <w:rFonts w:hint="eastAsia"/>
                <w:szCs w:val="21"/>
              </w:rPr>
            </w:pPr>
            <w:r>
              <w:rPr>
                <w:szCs w:val="21"/>
              </w:rPr>
              <w:t>0.688~0.693</w:t>
            </w:r>
          </w:p>
        </w:tc>
      </w:tr>
      <w:tr w14:paraId="09CAA7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80" w:hRule="atLeast"/>
          <w:jc w:val="center"/>
        </w:trPr>
        <w:tc>
          <w:tcPr>
            <w:tcW w:w="301" w:type="dxa"/>
            <w:vMerge w:val="continue"/>
            <w:tcBorders>
              <w:top w:val="nil"/>
              <w:left w:val="single" w:color="auto" w:sz="2" w:space="0"/>
              <w:bottom w:val="single" w:color="auto" w:sz="2" w:space="0"/>
              <w:right w:val="single" w:color="auto" w:sz="2" w:space="0"/>
            </w:tcBorders>
            <w:vAlign w:val="center"/>
          </w:tcPr>
          <w:p w14:paraId="2B5958A5">
            <w:pPr>
              <w:rPr>
                <w:rFonts w:hint="eastAsia"/>
                <w:szCs w:val="21"/>
              </w:rPr>
            </w:pPr>
          </w:p>
        </w:tc>
        <w:tc>
          <w:tcPr>
            <w:tcW w:w="2060" w:type="dxa"/>
            <w:tcBorders>
              <w:top w:val="single" w:color="auto" w:sz="2" w:space="0"/>
              <w:left w:val="single" w:color="auto" w:sz="2" w:space="0"/>
              <w:bottom w:val="single" w:color="auto" w:sz="2" w:space="0"/>
              <w:right w:val="single" w:color="auto" w:sz="2" w:space="0"/>
            </w:tcBorders>
            <w:vAlign w:val="center"/>
          </w:tcPr>
          <w:p w14:paraId="1DAA8018">
            <w:pPr>
              <w:rPr>
                <w:rFonts w:hint="eastAsia"/>
                <w:szCs w:val="21"/>
              </w:rPr>
            </w:pPr>
            <w:r>
              <w:rPr>
                <w:szCs w:val="21"/>
              </w:rPr>
              <w:t>沸点</w:t>
            </w:r>
          </w:p>
        </w:tc>
        <w:tc>
          <w:tcPr>
            <w:tcW w:w="2780" w:type="dxa"/>
            <w:tcBorders>
              <w:top w:val="single" w:color="auto" w:sz="2" w:space="0"/>
              <w:left w:val="single" w:color="auto" w:sz="2" w:space="0"/>
              <w:bottom w:val="single" w:color="auto" w:sz="2" w:space="0"/>
              <w:right w:val="single" w:color="auto" w:sz="2" w:space="0"/>
            </w:tcBorders>
            <w:vAlign w:val="center"/>
          </w:tcPr>
          <w:p w14:paraId="3100DD81">
            <w:pPr>
              <w:rPr>
                <w:rFonts w:hint="eastAsia"/>
                <w:szCs w:val="21"/>
              </w:rPr>
            </w:pPr>
            <w:r>
              <w:rPr>
                <w:szCs w:val="21"/>
              </w:rPr>
              <w:t>99.2℃</w:t>
            </w:r>
          </w:p>
        </w:tc>
        <w:tc>
          <w:tcPr>
            <w:tcW w:w="2200" w:type="dxa"/>
            <w:tcBorders>
              <w:top w:val="single" w:color="auto" w:sz="2" w:space="0"/>
              <w:left w:val="single" w:color="auto" w:sz="2" w:space="0"/>
              <w:bottom w:val="single" w:color="auto" w:sz="2" w:space="0"/>
              <w:right w:val="single" w:color="auto" w:sz="2" w:space="0"/>
            </w:tcBorders>
            <w:vAlign w:val="center"/>
          </w:tcPr>
          <w:p w14:paraId="093E6DF7">
            <w:pPr>
              <w:rPr>
                <w:rFonts w:hint="eastAsia"/>
                <w:szCs w:val="21"/>
              </w:rPr>
            </w:pPr>
            <w:r>
              <w:rPr>
                <w:szCs w:val="21"/>
              </w:rPr>
              <w:t>相对密度 (空气=1)</w:t>
            </w:r>
          </w:p>
        </w:tc>
        <w:tc>
          <w:tcPr>
            <w:tcW w:w="1448" w:type="dxa"/>
            <w:tcBorders>
              <w:top w:val="single" w:color="auto" w:sz="2" w:space="0"/>
              <w:left w:val="single" w:color="auto" w:sz="2" w:space="0"/>
              <w:bottom w:val="single" w:color="auto" w:sz="2" w:space="0"/>
              <w:right w:val="single" w:color="auto" w:sz="2" w:space="0"/>
            </w:tcBorders>
            <w:vAlign w:val="center"/>
          </w:tcPr>
          <w:p w14:paraId="3B0D56E0">
            <w:pPr>
              <w:rPr>
                <w:rFonts w:hint="eastAsia"/>
                <w:szCs w:val="21"/>
              </w:rPr>
            </w:pPr>
            <w:r>
              <w:rPr>
                <w:szCs w:val="21"/>
              </w:rPr>
              <w:t>3.9</w:t>
            </w:r>
          </w:p>
        </w:tc>
      </w:tr>
      <w:tr w14:paraId="7DBB3B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jc w:val="center"/>
        </w:trPr>
        <w:tc>
          <w:tcPr>
            <w:tcW w:w="301" w:type="dxa"/>
            <w:vMerge w:val="continue"/>
            <w:tcBorders>
              <w:top w:val="nil"/>
              <w:left w:val="single" w:color="auto" w:sz="2" w:space="0"/>
              <w:bottom w:val="single" w:color="auto" w:sz="2" w:space="0"/>
              <w:right w:val="single" w:color="auto" w:sz="2" w:space="0"/>
            </w:tcBorders>
            <w:vAlign w:val="center"/>
          </w:tcPr>
          <w:p w14:paraId="3E8577C2">
            <w:pPr>
              <w:rPr>
                <w:rFonts w:hint="eastAsia"/>
                <w:szCs w:val="21"/>
              </w:rPr>
            </w:pPr>
          </w:p>
        </w:tc>
        <w:tc>
          <w:tcPr>
            <w:tcW w:w="2060" w:type="dxa"/>
            <w:tcBorders>
              <w:top w:val="single" w:color="auto" w:sz="2" w:space="0"/>
              <w:left w:val="single" w:color="auto" w:sz="2" w:space="0"/>
              <w:bottom w:val="single" w:color="auto" w:sz="2" w:space="0"/>
              <w:right w:val="single" w:color="auto" w:sz="2" w:space="0"/>
            </w:tcBorders>
            <w:vAlign w:val="center"/>
          </w:tcPr>
          <w:p w14:paraId="215016AF">
            <w:pPr>
              <w:rPr>
                <w:rFonts w:hint="eastAsia"/>
                <w:szCs w:val="21"/>
              </w:rPr>
            </w:pPr>
            <w:r>
              <w:rPr>
                <w:szCs w:val="21"/>
              </w:rPr>
              <w:t>饱和蒸气压</w:t>
            </w:r>
          </w:p>
        </w:tc>
        <w:tc>
          <w:tcPr>
            <w:tcW w:w="2780" w:type="dxa"/>
            <w:tcBorders>
              <w:top w:val="single" w:color="auto" w:sz="2" w:space="0"/>
              <w:left w:val="single" w:color="auto" w:sz="2" w:space="0"/>
              <w:bottom w:val="single" w:color="auto" w:sz="2" w:space="0"/>
              <w:right w:val="single" w:color="auto" w:sz="2" w:space="0"/>
            </w:tcBorders>
            <w:vAlign w:val="center"/>
          </w:tcPr>
          <w:p w14:paraId="1882FCD0">
            <w:pPr>
              <w:rPr>
                <w:rFonts w:hint="eastAsia"/>
                <w:szCs w:val="21"/>
              </w:rPr>
            </w:pPr>
            <w:r>
              <w:rPr>
                <w:szCs w:val="21"/>
              </w:rPr>
              <w:t>5.41kPa</w:t>
            </w:r>
          </w:p>
        </w:tc>
        <w:tc>
          <w:tcPr>
            <w:tcW w:w="2200" w:type="dxa"/>
            <w:tcBorders>
              <w:top w:val="single" w:color="auto" w:sz="2" w:space="0"/>
              <w:left w:val="single" w:color="auto" w:sz="2" w:space="0"/>
              <w:bottom w:val="single" w:color="auto" w:sz="2" w:space="0"/>
              <w:right w:val="single" w:color="auto" w:sz="2" w:space="0"/>
            </w:tcBorders>
            <w:vAlign w:val="center"/>
          </w:tcPr>
          <w:p w14:paraId="742964BE">
            <w:pPr>
              <w:rPr>
                <w:rFonts w:hint="eastAsia"/>
                <w:szCs w:val="21"/>
              </w:rPr>
            </w:pPr>
            <w:r>
              <w:rPr>
                <w:szCs w:val="21"/>
              </w:rPr>
              <w:t>燃烧热</w:t>
            </w:r>
          </w:p>
        </w:tc>
        <w:tc>
          <w:tcPr>
            <w:tcW w:w="1448" w:type="dxa"/>
            <w:tcBorders>
              <w:top w:val="single" w:color="auto" w:sz="2" w:space="0"/>
              <w:left w:val="single" w:color="auto" w:sz="2" w:space="0"/>
              <w:bottom w:val="single" w:color="auto" w:sz="2" w:space="0"/>
              <w:right w:val="single" w:color="auto" w:sz="2" w:space="0"/>
            </w:tcBorders>
            <w:vAlign w:val="center"/>
          </w:tcPr>
          <w:p w14:paraId="730ABB2A">
            <w:pPr>
              <w:rPr>
                <w:rFonts w:hint="eastAsia"/>
                <w:szCs w:val="21"/>
              </w:rPr>
            </w:pPr>
            <w:r>
              <w:rPr>
                <w:szCs w:val="21"/>
              </w:rPr>
              <w:t>/</w:t>
            </w:r>
          </w:p>
        </w:tc>
      </w:tr>
      <w:tr w14:paraId="2196B9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80" w:hRule="atLeast"/>
          <w:jc w:val="center"/>
        </w:trPr>
        <w:tc>
          <w:tcPr>
            <w:tcW w:w="301" w:type="dxa"/>
            <w:vMerge w:val="continue"/>
            <w:tcBorders>
              <w:top w:val="nil"/>
              <w:left w:val="single" w:color="auto" w:sz="2" w:space="0"/>
              <w:bottom w:val="single" w:color="auto" w:sz="2" w:space="0"/>
              <w:right w:val="single" w:color="auto" w:sz="2" w:space="0"/>
            </w:tcBorders>
            <w:vAlign w:val="center"/>
          </w:tcPr>
          <w:p w14:paraId="12D59195">
            <w:pPr>
              <w:rPr>
                <w:rFonts w:hint="eastAsia"/>
                <w:szCs w:val="21"/>
              </w:rPr>
            </w:pPr>
          </w:p>
        </w:tc>
        <w:tc>
          <w:tcPr>
            <w:tcW w:w="2060" w:type="dxa"/>
            <w:tcBorders>
              <w:top w:val="single" w:color="auto" w:sz="2" w:space="0"/>
              <w:left w:val="single" w:color="auto" w:sz="2" w:space="0"/>
              <w:bottom w:val="single" w:color="auto" w:sz="2" w:space="0"/>
              <w:right w:val="single" w:color="auto" w:sz="2" w:space="0"/>
            </w:tcBorders>
            <w:vAlign w:val="center"/>
          </w:tcPr>
          <w:p w14:paraId="263EC098">
            <w:pPr>
              <w:rPr>
                <w:rFonts w:hint="eastAsia"/>
                <w:szCs w:val="21"/>
              </w:rPr>
            </w:pPr>
            <w:r>
              <w:rPr>
                <w:szCs w:val="21"/>
              </w:rPr>
              <w:t>闪点</w:t>
            </w:r>
          </w:p>
        </w:tc>
        <w:tc>
          <w:tcPr>
            <w:tcW w:w="2780" w:type="dxa"/>
            <w:tcBorders>
              <w:top w:val="single" w:color="auto" w:sz="2" w:space="0"/>
              <w:left w:val="single" w:color="auto" w:sz="2" w:space="0"/>
              <w:bottom w:val="single" w:color="auto" w:sz="2" w:space="0"/>
              <w:right w:val="single" w:color="auto" w:sz="2" w:space="0"/>
            </w:tcBorders>
            <w:vAlign w:val="center"/>
          </w:tcPr>
          <w:p w14:paraId="506F5B4A">
            <w:pPr>
              <w:rPr>
                <w:rFonts w:hint="eastAsia"/>
                <w:szCs w:val="21"/>
              </w:rPr>
            </w:pPr>
            <w:r>
              <w:rPr>
                <w:szCs w:val="21"/>
              </w:rPr>
              <w:t>-12</w:t>
            </w:r>
          </w:p>
        </w:tc>
        <w:tc>
          <w:tcPr>
            <w:tcW w:w="2200" w:type="dxa"/>
            <w:tcBorders>
              <w:top w:val="single" w:color="auto" w:sz="2" w:space="0"/>
              <w:left w:val="single" w:color="auto" w:sz="2" w:space="0"/>
              <w:bottom w:val="single" w:color="auto" w:sz="2" w:space="0"/>
              <w:right w:val="single" w:color="auto" w:sz="2" w:space="0"/>
            </w:tcBorders>
            <w:vAlign w:val="center"/>
          </w:tcPr>
          <w:p w14:paraId="5B0DF814">
            <w:pPr>
              <w:rPr>
                <w:rFonts w:hint="eastAsia"/>
                <w:szCs w:val="21"/>
              </w:rPr>
            </w:pPr>
            <w:r>
              <w:rPr>
                <w:szCs w:val="21"/>
              </w:rPr>
              <w:t>自燃温度</w:t>
            </w:r>
          </w:p>
        </w:tc>
        <w:tc>
          <w:tcPr>
            <w:tcW w:w="1448" w:type="dxa"/>
            <w:tcBorders>
              <w:top w:val="single" w:color="auto" w:sz="2" w:space="0"/>
              <w:left w:val="single" w:color="auto" w:sz="2" w:space="0"/>
              <w:bottom w:val="single" w:color="auto" w:sz="2" w:space="0"/>
              <w:right w:val="single" w:color="auto" w:sz="2" w:space="0"/>
            </w:tcBorders>
            <w:vAlign w:val="center"/>
          </w:tcPr>
          <w:p w14:paraId="41F2FB12">
            <w:pPr>
              <w:rPr>
                <w:rFonts w:hint="eastAsia"/>
                <w:szCs w:val="21"/>
              </w:rPr>
            </w:pPr>
            <w:r>
              <w:rPr>
                <w:szCs w:val="21"/>
              </w:rPr>
              <w:t>346℃</w:t>
            </w:r>
          </w:p>
        </w:tc>
      </w:tr>
      <w:tr w14:paraId="1AEA20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60" w:hRule="atLeast"/>
          <w:jc w:val="center"/>
        </w:trPr>
        <w:tc>
          <w:tcPr>
            <w:tcW w:w="301" w:type="dxa"/>
            <w:vMerge w:val="continue"/>
            <w:tcBorders>
              <w:top w:val="nil"/>
              <w:left w:val="single" w:color="auto" w:sz="2" w:space="0"/>
              <w:bottom w:val="single" w:color="auto" w:sz="2" w:space="0"/>
              <w:right w:val="single" w:color="auto" w:sz="2" w:space="0"/>
            </w:tcBorders>
            <w:vAlign w:val="center"/>
          </w:tcPr>
          <w:p w14:paraId="2E4ECD88">
            <w:pPr>
              <w:rPr>
                <w:rFonts w:hint="eastAsia"/>
                <w:szCs w:val="21"/>
              </w:rPr>
            </w:pPr>
          </w:p>
        </w:tc>
        <w:tc>
          <w:tcPr>
            <w:tcW w:w="2060" w:type="dxa"/>
            <w:tcBorders>
              <w:top w:val="single" w:color="auto" w:sz="2" w:space="0"/>
              <w:left w:val="single" w:color="auto" w:sz="2" w:space="0"/>
              <w:bottom w:val="single" w:color="auto" w:sz="2" w:space="0"/>
              <w:right w:val="single" w:color="auto" w:sz="2" w:space="0"/>
            </w:tcBorders>
            <w:vAlign w:val="center"/>
          </w:tcPr>
          <w:p w14:paraId="202FB419">
            <w:pPr>
              <w:rPr>
                <w:rFonts w:hint="eastAsia"/>
                <w:szCs w:val="21"/>
              </w:rPr>
            </w:pPr>
            <w:r>
              <w:rPr>
                <w:szCs w:val="21"/>
              </w:rPr>
              <w:t>爆炸上限</w:t>
            </w:r>
          </w:p>
        </w:tc>
        <w:tc>
          <w:tcPr>
            <w:tcW w:w="2780" w:type="dxa"/>
            <w:tcBorders>
              <w:top w:val="single" w:color="auto" w:sz="2" w:space="0"/>
              <w:left w:val="single" w:color="auto" w:sz="2" w:space="0"/>
              <w:bottom w:val="single" w:color="auto" w:sz="2" w:space="0"/>
              <w:right w:val="single" w:color="auto" w:sz="2" w:space="0"/>
            </w:tcBorders>
            <w:vAlign w:val="center"/>
          </w:tcPr>
          <w:p w14:paraId="611CE6D1">
            <w:pPr>
              <w:rPr>
                <w:rFonts w:hint="eastAsia"/>
                <w:szCs w:val="21"/>
              </w:rPr>
            </w:pPr>
            <w:r>
              <w:rPr>
                <w:szCs w:val="21"/>
              </w:rPr>
              <w:t>6.0V%</w:t>
            </w:r>
          </w:p>
        </w:tc>
        <w:tc>
          <w:tcPr>
            <w:tcW w:w="2200" w:type="dxa"/>
            <w:tcBorders>
              <w:top w:val="single" w:color="auto" w:sz="2" w:space="0"/>
              <w:left w:val="single" w:color="auto" w:sz="2" w:space="0"/>
              <w:bottom w:val="single" w:color="auto" w:sz="2" w:space="0"/>
              <w:right w:val="single" w:color="auto" w:sz="2" w:space="0"/>
            </w:tcBorders>
            <w:vAlign w:val="center"/>
          </w:tcPr>
          <w:p w14:paraId="2CCFC18F">
            <w:pPr>
              <w:rPr>
                <w:rFonts w:hint="eastAsia"/>
                <w:szCs w:val="21"/>
              </w:rPr>
            </w:pPr>
            <w:r>
              <w:rPr>
                <w:szCs w:val="21"/>
              </w:rPr>
              <w:t>爆炸下限</w:t>
            </w:r>
          </w:p>
        </w:tc>
        <w:tc>
          <w:tcPr>
            <w:tcW w:w="1448" w:type="dxa"/>
            <w:tcBorders>
              <w:top w:val="single" w:color="auto" w:sz="2" w:space="0"/>
              <w:left w:val="single" w:color="auto" w:sz="2" w:space="0"/>
              <w:bottom w:val="single" w:color="auto" w:sz="2" w:space="0"/>
              <w:right w:val="single" w:color="auto" w:sz="2" w:space="0"/>
            </w:tcBorders>
            <w:vAlign w:val="center"/>
          </w:tcPr>
          <w:p w14:paraId="3941586D">
            <w:pPr>
              <w:rPr>
                <w:rFonts w:hint="eastAsia"/>
                <w:szCs w:val="21"/>
              </w:rPr>
            </w:pPr>
            <w:r>
              <w:rPr>
                <w:szCs w:val="21"/>
              </w:rPr>
              <w:t>1.0V%</w:t>
            </w:r>
          </w:p>
        </w:tc>
      </w:tr>
      <w:tr w14:paraId="064D7C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jc w:val="center"/>
        </w:trPr>
        <w:tc>
          <w:tcPr>
            <w:tcW w:w="301" w:type="dxa"/>
            <w:vMerge w:val="continue"/>
            <w:tcBorders>
              <w:top w:val="nil"/>
              <w:left w:val="single" w:color="auto" w:sz="2" w:space="0"/>
              <w:bottom w:val="single" w:color="auto" w:sz="2" w:space="0"/>
              <w:right w:val="single" w:color="auto" w:sz="2" w:space="0"/>
            </w:tcBorders>
            <w:vAlign w:val="center"/>
          </w:tcPr>
          <w:p w14:paraId="22E99185">
            <w:pPr>
              <w:rPr>
                <w:rFonts w:hint="eastAsia"/>
                <w:szCs w:val="21"/>
              </w:rPr>
            </w:pPr>
          </w:p>
        </w:tc>
        <w:tc>
          <w:tcPr>
            <w:tcW w:w="2060" w:type="dxa"/>
            <w:tcBorders>
              <w:top w:val="single" w:color="auto" w:sz="2" w:space="0"/>
              <w:left w:val="single" w:color="auto" w:sz="2" w:space="0"/>
              <w:bottom w:val="single" w:color="auto" w:sz="2" w:space="0"/>
              <w:right w:val="single" w:color="auto" w:sz="2" w:space="0"/>
            </w:tcBorders>
            <w:vAlign w:val="center"/>
          </w:tcPr>
          <w:p w14:paraId="75805216">
            <w:pPr>
              <w:rPr>
                <w:rFonts w:hint="eastAsia"/>
                <w:szCs w:val="21"/>
              </w:rPr>
            </w:pPr>
            <w:r>
              <w:rPr>
                <w:szCs w:val="21"/>
              </w:rPr>
              <w:t>溶解性</w:t>
            </w:r>
          </w:p>
        </w:tc>
        <w:tc>
          <w:tcPr>
            <w:tcW w:w="6428" w:type="dxa"/>
            <w:gridSpan w:val="3"/>
            <w:tcBorders>
              <w:top w:val="single" w:color="auto" w:sz="2" w:space="0"/>
              <w:left w:val="single" w:color="auto" w:sz="2" w:space="0"/>
              <w:bottom w:val="single" w:color="auto" w:sz="2" w:space="0"/>
              <w:right w:val="single" w:color="auto" w:sz="2" w:space="0"/>
            </w:tcBorders>
            <w:vAlign w:val="center"/>
          </w:tcPr>
          <w:p w14:paraId="56DA0DBA">
            <w:pPr>
              <w:rPr>
                <w:rFonts w:hint="eastAsia"/>
                <w:szCs w:val="21"/>
              </w:rPr>
            </w:pPr>
            <w:r>
              <w:rPr>
                <w:szCs w:val="21"/>
              </w:rPr>
              <w:t>微溶于水，溶于乙醇、乙醚。</w:t>
            </w:r>
          </w:p>
        </w:tc>
      </w:tr>
      <w:tr w14:paraId="4DA95F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60" w:hRule="atLeast"/>
          <w:jc w:val="center"/>
        </w:trPr>
        <w:tc>
          <w:tcPr>
            <w:tcW w:w="301" w:type="dxa"/>
            <w:vMerge w:val="restart"/>
            <w:tcBorders>
              <w:top w:val="nil"/>
              <w:left w:val="single" w:color="auto" w:sz="2" w:space="0"/>
              <w:bottom w:val="single" w:color="auto" w:sz="2" w:space="0"/>
              <w:right w:val="single" w:color="auto" w:sz="2" w:space="0"/>
            </w:tcBorders>
            <w:vAlign w:val="center"/>
          </w:tcPr>
          <w:p w14:paraId="65B1E63A">
            <w:pPr>
              <w:rPr>
                <w:rFonts w:hint="eastAsia"/>
                <w:szCs w:val="21"/>
              </w:rPr>
            </w:pPr>
            <w:r>
              <w:rPr>
                <w:szCs w:val="21"/>
              </w:rPr>
              <w:t>燃烧爆炸危险性</w:t>
            </w:r>
          </w:p>
        </w:tc>
        <w:tc>
          <w:tcPr>
            <w:tcW w:w="2060" w:type="dxa"/>
            <w:tcBorders>
              <w:top w:val="single" w:color="auto" w:sz="2" w:space="0"/>
              <w:left w:val="single" w:color="auto" w:sz="2" w:space="0"/>
              <w:bottom w:val="single" w:color="auto" w:sz="2" w:space="0"/>
              <w:right w:val="single" w:color="auto" w:sz="2" w:space="0"/>
            </w:tcBorders>
            <w:vAlign w:val="center"/>
          </w:tcPr>
          <w:p w14:paraId="74DA2771">
            <w:pPr>
              <w:rPr>
                <w:rFonts w:hint="eastAsia"/>
                <w:szCs w:val="21"/>
              </w:rPr>
            </w:pPr>
            <w:r>
              <w:rPr>
                <w:szCs w:val="21"/>
              </w:rPr>
              <w:t>燃烧性</w:t>
            </w:r>
          </w:p>
        </w:tc>
        <w:tc>
          <w:tcPr>
            <w:tcW w:w="6428" w:type="dxa"/>
            <w:gridSpan w:val="3"/>
            <w:tcBorders>
              <w:top w:val="single" w:color="auto" w:sz="2" w:space="0"/>
              <w:left w:val="single" w:color="auto" w:sz="2" w:space="0"/>
              <w:bottom w:val="single" w:color="auto" w:sz="2" w:space="0"/>
              <w:right w:val="single" w:color="auto" w:sz="2" w:space="0"/>
            </w:tcBorders>
            <w:vAlign w:val="center"/>
          </w:tcPr>
          <w:p w14:paraId="70281B39">
            <w:pPr>
              <w:rPr>
                <w:rFonts w:hint="eastAsia"/>
                <w:szCs w:val="21"/>
              </w:rPr>
            </w:pPr>
            <w:r>
              <w:rPr>
                <w:szCs w:val="21"/>
              </w:rPr>
              <w:t>易燃液体</w:t>
            </w:r>
          </w:p>
        </w:tc>
      </w:tr>
      <w:tr w14:paraId="2F7574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080" w:hRule="atLeast"/>
          <w:jc w:val="center"/>
        </w:trPr>
        <w:tc>
          <w:tcPr>
            <w:tcW w:w="301" w:type="dxa"/>
            <w:vMerge w:val="continue"/>
            <w:tcBorders>
              <w:top w:val="nil"/>
              <w:left w:val="single" w:color="auto" w:sz="2" w:space="0"/>
              <w:bottom w:val="single" w:color="auto" w:sz="2" w:space="0"/>
              <w:right w:val="single" w:color="auto" w:sz="2" w:space="0"/>
            </w:tcBorders>
            <w:vAlign w:val="center"/>
          </w:tcPr>
          <w:p w14:paraId="75C5878F">
            <w:pPr>
              <w:rPr>
                <w:rFonts w:hint="eastAsia"/>
                <w:szCs w:val="21"/>
              </w:rPr>
            </w:pPr>
          </w:p>
        </w:tc>
        <w:tc>
          <w:tcPr>
            <w:tcW w:w="2060" w:type="dxa"/>
            <w:tcBorders>
              <w:top w:val="single" w:color="auto" w:sz="2" w:space="0"/>
              <w:left w:val="single" w:color="auto" w:sz="2" w:space="0"/>
              <w:bottom w:val="single" w:color="auto" w:sz="2" w:space="0"/>
              <w:right w:val="single" w:color="auto" w:sz="2" w:space="0"/>
            </w:tcBorders>
            <w:vAlign w:val="center"/>
          </w:tcPr>
          <w:p w14:paraId="35EE7961">
            <w:pPr>
              <w:rPr>
                <w:rFonts w:hint="eastAsia"/>
                <w:szCs w:val="21"/>
              </w:rPr>
            </w:pPr>
            <w:r>
              <w:rPr>
                <w:szCs w:val="21"/>
              </w:rPr>
              <w:t>危险特性</w:t>
            </w:r>
          </w:p>
        </w:tc>
        <w:tc>
          <w:tcPr>
            <w:tcW w:w="6428" w:type="dxa"/>
            <w:gridSpan w:val="3"/>
            <w:tcBorders>
              <w:top w:val="single" w:color="auto" w:sz="2" w:space="0"/>
              <w:left w:val="single" w:color="auto" w:sz="2" w:space="0"/>
              <w:bottom w:val="single" w:color="auto" w:sz="2" w:space="0"/>
              <w:right w:val="single" w:color="auto" w:sz="2" w:space="0"/>
            </w:tcBorders>
            <w:vAlign w:val="center"/>
          </w:tcPr>
          <w:p w14:paraId="18B33E9B">
            <w:pPr>
              <w:rPr>
                <w:rFonts w:hint="eastAsia"/>
                <w:szCs w:val="21"/>
              </w:rPr>
            </w:pPr>
            <w:r>
              <w:rPr>
                <w:szCs w:val="21"/>
              </w:rPr>
              <w:t>易燃，蒸气与空气能形成爆炸性混合物，遇明火、高热能引起燃烧爆炸，蒸气比空气重，能在较低处扩散到相当远的地方，遇火源会着火回燃和爆炸(闪爆)。</w:t>
            </w:r>
          </w:p>
        </w:tc>
      </w:tr>
      <w:tr w14:paraId="39DA53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jc w:val="center"/>
        </w:trPr>
        <w:tc>
          <w:tcPr>
            <w:tcW w:w="301" w:type="dxa"/>
            <w:vMerge w:val="continue"/>
            <w:tcBorders>
              <w:top w:val="nil"/>
              <w:left w:val="single" w:color="auto" w:sz="2" w:space="0"/>
              <w:bottom w:val="single" w:color="auto" w:sz="2" w:space="0"/>
              <w:right w:val="single" w:color="auto" w:sz="2" w:space="0"/>
            </w:tcBorders>
            <w:vAlign w:val="center"/>
          </w:tcPr>
          <w:p w14:paraId="4812D5C0">
            <w:pPr>
              <w:rPr>
                <w:rFonts w:hint="eastAsia"/>
                <w:szCs w:val="21"/>
              </w:rPr>
            </w:pPr>
          </w:p>
        </w:tc>
        <w:tc>
          <w:tcPr>
            <w:tcW w:w="2060" w:type="dxa"/>
            <w:tcBorders>
              <w:top w:val="single" w:color="auto" w:sz="2" w:space="0"/>
              <w:left w:val="single" w:color="auto" w:sz="2" w:space="0"/>
              <w:bottom w:val="single" w:color="auto" w:sz="2" w:space="0"/>
              <w:right w:val="single" w:color="auto" w:sz="2" w:space="0"/>
            </w:tcBorders>
            <w:vAlign w:val="center"/>
          </w:tcPr>
          <w:p w14:paraId="159F0F0E">
            <w:pPr>
              <w:rPr>
                <w:rFonts w:hint="eastAsia"/>
                <w:szCs w:val="21"/>
              </w:rPr>
            </w:pPr>
            <w:r>
              <w:rPr>
                <w:szCs w:val="21"/>
              </w:rPr>
              <w:t>燃烧分解产物</w:t>
            </w:r>
          </w:p>
        </w:tc>
        <w:tc>
          <w:tcPr>
            <w:tcW w:w="6428" w:type="dxa"/>
            <w:gridSpan w:val="3"/>
            <w:tcBorders>
              <w:top w:val="single" w:color="auto" w:sz="2" w:space="0"/>
              <w:left w:val="single" w:color="auto" w:sz="2" w:space="0"/>
              <w:bottom w:val="single" w:color="auto" w:sz="2" w:space="0"/>
              <w:right w:val="single" w:color="auto" w:sz="2" w:space="0"/>
            </w:tcBorders>
            <w:vAlign w:val="center"/>
          </w:tcPr>
          <w:p w14:paraId="12113992">
            <w:pPr>
              <w:rPr>
                <w:rFonts w:hint="eastAsia"/>
                <w:szCs w:val="21"/>
              </w:rPr>
            </w:pPr>
            <w:r>
              <w:rPr>
                <w:szCs w:val="21"/>
              </w:rPr>
              <w:t>一氧化碳、二氧化碳。</w:t>
            </w:r>
          </w:p>
        </w:tc>
      </w:tr>
      <w:tr w14:paraId="65ECA4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80" w:hRule="atLeast"/>
          <w:jc w:val="center"/>
        </w:trPr>
        <w:tc>
          <w:tcPr>
            <w:tcW w:w="301" w:type="dxa"/>
            <w:vMerge w:val="continue"/>
            <w:tcBorders>
              <w:top w:val="nil"/>
              <w:left w:val="single" w:color="auto" w:sz="2" w:space="0"/>
              <w:bottom w:val="single" w:color="auto" w:sz="2" w:space="0"/>
              <w:right w:val="single" w:color="auto" w:sz="2" w:space="0"/>
            </w:tcBorders>
            <w:vAlign w:val="center"/>
          </w:tcPr>
          <w:p w14:paraId="07BBADB0">
            <w:pPr>
              <w:rPr>
                <w:rFonts w:hint="eastAsia"/>
                <w:szCs w:val="21"/>
              </w:rPr>
            </w:pPr>
          </w:p>
        </w:tc>
        <w:tc>
          <w:tcPr>
            <w:tcW w:w="2060" w:type="dxa"/>
            <w:tcBorders>
              <w:top w:val="single" w:color="auto" w:sz="2" w:space="0"/>
              <w:left w:val="single" w:color="auto" w:sz="2" w:space="0"/>
              <w:bottom w:val="single" w:color="auto" w:sz="2" w:space="0"/>
              <w:right w:val="single" w:color="auto" w:sz="2" w:space="0"/>
            </w:tcBorders>
            <w:vAlign w:val="center"/>
          </w:tcPr>
          <w:p w14:paraId="4602E931">
            <w:pPr>
              <w:rPr>
                <w:rFonts w:hint="eastAsia"/>
                <w:szCs w:val="21"/>
              </w:rPr>
            </w:pPr>
            <w:r>
              <w:rPr>
                <w:szCs w:val="21"/>
              </w:rPr>
              <w:t>稳定性</w:t>
            </w:r>
          </w:p>
        </w:tc>
        <w:tc>
          <w:tcPr>
            <w:tcW w:w="6428" w:type="dxa"/>
            <w:gridSpan w:val="3"/>
            <w:tcBorders>
              <w:top w:val="single" w:color="auto" w:sz="2" w:space="0"/>
              <w:left w:val="single" w:color="auto" w:sz="2" w:space="0"/>
              <w:bottom w:val="single" w:color="auto" w:sz="2" w:space="0"/>
              <w:right w:val="single" w:color="auto" w:sz="2" w:space="0"/>
            </w:tcBorders>
            <w:vAlign w:val="center"/>
          </w:tcPr>
          <w:p w14:paraId="78B8D5BD">
            <w:pPr>
              <w:rPr>
                <w:rFonts w:hint="eastAsia"/>
                <w:szCs w:val="21"/>
              </w:rPr>
            </w:pPr>
            <w:r>
              <w:rPr>
                <w:szCs w:val="21"/>
              </w:rPr>
              <w:t>稳定</w:t>
            </w:r>
          </w:p>
        </w:tc>
      </w:tr>
      <w:tr w14:paraId="076098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jc w:val="center"/>
        </w:trPr>
        <w:tc>
          <w:tcPr>
            <w:tcW w:w="301" w:type="dxa"/>
            <w:vMerge w:val="continue"/>
            <w:tcBorders>
              <w:top w:val="nil"/>
              <w:left w:val="single" w:color="auto" w:sz="2" w:space="0"/>
              <w:bottom w:val="single" w:color="auto" w:sz="2" w:space="0"/>
              <w:right w:val="single" w:color="auto" w:sz="2" w:space="0"/>
            </w:tcBorders>
            <w:vAlign w:val="center"/>
          </w:tcPr>
          <w:p w14:paraId="427B311A">
            <w:pPr>
              <w:rPr>
                <w:rFonts w:hint="eastAsia"/>
                <w:szCs w:val="21"/>
              </w:rPr>
            </w:pPr>
          </w:p>
        </w:tc>
        <w:tc>
          <w:tcPr>
            <w:tcW w:w="2060" w:type="dxa"/>
            <w:tcBorders>
              <w:top w:val="single" w:color="auto" w:sz="2" w:space="0"/>
              <w:left w:val="single" w:color="auto" w:sz="2" w:space="0"/>
              <w:bottom w:val="single" w:color="auto" w:sz="2" w:space="0"/>
              <w:right w:val="single" w:color="auto" w:sz="2" w:space="0"/>
            </w:tcBorders>
            <w:vAlign w:val="center"/>
          </w:tcPr>
          <w:p w14:paraId="0B178A1D">
            <w:pPr>
              <w:rPr>
                <w:rFonts w:hint="eastAsia"/>
                <w:szCs w:val="21"/>
              </w:rPr>
            </w:pPr>
            <w:r>
              <w:rPr>
                <w:szCs w:val="21"/>
              </w:rPr>
              <w:t>聚合危险</w:t>
            </w:r>
          </w:p>
        </w:tc>
        <w:tc>
          <w:tcPr>
            <w:tcW w:w="6428" w:type="dxa"/>
            <w:gridSpan w:val="3"/>
            <w:tcBorders>
              <w:top w:val="single" w:color="auto" w:sz="2" w:space="0"/>
              <w:left w:val="single" w:color="auto" w:sz="2" w:space="0"/>
              <w:bottom w:val="single" w:color="auto" w:sz="2" w:space="0"/>
              <w:right w:val="single" w:color="auto" w:sz="2" w:space="0"/>
            </w:tcBorders>
            <w:vAlign w:val="center"/>
          </w:tcPr>
          <w:p w14:paraId="211A41F2">
            <w:pPr>
              <w:rPr>
                <w:rFonts w:hint="eastAsia"/>
                <w:szCs w:val="21"/>
              </w:rPr>
            </w:pPr>
            <w:r>
              <w:rPr>
                <w:szCs w:val="21"/>
              </w:rPr>
              <w:t>不能发生</w:t>
            </w:r>
          </w:p>
        </w:tc>
      </w:tr>
      <w:tr w14:paraId="7FAE46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80" w:hRule="atLeast"/>
          <w:jc w:val="center"/>
        </w:trPr>
        <w:tc>
          <w:tcPr>
            <w:tcW w:w="301" w:type="dxa"/>
            <w:vMerge w:val="continue"/>
            <w:tcBorders>
              <w:top w:val="nil"/>
              <w:left w:val="single" w:color="auto" w:sz="2" w:space="0"/>
              <w:bottom w:val="single" w:color="auto" w:sz="2" w:space="0"/>
              <w:right w:val="single" w:color="auto" w:sz="2" w:space="0"/>
            </w:tcBorders>
            <w:vAlign w:val="center"/>
          </w:tcPr>
          <w:p w14:paraId="1FC1EB26">
            <w:pPr>
              <w:rPr>
                <w:rFonts w:hint="eastAsia"/>
                <w:szCs w:val="21"/>
              </w:rPr>
            </w:pPr>
          </w:p>
        </w:tc>
        <w:tc>
          <w:tcPr>
            <w:tcW w:w="2060" w:type="dxa"/>
            <w:tcBorders>
              <w:top w:val="single" w:color="auto" w:sz="2" w:space="0"/>
              <w:left w:val="single" w:color="auto" w:sz="2" w:space="0"/>
              <w:bottom w:val="single" w:color="auto" w:sz="2" w:space="0"/>
              <w:right w:val="single" w:color="auto" w:sz="2" w:space="0"/>
            </w:tcBorders>
            <w:vAlign w:val="center"/>
          </w:tcPr>
          <w:p w14:paraId="6D66CF98">
            <w:pPr>
              <w:rPr>
                <w:rFonts w:hint="eastAsia"/>
                <w:szCs w:val="21"/>
              </w:rPr>
            </w:pPr>
            <w:r>
              <w:rPr>
                <w:szCs w:val="21"/>
              </w:rPr>
              <w:t>禁忌物</w:t>
            </w:r>
          </w:p>
        </w:tc>
        <w:tc>
          <w:tcPr>
            <w:tcW w:w="6428" w:type="dxa"/>
            <w:gridSpan w:val="3"/>
            <w:tcBorders>
              <w:top w:val="single" w:color="auto" w:sz="2" w:space="0"/>
              <w:left w:val="single" w:color="auto" w:sz="2" w:space="0"/>
              <w:bottom w:val="single" w:color="auto" w:sz="2" w:space="0"/>
              <w:right w:val="single" w:color="auto" w:sz="2" w:space="0"/>
            </w:tcBorders>
            <w:vAlign w:val="center"/>
          </w:tcPr>
          <w:p w14:paraId="1C36DC4D">
            <w:pPr>
              <w:rPr>
                <w:rFonts w:hint="eastAsia"/>
                <w:szCs w:val="21"/>
              </w:rPr>
            </w:pPr>
            <w:r>
              <w:rPr>
                <w:szCs w:val="21"/>
              </w:rPr>
              <w:t>强氧化剂、卤素。</w:t>
            </w:r>
          </w:p>
        </w:tc>
      </w:tr>
      <w:tr w14:paraId="539CE1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20" w:hRule="atLeast"/>
          <w:jc w:val="center"/>
        </w:trPr>
        <w:tc>
          <w:tcPr>
            <w:tcW w:w="301" w:type="dxa"/>
            <w:vMerge w:val="continue"/>
            <w:tcBorders>
              <w:top w:val="nil"/>
              <w:left w:val="single" w:color="auto" w:sz="2" w:space="0"/>
              <w:bottom w:val="single" w:color="auto" w:sz="2" w:space="0"/>
              <w:right w:val="single" w:color="auto" w:sz="2" w:space="0"/>
            </w:tcBorders>
            <w:vAlign w:val="center"/>
          </w:tcPr>
          <w:p w14:paraId="5BE57F7E">
            <w:pPr>
              <w:rPr>
                <w:rFonts w:hint="eastAsia"/>
                <w:szCs w:val="21"/>
              </w:rPr>
            </w:pPr>
          </w:p>
        </w:tc>
        <w:tc>
          <w:tcPr>
            <w:tcW w:w="2060" w:type="dxa"/>
            <w:tcBorders>
              <w:top w:val="single" w:color="auto" w:sz="2" w:space="0"/>
              <w:left w:val="single" w:color="auto" w:sz="2" w:space="0"/>
              <w:bottom w:val="single" w:color="auto" w:sz="2" w:space="0"/>
              <w:right w:val="single" w:color="auto" w:sz="2" w:space="0"/>
            </w:tcBorders>
            <w:vAlign w:val="center"/>
          </w:tcPr>
          <w:p w14:paraId="0E58F817">
            <w:pPr>
              <w:rPr>
                <w:rFonts w:hint="eastAsia"/>
                <w:szCs w:val="21"/>
              </w:rPr>
            </w:pPr>
            <w:r>
              <w:rPr>
                <w:szCs w:val="21"/>
              </w:rPr>
              <w:t>灭火方法</w:t>
            </w:r>
          </w:p>
        </w:tc>
        <w:tc>
          <w:tcPr>
            <w:tcW w:w="6428" w:type="dxa"/>
            <w:gridSpan w:val="3"/>
            <w:tcBorders>
              <w:top w:val="single" w:color="auto" w:sz="2" w:space="0"/>
              <w:left w:val="single" w:color="auto" w:sz="2" w:space="0"/>
              <w:bottom w:val="single" w:color="auto" w:sz="2" w:space="0"/>
              <w:right w:val="single" w:color="auto" w:sz="2" w:space="0"/>
            </w:tcBorders>
            <w:vAlign w:val="center"/>
          </w:tcPr>
          <w:p w14:paraId="063252BD">
            <w:pPr>
              <w:rPr>
                <w:rFonts w:hint="eastAsia"/>
                <w:szCs w:val="21"/>
              </w:rPr>
            </w:pPr>
            <w:r>
              <w:rPr>
                <w:szCs w:val="21"/>
              </w:rPr>
              <w:t>切断气源。若不能立即切断气源，则不允许熄灭正在燃烧的气体。喷水冷却容器，可能的话将容器从火场移至空旷外。雾状水、泡沫、二氧化碳。</w:t>
            </w:r>
          </w:p>
        </w:tc>
      </w:tr>
      <w:tr w14:paraId="3CA434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jc w:val="center"/>
        </w:trPr>
        <w:tc>
          <w:tcPr>
            <w:tcW w:w="301" w:type="dxa"/>
            <w:vMerge w:val="restart"/>
            <w:tcBorders>
              <w:top w:val="nil"/>
              <w:left w:val="single" w:color="auto" w:sz="2" w:space="0"/>
              <w:bottom w:val="single" w:color="auto" w:sz="2" w:space="0"/>
              <w:right w:val="single" w:color="auto" w:sz="2" w:space="0"/>
            </w:tcBorders>
            <w:vAlign w:val="center"/>
          </w:tcPr>
          <w:p w14:paraId="4495C19B">
            <w:pPr>
              <w:rPr>
                <w:rFonts w:hint="eastAsia"/>
                <w:szCs w:val="21"/>
              </w:rPr>
            </w:pPr>
            <w:r>
              <w:rPr>
                <w:szCs w:val="21"/>
              </w:rPr>
              <w:t>毒性及健康危害性</w:t>
            </w:r>
          </w:p>
        </w:tc>
        <w:tc>
          <w:tcPr>
            <w:tcW w:w="8488" w:type="dxa"/>
            <w:gridSpan w:val="4"/>
            <w:tcBorders>
              <w:top w:val="single" w:color="auto" w:sz="2" w:space="0"/>
              <w:left w:val="single" w:color="auto" w:sz="2" w:space="0"/>
              <w:bottom w:val="single" w:color="auto" w:sz="2" w:space="0"/>
              <w:right w:val="single" w:color="auto" w:sz="2" w:space="0"/>
            </w:tcBorders>
            <w:vAlign w:val="center"/>
          </w:tcPr>
          <w:p w14:paraId="40314155">
            <w:pPr>
              <w:rPr>
                <w:rFonts w:hint="eastAsia"/>
                <w:szCs w:val="21"/>
              </w:rPr>
            </w:pPr>
            <w:r>
              <w:rPr>
                <w:szCs w:val="21"/>
              </w:rPr>
              <w:t>接触限值：中国PC-TWA 未制定标准PC-STEL 未制定标准</w:t>
            </w:r>
          </w:p>
        </w:tc>
      </w:tr>
      <w:tr w14:paraId="32B970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80" w:hRule="atLeast"/>
          <w:jc w:val="center"/>
        </w:trPr>
        <w:tc>
          <w:tcPr>
            <w:tcW w:w="301" w:type="dxa"/>
            <w:vMerge w:val="continue"/>
            <w:tcBorders>
              <w:top w:val="nil"/>
              <w:left w:val="single" w:color="auto" w:sz="2" w:space="0"/>
              <w:bottom w:val="single" w:color="auto" w:sz="2" w:space="0"/>
              <w:right w:val="single" w:color="auto" w:sz="2" w:space="0"/>
            </w:tcBorders>
            <w:vAlign w:val="center"/>
          </w:tcPr>
          <w:p w14:paraId="02808A19">
            <w:pPr>
              <w:rPr>
                <w:rFonts w:hint="eastAsia"/>
                <w:szCs w:val="21"/>
              </w:rPr>
            </w:pPr>
          </w:p>
        </w:tc>
        <w:tc>
          <w:tcPr>
            <w:tcW w:w="8488" w:type="dxa"/>
            <w:gridSpan w:val="4"/>
            <w:tcBorders>
              <w:top w:val="single" w:color="auto" w:sz="2" w:space="0"/>
              <w:left w:val="single" w:color="auto" w:sz="2" w:space="0"/>
              <w:bottom w:val="single" w:color="auto" w:sz="2" w:space="0"/>
              <w:right w:val="single" w:color="auto" w:sz="2" w:space="0"/>
            </w:tcBorders>
            <w:vAlign w:val="center"/>
          </w:tcPr>
          <w:p w14:paraId="183E8D25">
            <w:pPr>
              <w:rPr>
                <w:rFonts w:hint="eastAsia"/>
                <w:szCs w:val="21"/>
              </w:rPr>
            </w:pPr>
            <w:r>
              <w:rPr>
                <w:szCs w:val="21"/>
              </w:rPr>
              <w:t>浸入途径：吸入</w:t>
            </w:r>
          </w:p>
        </w:tc>
      </w:tr>
      <w:tr w14:paraId="08CED3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80" w:hRule="atLeast"/>
          <w:jc w:val="center"/>
        </w:trPr>
        <w:tc>
          <w:tcPr>
            <w:tcW w:w="301" w:type="dxa"/>
            <w:vMerge w:val="continue"/>
            <w:tcBorders>
              <w:top w:val="nil"/>
              <w:left w:val="single" w:color="auto" w:sz="2" w:space="0"/>
              <w:bottom w:val="single" w:color="auto" w:sz="2" w:space="0"/>
              <w:right w:val="single" w:color="auto" w:sz="2" w:space="0"/>
            </w:tcBorders>
            <w:vAlign w:val="center"/>
          </w:tcPr>
          <w:p w14:paraId="0F1AE7FB">
            <w:pPr>
              <w:rPr>
                <w:rFonts w:hint="eastAsia"/>
                <w:szCs w:val="21"/>
              </w:rPr>
            </w:pPr>
          </w:p>
        </w:tc>
        <w:tc>
          <w:tcPr>
            <w:tcW w:w="8488" w:type="dxa"/>
            <w:gridSpan w:val="4"/>
            <w:tcBorders>
              <w:top w:val="single" w:color="auto" w:sz="2" w:space="0"/>
              <w:left w:val="single" w:color="auto" w:sz="2" w:space="0"/>
              <w:bottom w:val="single" w:color="auto" w:sz="2" w:space="0"/>
              <w:right w:val="single" w:color="auto" w:sz="2" w:space="0"/>
            </w:tcBorders>
            <w:vAlign w:val="center"/>
          </w:tcPr>
          <w:p w14:paraId="16424E9E">
            <w:pPr>
              <w:rPr>
                <w:rFonts w:hint="eastAsia"/>
                <w:szCs w:val="21"/>
              </w:rPr>
            </w:pPr>
            <w:r>
              <w:rPr>
                <w:szCs w:val="21"/>
              </w:rPr>
              <w:t>毒性：属微毒类</w:t>
            </w:r>
          </w:p>
        </w:tc>
      </w:tr>
      <w:tr w14:paraId="20FCDB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420" w:hRule="atLeast"/>
          <w:jc w:val="center"/>
        </w:trPr>
        <w:tc>
          <w:tcPr>
            <w:tcW w:w="301" w:type="dxa"/>
            <w:vMerge w:val="continue"/>
            <w:tcBorders>
              <w:top w:val="nil"/>
              <w:left w:val="single" w:color="auto" w:sz="2" w:space="0"/>
              <w:bottom w:val="single" w:color="auto" w:sz="2" w:space="0"/>
              <w:right w:val="single" w:color="auto" w:sz="2" w:space="0"/>
            </w:tcBorders>
            <w:vAlign w:val="center"/>
          </w:tcPr>
          <w:p w14:paraId="018ECFE8">
            <w:pPr>
              <w:rPr>
                <w:rFonts w:hint="eastAsia"/>
                <w:szCs w:val="21"/>
              </w:rPr>
            </w:pPr>
          </w:p>
        </w:tc>
        <w:tc>
          <w:tcPr>
            <w:tcW w:w="8488" w:type="dxa"/>
            <w:gridSpan w:val="4"/>
            <w:tcBorders>
              <w:top w:val="single" w:color="auto" w:sz="2" w:space="0"/>
              <w:left w:val="single" w:color="auto" w:sz="2" w:space="0"/>
              <w:bottom w:val="single" w:color="auto" w:sz="2" w:space="0"/>
              <w:right w:val="single" w:color="auto" w:sz="2" w:space="0"/>
            </w:tcBorders>
            <w:vAlign w:val="center"/>
          </w:tcPr>
          <w:p w14:paraId="5ECAB133">
            <w:pPr>
              <w:rPr>
                <w:rFonts w:hint="eastAsia"/>
                <w:szCs w:val="21"/>
              </w:rPr>
            </w:pPr>
            <w:r>
              <w:rPr>
                <w:szCs w:val="21"/>
              </w:rPr>
              <w:t>健康危害：1%丙烷，对人无影响；10%以下的浓度，只引起轻度头晕；在较高浓度的丙烷、丁烷混合气体中毒时，有头痛、头晕、兴奋或嗜睡、恶心、呕吐、流涎、自压轻度降低、脉缓、神经反射减弱、无病理反射；严重者出现麻醉状态、意识丧失；有的发生继发性肺炎。</w:t>
            </w:r>
          </w:p>
        </w:tc>
      </w:tr>
      <w:tr w14:paraId="19DB68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jc w:val="center"/>
        </w:trPr>
        <w:tc>
          <w:tcPr>
            <w:tcW w:w="301" w:type="dxa"/>
            <w:vMerge w:val="restart"/>
            <w:tcBorders>
              <w:top w:val="single" w:color="auto" w:sz="2" w:space="0"/>
              <w:left w:val="single" w:color="auto" w:sz="2" w:space="0"/>
              <w:right w:val="single" w:color="auto" w:sz="2" w:space="0"/>
            </w:tcBorders>
            <w:vAlign w:val="center"/>
          </w:tcPr>
          <w:p w14:paraId="1F6B7742">
            <w:pPr>
              <w:rPr>
                <w:rFonts w:hint="eastAsia"/>
                <w:szCs w:val="21"/>
              </w:rPr>
            </w:pPr>
            <w:r>
              <w:rPr>
                <w:szCs w:val="21"/>
              </w:rPr>
              <w:t>急救</w:t>
            </w:r>
          </w:p>
        </w:tc>
        <w:tc>
          <w:tcPr>
            <w:tcW w:w="8488" w:type="dxa"/>
            <w:gridSpan w:val="4"/>
            <w:tcBorders>
              <w:top w:val="single" w:color="auto" w:sz="2" w:space="0"/>
              <w:left w:val="single" w:color="auto" w:sz="2" w:space="0"/>
              <w:bottom w:val="single" w:color="auto" w:sz="2" w:space="0"/>
              <w:right w:val="single" w:color="auto" w:sz="2" w:space="0"/>
            </w:tcBorders>
            <w:vAlign w:val="center"/>
          </w:tcPr>
          <w:p w14:paraId="78CADF0A">
            <w:pPr>
              <w:rPr>
                <w:rFonts w:hint="eastAsia"/>
                <w:szCs w:val="21"/>
              </w:rPr>
            </w:pPr>
            <w:r>
              <w:rPr>
                <w:szCs w:val="21"/>
              </w:rPr>
              <w:t>皮肤接触：脱去污染的衣着，用肥皂水和清水彻底冲洗皮肤。</w:t>
            </w:r>
          </w:p>
        </w:tc>
      </w:tr>
      <w:tr w14:paraId="51C394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jc w:val="center"/>
        </w:trPr>
        <w:tc>
          <w:tcPr>
            <w:tcW w:w="301" w:type="dxa"/>
            <w:vMerge w:val="continue"/>
            <w:tcBorders>
              <w:left w:val="single" w:color="auto" w:sz="2" w:space="0"/>
              <w:right w:val="single" w:color="auto" w:sz="2" w:space="0"/>
            </w:tcBorders>
            <w:vAlign w:val="center"/>
          </w:tcPr>
          <w:p w14:paraId="11C80C54">
            <w:pPr>
              <w:rPr>
                <w:rFonts w:hint="eastAsia"/>
                <w:szCs w:val="21"/>
              </w:rPr>
            </w:pPr>
          </w:p>
        </w:tc>
        <w:tc>
          <w:tcPr>
            <w:tcW w:w="8488" w:type="dxa"/>
            <w:gridSpan w:val="4"/>
            <w:tcBorders>
              <w:top w:val="single" w:color="auto" w:sz="2" w:space="0"/>
              <w:left w:val="single" w:color="auto" w:sz="2" w:space="0"/>
              <w:bottom w:val="single" w:color="auto" w:sz="2" w:space="0"/>
              <w:right w:val="single" w:color="auto" w:sz="2" w:space="0"/>
            </w:tcBorders>
            <w:vAlign w:val="center"/>
          </w:tcPr>
          <w:p w14:paraId="428DB773">
            <w:pPr>
              <w:rPr>
                <w:rFonts w:hint="eastAsia"/>
                <w:szCs w:val="21"/>
              </w:rPr>
            </w:pPr>
            <w:r>
              <w:rPr>
                <w:szCs w:val="21"/>
              </w:rPr>
              <w:t>眼睛接触：提起眼睑，用流动清水或生理盐水冲洗。就医。</w:t>
            </w:r>
          </w:p>
        </w:tc>
      </w:tr>
      <w:tr w14:paraId="6D5F82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jc w:val="center"/>
        </w:trPr>
        <w:tc>
          <w:tcPr>
            <w:tcW w:w="301" w:type="dxa"/>
            <w:vMerge w:val="continue"/>
            <w:tcBorders>
              <w:left w:val="single" w:color="auto" w:sz="2" w:space="0"/>
              <w:right w:val="single" w:color="auto" w:sz="2" w:space="0"/>
            </w:tcBorders>
            <w:vAlign w:val="center"/>
          </w:tcPr>
          <w:p w14:paraId="0AE60A0B">
            <w:pPr>
              <w:rPr>
                <w:rFonts w:hint="eastAsia"/>
                <w:szCs w:val="21"/>
              </w:rPr>
            </w:pPr>
          </w:p>
        </w:tc>
        <w:tc>
          <w:tcPr>
            <w:tcW w:w="8488" w:type="dxa"/>
            <w:gridSpan w:val="4"/>
            <w:tcBorders>
              <w:top w:val="single" w:color="auto" w:sz="2" w:space="0"/>
              <w:left w:val="single" w:color="auto" w:sz="2" w:space="0"/>
              <w:bottom w:val="single" w:color="auto" w:sz="2" w:space="0"/>
              <w:right w:val="single" w:color="auto" w:sz="2" w:space="0"/>
            </w:tcBorders>
            <w:vAlign w:val="center"/>
          </w:tcPr>
          <w:p w14:paraId="361C0E5B">
            <w:pPr>
              <w:rPr>
                <w:rFonts w:hint="eastAsia"/>
                <w:szCs w:val="21"/>
              </w:rPr>
            </w:pPr>
            <w:r>
              <w:rPr>
                <w:szCs w:val="21"/>
              </w:rPr>
              <w:t>吸入：迅速脱离现场至空气新鲜处。保持呼吸道通畅。如呼吸困难，给输氧如呼吸停止，立即进行人工呼吸。就医。</w:t>
            </w:r>
          </w:p>
        </w:tc>
      </w:tr>
      <w:tr w14:paraId="19512C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jc w:val="center"/>
        </w:trPr>
        <w:tc>
          <w:tcPr>
            <w:tcW w:w="301" w:type="dxa"/>
            <w:vMerge w:val="continue"/>
            <w:tcBorders>
              <w:left w:val="single" w:color="auto" w:sz="2" w:space="0"/>
              <w:bottom w:val="single" w:color="auto" w:sz="2" w:space="0"/>
              <w:right w:val="single" w:color="auto" w:sz="2" w:space="0"/>
            </w:tcBorders>
            <w:vAlign w:val="center"/>
          </w:tcPr>
          <w:p w14:paraId="040C9054">
            <w:pPr>
              <w:rPr>
                <w:rFonts w:hint="eastAsia"/>
                <w:szCs w:val="21"/>
              </w:rPr>
            </w:pPr>
          </w:p>
        </w:tc>
        <w:tc>
          <w:tcPr>
            <w:tcW w:w="8488" w:type="dxa"/>
            <w:gridSpan w:val="4"/>
            <w:tcBorders>
              <w:top w:val="single" w:color="auto" w:sz="2" w:space="0"/>
              <w:left w:val="single" w:color="auto" w:sz="2" w:space="0"/>
              <w:bottom w:val="single" w:color="auto" w:sz="2" w:space="0"/>
              <w:right w:val="single" w:color="auto" w:sz="2" w:space="0"/>
            </w:tcBorders>
            <w:vAlign w:val="center"/>
          </w:tcPr>
          <w:p w14:paraId="7109A022">
            <w:pPr>
              <w:rPr>
                <w:rFonts w:hint="eastAsia"/>
                <w:szCs w:val="21"/>
              </w:rPr>
            </w:pPr>
            <w:r>
              <w:rPr>
                <w:szCs w:val="21"/>
              </w:rPr>
              <w:t>食入：饮足量温水，就医。</w:t>
            </w:r>
          </w:p>
        </w:tc>
      </w:tr>
      <w:tr w14:paraId="587FDE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jc w:val="center"/>
        </w:trPr>
        <w:tc>
          <w:tcPr>
            <w:tcW w:w="301" w:type="dxa"/>
            <w:vMerge w:val="restart"/>
            <w:tcBorders>
              <w:top w:val="single" w:color="auto" w:sz="2" w:space="0"/>
              <w:left w:val="single" w:color="auto" w:sz="2" w:space="0"/>
              <w:right w:val="single" w:color="auto" w:sz="2" w:space="0"/>
            </w:tcBorders>
            <w:vAlign w:val="center"/>
          </w:tcPr>
          <w:p w14:paraId="74653552">
            <w:pPr>
              <w:rPr>
                <w:rFonts w:hint="eastAsia"/>
                <w:szCs w:val="21"/>
              </w:rPr>
            </w:pPr>
            <w:r>
              <w:rPr>
                <w:szCs w:val="21"/>
              </w:rPr>
              <w:t>防护措施</w:t>
            </w:r>
          </w:p>
        </w:tc>
        <w:tc>
          <w:tcPr>
            <w:tcW w:w="8488" w:type="dxa"/>
            <w:gridSpan w:val="4"/>
            <w:tcBorders>
              <w:top w:val="single" w:color="auto" w:sz="2" w:space="0"/>
              <w:left w:val="single" w:color="auto" w:sz="2" w:space="0"/>
              <w:bottom w:val="single" w:color="auto" w:sz="2" w:space="0"/>
              <w:right w:val="single" w:color="auto" w:sz="2" w:space="0"/>
            </w:tcBorders>
            <w:vAlign w:val="center"/>
          </w:tcPr>
          <w:p w14:paraId="69BB7B8E">
            <w:pPr>
              <w:rPr>
                <w:rFonts w:hint="eastAsia"/>
                <w:szCs w:val="21"/>
              </w:rPr>
            </w:pPr>
            <w:r>
              <w:rPr>
                <w:szCs w:val="21"/>
              </w:rPr>
              <w:t>工程控制：生产过程密闭，全面通风。</w:t>
            </w:r>
          </w:p>
        </w:tc>
      </w:tr>
      <w:tr w14:paraId="43FBFC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jc w:val="center"/>
        </w:trPr>
        <w:tc>
          <w:tcPr>
            <w:tcW w:w="301" w:type="dxa"/>
            <w:vMerge w:val="continue"/>
            <w:tcBorders>
              <w:left w:val="single" w:color="auto" w:sz="2" w:space="0"/>
              <w:right w:val="single" w:color="auto" w:sz="2" w:space="0"/>
            </w:tcBorders>
            <w:vAlign w:val="center"/>
          </w:tcPr>
          <w:p w14:paraId="3C8DDEB3">
            <w:pPr>
              <w:rPr>
                <w:rFonts w:hint="eastAsia"/>
                <w:szCs w:val="21"/>
              </w:rPr>
            </w:pPr>
          </w:p>
        </w:tc>
        <w:tc>
          <w:tcPr>
            <w:tcW w:w="8488" w:type="dxa"/>
            <w:gridSpan w:val="4"/>
            <w:tcBorders>
              <w:top w:val="single" w:color="auto" w:sz="2" w:space="0"/>
              <w:left w:val="single" w:color="auto" w:sz="2" w:space="0"/>
              <w:bottom w:val="single" w:color="auto" w:sz="2" w:space="0"/>
              <w:right w:val="single" w:color="auto" w:sz="2" w:space="0"/>
            </w:tcBorders>
            <w:vAlign w:val="center"/>
          </w:tcPr>
          <w:p w14:paraId="29A542AF">
            <w:pPr>
              <w:rPr>
                <w:rFonts w:hint="eastAsia"/>
                <w:szCs w:val="21"/>
              </w:rPr>
            </w:pPr>
            <w:r>
              <w:rPr>
                <w:szCs w:val="21"/>
              </w:rPr>
              <w:t>呼吸系统防护：高浓度环境中，佩带供气式呼吸器。</w:t>
            </w:r>
          </w:p>
        </w:tc>
      </w:tr>
      <w:tr w14:paraId="27AE90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jc w:val="center"/>
        </w:trPr>
        <w:tc>
          <w:tcPr>
            <w:tcW w:w="301" w:type="dxa"/>
            <w:vMerge w:val="continue"/>
            <w:tcBorders>
              <w:left w:val="single" w:color="auto" w:sz="2" w:space="0"/>
              <w:right w:val="single" w:color="auto" w:sz="2" w:space="0"/>
            </w:tcBorders>
            <w:vAlign w:val="center"/>
          </w:tcPr>
          <w:p w14:paraId="35092ACC">
            <w:pPr>
              <w:rPr>
                <w:rFonts w:hint="eastAsia"/>
                <w:szCs w:val="21"/>
              </w:rPr>
            </w:pPr>
          </w:p>
        </w:tc>
        <w:tc>
          <w:tcPr>
            <w:tcW w:w="8488" w:type="dxa"/>
            <w:gridSpan w:val="4"/>
            <w:tcBorders>
              <w:top w:val="single" w:color="auto" w:sz="2" w:space="0"/>
              <w:left w:val="single" w:color="auto" w:sz="2" w:space="0"/>
              <w:bottom w:val="single" w:color="auto" w:sz="2" w:space="0"/>
              <w:right w:val="single" w:color="auto" w:sz="2" w:space="0"/>
            </w:tcBorders>
            <w:vAlign w:val="center"/>
          </w:tcPr>
          <w:p w14:paraId="3BBB9E24">
            <w:pPr>
              <w:rPr>
                <w:rFonts w:hint="eastAsia"/>
                <w:szCs w:val="21"/>
              </w:rPr>
            </w:pPr>
            <w:r>
              <w:rPr>
                <w:szCs w:val="21"/>
              </w:rPr>
              <w:t>眼睛防护：一般不需要特殊防护，高浓度接触时可戴化学安全防护眼镜。</w:t>
            </w:r>
          </w:p>
        </w:tc>
      </w:tr>
      <w:tr w14:paraId="70D894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jc w:val="center"/>
        </w:trPr>
        <w:tc>
          <w:tcPr>
            <w:tcW w:w="301" w:type="dxa"/>
            <w:vMerge w:val="continue"/>
            <w:tcBorders>
              <w:left w:val="single" w:color="auto" w:sz="2" w:space="0"/>
              <w:right w:val="single" w:color="auto" w:sz="2" w:space="0"/>
            </w:tcBorders>
            <w:vAlign w:val="center"/>
          </w:tcPr>
          <w:p w14:paraId="6EE040BC">
            <w:pPr>
              <w:rPr>
                <w:rFonts w:hint="eastAsia"/>
                <w:szCs w:val="21"/>
              </w:rPr>
            </w:pPr>
          </w:p>
        </w:tc>
        <w:tc>
          <w:tcPr>
            <w:tcW w:w="8488" w:type="dxa"/>
            <w:gridSpan w:val="4"/>
            <w:tcBorders>
              <w:top w:val="single" w:color="auto" w:sz="2" w:space="0"/>
              <w:left w:val="single" w:color="auto" w:sz="2" w:space="0"/>
              <w:bottom w:val="single" w:color="auto" w:sz="2" w:space="0"/>
              <w:right w:val="single" w:color="auto" w:sz="2" w:space="0"/>
            </w:tcBorders>
            <w:vAlign w:val="center"/>
          </w:tcPr>
          <w:p w14:paraId="2C205E90">
            <w:pPr>
              <w:rPr>
                <w:rFonts w:hint="eastAsia"/>
                <w:szCs w:val="21"/>
              </w:rPr>
            </w:pPr>
            <w:r>
              <w:rPr>
                <w:szCs w:val="21"/>
              </w:rPr>
              <w:t>防护服：穿工作服。</w:t>
            </w:r>
          </w:p>
        </w:tc>
      </w:tr>
      <w:tr w14:paraId="2A1F44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jc w:val="center"/>
        </w:trPr>
        <w:tc>
          <w:tcPr>
            <w:tcW w:w="301" w:type="dxa"/>
            <w:vMerge w:val="continue"/>
            <w:tcBorders>
              <w:left w:val="single" w:color="auto" w:sz="2" w:space="0"/>
              <w:right w:val="single" w:color="auto" w:sz="2" w:space="0"/>
            </w:tcBorders>
            <w:vAlign w:val="center"/>
          </w:tcPr>
          <w:p w14:paraId="35CFE37A">
            <w:pPr>
              <w:rPr>
                <w:rFonts w:hint="eastAsia"/>
                <w:szCs w:val="21"/>
              </w:rPr>
            </w:pPr>
          </w:p>
        </w:tc>
        <w:tc>
          <w:tcPr>
            <w:tcW w:w="8488" w:type="dxa"/>
            <w:gridSpan w:val="4"/>
            <w:tcBorders>
              <w:top w:val="single" w:color="auto" w:sz="2" w:space="0"/>
              <w:left w:val="single" w:color="auto" w:sz="2" w:space="0"/>
              <w:bottom w:val="single" w:color="auto" w:sz="2" w:space="0"/>
              <w:right w:val="single" w:color="auto" w:sz="2" w:space="0"/>
            </w:tcBorders>
            <w:vAlign w:val="center"/>
          </w:tcPr>
          <w:p w14:paraId="03568B00">
            <w:pPr>
              <w:rPr>
                <w:rFonts w:hint="eastAsia"/>
                <w:szCs w:val="21"/>
              </w:rPr>
            </w:pPr>
            <w:r>
              <w:rPr>
                <w:szCs w:val="21"/>
              </w:rPr>
              <w:t>手防护：一般不需特殊防护，高浓度接触时可戴化学安全防护手套。</w:t>
            </w:r>
          </w:p>
        </w:tc>
      </w:tr>
      <w:tr w14:paraId="5E87D7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jc w:val="center"/>
        </w:trPr>
        <w:tc>
          <w:tcPr>
            <w:tcW w:w="301" w:type="dxa"/>
            <w:vMerge w:val="continue"/>
            <w:tcBorders>
              <w:left w:val="single" w:color="auto" w:sz="2" w:space="0"/>
              <w:right w:val="single" w:color="auto" w:sz="2" w:space="0"/>
            </w:tcBorders>
            <w:vAlign w:val="center"/>
          </w:tcPr>
          <w:p w14:paraId="0C80E5BC">
            <w:pPr>
              <w:rPr>
                <w:rFonts w:hint="eastAsia"/>
                <w:szCs w:val="21"/>
              </w:rPr>
            </w:pPr>
          </w:p>
        </w:tc>
        <w:tc>
          <w:tcPr>
            <w:tcW w:w="8488" w:type="dxa"/>
            <w:gridSpan w:val="4"/>
            <w:tcBorders>
              <w:top w:val="single" w:color="auto" w:sz="2" w:space="0"/>
              <w:left w:val="single" w:color="auto" w:sz="2" w:space="0"/>
              <w:bottom w:val="single" w:color="auto" w:sz="2" w:space="0"/>
              <w:right w:val="single" w:color="auto" w:sz="2" w:space="0"/>
            </w:tcBorders>
            <w:vAlign w:val="center"/>
          </w:tcPr>
          <w:p w14:paraId="47FA0B14">
            <w:pPr>
              <w:rPr>
                <w:rFonts w:hint="eastAsia"/>
                <w:szCs w:val="21"/>
              </w:rPr>
            </w:pPr>
            <w:r>
              <w:rPr>
                <w:szCs w:val="21"/>
              </w:rPr>
              <w:t>其它：工作现场禁止吸烟。避免长期反复接触。进入罐或其它高浓度区作业，须有人监护。</w:t>
            </w:r>
          </w:p>
        </w:tc>
      </w:tr>
      <w:tr w14:paraId="143BBA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jc w:val="center"/>
        </w:trPr>
        <w:tc>
          <w:tcPr>
            <w:tcW w:w="301" w:type="dxa"/>
            <w:vMerge w:val="continue"/>
            <w:tcBorders>
              <w:left w:val="single" w:color="auto" w:sz="2" w:space="0"/>
              <w:bottom w:val="single" w:color="auto" w:sz="2" w:space="0"/>
              <w:right w:val="single" w:color="auto" w:sz="2" w:space="0"/>
            </w:tcBorders>
            <w:vAlign w:val="center"/>
          </w:tcPr>
          <w:p w14:paraId="1C6076A6">
            <w:pPr>
              <w:rPr>
                <w:rFonts w:hint="eastAsia"/>
                <w:szCs w:val="21"/>
              </w:rPr>
            </w:pPr>
          </w:p>
        </w:tc>
        <w:tc>
          <w:tcPr>
            <w:tcW w:w="8488" w:type="dxa"/>
            <w:gridSpan w:val="4"/>
            <w:tcBorders>
              <w:top w:val="single" w:color="auto" w:sz="2" w:space="0"/>
              <w:left w:val="single" w:color="auto" w:sz="2" w:space="0"/>
              <w:bottom w:val="single" w:color="auto" w:sz="2" w:space="0"/>
              <w:right w:val="single" w:color="auto" w:sz="2" w:space="0"/>
            </w:tcBorders>
            <w:vAlign w:val="center"/>
          </w:tcPr>
          <w:p w14:paraId="3BB4700F">
            <w:pPr>
              <w:rPr>
                <w:rFonts w:hint="eastAsia"/>
                <w:szCs w:val="21"/>
              </w:rPr>
            </w:pPr>
            <w:r>
              <w:rPr>
                <w:szCs w:val="21"/>
              </w:rPr>
              <w:t>储存于阴凉、通风的库房，远离火种、热源，避免阳光直射。应与氧化剂等隔离储运。搬运时轻装轻卸，防止容器受损。</w:t>
            </w:r>
          </w:p>
        </w:tc>
      </w:tr>
      <w:tr w14:paraId="3CF951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jc w:val="center"/>
        </w:trPr>
        <w:tc>
          <w:tcPr>
            <w:tcW w:w="301" w:type="dxa"/>
            <w:tcBorders>
              <w:top w:val="single" w:color="auto" w:sz="2" w:space="0"/>
              <w:left w:val="single" w:color="auto" w:sz="2" w:space="0"/>
              <w:bottom w:val="single" w:color="auto" w:sz="2" w:space="0"/>
              <w:right w:val="single" w:color="auto" w:sz="2" w:space="0"/>
            </w:tcBorders>
            <w:vAlign w:val="center"/>
          </w:tcPr>
          <w:p w14:paraId="5267076B">
            <w:pPr>
              <w:rPr>
                <w:rFonts w:hint="eastAsia"/>
                <w:szCs w:val="21"/>
              </w:rPr>
            </w:pPr>
            <w:r>
              <w:rPr>
                <w:color w:val="000000"/>
                <w:szCs w:val="21"/>
              </w:rPr>
              <w:t>运输注意事项</w:t>
            </w:r>
          </w:p>
        </w:tc>
        <w:tc>
          <w:tcPr>
            <w:tcW w:w="8488" w:type="dxa"/>
            <w:gridSpan w:val="4"/>
            <w:tcBorders>
              <w:top w:val="single" w:color="auto" w:sz="2" w:space="0"/>
              <w:left w:val="single" w:color="auto" w:sz="2" w:space="0"/>
              <w:bottom w:val="single" w:color="auto" w:sz="2" w:space="0"/>
              <w:right w:val="single" w:color="auto" w:sz="2" w:space="0"/>
            </w:tcBorders>
          </w:tcPr>
          <w:p w14:paraId="507C099B">
            <w:pPr>
              <w:textAlignment w:val="baseline"/>
              <w:rPr>
                <w:rFonts w:hint="eastAsia"/>
                <w:szCs w:val="21"/>
              </w:rPr>
            </w:pPr>
            <w:r>
              <w:rPr>
                <w:color w:val="000000"/>
                <w:szCs w:val="21"/>
              </w:rPr>
              <w:t>运输时运输车辆应配备相应品种和数量的消防器材及泄漏应急处理设备。夏季最好早晚运输。运输时所用的槽(罐)车应有接地链，槽内可设孔隔板以减少震荡产生静电。严禁与氧化剂等混装混运。</w:t>
            </w:r>
          </w:p>
          <w:p w14:paraId="418952DB">
            <w:pPr>
              <w:textAlignment w:val="baseline"/>
              <w:rPr>
                <w:rFonts w:hint="eastAsia"/>
                <w:szCs w:val="21"/>
              </w:rPr>
            </w:pPr>
            <w:r>
              <w:rPr>
                <w:color w:val="000000"/>
                <w:szCs w:val="21"/>
              </w:rPr>
              <w:t>运输途中应防曝晒、雨淋，防高温。中途停留时应远离火种、热源、高温区。装运该物品的车辆排气管必须配备阻火装置，禁止使用易产生火花的机械设备和工具装卸。</w:t>
            </w:r>
          </w:p>
          <w:p w14:paraId="55947FD7">
            <w:pPr>
              <w:rPr>
                <w:rFonts w:hint="eastAsia"/>
                <w:szCs w:val="21"/>
              </w:rPr>
            </w:pPr>
            <w:r>
              <w:rPr>
                <w:color w:val="000000"/>
                <w:szCs w:val="21"/>
              </w:rPr>
              <w:t>公路运输时要按规定路线行驶，勿在居民区和人口稠密区停留。铁路运输时要禁止溜放。</w:t>
            </w:r>
          </w:p>
        </w:tc>
      </w:tr>
      <w:tr w14:paraId="4D1A7B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jc w:val="center"/>
        </w:trPr>
        <w:tc>
          <w:tcPr>
            <w:tcW w:w="301" w:type="dxa"/>
            <w:tcBorders>
              <w:top w:val="single" w:color="auto" w:sz="2" w:space="0"/>
              <w:left w:val="single" w:color="auto" w:sz="2" w:space="0"/>
              <w:bottom w:val="single" w:color="auto" w:sz="2" w:space="0"/>
              <w:right w:val="single" w:color="auto" w:sz="2" w:space="0"/>
            </w:tcBorders>
            <w:vAlign w:val="center"/>
          </w:tcPr>
          <w:p w14:paraId="39B03C50">
            <w:pPr>
              <w:rPr>
                <w:rFonts w:hint="eastAsia"/>
                <w:szCs w:val="21"/>
              </w:rPr>
            </w:pPr>
            <w:r>
              <w:rPr>
                <w:color w:val="000000"/>
                <w:szCs w:val="21"/>
              </w:rPr>
              <w:t>应急处理</w:t>
            </w:r>
          </w:p>
        </w:tc>
        <w:tc>
          <w:tcPr>
            <w:tcW w:w="8488" w:type="dxa"/>
            <w:gridSpan w:val="4"/>
            <w:tcBorders>
              <w:top w:val="single" w:color="auto" w:sz="2" w:space="0"/>
              <w:left w:val="single" w:color="auto" w:sz="2" w:space="0"/>
              <w:bottom w:val="single" w:color="auto" w:sz="2" w:space="0"/>
              <w:right w:val="single" w:color="auto" w:sz="2" w:space="0"/>
            </w:tcBorders>
            <w:vAlign w:val="center"/>
          </w:tcPr>
          <w:p w14:paraId="390698A3">
            <w:pPr>
              <w:rPr>
                <w:rFonts w:hint="eastAsia"/>
                <w:szCs w:val="21"/>
              </w:rPr>
            </w:pPr>
            <w:r>
              <w:rPr>
                <w:color w:val="000000"/>
                <w:szCs w:val="21"/>
              </w:rPr>
              <w:t>根据液体流动和蒸气扩散的影响区域划定警戒区，无关人员从侧风、上风向撤离至安全区。消除所有点火源。应急人员应佩戴正压自给式呼吸器，穿防静电服。使用防爆等级达到要求的通讯工具。采取关闭阀门或堵漏等措施切断泄漏源。构筑围堤或挖坑收容泄漏物，防止流入河流、下水道、排洪沟等地方。用泡沫覆盖泄漏物，减少挥发。用喷雾状水驱散、稀释挥发的蒸气。收容的泄漏液用防爆泵转移至槽车或专用收集器内。残液用活性炭吸附或砂土吸收。</w:t>
            </w:r>
          </w:p>
        </w:tc>
      </w:tr>
    </w:tbl>
    <w:p w14:paraId="2321A2BB">
      <w:pPr>
        <w:rPr>
          <w:rFonts w:hint="eastAsia"/>
        </w:rPr>
      </w:pPr>
    </w:p>
    <w:p w14:paraId="2538DC5E">
      <w:pPr>
        <w:jc w:val="center"/>
        <w:rPr>
          <w:rFonts w:hint="eastAsia"/>
        </w:rPr>
      </w:pPr>
      <w:r>
        <w:rPr>
          <w:rFonts w:hint="eastAsia"/>
          <w:b/>
          <w:bCs/>
          <w:szCs w:val="32"/>
        </w:rPr>
        <w:t>表6-5  燃料油理化性质与危险有害特性识别表</w:t>
      </w:r>
    </w:p>
    <w:tbl>
      <w:tblPr>
        <w:tblStyle w:val="16"/>
        <w:tblW w:w="878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81"/>
        <w:gridCol w:w="3516"/>
        <w:gridCol w:w="780"/>
        <w:gridCol w:w="1516"/>
        <w:gridCol w:w="2693"/>
      </w:tblGrid>
      <w:tr w14:paraId="6F4EEF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00" w:hRule="atLeast"/>
          <w:jc w:val="center"/>
        </w:trPr>
        <w:tc>
          <w:tcPr>
            <w:tcW w:w="281" w:type="dxa"/>
            <w:vMerge w:val="restart"/>
            <w:tcBorders>
              <w:top w:val="single" w:color="auto" w:sz="2" w:space="0"/>
              <w:left w:val="single" w:color="auto" w:sz="2" w:space="0"/>
              <w:right w:val="single" w:color="auto" w:sz="2" w:space="0"/>
            </w:tcBorders>
            <w:vAlign w:val="center"/>
          </w:tcPr>
          <w:p w14:paraId="116AD014">
            <w:pPr>
              <w:rPr>
                <w:rFonts w:hint="eastAsia"/>
              </w:rPr>
            </w:pPr>
            <w:r>
              <w:rPr>
                <w:rFonts w:hint="eastAsia"/>
              </w:rPr>
              <w:t>理化性质</w:t>
            </w:r>
          </w:p>
        </w:tc>
        <w:tc>
          <w:tcPr>
            <w:tcW w:w="3516" w:type="dxa"/>
            <w:tcBorders>
              <w:top w:val="single" w:color="auto" w:sz="2" w:space="0"/>
              <w:left w:val="single" w:color="auto" w:sz="2" w:space="0"/>
              <w:bottom w:val="single" w:color="auto" w:sz="2" w:space="0"/>
              <w:right w:val="single" w:color="auto" w:sz="2" w:space="0"/>
            </w:tcBorders>
            <w:vAlign w:val="center"/>
          </w:tcPr>
          <w:p w14:paraId="49BD3F25">
            <w:pPr>
              <w:rPr>
                <w:rFonts w:hint="eastAsia"/>
              </w:rPr>
            </w:pPr>
            <w:r>
              <w:rPr>
                <w:rFonts w:hint="eastAsia"/>
              </w:rPr>
              <w:t>中文名称：燃料油</w:t>
            </w:r>
          </w:p>
        </w:tc>
        <w:tc>
          <w:tcPr>
            <w:tcW w:w="2296" w:type="dxa"/>
            <w:gridSpan w:val="2"/>
            <w:tcBorders>
              <w:top w:val="single" w:color="auto" w:sz="2" w:space="0"/>
              <w:left w:val="single" w:color="auto" w:sz="2" w:space="0"/>
              <w:bottom w:val="single" w:color="auto" w:sz="2" w:space="0"/>
              <w:right w:val="single" w:color="auto" w:sz="2" w:space="0"/>
            </w:tcBorders>
            <w:vAlign w:val="center"/>
          </w:tcPr>
          <w:p w14:paraId="7C2C4AE6">
            <w:pPr>
              <w:rPr>
                <w:rFonts w:hint="eastAsia"/>
              </w:rPr>
            </w:pPr>
            <w:r>
              <w:rPr>
                <w:rFonts w:hint="eastAsia"/>
              </w:rPr>
              <w:t>英文名: fuel oil</w:t>
            </w:r>
          </w:p>
        </w:tc>
        <w:tc>
          <w:tcPr>
            <w:tcW w:w="2693" w:type="dxa"/>
            <w:tcBorders>
              <w:top w:val="single" w:color="auto" w:sz="2" w:space="0"/>
              <w:left w:val="single" w:color="auto" w:sz="2" w:space="0"/>
              <w:bottom w:val="single" w:color="auto" w:sz="2" w:space="0"/>
              <w:right w:val="single" w:color="auto" w:sz="2" w:space="0"/>
            </w:tcBorders>
            <w:vAlign w:val="center"/>
          </w:tcPr>
          <w:p w14:paraId="4A425F4D">
            <w:pPr>
              <w:rPr>
                <w:rFonts w:hint="eastAsia"/>
              </w:rPr>
            </w:pPr>
            <w:r>
              <w:rPr>
                <w:rFonts w:hint="eastAsia"/>
              </w:rPr>
              <w:t>危险性类别：可燃液体</w:t>
            </w:r>
          </w:p>
        </w:tc>
      </w:tr>
      <w:tr w14:paraId="0EBFB4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jc w:val="center"/>
        </w:trPr>
        <w:tc>
          <w:tcPr>
            <w:tcW w:w="281" w:type="dxa"/>
            <w:vMerge w:val="continue"/>
            <w:tcBorders>
              <w:left w:val="single" w:color="auto" w:sz="2" w:space="0"/>
              <w:right w:val="single" w:color="auto" w:sz="2" w:space="0"/>
            </w:tcBorders>
            <w:vAlign w:val="center"/>
          </w:tcPr>
          <w:p w14:paraId="424CBBF9">
            <w:pPr>
              <w:rPr>
                <w:rFonts w:hint="eastAsia"/>
              </w:rPr>
            </w:pPr>
          </w:p>
        </w:tc>
        <w:tc>
          <w:tcPr>
            <w:tcW w:w="4296" w:type="dxa"/>
            <w:gridSpan w:val="2"/>
            <w:tcBorders>
              <w:top w:val="single" w:color="auto" w:sz="2" w:space="0"/>
              <w:left w:val="single" w:color="auto" w:sz="2" w:space="0"/>
              <w:bottom w:val="single" w:color="auto" w:sz="2" w:space="0"/>
              <w:right w:val="single" w:color="auto" w:sz="2" w:space="0"/>
            </w:tcBorders>
            <w:vAlign w:val="center"/>
          </w:tcPr>
          <w:p w14:paraId="14D4254A">
            <w:pPr>
              <w:rPr>
                <w:rFonts w:hint="eastAsia"/>
              </w:rPr>
            </w:pPr>
            <w:r>
              <w:rPr>
                <w:rFonts w:hint="eastAsia"/>
              </w:rPr>
              <w:t>外观与性状：有色透明液体，挥发。</w:t>
            </w:r>
          </w:p>
        </w:tc>
        <w:tc>
          <w:tcPr>
            <w:tcW w:w="4209" w:type="dxa"/>
            <w:gridSpan w:val="2"/>
            <w:tcBorders>
              <w:top w:val="single" w:color="auto" w:sz="2" w:space="0"/>
              <w:left w:val="single" w:color="auto" w:sz="2" w:space="0"/>
              <w:bottom w:val="single" w:color="auto" w:sz="2" w:space="0"/>
              <w:right w:val="single" w:color="auto" w:sz="2" w:space="0"/>
            </w:tcBorders>
            <w:vAlign w:val="center"/>
          </w:tcPr>
          <w:p w14:paraId="29A73597">
            <w:pPr>
              <w:rPr>
                <w:rFonts w:hint="eastAsia"/>
              </w:rPr>
            </w:pPr>
            <w:r>
              <w:rPr>
                <w:rFonts w:hint="eastAsia"/>
              </w:rPr>
              <w:t>主要用途：用于柴油机。</w:t>
            </w:r>
          </w:p>
        </w:tc>
      </w:tr>
      <w:tr w14:paraId="2A8E39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80" w:hRule="atLeast"/>
          <w:jc w:val="center"/>
        </w:trPr>
        <w:tc>
          <w:tcPr>
            <w:tcW w:w="281" w:type="dxa"/>
            <w:vMerge w:val="continue"/>
            <w:tcBorders>
              <w:left w:val="single" w:color="auto" w:sz="2" w:space="0"/>
              <w:right w:val="single" w:color="auto" w:sz="2" w:space="0"/>
            </w:tcBorders>
            <w:vAlign w:val="center"/>
          </w:tcPr>
          <w:p w14:paraId="6B6B3A86">
            <w:pPr>
              <w:rPr>
                <w:rFonts w:hint="eastAsia"/>
              </w:rPr>
            </w:pPr>
          </w:p>
        </w:tc>
        <w:tc>
          <w:tcPr>
            <w:tcW w:w="4296" w:type="dxa"/>
            <w:gridSpan w:val="2"/>
            <w:tcBorders>
              <w:top w:val="single" w:color="auto" w:sz="2" w:space="0"/>
              <w:left w:val="single" w:color="auto" w:sz="2" w:space="0"/>
              <w:bottom w:val="single" w:color="auto" w:sz="2" w:space="0"/>
              <w:right w:val="single" w:color="auto" w:sz="2" w:space="0"/>
            </w:tcBorders>
            <w:vAlign w:val="center"/>
          </w:tcPr>
          <w:p w14:paraId="0BB124CA">
            <w:pPr>
              <w:rPr>
                <w:rFonts w:hint="eastAsia"/>
              </w:rPr>
            </w:pPr>
            <w:r>
              <w:rPr>
                <w:rFonts w:hint="eastAsia"/>
              </w:rPr>
              <w:t>熔点(oC)：无资料</w:t>
            </w:r>
          </w:p>
        </w:tc>
        <w:tc>
          <w:tcPr>
            <w:tcW w:w="4209" w:type="dxa"/>
            <w:gridSpan w:val="2"/>
            <w:tcBorders>
              <w:top w:val="single" w:color="auto" w:sz="2" w:space="0"/>
              <w:left w:val="single" w:color="auto" w:sz="2" w:space="0"/>
              <w:bottom w:val="single" w:color="auto" w:sz="2" w:space="0"/>
              <w:right w:val="single" w:color="auto" w:sz="2" w:space="0"/>
            </w:tcBorders>
            <w:vAlign w:val="center"/>
          </w:tcPr>
          <w:p w14:paraId="25DD0179">
            <w:pPr>
              <w:rPr>
                <w:rFonts w:hint="eastAsia"/>
              </w:rPr>
            </w:pPr>
            <w:r>
              <w:rPr>
                <w:rFonts w:hint="eastAsia"/>
              </w:rPr>
              <w:t>溶解性：不溶于水，溶于醇等溶剂。</w:t>
            </w:r>
          </w:p>
        </w:tc>
      </w:tr>
      <w:tr w14:paraId="5D42B2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60" w:hRule="atLeast"/>
          <w:jc w:val="center"/>
        </w:trPr>
        <w:tc>
          <w:tcPr>
            <w:tcW w:w="281" w:type="dxa"/>
            <w:vMerge w:val="continue"/>
            <w:tcBorders>
              <w:left w:val="single" w:color="auto" w:sz="2" w:space="0"/>
              <w:right w:val="single" w:color="auto" w:sz="2" w:space="0"/>
            </w:tcBorders>
            <w:vAlign w:val="center"/>
          </w:tcPr>
          <w:p w14:paraId="2D37323B">
            <w:pPr>
              <w:rPr>
                <w:rFonts w:hint="eastAsia"/>
              </w:rPr>
            </w:pPr>
          </w:p>
        </w:tc>
        <w:tc>
          <w:tcPr>
            <w:tcW w:w="4296" w:type="dxa"/>
            <w:gridSpan w:val="2"/>
            <w:tcBorders>
              <w:top w:val="single" w:color="auto" w:sz="2" w:space="0"/>
              <w:left w:val="single" w:color="auto" w:sz="2" w:space="0"/>
              <w:bottom w:val="single" w:color="auto" w:sz="2" w:space="0"/>
              <w:right w:val="single" w:color="auto" w:sz="2" w:space="0"/>
            </w:tcBorders>
            <w:vAlign w:val="center"/>
          </w:tcPr>
          <w:p w14:paraId="398EBD14">
            <w:pPr>
              <w:rPr>
                <w:rFonts w:hint="eastAsia"/>
              </w:rPr>
            </w:pPr>
            <w:r>
              <w:rPr>
                <w:rFonts w:hint="eastAsia"/>
              </w:rPr>
              <w:t>沸点 (oC): 360-460</w:t>
            </w:r>
          </w:p>
        </w:tc>
        <w:tc>
          <w:tcPr>
            <w:tcW w:w="4209" w:type="dxa"/>
            <w:gridSpan w:val="2"/>
            <w:tcBorders>
              <w:top w:val="single" w:color="auto" w:sz="2" w:space="0"/>
              <w:left w:val="single" w:color="auto" w:sz="2" w:space="0"/>
              <w:bottom w:val="single" w:color="auto" w:sz="2" w:space="0"/>
              <w:right w:val="single" w:color="auto" w:sz="2" w:space="0"/>
            </w:tcBorders>
            <w:vAlign w:val="center"/>
          </w:tcPr>
          <w:p w14:paraId="33F87239">
            <w:pPr>
              <w:rPr>
                <w:rFonts w:hint="eastAsia"/>
              </w:rPr>
            </w:pPr>
            <w:r>
              <w:rPr>
                <w:rFonts w:hint="eastAsia"/>
              </w:rPr>
              <w:t>相对密度(水=1): 0.95-0.98</w:t>
            </w:r>
          </w:p>
        </w:tc>
      </w:tr>
      <w:tr w14:paraId="4EA2D3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0" w:hRule="atLeast"/>
          <w:jc w:val="center"/>
        </w:trPr>
        <w:tc>
          <w:tcPr>
            <w:tcW w:w="281" w:type="dxa"/>
            <w:vMerge w:val="continue"/>
            <w:tcBorders>
              <w:left w:val="single" w:color="auto" w:sz="2" w:space="0"/>
              <w:right w:val="single" w:color="auto" w:sz="2" w:space="0"/>
            </w:tcBorders>
            <w:vAlign w:val="center"/>
          </w:tcPr>
          <w:p w14:paraId="62D5F240">
            <w:pPr>
              <w:rPr>
                <w:rFonts w:hint="eastAsia"/>
              </w:rPr>
            </w:pPr>
          </w:p>
        </w:tc>
        <w:tc>
          <w:tcPr>
            <w:tcW w:w="4296" w:type="dxa"/>
            <w:gridSpan w:val="2"/>
            <w:tcBorders>
              <w:top w:val="single" w:color="auto" w:sz="2" w:space="0"/>
              <w:left w:val="single" w:color="auto" w:sz="2" w:space="0"/>
              <w:bottom w:val="single" w:color="auto" w:sz="2" w:space="0"/>
              <w:right w:val="single" w:color="auto" w:sz="2" w:space="0"/>
            </w:tcBorders>
            <w:vAlign w:val="center"/>
          </w:tcPr>
          <w:p w14:paraId="44BB7324">
            <w:pPr>
              <w:rPr>
                <w:rFonts w:hint="eastAsia"/>
              </w:rPr>
            </w:pPr>
            <w:r>
              <w:rPr>
                <w:rFonts w:hint="eastAsia"/>
              </w:rPr>
              <w:t>燃烧热(kJ/1): 30000-46000</w:t>
            </w:r>
          </w:p>
        </w:tc>
        <w:tc>
          <w:tcPr>
            <w:tcW w:w="4209" w:type="dxa"/>
            <w:gridSpan w:val="2"/>
            <w:tcBorders>
              <w:top w:val="single" w:color="auto" w:sz="2" w:space="0"/>
              <w:left w:val="single" w:color="auto" w:sz="2" w:space="0"/>
              <w:bottom w:val="single" w:color="auto" w:sz="2" w:space="0"/>
              <w:right w:val="single" w:color="auto" w:sz="2" w:space="0"/>
            </w:tcBorders>
            <w:vAlign w:val="center"/>
          </w:tcPr>
          <w:p w14:paraId="663D0983">
            <w:pPr>
              <w:rPr>
                <w:rFonts w:hint="eastAsia"/>
              </w:rPr>
            </w:pPr>
            <w:r>
              <w:rPr>
                <w:rFonts w:hint="eastAsia"/>
              </w:rPr>
              <w:t>相对密度(空气=1): 1.59-4</w:t>
            </w:r>
          </w:p>
        </w:tc>
      </w:tr>
      <w:tr w14:paraId="18198F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jc w:val="center"/>
        </w:trPr>
        <w:tc>
          <w:tcPr>
            <w:tcW w:w="281" w:type="dxa"/>
            <w:vMerge w:val="continue"/>
            <w:tcBorders>
              <w:left w:val="single" w:color="auto" w:sz="2" w:space="0"/>
              <w:bottom w:val="single" w:color="auto" w:sz="2" w:space="0"/>
              <w:right w:val="single" w:color="auto" w:sz="2" w:space="0"/>
            </w:tcBorders>
            <w:vAlign w:val="center"/>
          </w:tcPr>
          <w:p w14:paraId="57A58C23">
            <w:pPr>
              <w:rPr>
                <w:rFonts w:hint="eastAsia"/>
              </w:rPr>
            </w:pPr>
          </w:p>
        </w:tc>
        <w:tc>
          <w:tcPr>
            <w:tcW w:w="4296" w:type="dxa"/>
            <w:gridSpan w:val="2"/>
            <w:tcBorders>
              <w:top w:val="single" w:color="auto" w:sz="2" w:space="0"/>
              <w:left w:val="single" w:color="auto" w:sz="2" w:space="0"/>
              <w:bottom w:val="single" w:color="auto" w:sz="2" w:space="0"/>
              <w:right w:val="single" w:color="auto" w:sz="2" w:space="0"/>
            </w:tcBorders>
            <w:vAlign w:val="center"/>
          </w:tcPr>
          <w:p w14:paraId="04FDFAED">
            <w:pPr>
              <w:rPr>
                <w:rFonts w:hint="eastAsia"/>
              </w:rPr>
            </w:pPr>
            <w:r>
              <w:rPr>
                <w:rFonts w:hint="eastAsia"/>
              </w:rPr>
              <w:t>闪点 (℃): ≥60</w:t>
            </w:r>
          </w:p>
        </w:tc>
        <w:tc>
          <w:tcPr>
            <w:tcW w:w="4209" w:type="dxa"/>
            <w:gridSpan w:val="2"/>
            <w:tcBorders>
              <w:top w:val="single" w:color="auto" w:sz="2" w:space="0"/>
              <w:left w:val="single" w:color="auto" w:sz="2" w:space="0"/>
              <w:bottom w:val="single" w:color="auto" w:sz="2" w:space="0"/>
              <w:right w:val="single" w:color="auto" w:sz="2" w:space="0"/>
            </w:tcBorders>
            <w:vAlign w:val="center"/>
          </w:tcPr>
          <w:p w14:paraId="1E901244">
            <w:pPr>
              <w:rPr>
                <w:rFonts w:hint="eastAsia"/>
              </w:rPr>
            </w:pPr>
            <w:r>
              <w:rPr>
                <w:rFonts w:hint="eastAsia"/>
              </w:rPr>
              <w:t>引燃温度(℃): 250</w:t>
            </w:r>
          </w:p>
        </w:tc>
      </w:tr>
      <w:tr w14:paraId="12FD17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0" w:hRule="atLeast"/>
          <w:jc w:val="center"/>
        </w:trPr>
        <w:tc>
          <w:tcPr>
            <w:tcW w:w="281" w:type="dxa"/>
            <w:vMerge w:val="restart"/>
            <w:tcBorders>
              <w:top w:val="nil"/>
              <w:left w:val="single" w:color="auto" w:sz="2" w:space="0"/>
              <w:bottom w:val="single" w:color="auto" w:sz="2" w:space="0"/>
              <w:right w:val="single" w:color="auto" w:sz="2" w:space="0"/>
            </w:tcBorders>
            <w:vAlign w:val="center"/>
          </w:tcPr>
          <w:p w14:paraId="2792939C">
            <w:pPr>
              <w:rPr>
                <w:rFonts w:hint="eastAsia"/>
              </w:rPr>
            </w:pPr>
            <w:r>
              <w:rPr>
                <w:rFonts w:hint="eastAsia"/>
                <w:b/>
              </w:rPr>
              <w:t>燃烧爆炸危险性</w:t>
            </w:r>
          </w:p>
        </w:tc>
        <w:tc>
          <w:tcPr>
            <w:tcW w:w="4296" w:type="dxa"/>
            <w:gridSpan w:val="2"/>
            <w:tcBorders>
              <w:top w:val="single" w:color="auto" w:sz="2" w:space="0"/>
              <w:left w:val="single" w:color="auto" w:sz="2" w:space="0"/>
              <w:bottom w:val="single" w:color="auto" w:sz="2" w:space="0"/>
              <w:right w:val="single" w:color="auto" w:sz="2" w:space="0"/>
            </w:tcBorders>
            <w:vAlign w:val="center"/>
          </w:tcPr>
          <w:p w14:paraId="3D359AFE">
            <w:pPr>
              <w:rPr>
                <w:rFonts w:hint="eastAsia"/>
              </w:rPr>
            </w:pPr>
            <w:r>
              <w:rPr>
                <w:rFonts w:hint="eastAsia"/>
              </w:rPr>
              <w:t>稳定性：常温常压下稳定。</w:t>
            </w:r>
          </w:p>
        </w:tc>
        <w:tc>
          <w:tcPr>
            <w:tcW w:w="4209" w:type="dxa"/>
            <w:gridSpan w:val="2"/>
            <w:tcBorders>
              <w:top w:val="single" w:color="auto" w:sz="2" w:space="0"/>
              <w:left w:val="single" w:color="auto" w:sz="2" w:space="0"/>
              <w:bottom w:val="single" w:color="auto" w:sz="2" w:space="0"/>
              <w:right w:val="single" w:color="auto" w:sz="2" w:space="0"/>
            </w:tcBorders>
            <w:vAlign w:val="center"/>
          </w:tcPr>
          <w:p w14:paraId="4C87DB83">
            <w:pPr>
              <w:rPr>
                <w:rFonts w:hint="eastAsia"/>
              </w:rPr>
            </w:pPr>
            <w:r>
              <w:rPr>
                <w:rFonts w:hint="eastAsia"/>
              </w:rPr>
              <w:t>燃烧分解产物：一氧化碳 二氧化碳。</w:t>
            </w:r>
          </w:p>
        </w:tc>
      </w:tr>
      <w:tr w14:paraId="324BF0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20" w:hRule="atLeast"/>
          <w:jc w:val="center"/>
        </w:trPr>
        <w:tc>
          <w:tcPr>
            <w:tcW w:w="281" w:type="dxa"/>
            <w:vMerge w:val="continue"/>
            <w:tcBorders>
              <w:top w:val="nil"/>
              <w:left w:val="single" w:color="auto" w:sz="2" w:space="0"/>
              <w:bottom w:val="single" w:color="auto" w:sz="2" w:space="0"/>
              <w:right w:val="single" w:color="auto" w:sz="2" w:space="0"/>
            </w:tcBorders>
            <w:vAlign w:val="center"/>
          </w:tcPr>
          <w:p w14:paraId="12717985">
            <w:pPr>
              <w:rPr>
                <w:rFonts w:hint="eastAsia"/>
              </w:rPr>
            </w:pPr>
          </w:p>
        </w:tc>
        <w:tc>
          <w:tcPr>
            <w:tcW w:w="4296" w:type="dxa"/>
            <w:gridSpan w:val="2"/>
            <w:tcBorders>
              <w:top w:val="single" w:color="auto" w:sz="2" w:space="0"/>
              <w:left w:val="single" w:color="auto" w:sz="2" w:space="0"/>
              <w:bottom w:val="single" w:color="auto" w:sz="2" w:space="0"/>
              <w:right w:val="single" w:color="auto" w:sz="2" w:space="0"/>
            </w:tcBorders>
            <w:vAlign w:val="center"/>
          </w:tcPr>
          <w:p w14:paraId="264FAE8C">
            <w:pPr>
              <w:rPr>
                <w:rFonts w:hint="eastAsia"/>
              </w:rPr>
            </w:pPr>
            <w:r>
              <w:rPr>
                <w:rFonts w:hint="eastAsia"/>
              </w:rPr>
              <w:t>混合物：由各族烃类和非烃类的组成的。</w:t>
            </w:r>
          </w:p>
        </w:tc>
        <w:tc>
          <w:tcPr>
            <w:tcW w:w="4209" w:type="dxa"/>
            <w:gridSpan w:val="2"/>
            <w:tcBorders>
              <w:top w:val="single" w:color="auto" w:sz="2" w:space="0"/>
              <w:left w:val="single" w:color="auto" w:sz="2" w:space="0"/>
              <w:bottom w:val="single" w:color="auto" w:sz="2" w:space="0"/>
              <w:right w:val="single" w:color="auto" w:sz="2" w:space="0"/>
            </w:tcBorders>
            <w:vAlign w:val="center"/>
          </w:tcPr>
          <w:p w14:paraId="59E7F26C">
            <w:pPr>
              <w:rPr>
                <w:rFonts w:hint="eastAsia"/>
              </w:rPr>
            </w:pPr>
            <w:r>
              <w:rPr>
                <w:rFonts w:hint="eastAsia"/>
              </w:rPr>
              <w:t>禁忌物：强氧化剂。</w:t>
            </w:r>
          </w:p>
        </w:tc>
      </w:tr>
      <w:tr w14:paraId="77627C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0" w:hRule="atLeast"/>
          <w:jc w:val="center"/>
        </w:trPr>
        <w:tc>
          <w:tcPr>
            <w:tcW w:w="281" w:type="dxa"/>
            <w:vMerge w:val="continue"/>
            <w:tcBorders>
              <w:top w:val="nil"/>
              <w:left w:val="single" w:color="auto" w:sz="2" w:space="0"/>
              <w:bottom w:val="single" w:color="auto" w:sz="2" w:space="0"/>
              <w:right w:val="single" w:color="auto" w:sz="2" w:space="0"/>
            </w:tcBorders>
            <w:vAlign w:val="center"/>
          </w:tcPr>
          <w:p w14:paraId="265A15D8">
            <w:pPr>
              <w:rPr>
                <w:rFonts w:hint="eastAsia"/>
              </w:rPr>
            </w:pPr>
          </w:p>
        </w:tc>
        <w:tc>
          <w:tcPr>
            <w:tcW w:w="8505" w:type="dxa"/>
            <w:gridSpan w:val="4"/>
            <w:tcBorders>
              <w:top w:val="single" w:color="auto" w:sz="2" w:space="0"/>
              <w:left w:val="single" w:color="auto" w:sz="2" w:space="0"/>
              <w:bottom w:val="single" w:color="auto" w:sz="2" w:space="0"/>
              <w:right w:val="single" w:color="auto" w:sz="2" w:space="0"/>
            </w:tcBorders>
            <w:vAlign w:val="center"/>
          </w:tcPr>
          <w:p w14:paraId="6904C766">
            <w:pPr>
              <w:rPr>
                <w:rFonts w:hint="eastAsia"/>
              </w:rPr>
            </w:pPr>
            <w:r>
              <w:rPr>
                <w:rFonts w:hint="eastAsia"/>
              </w:rPr>
              <w:t>有害物成分：烷烃、环烷烃和芳香烃、含硫、氧、氮化合物。</w:t>
            </w:r>
          </w:p>
        </w:tc>
      </w:tr>
      <w:tr w14:paraId="59F52F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020" w:hRule="atLeast"/>
          <w:jc w:val="center"/>
        </w:trPr>
        <w:tc>
          <w:tcPr>
            <w:tcW w:w="281" w:type="dxa"/>
            <w:vMerge w:val="continue"/>
            <w:tcBorders>
              <w:top w:val="nil"/>
              <w:left w:val="single" w:color="auto" w:sz="2" w:space="0"/>
              <w:bottom w:val="single" w:color="auto" w:sz="2" w:space="0"/>
              <w:right w:val="single" w:color="auto" w:sz="2" w:space="0"/>
            </w:tcBorders>
            <w:vAlign w:val="center"/>
          </w:tcPr>
          <w:p w14:paraId="1846A309">
            <w:pPr>
              <w:rPr>
                <w:rFonts w:hint="eastAsia"/>
              </w:rPr>
            </w:pPr>
          </w:p>
        </w:tc>
        <w:tc>
          <w:tcPr>
            <w:tcW w:w="8505" w:type="dxa"/>
            <w:gridSpan w:val="4"/>
            <w:tcBorders>
              <w:top w:val="single" w:color="auto" w:sz="2" w:space="0"/>
              <w:left w:val="single" w:color="auto" w:sz="2" w:space="0"/>
              <w:bottom w:val="single" w:color="auto" w:sz="2" w:space="0"/>
              <w:right w:val="single" w:color="auto" w:sz="2" w:space="0"/>
            </w:tcBorders>
            <w:vAlign w:val="center"/>
          </w:tcPr>
          <w:p w14:paraId="68E951D4">
            <w:pPr>
              <w:rPr>
                <w:rFonts w:hint="eastAsia"/>
              </w:rPr>
            </w:pPr>
            <w:r>
              <w:rPr>
                <w:rFonts w:hint="eastAsia"/>
              </w:rPr>
              <w:t>危险特性：其蒸气与空气可形成爆炸性混合物，遇明火、高热能引起燃烧爆炸。与氧化剂可发生反应。流速过快，容易产生和积聚静电。其蒸气比空气重，能在较低处扩散到相当远的地方，遇火源会着火回燃。若遇高热，容器内压增大，有开裂和爆炸的危险。</w:t>
            </w:r>
          </w:p>
        </w:tc>
      </w:tr>
      <w:tr w14:paraId="3E84A0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40" w:hRule="atLeast"/>
          <w:jc w:val="center"/>
        </w:trPr>
        <w:tc>
          <w:tcPr>
            <w:tcW w:w="281" w:type="dxa"/>
            <w:vMerge w:val="continue"/>
            <w:tcBorders>
              <w:top w:val="nil"/>
              <w:left w:val="single" w:color="auto" w:sz="2" w:space="0"/>
              <w:bottom w:val="single" w:color="auto" w:sz="2" w:space="0"/>
              <w:right w:val="single" w:color="auto" w:sz="2" w:space="0"/>
            </w:tcBorders>
            <w:vAlign w:val="center"/>
          </w:tcPr>
          <w:p w14:paraId="2E358449">
            <w:pPr>
              <w:rPr>
                <w:rFonts w:hint="eastAsia"/>
              </w:rPr>
            </w:pPr>
          </w:p>
        </w:tc>
        <w:tc>
          <w:tcPr>
            <w:tcW w:w="8505" w:type="dxa"/>
            <w:gridSpan w:val="4"/>
            <w:tcBorders>
              <w:top w:val="single" w:color="auto" w:sz="2" w:space="0"/>
              <w:left w:val="single" w:color="auto" w:sz="2" w:space="0"/>
              <w:bottom w:val="single" w:color="auto" w:sz="2" w:space="0"/>
              <w:right w:val="single" w:color="auto" w:sz="2" w:space="0"/>
            </w:tcBorders>
            <w:vAlign w:val="center"/>
          </w:tcPr>
          <w:p w14:paraId="5620AC73">
            <w:pPr>
              <w:rPr>
                <w:rFonts w:hint="eastAsia"/>
              </w:rPr>
            </w:pPr>
            <w:r>
              <w:rPr>
                <w:rFonts w:hint="eastAsia"/>
              </w:rPr>
              <w:t>灭火方法：尽可能将容器从火场移至空旷处。喷水保持火场容器冷却，直至灭火结束。处在火场中的容器若已变色或从安全泄压装置中产生声音，必须马上撤离。用雾状水、泡沫、干粉、二氧化碳、砂土灭火。</w:t>
            </w:r>
          </w:p>
        </w:tc>
      </w:tr>
      <w:tr w14:paraId="06FDAA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320" w:hRule="atLeast"/>
          <w:jc w:val="center"/>
        </w:trPr>
        <w:tc>
          <w:tcPr>
            <w:tcW w:w="281" w:type="dxa"/>
            <w:tcBorders>
              <w:top w:val="single" w:color="auto" w:sz="2" w:space="0"/>
              <w:left w:val="single" w:color="auto" w:sz="2" w:space="0"/>
              <w:bottom w:val="single" w:color="auto" w:sz="2" w:space="0"/>
              <w:right w:val="single" w:color="auto" w:sz="2" w:space="0"/>
            </w:tcBorders>
            <w:vAlign w:val="center"/>
          </w:tcPr>
          <w:p w14:paraId="00FB133E">
            <w:pPr>
              <w:rPr>
                <w:rFonts w:hint="eastAsia"/>
              </w:rPr>
            </w:pPr>
            <w:r>
              <w:rPr>
                <w:rFonts w:hint="eastAsia"/>
              </w:rPr>
              <w:t>毒性</w:t>
            </w:r>
          </w:p>
        </w:tc>
        <w:tc>
          <w:tcPr>
            <w:tcW w:w="8505" w:type="dxa"/>
            <w:gridSpan w:val="4"/>
            <w:tcBorders>
              <w:top w:val="single" w:color="auto" w:sz="2" w:space="0"/>
              <w:left w:val="single" w:color="auto" w:sz="2" w:space="0"/>
              <w:bottom w:val="single" w:color="auto" w:sz="2" w:space="0"/>
              <w:right w:val="single" w:color="auto" w:sz="2" w:space="0"/>
            </w:tcBorders>
            <w:vAlign w:val="center"/>
          </w:tcPr>
          <w:p w14:paraId="3B1DF2F0">
            <w:pPr>
              <w:rPr>
                <w:rFonts w:hint="eastAsia"/>
              </w:rPr>
            </w:pPr>
            <w:r>
              <w:rPr>
                <w:rFonts w:hint="eastAsia"/>
              </w:rPr>
              <w:t>吸入高浓度蒸气，常先有兴奋，后转入抑制，表现为乏力、头痛、酩酊感、神志恍惚、肌肉震颤、共济运动失调：严重者出现定向力障碍、谵妄、意识模糊等；蒸气可引起眼及呼吸道刺激症状，重者出现化学性肺炎。吸入液态煤油可引起吸入性肺炎，严重时可发生肺水肿。摄入引起口腔、咽喉和胃肠道刺激症状，可出现与吸入中毒相同的中枢神经系统症状。</w:t>
            </w:r>
          </w:p>
        </w:tc>
      </w:tr>
      <w:tr w14:paraId="43D107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440" w:hRule="atLeast"/>
          <w:jc w:val="center"/>
        </w:trPr>
        <w:tc>
          <w:tcPr>
            <w:tcW w:w="281" w:type="dxa"/>
            <w:tcBorders>
              <w:top w:val="single" w:color="auto" w:sz="2" w:space="0"/>
              <w:left w:val="single" w:color="auto" w:sz="2" w:space="0"/>
              <w:bottom w:val="single" w:color="auto" w:sz="2" w:space="0"/>
              <w:right w:val="single" w:color="auto" w:sz="2" w:space="0"/>
            </w:tcBorders>
            <w:vAlign w:val="center"/>
          </w:tcPr>
          <w:p w14:paraId="4C875500">
            <w:pPr>
              <w:rPr>
                <w:rFonts w:hint="eastAsia"/>
              </w:rPr>
            </w:pPr>
            <w:r>
              <w:rPr>
                <w:rFonts w:hint="eastAsia"/>
              </w:rPr>
              <w:t>环境危害</w:t>
            </w:r>
          </w:p>
        </w:tc>
        <w:tc>
          <w:tcPr>
            <w:tcW w:w="8505" w:type="dxa"/>
            <w:gridSpan w:val="4"/>
            <w:tcBorders>
              <w:top w:val="single" w:color="auto" w:sz="2" w:space="0"/>
              <w:left w:val="single" w:color="auto" w:sz="2" w:space="0"/>
              <w:bottom w:val="single" w:color="auto" w:sz="2" w:space="0"/>
              <w:right w:val="single" w:color="auto" w:sz="2" w:space="0"/>
            </w:tcBorders>
            <w:vAlign w:val="center"/>
          </w:tcPr>
          <w:p w14:paraId="7ED4C686">
            <w:pPr>
              <w:rPr>
                <w:rFonts w:hint="eastAsia"/>
              </w:rPr>
            </w:pPr>
            <w:r>
              <w:rPr>
                <w:rFonts w:hint="eastAsia"/>
              </w:rPr>
              <w:t>对环境有危害。对大气可造成污染。</w:t>
            </w:r>
          </w:p>
        </w:tc>
      </w:tr>
      <w:tr w14:paraId="5A01BE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40" w:hRule="atLeast"/>
          <w:jc w:val="center"/>
        </w:trPr>
        <w:tc>
          <w:tcPr>
            <w:tcW w:w="281" w:type="dxa"/>
            <w:vMerge w:val="restart"/>
            <w:tcBorders>
              <w:top w:val="single" w:color="auto" w:sz="2" w:space="0"/>
              <w:left w:val="single" w:color="auto" w:sz="2" w:space="0"/>
              <w:right w:val="single" w:color="auto" w:sz="2" w:space="0"/>
            </w:tcBorders>
            <w:vAlign w:val="center"/>
          </w:tcPr>
          <w:p w14:paraId="451D81C7">
            <w:pPr>
              <w:rPr>
                <w:rFonts w:hint="eastAsia"/>
              </w:rPr>
            </w:pPr>
            <w:r>
              <w:rPr>
                <w:rFonts w:hint="eastAsia"/>
              </w:rPr>
              <w:t>急救</w:t>
            </w:r>
          </w:p>
        </w:tc>
        <w:tc>
          <w:tcPr>
            <w:tcW w:w="8505" w:type="dxa"/>
            <w:gridSpan w:val="4"/>
            <w:tcBorders>
              <w:top w:val="single" w:color="auto" w:sz="2" w:space="0"/>
              <w:left w:val="single" w:color="auto" w:sz="2" w:space="0"/>
              <w:bottom w:val="single" w:color="auto" w:sz="2" w:space="0"/>
              <w:right w:val="single" w:color="auto" w:sz="2" w:space="0"/>
            </w:tcBorders>
          </w:tcPr>
          <w:p w14:paraId="1808792D">
            <w:pPr>
              <w:rPr>
                <w:rFonts w:hint="eastAsia"/>
              </w:rPr>
            </w:pPr>
            <w:r>
              <w:rPr>
                <w:rFonts w:hint="eastAsia"/>
              </w:rPr>
              <w:t>皮肤接触：立即脱去所有被污染的衣物，包括鞋类。用流动清水冲洗皮肤和头发(可用肥皂)。如果出现刺激症状，就医。</w:t>
            </w:r>
          </w:p>
          <w:p w14:paraId="181D6A93">
            <w:pPr>
              <w:rPr>
                <w:rFonts w:hint="eastAsia"/>
              </w:rPr>
            </w:pPr>
            <w:r>
              <w:rPr>
                <w:rFonts w:hint="eastAsia"/>
              </w:rPr>
              <w:t>眼睛接触：立即用流动、清洁水冲洗至少15分钟。如果疼痛持续或复发，就医。眼睛受伤后，应由专业人员取出隐形眼镜。</w:t>
            </w:r>
          </w:p>
          <w:p w14:paraId="3B8E37DC">
            <w:pPr>
              <w:rPr>
                <w:rFonts w:hint="eastAsia"/>
              </w:rPr>
            </w:pPr>
            <w:r>
              <w:rPr>
                <w:rFonts w:hint="eastAsia"/>
              </w:rPr>
              <w:t>吸入：如果吸入本品气体或其燃烧产物，脱离污染区。把病人放卧位，保暖并使其安静。开始急救前，首先取出假牙等，防止阻塞气道。如果呼吸停止，立即进行人工呼吸，用活瓣气囊面罩通气或有效的袖珍面具可能效果更佳。呼吸心跳停止，立即进行心肺复苏术。送医院或寻求医生帮助。</w:t>
            </w:r>
          </w:p>
        </w:tc>
      </w:tr>
      <w:tr w14:paraId="44A47F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580" w:hRule="atLeast"/>
          <w:jc w:val="center"/>
        </w:trPr>
        <w:tc>
          <w:tcPr>
            <w:tcW w:w="281" w:type="dxa"/>
            <w:vMerge w:val="continue"/>
            <w:tcBorders>
              <w:left w:val="single" w:color="auto" w:sz="2" w:space="0"/>
              <w:bottom w:val="single" w:color="auto" w:sz="2" w:space="0"/>
              <w:right w:val="single" w:color="auto" w:sz="2" w:space="0"/>
            </w:tcBorders>
            <w:vAlign w:val="center"/>
          </w:tcPr>
          <w:p w14:paraId="627A2BAA">
            <w:pPr>
              <w:rPr>
                <w:rFonts w:hint="eastAsia"/>
              </w:rPr>
            </w:pPr>
          </w:p>
        </w:tc>
        <w:tc>
          <w:tcPr>
            <w:tcW w:w="8505" w:type="dxa"/>
            <w:gridSpan w:val="4"/>
            <w:tcBorders>
              <w:top w:val="single" w:color="auto" w:sz="2" w:space="0"/>
              <w:left w:val="single" w:color="auto" w:sz="2" w:space="0"/>
              <w:bottom w:val="single" w:color="auto" w:sz="2" w:space="0"/>
              <w:right w:val="single" w:color="auto" w:sz="2" w:space="0"/>
            </w:tcBorders>
            <w:vAlign w:val="center"/>
          </w:tcPr>
          <w:p w14:paraId="03EA0A94">
            <w:pPr>
              <w:rPr>
                <w:rFonts w:hint="eastAsia"/>
              </w:rPr>
            </w:pPr>
            <w:r>
              <w:rPr>
                <w:rFonts w:hint="eastAsia"/>
              </w:rPr>
              <w:t>食入：禁止催吐。如果发生呕吐，让病人前倾或左侧位躺下(头部保持低位)，保持呼吸道通畅，防止吸入呕吐物。仔细观察病情。禁止给有嗜睡症状或知觉降低，即正在失去知觉的病人服用液体。意识清醒者可用水漱口，然后尽量多饮水。寻求医生或医疗机构的帮助。</w:t>
            </w:r>
          </w:p>
        </w:tc>
      </w:tr>
      <w:tr w14:paraId="1E79FE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80" w:hRule="atLeast"/>
          <w:jc w:val="center"/>
        </w:trPr>
        <w:tc>
          <w:tcPr>
            <w:tcW w:w="281" w:type="dxa"/>
            <w:tcBorders>
              <w:top w:val="single" w:color="auto" w:sz="2" w:space="0"/>
              <w:left w:val="single" w:color="auto" w:sz="2" w:space="0"/>
              <w:bottom w:val="single" w:color="auto" w:sz="2" w:space="0"/>
              <w:right w:val="single" w:color="auto" w:sz="2" w:space="0"/>
            </w:tcBorders>
            <w:vAlign w:val="center"/>
          </w:tcPr>
          <w:p w14:paraId="75CA5903">
            <w:pPr>
              <w:rPr>
                <w:rFonts w:hint="eastAsia"/>
              </w:rPr>
            </w:pPr>
            <w:r>
              <w:rPr>
                <w:rFonts w:hint="eastAsia"/>
              </w:rPr>
              <w:t>防护</w:t>
            </w:r>
          </w:p>
        </w:tc>
        <w:tc>
          <w:tcPr>
            <w:tcW w:w="8505" w:type="dxa"/>
            <w:gridSpan w:val="4"/>
            <w:tcBorders>
              <w:top w:val="single" w:color="auto" w:sz="2" w:space="0"/>
              <w:left w:val="single" w:color="auto" w:sz="2" w:space="0"/>
              <w:bottom w:val="single" w:color="auto" w:sz="2" w:space="0"/>
              <w:right w:val="single" w:color="auto" w:sz="2" w:space="0"/>
            </w:tcBorders>
            <w:vAlign w:val="center"/>
          </w:tcPr>
          <w:p w14:paraId="6EC5C179">
            <w:pPr>
              <w:rPr>
                <w:rFonts w:hint="eastAsia"/>
              </w:rPr>
            </w:pPr>
            <w:r>
              <w:rPr>
                <w:rFonts w:hint="eastAsia"/>
              </w:rPr>
              <w:t>呼吸系统防护：空气中浓度超标时，建议佩戴自吸过滤式防毒面具(半面罩)。紧急事态抢救或撤离时，应该佩戴空气呼吸器。</w:t>
            </w:r>
          </w:p>
          <w:p w14:paraId="339C22B0">
            <w:pPr>
              <w:rPr>
                <w:rFonts w:hint="eastAsia"/>
              </w:rPr>
            </w:pPr>
            <w:r>
              <w:rPr>
                <w:rFonts w:hint="eastAsia"/>
              </w:rPr>
              <w:t>眼睛防护：戴化学安全防护眼镜。</w:t>
            </w:r>
          </w:p>
          <w:p w14:paraId="07EB8ACA">
            <w:pPr>
              <w:rPr>
                <w:rFonts w:hint="eastAsia"/>
              </w:rPr>
            </w:pPr>
            <w:r>
              <w:rPr>
                <w:rFonts w:hint="eastAsia"/>
              </w:rPr>
              <w:t>身体防护：穿防静电工作服。</w:t>
            </w:r>
          </w:p>
          <w:p w14:paraId="72381A7B">
            <w:pPr>
              <w:rPr>
                <w:rFonts w:hint="eastAsia"/>
              </w:rPr>
            </w:pPr>
            <w:r>
              <w:rPr>
                <w:rFonts w:hint="eastAsia"/>
              </w:rPr>
              <w:t>手防护：戴橡胶耐油手套。</w:t>
            </w:r>
          </w:p>
          <w:p w14:paraId="6D5CDC3D">
            <w:pPr>
              <w:rPr>
                <w:rFonts w:hint="eastAsia"/>
              </w:rPr>
            </w:pPr>
            <w:r>
              <w:rPr>
                <w:rFonts w:hint="eastAsia"/>
              </w:rPr>
              <w:t>其他防护：工作现场严禁吸烟。避免长期反复接触。</w:t>
            </w:r>
          </w:p>
        </w:tc>
      </w:tr>
      <w:tr w14:paraId="5E298E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740" w:hRule="atLeast"/>
          <w:jc w:val="center"/>
        </w:trPr>
        <w:tc>
          <w:tcPr>
            <w:tcW w:w="281" w:type="dxa"/>
            <w:tcBorders>
              <w:top w:val="single" w:color="auto" w:sz="2" w:space="0"/>
              <w:left w:val="single" w:color="auto" w:sz="2" w:space="0"/>
              <w:bottom w:val="single" w:color="auto" w:sz="2" w:space="0"/>
              <w:right w:val="single" w:color="auto" w:sz="2" w:space="0"/>
            </w:tcBorders>
            <w:vAlign w:val="center"/>
          </w:tcPr>
          <w:p w14:paraId="4FF1CE87">
            <w:pPr>
              <w:rPr>
                <w:rFonts w:hint="eastAsia"/>
              </w:rPr>
            </w:pPr>
            <w:r>
              <w:rPr>
                <w:rFonts w:hint="eastAsia"/>
              </w:rPr>
              <w:t>泄漏处理</w:t>
            </w:r>
          </w:p>
        </w:tc>
        <w:tc>
          <w:tcPr>
            <w:tcW w:w="8505" w:type="dxa"/>
            <w:gridSpan w:val="4"/>
            <w:tcBorders>
              <w:top w:val="single" w:color="auto" w:sz="2" w:space="0"/>
              <w:left w:val="single" w:color="auto" w:sz="2" w:space="0"/>
              <w:bottom w:val="single" w:color="auto" w:sz="2" w:space="0"/>
              <w:right w:val="single" w:color="auto" w:sz="2" w:space="0"/>
            </w:tcBorders>
            <w:vAlign w:val="center"/>
          </w:tcPr>
          <w:p w14:paraId="0A8CFF44">
            <w:pPr>
              <w:rPr>
                <w:rFonts w:hint="eastAsia"/>
              </w:rPr>
            </w:pPr>
            <w:r>
              <w:rPr>
                <w:rFonts w:hint="eastAsia"/>
              </w:rPr>
              <w:t>应急行动：迅速撤离泄漏污染区人员至安全区，并进行隔离，严格限制出入。切断火源。建议应急处理人员戴自给正压式呼吸器，穿防静电工作服。尽可能切断泄漏源。防止流入下水道、排洪沟等限制性空间。小量泄漏：用砂石或其它不燃材料吸附或吸收。也可以在保证安全情况下，就地焚烧。大量泄漏：构筑围堤或挖坑收容。用泵转移至槽车或专用收集器内，回收或运至废物处理场所处置。</w:t>
            </w:r>
          </w:p>
        </w:tc>
      </w:tr>
      <w:tr w14:paraId="129276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200" w:hRule="atLeast"/>
          <w:jc w:val="center"/>
        </w:trPr>
        <w:tc>
          <w:tcPr>
            <w:tcW w:w="281" w:type="dxa"/>
            <w:tcBorders>
              <w:top w:val="single" w:color="auto" w:sz="2" w:space="0"/>
              <w:left w:val="single" w:color="auto" w:sz="2" w:space="0"/>
              <w:bottom w:val="single" w:color="auto" w:sz="2" w:space="0"/>
              <w:right w:val="single" w:color="auto" w:sz="2" w:space="0"/>
            </w:tcBorders>
            <w:vAlign w:val="center"/>
          </w:tcPr>
          <w:p w14:paraId="7B505494">
            <w:pPr>
              <w:rPr>
                <w:rFonts w:hint="eastAsia"/>
              </w:rPr>
            </w:pPr>
            <w:r>
              <w:rPr>
                <w:rFonts w:hint="eastAsia"/>
              </w:rPr>
              <w:t>储运</w:t>
            </w:r>
          </w:p>
        </w:tc>
        <w:tc>
          <w:tcPr>
            <w:tcW w:w="8505" w:type="dxa"/>
            <w:gridSpan w:val="4"/>
            <w:tcBorders>
              <w:top w:val="single" w:color="auto" w:sz="2" w:space="0"/>
              <w:left w:val="single" w:color="auto" w:sz="2" w:space="0"/>
              <w:bottom w:val="single" w:color="auto" w:sz="2" w:space="0"/>
              <w:right w:val="single" w:color="auto" w:sz="2" w:space="0"/>
            </w:tcBorders>
          </w:tcPr>
          <w:p w14:paraId="53C9992A">
            <w:pPr>
              <w:rPr>
                <w:rFonts w:hint="eastAsia"/>
              </w:rPr>
            </w:pPr>
            <w:r>
              <w:rPr>
                <w:rFonts w:hint="eastAsia"/>
              </w:rPr>
              <w:t>储存注意事项：储存于阴凉、通风的库房。远离火种、热源。应与氧化剂、食用化学品分开存放，切忌混储。采用防爆型照明、通风设施。禁止使用易产生火花的机械设备和工具。储区应备有泄漏应急处理设备和合适的收容材料。</w:t>
            </w:r>
          </w:p>
          <w:p w14:paraId="7805D392">
            <w:pPr>
              <w:rPr>
                <w:rFonts w:hint="eastAsia"/>
              </w:rPr>
            </w:pPr>
            <w:r>
              <w:rPr>
                <w:rFonts w:hint="eastAsia"/>
              </w:rPr>
              <w:t>本品铁路运输时限使用钢制企业自备罐车装运，装运前需报有关部门批准。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bl>
    <w:p w14:paraId="4C65B48F">
      <w:pPr>
        <w:jc w:val="center"/>
        <w:rPr>
          <w:rFonts w:hint="eastAsia"/>
          <w:b/>
          <w:bCs/>
        </w:rPr>
      </w:pPr>
      <w:r>
        <w:rPr>
          <w:rFonts w:hint="eastAsia"/>
          <w:b/>
          <w:bCs/>
          <w:szCs w:val="32"/>
        </w:rPr>
        <w:t>表6-6  混合芳烃理化性质及危险特性</w:t>
      </w:r>
    </w:p>
    <w:tbl>
      <w:tblPr>
        <w:tblStyle w:val="16"/>
        <w:tblW w:w="8786"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81"/>
        <w:gridCol w:w="1559"/>
        <w:gridCol w:w="479"/>
        <w:gridCol w:w="460"/>
        <w:gridCol w:w="1080"/>
        <w:gridCol w:w="760"/>
        <w:gridCol w:w="60"/>
        <w:gridCol w:w="420"/>
        <w:gridCol w:w="1140"/>
        <w:gridCol w:w="360"/>
        <w:gridCol w:w="500"/>
        <w:gridCol w:w="560"/>
        <w:gridCol w:w="420"/>
        <w:gridCol w:w="707"/>
      </w:tblGrid>
      <w:tr w14:paraId="072C28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281" w:type="dxa"/>
            <w:vMerge w:val="restart"/>
            <w:tcBorders>
              <w:top w:val="single" w:color="auto" w:sz="2" w:space="0"/>
              <w:left w:val="single" w:color="auto" w:sz="2" w:space="0"/>
              <w:bottom w:val="single" w:color="auto" w:sz="2" w:space="0"/>
              <w:right w:val="single" w:color="auto" w:sz="2" w:space="0"/>
            </w:tcBorders>
            <w:vAlign w:val="center"/>
          </w:tcPr>
          <w:p w14:paraId="681F91F6">
            <w:pPr>
              <w:rPr>
                <w:rFonts w:hint="eastAsia"/>
              </w:rPr>
            </w:pPr>
            <w:r>
              <w:rPr>
                <w:rFonts w:hint="eastAsia"/>
              </w:rPr>
              <w:t>标识</w:t>
            </w:r>
          </w:p>
        </w:tc>
        <w:tc>
          <w:tcPr>
            <w:tcW w:w="2038" w:type="dxa"/>
            <w:gridSpan w:val="2"/>
            <w:tcBorders>
              <w:top w:val="single" w:color="auto" w:sz="2" w:space="0"/>
              <w:left w:val="single" w:color="auto" w:sz="2" w:space="0"/>
              <w:bottom w:val="single" w:color="auto" w:sz="2" w:space="0"/>
              <w:right w:val="single" w:color="auto" w:sz="2" w:space="0"/>
            </w:tcBorders>
            <w:vAlign w:val="center"/>
          </w:tcPr>
          <w:p w14:paraId="1E2F7465">
            <w:pPr>
              <w:rPr>
                <w:rFonts w:hint="eastAsia"/>
              </w:rPr>
            </w:pPr>
            <w:r>
              <w:rPr>
                <w:rFonts w:hint="eastAsia"/>
              </w:rPr>
              <w:t>化学品中文名称</w:t>
            </w:r>
          </w:p>
        </w:tc>
        <w:tc>
          <w:tcPr>
            <w:tcW w:w="2300" w:type="dxa"/>
            <w:gridSpan w:val="3"/>
            <w:tcBorders>
              <w:top w:val="single" w:color="auto" w:sz="2" w:space="0"/>
              <w:left w:val="single" w:color="auto" w:sz="2" w:space="0"/>
              <w:bottom w:val="single" w:color="auto" w:sz="2" w:space="0"/>
              <w:right w:val="single" w:color="auto" w:sz="2" w:space="0"/>
            </w:tcBorders>
            <w:vAlign w:val="center"/>
          </w:tcPr>
          <w:p w14:paraId="1D90FAFE">
            <w:pPr>
              <w:rPr>
                <w:rFonts w:hint="eastAsia"/>
              </w:rPr>
            </w:pPr>
            <w:r>
              <w:rPr>
                <w:rFonts w:hint="eastAsia"/>
              </w:rPr>
              <w:t>混合芳烃</w:t>
            </w:r>
          </w:p>
        </w:tc>
        <w:tc>
          <w:tcPr>
            <w:tcW w:w="2480" w:type="dxa"/>
            <w:gridSpan w:val="5"/>
            <w:tcBorders>
              <w:top w:val="single" w:color="auto" w:sz="2" w:space="0"/>
              <w:left w:val="single" w:color="auto" w:sz="2" w:space="0"/>
              <w:bottom w:val="single" w:color="auto" w:sz="2" w:space="0"/>
              <w:right w:val="single" w:color="auto" w:sz="2" w:space="0"/>
            </w:tcBorders>
            <w:vAlign w:val="center"/>
          </w:tcPr>
          <w:p w14:paraId="5DF9B3DE">
            <w:pPr>
              <w:rPr>
                <w:rFonts w:hint="eastAsia"/>
              </w:rPr>
            </w:pPr>
            <w:r>
              <w:rPr>
                <w:rFonts w:hint="eastAsia"/>
              </w:rPr>
              <w:t>化学品俗名：</w:t>
            </w:r>
          </w:p>
        </w:tc>
        <w:tc>
          <w:tcPr>
            <w:tcW w:w="1687" w:type="dxa"/>
            <w:gridSpan w:val="3"/>
            <w:tcBorders>
              <w:top w:val="single" w:color="auto" w:sz="2" w:space="0"/>
              <w:left w:val="single" w:color="auto" w:sz="2" w:space="0"/>
              <w:bottom w:val="single" w:color="auto" w:sz="2" w:space="0"/>
              <w:right w:val="single" w:color="auto" w:sz="2" w:space="0"/>
            </w:tcBorders>
            <w:vAlign w:val="center"/>
          </w:tcPr>
          <w:p w14:paraId="4F76446F">
            <w:pPr>
              <w:rPr>
                <w:rFonts w:hint="eastAsia"/>
              </w:rPr>
            </w:pPr>
            <w:r>
              <w:rPr>
                <w:rFonts w:hint="eastAsia"/>
              </w:rPr>
              <w:t>/</w:t>
            </w:r>
          </w:p>
        </w:tc>
      </w:tr>
      <w:tr w14:paraId="2FFCCC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281" w:type="dxa"/>
            <w:vMerge w:val="continue"/>
            <w:tcBorders>
              <w:top w:val="single" w:color="auto" w:sz="2" w:space="0"/>
              <w:left w:val="single" w:color="auto" w:sz="2" w:space="0"/>
              <w:bottom w:val="single" w:color="auto" w:sz="2" w:space="0"/>
              <w:right w:val="single" w:color="auto" w:sz="2" w:space="0"/>
            </w:tcBorders>
            <w:vAlign w:val="center"/>
          </w:tcPr>
          <w:p w14:paraId="442119DD">
            <w:pPr>
              <w:rPr>
                <w:rFonts w:hint="eastAsia"/>
              </w:rPr>
            </w:pPr>
          </w:p>
        </w:tc>
        <w:tc>
          <w:tcPr>
            <w:tcW w:w="2038" w:type="dxa"/>
            <w:gridSpan w:val="2"/>
            <w:tcBorders>
              <w:top w:val="single" w:color="auto" w:sz="2" w:space="0"/>
              <w:left w:val="single" w:color="auto" w:sz="2" w:space="0"/>
              <w:bottom w:val="single" w:color="auto" w:sz="2" w:space="0"/>
              <w:right w:val="single" w:color="auto" w:sz="2" w:space="0"/>
            </w:tcBorders>
            <w:vAlign w:val="center"/>
          </w:tcPr>
          <w:p w14:paraId="44EA02C9">
            <w:pPr>
              <w:rPr>
                <w:rFonts w:hint="eastAsia"/>
              </w:rPr>
            </w:pPr>
            <w:r>
              <w:rPr>
                <w:rFonts w:hint="eastAsia"/>
              </w:rPr>
              <w:t>化学品英文名称</w:t>
            </w:r>
          </w:p>
        </w:tc>
        <w:tc>
          <w:tcPr>
            <w:tcW w:w="2300" w:type="dxa"/>
            <w:gridSpan w:val="3"/>
            <w:tcBorders>
              <w:top w:val="single" w:color="auto" w:sz="2" w:space="0"/>
              <w:left w:val="single" w:color="auto" w:sz="2" w:space="0"/>
              <w:bottom w:val="single" w:color="auto" w:sz="2" w:space="0"/>
              <w:right w:val="single" w:color="auto" w:sz="2" w:space="0"/>
            </w:tcBorders>
            <w:vAlign w:val="center"/>
          </w:tcPr>
          <w:p w14:paraId="6079A824">
            <w:pPr>
              <w:rPr>
                <w:rFonts w:hint="eastAsia"/>
              </w:rPr>
            </w:pPr>
            <w:r>
              <w:rPr>
                <w:rFonts w:hint="eastAsia"/>
              </w:rPr>
              <w:t>/</w:t>
            </w:r>
          </w:p>
        </w:tc>
        <w:tc>
          <w:tcPr>
            <w:tcW w:w="2480" w:type="dxa"/>
            <w:gridSpan w:val="5"/>
            <w:tcBorders>
              <w:top w:val="single" w:color="auto" w:sz="2" w:space="0"/>
              <w:left w:val="single" w:color="auto" w:sz="2" w:space="0"/>
              <w:bottom w:val="single" w:color="auto" w:sz="2" w:space="0"/>
              <w:right w:val="single" w:color="auto" w:sz="2" w:space="0"/>
            </w:tcBorders>
            <w:vAlign w:val="center"/>
          </w:tcPr>
          <w:p w14:paraId="36346617">
            <w:pPr>
              <w:rPr>
                <w:rFonts w:hint="eastAsia"/>
              </w:rPr>
            </w:pPr>
            <w:r>
              <w:rPr>
                <w:rFonts w:hint="eastAsia"/>
              </w:rPr>
              <w:t xml:space="preserve"> </w:t>
            </w:r>
          </w:p>
        </w:tc>
        <w:tc>
          <w:tcPr>
            <w:tcW w:w="1687" w:type="dxa"/>
            <w:gridSpan w:val="3"/>
            <w:tcBorders>
              <w:top w:val="single" w:color="auto" w:sz="2" w:space="0"/>
              <w:left w:val="single" w:color="auto" w:sz="2" w:space="0"/>
              <w:bottom w:val="single" w:color="auto" w:sz="2" w:space="0"/>
              <w:right w:val="single" w:color="auto" w:sz="2" w:space="0"/>
            </w:tcBorders>
            <w:vAlign w:val="center"/>
          </w:tcPr>
          <w:p w14:paraId="133D413F">
            <w:pPr>
              <w:rPr>
                <w:rFonts w:hint="eastAsia"/>
              </w:rPr>
            </w:pPr>
            <w:r>
              <w:rPr>
                <w:rFonts w:hint="eastAsia"/>
              </w:rPr>
              <w:t xml:space="preserve"> </w:t>
            </w:r>
          </w:p>
        </w:tc>
      </w:tr>
      <w:tr w14:paraId="74BCE9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2319" w:type="dxa"/>
            <w:gridSpan w:val="3"/>
            <w:tcBorders>
              <w:top w:val="single" w:color="auto" w:sz="2" w:space="0"/>
              <w:left w:val="single" w:color="auto" w:sz="2" w:space="0"/>
              <w:bottom w:val="single" w:color="auto" w:sz="2" w:space="0"/>
              <w:right w:val="single" w:color="auto" w:sz="2" w:space="0"/>
            </w:tcBorders>
            <w:vAlign w:val="center"/>
          </w:tcPr>
          <w:p w14:paraId="104D8A8B">
            <w:pPr>
              <w:rPr>
                <w:rFonts w:hint="eastAsia"/>
              </w:rPr>
            </w:pPr>
            <w:r>
              <w:rPr>
                <w:rFonts w:hint="eastAsia"/>
              </w:rPr>
              <w:t>成分/组成信息</w:t>
            </w:r>
          </w:p>
        </w:tc>
        <w:tc>
          <w:tcPr>
            <w:tcW w:w="6467" w:type="dxa"/>
            <w:gridSpan w:val="11"/>
            <w:tcBorders>
              <w:top w:val="single" w:color="auto" w:sz="2" w:space="0"/>
              <w:left w:val="single" w:color="auto" w:sz="2" w:space="0"/>
              <w:bottom w:val="single" w:color="auto" w:sz="2" w:space="0"/>
              <w:right w:val="single" w:color="auto" w:sz="2" w:space="0"/>
            </w:tcBorders>
            <w:vAlign w:val="center"/>
          </w:tcPr>
          <w:p w14:paraId="09C8BB0F">
            <w:pPr>
              <w:rPr>
                <w:rFonts w:hint="eastAsia"/>
              </w:rPr>
            </w:pPr>
            <w:r>
              <w:rPr>
                <w:rFonts w:hint="eastAsia"/>
              </w:rPr>
              <w:t>苯、甲苯、二甲苯、乙苯</w:t>
            </w:r>
          </w:p>
        </w:tc>
      </w:tr>
      <w:tr w14:paraId="53FBF8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281" w:type="dxa"/>
            <w:vMerge w:val="restart"/>
            <w:tcBorders>
              <w:top w:val="nil"/>
              <w:left w:val="single" w:color="auto" w:sz="2" w:space="0"/>
              <w:bottom w:val="single" w:color="auto" w:sz="2" w:space="0"/>
              <w:right w:val="single" w:color="auto" w:sz="2" w:space="0"/>
            </w:tcBorders>
            <w:vAlign w:val="center"/>
          </w:tcPr>
          <w:p w14:paraId="0E5C2574">
            <w:pPr>
              <w:rPr>
                <w:rFonts w:hint="eastAsia"/>
              </w:rPr>
            </w:pPr>
            <w:r>
              <w:rPr>
                <w:rFonts w:hint="eastAsia"/>
              </w:rPr>
              <w:t>危险性概述</w:t>
            </w:r>
          </w:p>
        </w:tc>
        <w:tc>
          <w:tcPr>
            <w:tcW w:w="2038" w:type="dxa"/>
            <w:gridSpan w:val="2"/>
            <w:tcBorders>
              <w:top w:val="single" w:color="auto" w:sz="2" w:space="0"/>
              <w:left w:val="single" w:color="auto" w:sz="2" w:space="0"/>
              <w:bottom w:val="single" w:color="auto" w:sz="2" w:space="0"/>
              <w:right w:val="single" w:color="auto" w:sz="2" w:space="0"/>
            </w:tcBorders>
            <w:vAlign w:val="center"/>
          </w:tcPr>
          <w:p w14:paraId="001583C6">
            <w:pPr>
              <w:rPr>
                <w:rFonts w:hint="eastAsia"/>
              </w:rPr>
            </w:pPr>
            <w:r>
              <w:rPr>
                <w:rFonts w:hint="eastAsia"/>
              </w:rPr>
              <w:t>危险性类别</w:t>
            </w:r>
          </w:p>
        </w:tc>
        <w:tc>
          <w:tcPr>
            <w:tcW w:w="2300" w:type="dxa"/>
            <w:gridSpan w:val="3"/>
            <w:tcBorders>
              <w:top w:val="single" w:color="auto" w:sz="2" w:space="0"/>
              <w:left w:val="single" w:color="auto" w:sz="2" w:space="0"/>
              <w:bottom w:val="single" w:color="auto" w:sz="2" w:space="0"/>
              <w:right w:val="single" w:color="auto" w:sz="2" w:space="0"/>
            </w:tcBorders>
            <w:vAlign w:val="center"/>
          </w:tcPr>
          <w:p w14:paraId="546CF1FC">
            <w:pPr>
              <w:rPr>
                <w:rFonts w:hint="eastAsia"/>
              </w:rPr>
            </w:pPr>
            <w:r>
              <w:rPr>
                <w:rFonts w:hint="eastAsia"/>
              </w:rPr>
              <w:t>第3.2类低闪点液体</w:t>
            </w:r>
          </w:p>
        </w:tc>
        <w:tc>
          <w:tcPr>
            <w:tcW w:w="1980" w:type="dxa"/>
            <w:gridSpan w:val="4"/>
            <w:tcBorders>
              <w:top w:val="single" w:color="auto" w:sz="2" w:space="0"/>
              <w:left w:val="single" w:color="auto" w:sz="2" w:space="0"/>
              <w:bottom w:val="single" w:color="auto" w:sz="2" w:space="0"/>
              <w:right w:val="single" w:color="auto" w:sz="2" w:space="0"/>
            </w:tcBorders>
            <w:vAlign w:val="center"/>
          </w:tcPr>
          <w:p w14:paraId="728C2D15">
            <w:pPr>
              <w:rPr>
                <w:rFonts w:hint="eastAsia"/>
              </w:rPr>
            </w:pPr>
            <w:r>
              <w:rPr>
                <w:rFonts w:hint="eastAsia"/>
              </w:rPr>
              <w:t>侵入途径</w:t>
            </w:r>
          </w:p>
        </w:tc>
        <w:tc>
          <w:tcPr>
            <w:tcW w:w="2187" w:type="dxa"/>
            <w:gridSpan w:val="4"/>
            <w:tcBorders>
              <w:top w:val="single" w:color="auto" w:sz="2" w:space="0"/>
              <w:left w:val="single" w:color="auto" w:sz="2" w:space="0"/>
              <w:bottom w:val="single" w:color="auto" w:sz="2" w:space="0"/>
              <w:right w:val="single" w:color="auto" w:sz="2" w:space="0"/>
            </w:tcBorders>
            <w:vAlign w:val="center"/>
          </w:tcPr>
          <w:p w14:paraId="06AA729F">
            <w:pPr>
              <w:rPr>
                <w:rFonts w:hint="eastAsia"/>
              </w:rPr>
            </w:pPr>
            <w:r>
              <w:rPr>
                <w:rFonts w:hint="eastAsia"/>
              </w:rPr>
              <w:t>皮肤接触、吸入、食入</w:t>
            </w:r>
          </w:p>
        </w:tc>
      </w:tr>
      <w:tr w14:paraId="6F0132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00" w:hRule="atLeast"/>
        </w:trPr>
        <w:tc>
          <w:tcPr>
            <w:tcW w:w="281" w:type="dxa"/>
            <w:vMerge w:val="continue"/>
            <w:tcBorders>
              <w:top w:val="nil"/>
              <w:left w:val="single" w:color="auto" w:sz="2" w:space="0"/>
              <w:bottom w:val="single" w:color="auto" w:sz="2" w:space="0"/>
              <w:right w:val="single" w:color="auto" w:sz="2" w:space="0"/>
            </w:tcBorders>
            <w:vAlign w:val="center"/>
          </w:tcPr>
          <w:p w14:paraId="046AF6F0">
            <w:pPr>
              <w:rPr>
                <w:rFonts w:hint="eastAsia"/>
              </w:rPr>
            </w:pPr>
          </w:p>
        </w:tc>
        <w:tc>
          <w:tcPr>
            <w:tcW w:w="2038" w:type="dxa"/>
            <w:gridSpan w:val="2"/>
            <w:tcBorders>
              <w:top w:val="single" w:color="auto" w:sz="2" w:space="0"/>
              <w:left w:val="single" w:color="auto" w:sz="2" w:space="0"/>
              <w:bottom w:val="single" w:color="auto" w:sz="2" w:space="0"/>
              <w:right w:val="single" w:color="auto" w:sz="2" w:space="0"/>
            </w:tcBorders>
            <w:vAlign w:val="center"/>
          </w:tcPr>
          <w:p w14:paraId="16900CB6">
            <w:pPr>
              <w:rPr>
                <w:rFonts w:hint="eastAsia"/>
              </w:rPr>
            </w:pPr>
            <w:r>
              <w:rPr>
                <w:rFonts w:hint="eastAsia"/>
              </w:rPr>
              <w:t>健康危害</w:t>
            </w:r>
          </w:p>
        </w:tc>
        <w:tc>
          <w:tcPr>
            <w:tcW w:w="6467" w:type="dxa"/>
            <w:gridSpan w:val="11"/>
            <w:tcBorders>
              <w:top w:val="single" w:color="auto" w:sz="2" w:space="0"/>
              <w:left w:val="single" w:color="auto" w:sz="2" w:space="0"/>
              <w:bottom w:val="single" w:color="auto" w:sz="2" w:space="0"/>
              <w:right w:val="single" w:color="auto" w:sz="2" w:space="0"/>
            </w:tcBorders>
            <w:vAlign w:val="center"/>
          </w:tcPr>
          <w:p w14:paraId="2F446C73">
            <w:pPr>
              <w:rPr>
                <w:rFonts w:hint="eastAsia"/>
              </w:rPr>
            </w:pPr>
            <w:r>
              <w:rPr>
                <w:rFonts w:hint="eastAsia"/>
              </w:rPr>
              <w:t>接触高浓度蒸汽出现头痛、倦睡、共济失调以及眼、鼻、喉刺激症状，口服可可致恶心、呕吐、腹痛、腹泻、倦睡、昏迷甚至死亡。长期皮肤接触可致皮肤干燥、皲裂。</w:t>
            </w:r>
          </w:p>
        </w:tc>
      </w:tr>
      <w:tr w14:paraId="322D5C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281" w:type="dxa"/>
            <w:vMerge w:val="continue"/>
            <w:tcBorders>
              <w:top w:val="nil"/>
              <w:left w:val="single" w:color="auto" w:sz="2" w:space="0"/>
              <w:bottom w:val="single" w:color="auto" w:sz="2" w:space="0"/>
              <w:right w:val="single" w:color="auto" w:sz="2" w:space="0"/>
            </w:tcBorders>
            <w:vAlign w:val="center"/>
          </w:tcPr>
          <w:p w14:paraId="1BF921DF">
            <w:pPr>
              <w:rPr>
                <w:rFonts w:hint="eastAsia"/>
              </w:rPr>
            </w:pPr>
          </w:p>
        </w:tc>
        <w:tc>
          <w:tcPr>
            <w:tcW w:w="2038" w:type="dxa"/>
            <w:gridSpan w:val="2"/>
            <w:tcBorders>
              <w:top w:val="single" w:color="auto" w:sz="2" w:space="0"/>
              <w:left w:val="single" w:color="auto" w:sz="2" w:space="0"/>
              <w:bottom w:val="single" w:color="auto" w:sz="2" w:space="0"/>
              <w:right w:val="single" w:color="auto" w:sz="2" w:space="0"/>
            </w:tcBorders>
            <w:vAlign w:val="center"/>
          </w:tcPr>
          <w:p w14:paraId="3F953590">
            <w:pPr>
              <w:rPr>
                <w:rFonts w:hint="eastAsia"/>
              </w:rPr>
            </w:pPr>
            <w:r>
              <w:rPr>
                <w:rFonts w:hint="eastAsia"/>
              </w:rPr>
              <w:t>环境危害</w:t>
            </w:r>
          </w:p>
        </w:tc>
        <w:tc>
          <w:tcPr>
            <w:tcW w:w="6467" w:type="dxa"/>
            <w:gridSpan w:val="11"/>
            <w:tcBorders>
              <w:top w:val="single" w:color="auto" w:sz="2" w:space="0"/>
              <w:left w:val="single" w:color="auto" w:sz="2" w:space="0"/>
              <w:bottom w:val="single" w:color="auto" w:sz="2" w:space="0"/>
              <w:right w:val="single" w:color="auto" w:sz="2" w:space="0"/>
            </w:tcBorders>
            <w:vAlign w:val="center"/>
          </w:tcPr>
          <w:p w14:paraId="5A34AF13">
            <w:pPr>
              <w:rPr>
                <w:rFonts w:hint="eastAsia"/>
              </w:rPr>
            </w:pPr>
            <w:r>
              <w:rPr>
                <w:rFonts w:hint="eastAsia"/>
              </w:rPr>
              <w:t>对环境有严重危害，对空气、水环境及水源可造成污染。</w:t>
            </w:r>
          </w:p>
        </w:tc>
      </w:tr>
      <w:tr w14:paraId="3BDE7D5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80" w:hRule="atLeast"/>
        </w:trPr>
        <w:tc>
          <w:tcPr>
            <w:tcW w:w="281" w:type="dxa"/>
            <w:vMerge w:val="continue"/>
            <w:tcBorders>
              <w:top w:val="nil"/>
              <w:left w:val="single" w:color="auto" w:sz="2" w:space="0"/>
              <w:bottom w:val="single" w:color="auto" w:sz="2" w:space="0"/>
              <w:right w:val="single" w:color="auto" w:sz="2" w:space="0"/>
            </w:tcBorders>
            <w:vAlign w:val="center"/>
          </w:tcPr>
          <w:p w14:paraId="1154739C">
            <w:pPr>
              <w:rPr>
                <w:rFonts w:hint="eastAsia"/>
              </w:rPr>
            </w:pPr>
          </w:p>
        </w:tc>
        <w:tc>
          <w:tcPr>
            <w:tcW w:w="2038" w:type="dxa"/>
            <w:gridSpan w:val="2"/>
            <w:tcBorders>
              <w:top w:val="single" w:color="auto" w:sz="2" w:space="0"/>
              <w:left w:val="single" w:color="auto" w:sz="2" w:space="0"/>
              <w:bottom w:val="single" w:color="auto" w:sz="2" w:space="0"/>
              <w:right w:val="single" w:color="auto" w:sz="2" w:space="0"/>
            </w:tcBorders>
            <w:vAlign w:val="center"/>
          </w:tcPr>
          <w:p w14:paraId="6FE3CF28">
            <w:pPr>
              <w:rPr>
                <w:rFonts w:hint="eastAsia"/>
              </w:rPr>
            </w:pPr>
            <w:r>
              <w:rPr>
                <w:rFonts w:hint="eastAsia"/>
              </w:rPr>
              <w:t>燃爆危险</w:t>
            </w:r>
          </w:p>
        </w:tc>
        <w:tc>
          <w:tcPr>
            <w:tcW w:w="6467" w:type="dxa"/>
            <w:gridSpan w:val="11"/>
            <w:tcBorders>
              <w:top w:val="single" w:color="auto" w:sz="2" w:space="0"/>
              <w:left w:val="single" w:color="auto" w:sz="2" w:space="0"/>
              <w:bottom w:val="single" w:color="auto" w:sz="2" w:space="0"/>
              <w:right w:val="single" w:color="auto" w:sz="2" w:space="0"/>
            </w:tcBorders>
            <w:vAlign w:val="center"/>
          </w:tcPr>
          <w:p w14:paraId="118F272C">
            <w:pPr>
              <w:rPr>
                <w:rFonts w:hint="eastAsia"/>
              </w:rPr>
            </w:pPr>
            <w:r>
              <w:rPr>
                <w:rFonts w:hint="eastAsia"/>
              </w:rPr>
              <w:t>本品极度易燃，具刺激性。</w:t>
            </w:r>
          </w:p>
        </w:tc>
      </w:tr>
      <w:tr w14:paraId="7E29E4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281" w:type="dxa"/>
            <w:vMerge w:val="restart"/>
            <w:tcBorders>
              <w:top w:val="nil"/>
              <w:left w:val="single" w:color="auto" w:sz="2" w:space="0"/>
              <w:bottom w:val="single" w:color="auto" w:sz="2" w:space="0"/>
              <w:right w:val="single" w:color="auto" w:sz="2" w:space="0"/>
            </w:tcBorders>
            <w:vAlign w:val="center"/>
          </w:tcPr>
          <w:p w14:paraId="617BD2A4">
            <w:pPr>
              <w:rPr>
                <w:rFonts w:hint="eastAsia"/>
              </w:rPr>
            </w:pPr>
            <w:r>
              <w:rPr>
                <w:rFonts w:hint="eastAsia"/>
              </w:rPr>
              <w:t>急救措施</w:t>
            </w:r>
          </w:p>
        </w:tc>
        <w:tc>
          <w:tcPr>
            <w:tcW w:w="2038" w:type="dxa"/>
            <w:gridSpan w:val="2"/>
            <w:tcBorders>
              <w:top w:val="single" w:color="auto" w:sz="2" w:space="0"/>
              <w:left w:val="single" w:color="auto" w:sz="2" w:space="0"/>
              <w:bottom w:val="single" w:color="auto" w:sz="2" w:space="0"/>
              <w:right w:val="single" w:color="auto" w:sz="2" w:space="0"/>
            </w:tcBorders>
            <w:vAlign w:val="center"/>
          </w:tcPr>
          <w:p w14:paraId="664CBB76">
            <w:pPr>
              <w:rPr>
                <w:rFonts w:hint="eastAsia"/>
              </w:rPr>
            </w:pPr>
            <w:r>
              <w:rPr>
                <w:rFonts w:hint="eastAsia"/>
              </w:rPr>
              <w:t>皮肤接触</w:t>
            </w:r>
          </w:p>
        </w:tc>
        <w:tc>
          <w:tcPr>
            <w:tcW w:w="6467" w:type="dxa"/>
            <w:gridSpan w:val="11"/>
            <w:tcBorders>
              <w:top w:val="single" w:color="auto" w:sz="2" w:space="0"/>
              <w:left w:val="single" w:color="auto" w:sz="2" w:space="0"/>
              <w:bottom w:val="single" w:color="auto" w:sz="2" w:space="0"/>
              <w:right w:val="single" w:color="auto" w:sz="2" w:space="0"/>
            </w:tcBorders>
            <w:vAlign w:val="center"/>
          </w:tcPr>
          <w:p w14:paraId="28C08E90">
            <w:pPr>
              <w:rPr>
                <w:rFonts w:hint="eastAsia"/>
              </w:rPr>
            </w:pPr>
            <w:r>
              <w:rPr>
                <w:rFonts w:hint="eastAsia"/>
              </w:rPr>
              <w:t>脱去污染的衣着，用肥皂水和清水彻底冲洗皮肤。</w:t>
            </w:r>
          </w:p>
        </w:tc>
      </w:tr>
      <w:tr w14:paraId="5FDC3D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281" w:type="dxa"/>
            <w:vMerge w:val="continue"/>
            <w:tcBorders>
              <w:top w:val="nil"/>
              <w:left w:val="single" w:color="auto" w:sz="2" w:space="0"/>
              <w:bottom w:val="single" w:color="auto" w:sz="2" w:space="0"/>
              <w:right w:val="single" w:color="auto" w:sz="2" w:space="0"/>
            </w:tcBorders>
            <w:vAlign w:val="center"/>
          </w:tcPr>
          <w:p w14:paraId="284253A4">
            <w:pPr>
              <w:rPr>
                <w:rFonts w:hint="eastAsia"/>
              </w:rPr>
            </w:pPr>
          </w:p>
        </w:tc>
        <w:tc>
          <w:tcPr>
            <w:tcW w:w="2038" w:type="dxa"/>
            <w:gridSpan w:val="2"/>
            <w:tcBorders>
              <w:top w:val="single" w:color="auto" w:sz="2" w:space="0"/>
              <w:left w:val="single" w:color="auto" w:sz="2" w:space="0"/>
              <w:bottom w:val="single" w:color="auto" w:sz="2" w:space="0"/>
              <w:right w:val="single" w:color="auto" w:sz="2" w:space="0"/>
            </w:tcBorders>
            <w:vAlign w:val="center"/>
          </w:tcPr>
          <w:p w14:paraId="138F8822">
            <w:pPr>
              <w:rPr>
                <w:rFonts w:hint="eastAsia"/>
              </w:rPr>
            </w:pPr>
            <w:r>
              <w:rPr>
                <w:rFonts w:hint="eastAsia"/>
              </w:rPr>
              <w:t>眼睛接触</w:t>
            </w:r>
          </w:p>
        </w:tc>
        <w:tc>
          <w:tcPr>
            <w:tcW w:w="6467" w:type="dxa"/>
            <w:gridSpan w:val="11"/>
            <w:tcBorders>
              <w:top w:val="single" w:color="auto" w:sz="2" w:space="0"/>
              <w:left w:val="single" w:color="auto" w:sz="2" w:space="0"/>
              <w:bottom w:val="single" w:color="auto" w:sz="2" w:space="0"/>
              <w:right w:val="single" w:color="auto" w:sz="2" w:space="0"/>
            </w:tcBorders>
            <w:vAlign w:val="center"/>
          </w:tcPr>
          <w:p w14:paraId="046633C2">
            <w:pPr>
              <w:rPr>
                <w:rFonts w:hint="eastAsia"/>
              </w:rPr>
            </w:pPr>
            <w:r>
              <w:rPr>
                <w:rFonts w:hint="eastAsia"/>
              </w:rPr>
              <w:t>提起眼睑，用流动清水或生理盐水冲洗。就医。</w:t>
            </w:r>
          </w:p>
        </w:tc>
      </w:tr>
      <w:tr w14:paraId="43BB5D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80" w:hRule="atLeast"/>
        </w:trPr>
        <w:tc>
          <w:tcPr>
            <w:tcW w:w="281" w:type="dxa"/>
            <w:vMerge w:val="continue"/>
            <w:tcBorders>
              <w:top w:val="nil"/>
              <w:left w:val="single" w:color="auto" w:sz="2" w:space="0"/>
              <w:bottom w:val="single" w:color="auto" w:sz="2" w:space="0"/>
              <w:right w:val="single" w:color="auto" w:sz="2" w:space="0"/>
            </w:tcBorders>
            <w:vAlign w:val="center"/>
          </w:tcPr>
          <w:p w14:paraId="1F3C5870">
            <w:pPr>
              <w:rPr>
                <w:rFonts w:hint="eastAsia"/>
              </w:rPr>
            </w:pPr>
          </w:p>
        </w:tc>
        <w:tc>
          <w:tcPr>
            <w:tcW w:w="2038" w:type="dxa"/>
            <w:gridSpan w:val="2"/>
            <w:tcBorders>
              <w:top w:val="single" w:color="auto" w:sz="2" w:space="0"/>
              <w:left w:val="single" w:color="auto" w:sz="2" w:space="0"/>
              <w:bottom w:val="single" w:color="auto" w:sz="2" w:space="0"/>
              <w:right w:val="single" w:color="auto" w:sz="2" w:space="0"/>
            </w:tcBorders>
            <w:vAlign w:val="center"/>
          </w:tcPr>
          <w:p w14:paraId="69198E89">
            <w:pPr>
              <w:rPr>
                <w:rFonts w:hint="eastAsia"/>
              </w:rPr>
            </w:pPr>
            <w:r>
              <w:rPr>
                <w:rFonts w:hint="eastAsia"/>
              </w:rPr>
              <w:t>吸入</w:t>
            </w:r>
          </w:p>
        </w:tc>
        <w:tc>
          <w:tcPr>
            <w:tcW w:w="6467" w:type="dxa"/>
            <w:gridSpan w:val="11"/>
            <w:tcBorders>
              <w:top w:val="single" w:color="auto" w:sz="2" w:space="0"/>
              <w:left w:val="single" w:color="auto" w:sz="2" w:space="0"/>
              <w:bottom w:val="single" w:color="auto" w:sz="2" w:space="0"/>
              <w:right w:val="single" w:color="auto" w:sz="2" w:space="0"/>
            </w:tcBorders>
            <w:vAlign w:val="center"/>
          </w:tcPr>
          <w:p w14:paraId="147E1369">
            <w:pPr>
              <w:rPr>
                <w:rFonts w:hint="eastAsia"/>
              </w:rPr>
            </w:pPr>
            <w:r>
              <w:rPr>
                <w:rFonts w:hint="eastAsia"/>
              </w:rPr>
              <w:t>迅速脱离现场至空气新鲜处.保持呼吸道通畅。如呼吸困难，给输氧。如呼吸停止，立即进行人工呼吸。就医。</w:t>
            </w:r>
          </w:p>
        </w:tc>
      </w:tr>
      <w:tr w14:paraId="2C0BB6B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00" w:hRule="atLeast"/>
        </w:trPr>
        <w:tc>
          <w:tcPr>
            <w:tcW w:w="281" w:type="dxa"/>
            <w:vMerge w:val="continue"/>
            <w:tcBorders>
              <w:top w:val="nil"/>
              <w:left w:val="single" w:color="auto" w:sz="2" w:space="0"/>
              <w:bottom w:val="single" w:color="auto" w:sz="2" w:space="0"/>
              <w:right w:val="single" w:color="auto" w:sz="2" w:space="0"/>
            </w:tcBorders>
            <w:vAlign w:val="center"/>
          </w:tcPr>
          <w:p w14:paraId="05F997CC">
            <w:pPr>
              <w:rPr>
                <w:rFonts w:hint="eastAsia"/>
              </w:rPr>
            </w:pPr>
          </w:p>
        </w:tc>
        <w:tc>
          <w:tcPr>
            <w:tcW w:w="2038" w:type="dxa"/>
            <w:gridSpan w:val="2"/>
            <w:tcBorders>
              <w:top w:val="single" w:color="auto" w:sz="2" w:space="0"/>
              <w:left w:val="single" w:color="auto" w:sz="2" w:space="0"/>
              <w:bottom w:val="single" w:color="auto" w:sz="2" w:space="0"/>
              <w:right w:val="single" w:color="auto" w:sz="2" w:space="0"/>
            </w:tcBorders>
            <w:vAlign w:val="center"/>
          </w:tcPr>
          <w:p w14:paraId="53412CDF">
            <w:pPr>
              <w:rPr>
                <w:rFonts w:hint="eastAsia"/>
              </w:rPr>
            </w:pPr>
            <w:r>
              <w:rPr>
                <w:rFonts w:hint="eastAsia"/>
              </w:rPr>
              <w:t>食如</w:t>
            </w:r>
          </w:p>
        </w:tc>
        <w:tc>
          <w:tcPr>
            <w:tcW w:w="6467" w:type="dxa"/>
            <w:gridSpan w:val="11"/>
            <w:tcBorders>
              <w:top w:val="single" w:color="auto" w:sz="2" w:space="0"/>
              <w:left w:val="single" w:color="auto" w:sz="2" w:space="0"/>
              <w:bottom w:val="single" w:color="auto" w:sz="2" w:space="0"/>
              <w:right w:val="single" w:color="auto" w:sz="2" w:space="0"/>
            </w:tcBorders>
            <w:vAlign w:val="center"/>
          </w:tcPr>
          <w:p w14:paraId="066356F5">
            <w:pPr>
              <w:rPr>
                <w:rFonts w:hint="eastAsia"/>
              </w:rPr>
            </w:pPr>
            <w:r>
              <w:rPr>
                <w:rFonts w:hint="eastAsia"/>
              </w:rPr>
              <w:t>昏迷者不要催吐就医。</w:t>
            </w:r>
          </w:p>
        </w:tc>
      </w:tr>
      <w:tr w14:paraId="3C9DEC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020" w:hRule="atLeast"/>
        </w:trPr>
        <w:tc>
          <w:tcPr>
            <w:tcW w:w="281" w:type="dxa"/>
            <w:vMerge w:val="restart"/>
            <w:tcBorders>
              <w:top w:val="nil"/>
              <w:left w:val="single" w:color="auto" w:sz="2" w:space="0"/>
              <w:bottom w:val="single" w:color="auto" w:sz="2" w:space="0"/>
              <w:right w:val="single" w:color="auto" w:sz="2" w:space="0"/>
            </w:tcBorders>
            <w:vAlign w:val="center"/>
          </w:tcPr>
          <w:p w14:paraId="586D6FC8">
            <w:pPr>
              <w:rPr>
                <w:rFonts w:hint="eastAsia"/>
              </w:rPr>
            </w:pPr>
            <w:r>
              <w:rPr>
                <w:rFonts w:hint="eastAsia"/>
              </w:rPr>
              <w:t>消防</w:t>
            </w:r>
          </w:p>
          <w:p w14:paraId="79663BAC">
            <w:pPr>
              <w:rPr>
                <w:rFonts w:hint="eastAsia"/>
              </w:rPr>
            </w:pPr>
            <w:r>
              <w:rPr>
                <w:rFonts w:hint="eastAsia"/>
              </w:rPr>
              <w:t>应</w:t>
            </w:r>
          </w:p>
          <w:p w14:paraId="620C2487">
            <w:pPr>
              <w:rPr>
                <w:rFonts w:hint="eastAsia"/>
              </w:rPr>
            </w:pPr>
            <w:r>
              <w:rPr>
                <w:rFonts w:hint="eastAsia"/>
              </w:rPr>
              <w:t>急</w:t>
            </w:r>
          </w:p>
          <w:p w14:paraId="06E23061">
            <w:pPr>
              <w:rPr>
                <w:rFonts w:hint="eastAsia"/>
              </w:rPr>
            </w:pPr>
            <w:r>
              <w:rPr>
                <w:rFonts w:hint="eastAsia"/>
              </w:rPr>
              <w:t>措施</w:t>
            </w:r>
          </w:p>
        </w:tc>
        <w:tc>
          <w:tcPr>
            <w:tcW w:w="2038" w:type="dxa"/>
            <w:gridSpan w:val="2"/>
            <w:tcBorders>
              <w:top w:val="single" w:color="auto" w:sz="2" w:space="0"/>
              <w:left w:val="single" w:color="auto" w:sz="2" w:space="0"/>
              <w:bottom w:val="single" w:color="auto" w:sz="2" w:space="0"/>
              <w:right w:val="single" w:color="auto" w:sz="2" w:space="0"/>
            </w:tcBorders>
            <w:vAlign w:val="center"/>
          </w:tcPr>
          <w:p w14:paraId="2E66AAD8">
            <w:pPr>
              <w:rPr>
                <w:rFonts w:hint="eastAsia"/>
              </w:rPr>
            </w:pPr>
            <w:r>
              <w:rPr>
                <w:rFonts w:hint="eastAsia"/>
              </w:rPr>
              <w:t>危险特性</w:t>
            </w:r>
          </w:p>
        </w:tc>
        <w:tc>
          <w:tcPr>
            <w:tcW w:w="6467" w:type="dxa"/>
            <w:gridSpan w:val="11"/>
            <w:tcBorders>
              <w:top w:val="single" w:color="auto" w:sz="2" w:space="0"/>
              <w:left w:val="single" w:color="auto" w:sz="2" w:space="0"/>
              <w:bottom w:val="single" w:color="auto" w:sz="2" w:space="0"/>
              <w:right w:val="single" w:color="auto" w:sz="2" w:space="0"/>
            </w:tcBorders>
            <w:vAlign w:val="center"/>
          </w:tcPr>
          <w:p w14:paraId="33B4DD63">
            <w:pPr>
              <w:rPr>
                <w:rFonts w:hint="eastAsia"/>
              </w:rPr>
            </w:pPr>
            <w:r>
              <w:rPr>
                <w:rFonts w:hint="eastAsia"/>
              </w:rPr>
              <w:t>易燃，其蒸气与空气可形成爆炸性混合物，遇明火、高热能引起燃烧爆炸。与氧化剂能发生强烈反应.流速过快，容易产生和积聚静电。其蒸气比空气重，能在较低处扩散到相当远的地方，遇火源会着火回燃。</w:t>
            </w:r>
          </w:p>
        </w:tc>
      </w:tr>
      <w:tr w14:paraId="2A3AD2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281" w:type="dxa"/>
            <w:vMerge w:val="continue"/>
            <w:tcBorders>
              <w:top w:val="nil"/>
              <w:left w:val="single" w:color="auto" w:sz="2" w:space="0"/>
              <w:bottom w:val="single" w:color="auto" w:sz="2" w:space="0"/>
              <w:right w:val="single" w:color="auto" w:sz="2" w:space="0"/>
            </w:tcBorders>
            <w:vAlign w:val="center"/>
          </w:tcPr>
          <w:p w14:paraId="117EBE1C">
            <w:pPr>
              <w:rPr>
                <w:rFonts w:hint="eastAsia"/>
              </w:rPr>
            </w:pPr>
          </w:p>
        </w:tc>
        <w:tc>
          <w:tcPr>
            <w:tcW w:w="2038" w:type="dxa"/>
            <w:gridSpan w:val="2"/>
            <w:tcBorders>
              <w:top w:val="single" w:color="auto" w:sz="2" w:space="0"/>
              <w:left w:val="single" w:color="auto" w:sz="2" w:space="0"/>
              <w:bottom w:val="single" w:color="auto" w:sz="2" w:space="0"/>
              <w:right w:val="single" w:color="auto" w:sz="2" w:space="0"/>
            </w:tcBorders>
            <w:vAlign w:val="center"/>
          </w:tcPr>
          <w:p w14:paraId="464FE8E0">
            <w:pPr>
              <w:rPr>
                <w:rFonts w:hint="eastAsia"/>
              </w:rPr>
            </w:pPr>
            <w:r>
              <w:rPr>
                <w:rFonts w:hint="eastAsia"/>
              </w:rPr>
              <w:t>有害燃烧产物</w:t>
            </w:r>
          </w:p>
        </w:tc>
        <w:tc>
          <w:tcPr>
            <w:tcW w:w="6467" w:type="dxa"/>
            <w:gridSpan w:val="11"/>
            <w:tcBorders>
              <w:top w:val="single" w:color="auto" w:sz="2" w:space="0"/>
              <w:left w:val="single" w:color="auto" w:sz="2" w:space="0"/>
              <w:bottom w:val="single" w:color="auto" w:sz="2" w:space="0"/>
              <w:right w:val="single" w:color="auto" w:sz="2" w:space="0"/>
            </w:tcBorders>
            <w:vAlign w:val="center"/>
          </w:tcPr>
          <w:p w14:paraId="02A5B5C4">
            <w:pPr>
              <w:rPr>
                <w:rFonts w:hint="eastAsia"/>
              </w:rPr>
            </w:pPr>
            <w:r>
              <w:rPr>
                <w:rFonts w:hint="eastAsia"/>
              </w:rPr>
              <w:t>一氧化碳、二氧化碳.</w:t>
            </w:r>
          </w:p>
        </w:tc>
      </w:tr>
      <w:tr w14:paraId="22C722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00" w:hRule="atLeast"/>
        </w:trPr>
        <w:tc>
          <w:tcPr>
            <w:tcW w:w="281" w:type="dxa"/>
            <w:vMerge w:val="continue"/>
            <w:tcBorders>
              <w:top w:val="nil"/>
              <w:left w:val="single" w:color="auto" w:sz="2" w:space="0"/>
              <w:bottom w:val="single" w:color="auto" w:sz="2" w:space="0"/>
              <w:right w:val="single" w:color="auto" w:sz="2" w:space="0"/>
            </w:tcBorders>
            <w:vAlign w:val="center"/>
          </w:tcPr>
          <w:p w14:paraId="2DA0EE58">
            <w:pPr>
              <w:rPr>
                <w:rFonts w:hint="eastAsia"/>
              </w:rPr>
            </w:pPr>
          </w:p>
        </w:tc>
        <w:tc>
          <w:tcPr>
            <w:tcW w:w="2038" w:type="dxa"/>
            <w:gridSpan w:val="2"/>
            <w:tcBorders>
              <w:top w:val="single" w:color="auto" w:sz="2" w:space="0"/>
              <w:left w:val="single" w:color="auto" w:sz="2" w:space="0"/>
              <w:bottom w:val="single" w:color="auto" w:sz="2" w:space="0"/>
              <w:right w:val="single" w:color="auto" w:sz="2" w:space="0"/>
            </w:tcBorders>
            <w:vAlign w:val="center"/>
          </w:tcPr>
          <w:p w14:paraId="11E47193">
            <w:pPr>
              <w:rPr>
                <w:rFonts w:hint="eastAsia"/>
              </w:rPr>
            </w:pPr>
            <w:r>
              <w:rPr>
                <w:rFonts w:hint="eastAsia"/>
              </w:rPr>
              <w:t>灭火方法</w:t>
            </w:r>
          </w:p>
        </w:tc>
        <w:tc>
          <w:tcPr>
            <w:tcW w:w="6467" w:type="dxa"/>
            <w:gridSpan w:val="11"/>
            <w:tcBorders>
              <w:top w:val="single" w:color="auto" w:sz="2" w:space="0"/>
              <w:left w:val="single" w:color="auto" w:sz="2" w:space="0"/>
              <w:bottom w:val="single" w:color="auto" w:sz="2" w:space="0"/>
              <w:right w:val="single" w:color="auto" w:sz="2" w:space="0"/>
            </w:tcBorders>
            <w:vAlign w:val="center"/>
          </w:tcPr>
          <w:p w14:paraId="03E5D272">
            <w:pPr>
              <w:rPr>
                <w:rFonts w:hint="eastAsia"/>
              </w:rPr>
            </w:pPr>
            <w:r>
              <w:rPr>
                <w:rFonts w:hint="eastAsia"/>
              </w:rPr>
              <w:t>喷水冷却容器，可能的话将容器从火场移至空旷处。处在火场中的容器若已变色或从安全泄压装置中产生声音，必须马上撤离.灭火剂：泡沫、干粉、二氧化碳、砂土。用水灭火无效。</w:t>
            </w:r>
          </w:p>
        </w:tc>
      </w:tr>
      <w:tr w14:paraId="2DFD33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640" w:hRule="atLeast"/>
        </w:trPr>
        <w:tc>
          <w:tcPr>
            <w:tcW w:w="281" w:type="dxa"/>
            <w:tcBorders>
              <w:top w:val="single" w:color="auto" w:sz="2" w:space="0"/>
              <w:left w:val="single" w:color="auto" w:sz="2" w:space="0"/>
              <w:bottom w:val="single" w:color="auto" w:sz="2" w:space="0"/>
              <w:right w:val="single" w:color="auto" w:sz="2" w:space="0"/>
            </w:tcBorders>
          </w:tcPr>
          <w:p w14:paraId="4C76EC1E">
            <w:pPr>
              <w:rPr>
                <w:rFonts w:hint="eastAsia"/>
              </w:rPr>
            </w:pPr>
            <w:r>
              <w:rPr>
                <w:rFonts w:hint="eastAsia"/>
              </w:rPr>
              <w:t>泄露</w:t>
            </w:r>
          </w:p>
          <w:p w14:paraId="094D1797">
            <w:pPr>
              <w:rPr>
                <w:rFonts w:hint="eastAsia"/>
              </w:rPr>
            </w:pPr>
            <w:r>
              <w:rPr>
                <w:rFonts w:hint="eastAsia"/>
              </w:rPr>
              <w:t>应</w:t>
            </w:r>
          </w:p>
          <w:p w14:paraId="6D8EA36A">
            <w:pPr>
              <w:rPr>
                <w:rFonts w:hint="eastAsia"/>
              </w:rPr>
            </w:pPr>
            <w:r>
              <w:rPr>
                <w:rFonts w:hint="eastAsia"/>
              </w:rPr>
              <w:t>急失</w:t>
            </w:r>
          </w:p>
        </w:tc>
        <w:tc>
          <w:tcPr>
            <w:tcW w:w="8505" w:type="dxa"/>
            <w:gridSpan w:val="13"/>
            <w:tcBorders>
              <w:top w:val="single" w:color="auto" w:sz="2" w:space="0"/>
              <w:left w:val="single" w:color="auto" w:sz="2" w:space="0"/>
              <w:bottom w:val="single" w:color="auto" w:sz="2" w:space="0"/>
              <w:right w:val="single" w:color="auto" w:sz="2" w:space="0"/>
            </w:tcBorders>
            <w:vAlign w:val="center"/>
          </w:tcPr>
          <w:p w14:paraId="1420161E">
            <w:pPr>
              <w:rPr>
                <w:rFonts w:hint="eastAsia"/>
              </w:rPr>
            </w:pPr>
            <w:r>
              <w:rPr>
                <w:rFonts w:hint="eastAsia"/>
              </w:rPr>
              <w:t>迅速撤离泄漏污染区人员至安全区，并进行隔离，严格限制出入。切断火源。建议应急处理人员戴自给正压式呼吸器，穿防毒服。尽可能切断泄漏源。防止流入下水道、排洪沟等限制性空间.小量泄漏：用活性炭或其它惰性材料吸收.也可以用不燃性分散剂制成的乳液刷洗，洗液稀释后放入废水系统。大量泄漏：构筑围堤或挖坑收容.用泡沫覆盖，降低蒸气灾害.用防爆泵转移至槽车或专用收集器内，回收或运至废物处理场所处置。</w:t>
            </w:r>
          </w:p>
        </w:tc>
      </w:tr>
      <w:tr w14:paraId="351DB6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140" w:hRule="atLeast"/>
        </w:trPr>
        <w:tc>
          <w:tcPr>
            <w:tcW w:w="281" w:type="dxa"/>
            <w:vMerge w:val="restart"/>
            <w:tcBorders>
              <w:top w:val="nil"/>
              <w:left w:val="single" w:color="auto" w:sz="2" w:space="0"/>
              <w:bottom w:val="single" w:color="auto" w:sz="2" w:space="0"/>
              <w:right w:val="single" w:color="auto" w:sz="2" w:space="0"/>
            </w:tcBorders>
            <w:vAlign w:val="center"/>
          </w:tcPr>
          <w:p w14:paraId="659D1FE4">
            <w:pPr>
              <w:rPr>
                <w:rFonts w:hint="eastAsia"/>
              </w:rPr>
            </w:pPr>
            <w:r>
              <w:rPr>
                <w:rFonts w:hint="eastAsia"/>
              </w:rPr>
              <w:t>操作处置与储存</w:t>
            </w:r>
          </w:p>
        </w:tc>
        <w:tc>
          <w:tcPr>
            <w:tcW w:w="1559" w:type="dxa"/>
            <w:tcBorders>
              <w:top w:val="single" w:color="auto" w:sz="2" w:space="0"/>
              <w:left w:val="single" w:color="auto" w:sz="2" w:space="0"/>
              <w:bottom w:val="single" w:color="auto" w:sz="2" w:space="0"/>
              <w:right w:val="single" w:color="auto" w:sz="2" w:space="0"/>
            </w:tcBorders>
            <w:vAlign w:val="center"/>
          </w:tcPr>
          <w:p w14:paraId="57DD4C50">
            <w:pPr>
              <w:rPr>
                <w:rFonts w:hint="eastAsia"/>
              </w:rPr>
            </w:pPr>
            <w:r>
              <w:rPr>
                <w:rFonts w:hint="eastAsia"/>
              </w:rPr>
              <w:t>操作注意事项</w:t>
            </w:r>
          </w:p>
        </w:tc>
        <w:tc>
          <w:tcPr>
            <w:tcW w:w="6946" w:type="dxa"/>
            <w:gridSpan w:val="12"/>
            <w:tcBorders>
              <w:top w:val="single" w:color="auto" w:sz="2" w:space="0"/>
              <w:left w:val="single" w:color="auto" w:sz="2" w:space="0"/>
              <w:bottom w:val="single" w:color="auto" w:sz="2" w:space="0"/>
              <w:right w:val="single" w:color="auto" w:sz="2" w:space="0"/>
            </w:tcBorders>
            <w:vAlign w:val="center"/>
          </w:tcPr>
          <w:p w14:paraId="5FC574C6">
            <w:pPr>
              <w:rPr>
                <w:rFonts w:hint="eastAsia"/>
              </w:rPr>
            </w:pPr>
            <w:r>
              <w:rPr>
                <w:rFonts w:hint="eastAsia"/>
              </w:rPr>
              <w:t>密闭操作，加强通风。操作人员必须经过专门培训，严格遵守操作规程，建议操作人员佩戴自吸过滤式防毒面具(半面罩)，戴化学安全防护眼镜，穿防毒物渗透工作服，戴橡胶耐油手套。远离火种、热源，工作场所严禁吸烟.使用防爆型的通风系统和设备.防止蒸气泄漏到工作场所空气中，避免与氧化剂接触。灌装时应控制流速，且有接地装置，防止静电积聚。搬运时要轻装轻卸，防止包装及容器损坏。配备相应品种和数量的消防器材及泄漏应急处理设备。倒空的容器可能残留有害物.</w:t>
            </w:r>
          </w:p>
        </w:tc>
      </w:tr>
      <w:tr w14:paraId="598781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20" w:hRule="atLeast"/>
        </w:trPr>
        <w:tc>
          <w:tcPr>
            <w:tcW w:w="281" w:type="dxa"/>
            <w:vMerge w:val="continue"/>
            <w:tcBorders>
              <w:top w:val="nil"/>
              <w:left w:val="single" w:color="auto" w:sz="2" w:space="0"/>
              <w:bottom w:val="single" w:color="auto" w:sz="2" w:space="0"/>
              <w:right w:val="single" w:color="auto" w:sz="2" w:space="0"/>
            </w:tcBorders>
            <w:vAlign w:val="center"/>
          </w:tcPr>
          <w:p w14:paraId="4FE9A683">
            <w:pPr>
              <w:rPr>
                <w:rFonts w:hint="eastAsia"/>
              </w:rPr>
            </w:pPr>
          </w:p>
        </w:tc>
        <w:tc>
          <w:tcPr>
            <w:tcW w:w="1559" w:type="dxa"/>
            <w:tcBorders>
              <w:top w:val="single" w:color="auto" w:sz="2" w:space="0"/>
              <w:left w:val="single" w:color="auto" w:sz="2" w:space="0"/>
              <w:bottom w:val="single" w:color="auto" w:sz="2" w:space="0"/>
              <w:right w:val="single" w:color="auto" w:sz="2" w:space="0"/>
            </w:tcBorders>
            <w:vAlign w:val="center"/>
          </w:tcPr>
          <w:p w14:paraId="51A5C72E">
            <w:pPr>
              <w:rPr>
                <w:rFonts w:hint="eastAsia"/>
              </w:rPr>
            </w:pPr>
            <w:r>
              <w:rPr>
                <w:rFonts w:hint="eastAsia"/>
              </w:rPr>
              <w:t>储存注意事项</w:t>
            </w:r>
          </w:p>
        </w:tc>
        <w:tc>
          <w:tcPr>
            <w:tcW w:w="6946" w:type="dxa"/>
            <w:gridSpan w:val="12"/>
            <w:tcBorders>
              <w:top w:val="single" w:color="auto" w:sz="2" w:space="0"/>
              <w:left w:val="single" w:color="auto" w:sz="2" w:space="0"/>
              <w:bottom w:val="single" w:color="auto" w:sz="2" w:space="0"/>
              <w:right w:val="single" w:color="auto" w:sz="2" w:space="0"/>
            </w:tcBorders>
            <w:vAlign w:val="center"/>
          </w:tcPr>
          <w:p w14:paraId="5FD71683">
            <w:pPr>
              <w:rPr>
                <w:rFonts w:hint="eastAsia"/>
              </w:rPr>
            </w:pPr>
            <w:r>
              <w:rPr>
                <w:rFonts w:hint="eastAsia"/>
              </w:rPr>
              <w:t>储存于阴凉、通风的库房.远离火种、热源.库温不宜超过30℃。保持容器密封。应与氧化剂分开存放，切忌混储。采用防爆型照明、通风设施。禁止使用易产生火花的机械设备和工具。储区应备有泄漏应急处理设备和合适的收容材料。</w:t>
            </w:r>
          </w:p>
        </w:tc>
      </w:tr>
      <w:tr w14:paraId="3A648F5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281" w:type="dxa"/>
            <w:vMerge w:val="restart"/>
            <w:tcBorders>
              <w:top w:val="single" w:color="auto" w:sz="2" w:space="0"/>
              <w:left w:val="single" w:color="auto" w:sz="2" w:space="0"/>
              <w:right w:val="single" w:color="auto" w:sz="2" w:space="0"/>
            </w:tcBorders>
            <w:vAlign w:val="center"/>
          </w:tcPr>
          <w:p w14:paraId="5F739B72">
            <w:pPr>
              <w:rPr>
                <w:rFonts w:hint="eastAsia"/>
              </w:rPr>
            </w:pPr>
            <w:r>
              <w:rPr>
                <w:rFonts w:hint="eastAsia"/>
              </w:rPr>
              <w:t>接</w:t>
            </w:r>
          </w:p>
          <w:p w14:paraId="3E80B4AA">
            <w:pPr>
              <w:rPr>
                <w:rFonts w:hint="eastAsia"/>
              </w:rPr>
            </w:pPr>
            <w:r>
              <w:rPr>
                <w:rFonts w:hint="eastAsia"/>
              </w:rPr>
              <w:t>触控制个体防护</w:t>
            </w:r>
          </w:p>
        </w:tc>
        <w:tc>
          <w:tcPr>
            <w:tcW w:w="1559" w:type="dxa"/>
            <w:tcBorders>
              <w:top w:val="single" w:color="auto" w:sz="2" w:space="0"/>
              <w:left w:val="single" w:color="auto" w:sz="2" w:space="0"/>
              <w:bottom w:val="single" w:color="auto" w:sz="2" w:space="0"/>
              <w:right w:val="single" w:color="auto" w:sz="2" w:space="0"/>
            </w:tcBorders>
            <w:vAlign w:val="center"/>
          </w:tcPr>
          <w:p w14:paraId="6A9FC66E">
            <w:pPr>
              <w:rPr>
                <w:rFonts w:hint="eastAsia"/>
              </w:rPr>
            </w:pPr>
            <w:r>
              <w:rPr>
                <w:rFonts w:hint="eastAsia"/>
              </w:rPr>
              <w:t>工程控制</w:t>
            </w:r>
          </w:p>
        </w:tc>
        <w:tc>
          <w:tcPr>
            <w:tcW w:w="6946" w:type="dxa"/>
            <w:gridSpan w:val="12"/>
            <w:tcBorders>
              <w:top w:val="single" w:color="auto" w:sz="2" w:space="0"/>
              <w:left w:val="single" w:color="auto" w:sz="2" w:space="0"/>
              <w:bottom w:val="single" w:color="auto" w:sz="2" w:space="0"/>
              <w:right w:val="single" w:color="auto" w:sz="2" w:space="0"/>
            </w:tcBorders>
            <w:vAlign w:val="center"/>
          </w:tcPr>
          <w:p w14:paraId="0E8C60A7">
            <w:pPr>
              <w:rPr>
                <w:rFonts w:hint="eastAsia"/>
              </w:rPr>
            </w:pPr>
            <w:r>
              <w:rPr>
                <w:rFonts w:hint="eastAsia"/>
              </w:rPr>
              <w:t>生产过程密闭，全面通风。</w:t>
            </w:r>
          </w:p>
        </w:tc>
      </w:tr>
      <w:tr w14:paraId="72711E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40" w:hRule="atLeast"/>
        </w:trPr>
        <w:tc>
          <w:tcPr>
            <w:tcW w:w="281" w:type="dxa"/>
            <w:vMerge w:val="continue"/>
            <w:tcBorders>
              <w:left w:val="single" w:color="auto" w:sz="2" w:space="0"/>
              <w:right w:val="single" w:color="auto" w:sz="2" w:space="0"/>
            </w:tcBorders>
            <w:vAlign w:val="center"/>
          </w:tcPr>
          <w:p w14:paraId="00230921">
            <w:pPr>
              <w:rPr>
                <w:rFonts w:hint="eastAsia"/>
              </w:rPr>
            </w:pPr>
          </w:p>
        </w:tc>
        <w:tc>
          <w:tcPr>
            <w:tcW w:w="1559" w:type="dxa"/>
            <w:tcBorders>
              <w:top w:val="single" w:color="auto" w:sz="2" w:space="0"/>
              <w:left w:val="single" w:color="auto" w:sz="2" w:space="0"/>
              <w:bottom w:val="single" w:color="auto" w:sz="2" w:space="0"/>
              <w:right w:val="single" w:color="auto" w:sz="2" w:space="0"/>
            </w:tcBorders>
            <w:vAlign w:val="center"/>
          </w:tcPr>
          <w:p w14:paraId="5B21E4C5">
            <w:pPr>
              <w:rPr>
                <w:rFonts w:hint="eastAsia"/>
              </w:rPr>
            </w:pPr>
            <w:r>
              <w:rPr>
                <w:rFonts w:hint="eastAsia"/>
              </w:rPr>
              <w:t>呼吸系统防护</w:t>
            </w:r>
          </w:p>
        </w:tc>
        <w:tc>
          <w:tcPr>
            <w:tcW w:w="6946" w:type="dxa"/>
            <w:gridSpan w:val="12"/>
            <w:tcBorders>
              <w:top w:val="single" w:color="auto" w:sz="2" w:space="0"/>
              <w:left w:val="single" w:color="auto" w:sz="2" w:space="0"/>
              <w:bottom w:val="single" w:color="auto" w:sz="2" w:space="0"/>
              <w:right w:val="single" w:color="auto" w:sz="2" w:space="0"/>
            </w:tcBorders>
            <w:vAlign w:val="center"/>
          </w:tcPr>
          <w:p w14:paraId="3E5232BC">
            <w:pPr>
              <w:rPr>
                <w:rFonts w:hint="eastAsia"/>
              </w:rPr>
            </w:pPr>
            <w:r>
              <w:rPr>
                <w:rFonts w:hint="eastAsia"/>
              </w:rPr>
              <w:t>空气中浓度超标时，佩戴自吸过滤式防毒面具(半面罩).紧急事态抢救或撤离时，应该佩戴空气呼吸器或氧气呼吸器。</w:t>
            </w:r>
          </w:p>
        </w:tc>
      </w:tr>
      <w:tr w14:paraId="5FDAD6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20" w:hRule="atLeast"/>
        </w:trPr>
        <w:tc>
          <w:tcPr>
            <w:tcW w:w="281" w:type="dxa"/>
            <w:vMerge w:val="continue"/>
            <w:tcBorders>
              <w:left w:val="single" w:color="auto" w:sz="2" w:space="0"/>
              <w:right w:val="single" w:color="auto" w:sz="2" w:space="0"/>
            </w:tcBorders>
            <w:vAlign w:val="center"/>
          </w:tcPr>
          <w:p w14:paraId="7898DFAE">
            <w:pPr>
              <w:rPr>
                <w:rFonts w:hint="eastAsia"/>
              </w:rPr>
            </w:pPr>
          </w:p>
        </w:tc>
        <w:tc>
          <w:tcPr>
            <w:tcW w:w="1559" w:type="dxa"/>
            <w:tcBorders>
              <w:top w:val="single" w:color="auto" w:sz="2" w:space="0"/>
              <w:left w:val="single" w:color="auto" w:sz="2" w:space="0"/>
              <w:bottom w:val="single" w:color="auto" w:sz="2" w:space="0"/>
              <w:right w:val="single" w:color="auto" w:sz="2" w:space="0"/>
            </w:tcBorders>
            <w:vAlign w:val="center"/>
          </w:tcPr>
          <w:p w14:paraId="1BCA15D1">
            <w:pPr>
              <w:rPr>
                <w:rFonts w:hint="eastAsia"/>
              </w:rPr>
            </w:pPr>
            <w:r>
              <w:rPr>
                <w:rFonts w:hint="eastAsia"/>
              </w:rPr>
              <w:t>眼睛防护</w:t>
            </w:r>
          </w:p>
        </w:tc>
        <w:tc>
          <w:tcPr>
            <w:tcW w:w="2839" w:type="dxa"/>
            <w:gridSpan w:val="5"/>
            <w:tcBorders>
              <w:top w:val="single" w:color="auto" w:sz="2" w:space="0"/>
              <w:left w:val="single" w:color="auto" w:sz="2" w:space="0"/>
              <w:bottom w:val="single" w:color="auto" w:sz="2" w:space="0"/>
              <w:right w:val="single" w:color="auto" w:sz="2" w:space="0"/>
            </w:tcBorders>
            <w:vAlign w:val="center"/>
          </w:tcPr>
          <w:p w14:paraId="32B3B34A">
            <w:pPr>
              <w:rPr>
                <w:rFonts w:hint="eastAsia"/>
              </w:rPr>
            </w:pPr>
            <w:r>
              <w:rPr>
                <w:rFonts w:hint="eastAsia"/>
              </w:rPr>
              <w:t>戴化学安全防护眼镜.</w:t>
            </w:r>
          </w:p>
        </w:tc>
        <w:tc>
          <w:tcPr>
            <w:tcW w:w="1560" w:type="dxa"/>
            <w:gridSpan w:val="2"/>
            <w:tcBorders>
              <w:top w:val="single" w:color="auto" w:sz="2" w:space="0"/>
              <w:left w:val="single" w:color="auto" w:sz="2" w:space="0"/>
              <w:bottom w:val="single" w:color="auto" w:sz="2" w:space="0"/>
              <w:right w:val="single" w:color="auto" w:sz="2" w:space="0"/>
            </w:tcBorders>
            <w:vAlign w:val="center"/>
          </w:tcPr>
          <w:p w14:paraId="32F1F8D9">
            <w:pPr>
              <w:rPr>
                <w:rFonts w:hint="eastAsia"/>
              </w:rPr>
            </w:pPr>
            <w:r>
              <w:rPr>
                <w:rFonts w:hint="eastAsia"/>
              </w:rPr>
              <w:t>身体防护</w:t>
            </w:r>
          </w:p>
        </w:tc>
        <w:tc>
          <w:tcPr>
            <w:tcW w:w="2547" w:type="dxa"/>
            <w:gridSpan w:val="5"/>
            <w:tcBorders>
              <w:top w:val="single" w:color="auto" w:sz="2" w:space="0"/>
              <w:left w:val="single" w:color="auto" w:sz="2" w:space="0"/>
              <w:bottom w:val="single" w:color="auto" w:sz="2" w:space="0"/>
              <w:right w:val="single" w:color="auto" w:sz="2" w:space="0"/>
            </w:tcBorders>
            <w:vAlign w:val="center"/>
          </w:tcPr>
          <w:p w14:paraId="07E463F1">
            <w:pPr>
              <w:rPr>
                <w:rFonts w:hint="eastAsia"/>
              </w:rPr>
            </w:pPr>
            <w:r>
              <w:rPr>
                <w:rFonts w:hint="eastAsia"/>
              </w:rPr>
              <w:t>穿防静电工作服</w:t>
            </w:r>
          </w:p>
        </w:tc>
      </w:tr>
      <w:tr w14:paraId="140ECB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0" w:hRule="atLeast"/>
        </w:trPr>
        <w:tc>
          <w:tcPr>
            <w:tcW w:w="281" w:type="dxa"/>
            <w:vMerge w:val="continue"/>
            <w:tcBorders>
              <w:left w:val="single" w:color="auto" w:sz="2" w:space="0"/>
              <w:right w:val="single" w:color="auto" w:sz="2" w:space="0"/>
            </w:tcBorders>
            <w:vAlign w:val="center"/>
          </w:tcPr>
          <w:p w14:paraId="69634D41">
            <w:pPr>
              <w:rPr>
                <w:rFonts w:hint="eastAsia"/>
              </w:rPr>
            </w:pPr>
          </w:p>
        </w:tc>
        <w:tc>
          <w:tcPr>
            <w:tcW w:w="1559" w:type="dxa"/>
            <w:tcBorders>
              <w:top w:val="single" w:color="auto" w:sz="2" w:space="0"/>
              <w:left w:val="single" w:color="auto" w:sz="2" w:space="0"/>
              <w:bottom w:val="single" w:color="auto" w:sz="2" w:space="0"/>
              <w:right w:val="single" w:color="auto" w:sz="2" w:space="0"/>
            </w:tcBorders>
            <w:vAlign w:val="center"/>
          </w:tcPr>
          <w:p w14:paraId="21979A45">
            <w:pPr>
              <w:rPr>
                <w:rFonts w:hint="eastAsia"/>
              </w:rPr>
            </w:pPr>
            <w:r>
              <w:rPr>
                <w:rFonts w:hint="eastAsia"/>
              </w:rPr>
              <w:t>手防护</w:t>
            </w:r>
          </w:p>
        </w:tc>
        <w:tc>
          <w:tcPr>
            <w:tcW w:w="6946" w:type="dxa"/>
            <w:gridSpan w:val="12"/>
            <w:tcBorders>
              <w:top w:val="single" w:color="auto" w:sz="2" w:space="0"/>
              <w:left w:val="single" w:color="auto" w:sz="2" w:space="0"/>
              <w:bottom w:val="single" w:color="auto" w:sz="2" w:space="0"/>
              <w:right w:val="single" w:color="auto" w:sz="2" w:space="0"/>
            </w:tcBorders>
            <w:vAlign w:val="center"/>
          </w:tcPr>
          <w:p w14:paraId="500612DF">
            <w:pPr>
              <w:rPr>
                <w:rFonts w:hint="eastAsia"/>
              </w:rPr>
            </w:pPr>
            <w:r>
              <w:rPr>
                <w:rFonts w:hint="eastAsia"/>
              </w:rPr>
              <w:t>戴橡胶耐油手套</w:t>
            </w:r>
          </w:p>
        </w:tc>
      </w:tr>
      <w:tr w14:paraId="10E0B7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40" w:hRule="atLeast"/>
        </w:trPr>
        <w:tc>
          <w:tcPr>
            <w:tcW w:w="281" w:type="dxa"/>
            <w:vMerge w:val="continue"/>
            <w:tcBorders>
              <w:left w:val="single" w:color="auto" w:sz="2" w:space="0"/>
              <w:bottom w:val="single" w:color="auto" w:sz="2" w:space="0"/>
              <w:right w:val="single" w:color="auto" w:sz="2" w:space="0"/>
            </w:tcBorders>
            <w:vAlign w:val="center"/>
          </w:tcPr>
          <w:p w14:paraId="16A6B86E">
            <w:pPr>
              <w:rPr>
                <w:rFonts w:hint="eastAsia"/>
              </w:rPr>
            </w:pPr>
          </w:p>
        </w:tc>
        <w:tc>
          <w:tcPr>
            <w:tcW w:w="1559" w:type="dxa"/>
            <w:tcBorders>
              <w:top w:val="single" w:color="auto" w:sz="2" w:space="0"/>
              <w:left w:val="single" w:color="auto" w:sz="2" w:space="0"/>
              <w:bottom w:val="single" w:color="auto" w:sz="2" w:space="0"/>
              <w:right w:val="single" w:color="auto" w:sz="2" w:space="0"/>
            </w:tcBorders>
            <w:vAlign w:val="center"/>
          </w:tcPr>
          <w:p w14:paraId="14FE1EBE">
            <w:pPr>
              <w:rPr>
                <w:rFonts w:hint="eastAsia"/>
              </w:rPr>
            </w:pPr>
            <w:r>
              <w:rPr>
                <w:rFonts w:hint="eastAsia"/>
              </w:rPr>
              <w:t>其他防护</w:t>
            </w:r>
          </w:p>
        </w:tc>
        <w:tc>
          <w:tcPr>
            <w:tcW w:w="6946" w:type="dxa"/>
            <w:gridSpan w:val="12"/>
            <w:tcBorders>
              <w:top w:val="single" w:color="auto" w:sz="2" w:space="0"/>
              <w:left w:val="single" w:color="auto" w:sz="2" w:space="0"/>
              <w:bottom w:val="single" w:color="auto" w:sz="2" w:space="0"/>
              <w:right w:val="single" w:color="auto" w:sz="2" w:space="0"/>
            </w:tcBorders>
            <w:vAlign w:val="center"/>
          </w:tcPr>
          <w:p w14:paraId="73EE1D23">
            <w:pPr>
              <w:rPr>
                <w:rFonts w:hint="eastAsia"/>
              </w:rPr>
            </w:pPr>
            <w:r>
              <w:rPr>
                <w:rFonts w:hint="eastAsia"/>
              </w:rPr>
              <w:t>工作现场严禁吸烟。注意个人清洁卫生。避免长期反复接触。</w:t>
            </w:r>
          </w:p>
        </w:tc>
      </w:tr>
      <w:tr w14:paraId="36DF1C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40" w:hRule="atLeast"/>
        </w:trPr>
        <w:tc>
          <w:tcPr>
            <w:tcW w:w="281" w:type="dxa"/>
            <w:vMerge w:val="restart"/>
            <w:tcBorders>
              <w:top w:val="nil"/>
              <w:left w:val="single" w:color="auto" w:sz="2" w:space="0"/>
              <w:bottom w:val="single" w:color="auto" w:sz="2" w:space="0"/>
              <w:right w:val="single" w:color="auto" w:sz="2" w:space="0"/>
            </w:tcBorders>
            <w:vAlign w:val="center"/>
          </w:tcPr>
          <w:p w14:paraId="17F84FDA">
            <w:pPr>
              <w:rPr>
                <w:rFonts w:hint="eastAsia"/>
              </w:rPr>
            </w:pPr>
            <w:r>
              <w:rPr>
                <w:rFonts w:hint="eastAsia"/>
              </w:rPr>
              <w:t>理化性质</w:t>
            </w:r>
          </w:p>
        </w:tc>
        <w:tc>
          <w:tcPr>
            <w:tcW w:w="1559" w:type="dxa"/>
            <w:tcBorders>
              <w:top w:val="single" w:color="auto" w:sz="2" w:space="0"/>
              <w:left w:val="single" w:color="auto" w:sz="2" w:space="0"/>
              <w:bottom w:val="single" w:color="auto" w:sz="2" w:space="0"/>
              <w:right w:val="single" w:color="auto" w:sz="2" w:space="0"/>
            </w:tcBorders>
            <w:vAlign w:val="center"/>
          </w:tcPr>
          <w:p w14:paraId="2C1C14E5">
            <w:pPr>
              <w:rPr>
                <w:rFonts w:hint="eastAsia"/>
              </w:rPr>
            </w:pPr>
            <w:r>
              <w:rPr>
                <w:rFonts w:hint="eastAsia"/>
              </w:rPr>
              <w:t>外观与性状</w:t>
            </w:r>
          </w:p>
        </w:tc>
        <w:tc>
          <w:tcPr>
            <w:tcW w:w="3259" w:type="dxa"/>
            <w:gridSpan w:val="6"/>
            <w:tcBorders>
              <w:top w:val="single" w:color="auto" w:sz="2" w:space="0"/>
              <w:left w:val="single" w:color="auto" w:sz="2" w:space="0"/>
              <w:bottom w:val="single" w:color="auto" w:sz="2" w:space="0"/>
              <w:right w:val="single" w:color="auto" w:sz="2" w:space="0"/>
            </w:tcBorders>
            <w:vAlign w:val="center"/>
          </w:tcPr>
          <w:p w14:paraId="4C5A5F98">
            <w:pPr>
              <w:rPr>
                <w:rFonts w:hint="eastAsia"/>
              </w:rPr>
            </w:pPr>
            <w:r>
              <w:rPr>
                <w:rFonts w:hint="eastAsia"/>
              </w:rPr>
              <w:t>无色透明液体，有汽油味.</w:t>
            </w:r>
          </w:p>
        </w:tc>
        <w:tc>
          <w:tcPr>
            <w:tcW w:w="2980" w:type="dxa"/>
            <w:gridSpan w:val="5"/>
            <w:tcBorders>
              <w:top w:val="single" w:color="auto" w:sz="2" w:space="0"/>
              <w:left w:val="single" w:color="auto" w:sz="2" w:space="0"/>
              <w:bottom w:val="single" w:color="auto" w:sz="2" w:space="0"/>
              <w:right w:val="single" w:color="auto" w:sz="2" w:space="0"/>
            </w:tcBorders>
            <w:vAlign w:val="center"/>
          </w:tcPr>
          <w:p w14:paraId="42123238">
            <w:pPr>
              <w:rPr>
                <w:rFonts w:hint="eastAsia"/>
              </w:rPr>
            </w:pPr>
            <w:r>
              <w:rPr>
                <w:rFonts w:hint="eastAsia"/>
              </w:rPr>
              <w:t>pH</w:t>
            </w:r>
          </w:p>
        </w:tc>
        <w:tc>
          <w:tcPr>
            <w:tcW w:w="707" w:type="dxa"/>
            <w:tcBorders>
              <w:top w:val="single" w:color="auto" w:sz="2" w:space="0"/>
              <w:left w:val="single" w:color="auto" w:sz="2" w:space="0"/>
              <w:bottom w:val="single" w:color="auto" w:sz="2" w:space="0"/>
              <w:right w:val="single" w:color="auto" w:sz="2" w:space="0"/>
            </w:tcBorders>
            <w:vAlign w:val="center"/>
          </w:tcPr>
          <w:p w14:paraId="4F1D6CAE">
            <w:pPr>
              <w:rPr>
                <w:rFonts w:hint="eastAsia"/>
              </w:rPr>
            </w:pPr>
            <w:r>
              <w:rPr>
                <w:rFonts w:hint="eastAsia"/>
              </w:rPr>
              <w:t>无资料</w:t>
            </w:r>
          </w:p>
        </w:tc>
      </w:tr>
      <w:tr w14:paraId="20ACC1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trPr>
        <w:tc>
          <w:tcPr>
            <w:tcW w:w="281" w:type="dxa"/>
            <w:vMerge w:val="continue"/>
            <w:tcBorders>
              <w:top w:val="nil"/>
              <w:left w:val="single" w:color="auto" w:sz="2" w:space="0"/>
              <w:bottom w:val="single" w:color="auto" w:sz="2" w:space="0"/>
              <w:right w:val="single" w:color="auto" w:sz="2" w:space="0"/>
            </w:tcBorders>
            <w:vAlign w:val="center"/>
          </w:tcPr>
          <w:p w14:paraId="2867DE38">
            <w:pPr>
              <w:rPr>
                <w:rFonts w:hint="eastAsia"/>
              </w:rPr>
            </w:pPr>
          </w:p>
        </w:tc>
        <w:tc>
          <w:tcPr>
            <w:tcW w:w="1559" w:type="dxa"/>
            <w:tcBorders>
              <w:top w:val="single" w:color="auto" w:sz="2" w:space="0"/>
              <w:left w:val="single" w:color="auto" w:sz="2" w:space="0"/>
              <w:bottom w:val="single" w:color="auto" w:sz="2" w:space="0"/>
              <w:right w:val="single" w:color="auto" w:sz="2" w:space="0"/>
            </w:tcBorders>
            <w:vAlign w:val="center"/>
          </w:tcPr>
          <w:p w14:paraId="33C4C8AF">
            <w:pPr>
              <w:rPr>
                <w:rFonts w:hint="eastAsia"/>
              </w:rPr>
            </w:pPr>
            <w:r>
              <w:rPr>
                <w:rFonts w:hint="eastAsia"/>
              </w:rPr>
              <w:t>熔点 (℃)</w:t>
            </w:r>
          </w:p>
        </w:tc>
        <w:tc>
          <w:tcPr>
            <w:tcW w:w="3259" w:type="dxa"/>
            <w:gridSpan w:val="6"/>
            <w:tcBorders>
              <w:top w:val="single" w:color="auto" w:sz="2" w:space="0"/>
              <w:left w:val="single" w:color="auto" w:sz="2" w:space="0"/>
              <w:bottom w:val="single" w:color="auto" w:sz="2" w:space="0"/>
              <w:right w:val="single" w:color="auto" w:sz="2" w:space="0"/>
            </w:tcBorders>
            <w:vAlign w:val="center"/>
          </w:tcPr>
          <w:p w14:paraId="1F53C036">
            <w:pPr>
              <w:rPr>
                <w:rFonts w:hint="eastAsia"/>
              </w:rPr>
            </w:pPr>
            <w:r>
              <w:rPr>
                <w:rFonts w:hint="eastAsia"/>
              </w:rPr>
              <w:t>/</w:t>
            </w:r>
          </w:p>
        </w:tc>
        <w:tc>
          <w:tcPr>
            <w:tcW w:w="2980" w:type="dxa"/>
            <w:gridSpan w:val="5"/>
            <w:tcBorders>
              <w:top w:val="single" w:color="auto" w:sz="2" w:space="0"/>
              <w:left w:val="single" w:color="auto" w:sz="2" w:space="0"/>
              <w:bottom w:val="single" w:color="auto" w:sz="2" w:space="0"/>
              <w:right w:val="single" w:color="auto" w:sz="2" w:space="0"/>
            </w:tcBorders>
            <w:vAlign w:val="center"/>
          </w:tcPr>
          <w:p w14:paraId="6B019AE7">
            <w:pPr>
              <w:rPr>
                <w:rFonts w:hint="eastAsia"/>
              </w:rPr>
            </w:pPr>
            <w:r>
              <w:rPr>
                <w:rFonts w:hint="eastAsia"/>
              </w:rPr>
              <w:t>相对密度 (水=1)</w:t>
            </w:r>
          </w:p>
        </w:tc>
        <w:tc>
          <w:tcPr>
            <w:tcW w:w="707" w:type="dxa"/>
            <w:tcBorders>
              <w:top w:val="single" w:color="auto" w:sz="2" w:space="0"/>
              <w:left w:val="single" w:color="auto" w:sz="2" w:space="0"/>
              <w:bottom w:val="single" w:color="auto" w:sz="2" w:space="0"/>
              <w:right w:val="single" w:color="auto" w:sz="2" w:space="0"/>
            </w:tcBorders>
            <w:vAlign w:val="center"/>
          </w:tcPr>
          <w:p w14:paraId="37A06E1B">
            <w:pPr>
              <w:rPr>
                <w:rFonts w:hint="eastAsia"/>
              </w:rPr>
            </w:pPr>
            <w:r>
              <w:rPr>
                <w:rFonts w:hint="eastAsia"/>
              </w:rPr>
              <w:t>0。80—0.89</w:t>
            </w:r>
          </w:p>
        </w:tc>
      </w:tr>
      <w:tr w14:paraId="5A5DA6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trPr>
        <w:tc>
          <w:tcPr>
            <w:tcW w:w="281" w:type="dxa"/>
            <w:vMerge w:val="continue"/>
            <w:tcBorders>
              <w:top w:val="nil"/>
              <w:left w:val="single" w:color="auto" w:sz="2" w:space="0"/>
              <w:bottom w:val="single" w:color="auto" w:sz="2" w:space="0"/>
              <w:right w:val="single" w:color="auto" w:sz="2" w:space="0"/>
            </w:tcBorders>
            <w:vAlign w:val="center"/>
          </w:tcPr>
          <w:p w14:paraId="1E90ADBA">
            <w:pPr>
              <w:rPr>
                <w:rFonts w:hint="eastAsia"/>
              </w:rPr>
            </w:pPr>
          </w:p>
        </w:tc>
        <w:tc>
          <w:tcPr>
            <w:tcW w:w="1559" w:type="dxa"/>
            <w:tcBorders>
              <w:top w:val="single" w:color="auto" w:sz="2" w:space="0"/>
              <w:left w:val="single" w:color="auto" w:sz="2" w:space="0"/>
              <w:bottom w:val="single" w:color="auto" w:sz="2" w:space="0"/>
              <w:right w:val="single" w:color="auto" w:sz="2" w:space="0"/>
            </w:tcBorders>
            <w:vAlign w:val="center"/>
          </w:tcPr>
          <w:p w14:paraId="2F65720B">
            <w:pPr>
              <w:rPr>
                <w:rFonts w:hint="eastAsia"/>
              </w:rPr>
            </w:pPr>
            <w:r>
              <w:rPr>
                <w:rFonts w:hint="eastAsia"/>
              </w:rPr>
              <w:t>沸点 (℃)</w:t>
            </w:r>
          </w:p>
        </w:tc>
        <w:tc>
          <w:tcPr>
            <w:tcW w:w="3259" w:type="dxa"/>
            <w:gridSpan w:val="6"/>
            <w:tcBorders>
              <w:top w:val="single" w:color="auto" w:sz="2" w:space="0"/>
              <w:left w:val="single" w:color="auto" w:sz="2" w:space="0"/>
              <w:bottom w:val="single" w:color="auto" w:sz="2" w:space="0"/>
              <w:right w:val="single" w:color="auto" w:sz="2" w:space="0"/>
            </w:tcBorders>
            <w:vAlign w:val="center"/>
          </w:tcPr>
          <w:p w14:paraId="61D4CFAF">
            <w:pPr>
              <w:rPr>
                <w:rFonts w:hint="eastAsia"/>
              </w:rPr>
            </w:pPr>
            <w:r>
              <w:rPr>
                <w:rFonts w:hint="eastAsia"/>
              </w:rPr>
              <w:t>85至170</w:t>
            </w:r>
          </w:p>
        </w:tc>
        <w:tc>
          <w:tcPr>
            <w:tcW w:w="2980" w:type="dxa"/>
            <w:gridSpan w:val="5"/>
            <w:tcBorders>
              <w:top w:val="single" w:color="auto" w:sz="2" w:space="0"/>
              <w:left w:val="single" w:color="auto" w:sz="2" w:space="0"/>
              <w:bottom w:val="single" w:color="auto" w:sz="2" w:space="0"/>
              <w:right w:val="single" w:color="auto" w:sz="2" w:space="0"/>
            </w:tcBorders>
            <w:vAlign w:val="center"/>
          </w:tcPr>
          <w:p w14:paraId="3C30558D">
            <w:pPr>
              <w:rPr>
                <w:rFonts w:hint="eastAsia"/>
              </w:rPr>
            </w:pPr>
            <w:r>
              <w:rPr>
                <w:rFonts w:hint="eastAsia"/>
              </w:rPr>
              <w:t>相对蒸气密度(空气=1)</w:t>
            </w:r>
          </w:p>
        </w:tc>
        <w:tc>
          <w:tcPr>
            <w:tcW w:w="707" w:type="dxa"/>
            <w:tcBorders>
              <w:top w:val="single" w:color="auto" w:sz="2" w:space="0"/>
              <w:left w:val="single" w:color="auto" w:sz="2" w:space="0"/>
              <w:bottom w:val="single" w:color="auto" w:sz="2" w:space="0"/>
              <w:right w:val="single" w:color="auto" w:sz="2" w:space="0"/>
            </w:tcBorders>
            <w:vAlign w:val="center"/>
          </w:tcPr>
          <w:p w14:paraId="254EC80F">
            <w:pPr>
              <w:rPr>
                <w:rFonts w:hint="eastAsia"/>
              </w:rPr>
            </w:pPr>
            <w:r>
              <w:rPr>
                <w:rFonts w:hint="eastAsia"/>
              </w:rPr>
              <w:t xml:space="preserve"> </w:t>
            </w:r>
          </w:p>
        </w:tc>
      </w:tr>
      <w:tr w14:paraId="0DFAB0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0" w:hRule="atLeast"/>
        </w:trPr>
        <w:tc>
          <w:tcPr>
            <w:tcW w:w="281" w:type="dxa"/>
            <w:vMerge w:val="continue"/>
            <w:tcBorders>
              <w:top w:val="nil"/>
              <w:left w:val="single" w:color="auto" w:sz="2" w:space="0"/>
              <w:bottom w:val="single" w:color="auto" w:sz="2" w:space="0"/>
              <w:right w:val="single" w:color="auto" w:sz="2" w:space="0"/>
            </w:tcBorders>
            <w:vAlign w:val="center"/>
          </w:tcPr>
          <w:p w14:paraId="55B6B4A1">
            <w:pPr>
              <w:rPr>
                <w:rFonts w:hint="eastAsia"/>
              </w:rPr>
            </w:pPr>
          </w:p>
        </w:tc>
        <w:tc>
          <w:tcPr>
            <w:tcW w:w="2498" w:type="dxa"/>
            <w:gridSpan w:val="3"/>
            <w:tcBorders>
              <w:top w:val="single" w:color="auto" w:sz="2" w:space="0"/>
              <w:left w:val="single" w:color="auto" w:sz="2" w:space="0"/>
              <w:bottom w:val="single" w:color="auto" w:sz="2" w:space="0"/>
              <w:right w:val="single" w:color="auto" w:sz="2" w:space="0"/>
            </w:tcBorders>
            <w:vAlign w:val="center"/>
          </w:tcPr>
          <w:p w14:paraId="5D3C61C6">
            <w:pPr>
              <w:rPr>
                <w:rFonts w:hint="eastAsia"/>
              </w:rPr>
            </w:pPr>
            <w:r>
              <w:rPr>
                <w:rFonts w:hint="eastAsia"/>
              </w:rPr>
              <w:t>饱和蒸气压(kPa)</w:t>
            </w:r>
          </w:p>
        </w:tc>
        <w:tc>
          <w:tcPr>
            <w:tcW w:w="2320" w:type="dxa"/>
            <w:gridSpan w:val="4"/>
            <w:tcBorders>
              <w:top w:val="single" w:color="auto" w:sz="2" w:space="0"/>
              <w:left w:val="single" w:color="auto" w:sz="2" w:space="0"/>
              <w:bottom w:val="single" w:color="auto" w:sz="2" w:space="0"/>
              <w:right w:val="single" w:color="auto" w:sz="2" w:space="0"/>
            </w:tcBorders>
            <w:vAlign w:val="center"/>
          </w:tcPr>
          <w:p w14:paraId="707FC83C">
            <w:pPr>
              <w:rPr>
                <w:rFonts w:hint="eastAsia"/>
              </w:rPr>
            </w:pPr>
            <w:r>
              <w:rPr>
                <w:rFonts w:hint="eastAsia"/>
              </w:rPr>
              <w:t>/</w:t>
            </w:r>
          </w:p>
        </w:tc>
        <w:tc>
          <w:tcPr>
            <w:tcW w:w="2560" w:type="dxa"/>
            <w:gridSpan w:val="4"/>
            <w:tcBorders>
              <w:top w:val="single" w:color="auto" w:sz="2" w:space="0"/>
              <w:left w:val="single" w:color="auto" w:sz="2" w:space="0"/>
              <w:bottom w:val="single" w:color="auto" w:sz="2" w:space="0"/>
              <w:right w:val="single" w:color="auto" w:sz="2" w:space="0"/>
            </w:tcBorders>
            <w:vAlign w:val="center"/>
          </w:tcPr>
          <w:p w14:paraId="7131A7CB">
            <w:pPr>
              <w:rPr>
                <w:rFonts w:hint="eastAsia"/>
              </w:rPr>
            </w:pPr>
            <w:r>
              <w:rPr>
                <w:rFonts w:hint="eastAsia"/>
              </w:rPr>
              <w:t>燃烧热(kJ/ mol)</w:t>
            </w:r>
          </w:p>
        </w:tc>
        <w:tc>
          <w:tcPr>
            <w:tcW w:w="1127" w:type="dxa"/>
            <w:gridSpan w:val="2"/>
            <w:tcBorders>
              <w:top w:val="single" w:color="auto" w:sz="2" w:space="0"/>
              <w:left w:val="single" w:color="auto" w:sz="2" w:space="0"/>
              <w:bottom w:val="single" w:color="auto" w:sz="2" w:space="0"/>
              <w:right w:val="single" w:color="auto" w:sz="2" w:space="0"/>
            </w:tcBorders>
            <w:vAlign w:val="center"/>
          </w:tcPr>
          <w:p w14:paraId="18FF1CA5">
            <w:pPr>
              <w:rPr>
                <w:rFonts w:hint="eastAsia"/>
              </w:rPr>
            </w:pPr>
            <w:r>
              <w:rPr>
                <w:rFonts w:hint="eastAsia"/>
              </w:rPr>
              <w:t>/</w:t>
            </w:r>
          </w:p>
        </w:tc>
      </w:tr>
      <w:tr w14:paraId="472E22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trPr>
        <w:tc>
          <w:tcPr>
            <w:tcW w:w="281" w:type="dxa"/>
            <w:vMerge w:val="continue"/>
            <w:tcBorders>
              <w:top w:val="nil"/>
              <w:left w:val="single" w:color="auto" w:sz="2" w:space="0"/>
              <w:bottom w:val="single" w:color="auto" w:sz="2" w:space="0"/>
              <w:right w:val="single" w:color="auto" w:sz="2" w:space="0"/>
            </w:tcBorders>
            <w:vAlign w:val="center"/>
          </w:tcPr>
          <w:p w14:paraId="6546483A">
            <w:pPr>
              <w:rPr>
                <w:rFonts w:hint="eastAsia"/>
              </w:rPr>
            </w:pPr>
          </w:p>
        </w:tc>
        <w:tc>
          <w:tcPr>
            <w:tcW w:w="3578" w:type="dxa"/>
            <w:gridSpan w:val="4"/>
            <w:tcBorders>
              <w:top w:val="single" w:color="auto" w:sz="2" w:space="0"/>
              <w:left w:val="single" w:color="auto" w:sz="2" w:space="0"/>
              <w:bottom w:val="single" w:color="auto" w:sz="2" w:space="0"/>
              <w:right w:val="single" w:color="auto" w:sz="2" w:space="0"/>
            </w:tcBorders>
            <w:vAlign w:val="center"/>
          </w:tcPr>
          <w:p w14:paraId="544DBFA5">
            <w:pPr>
              <w:rPr>
                <w:rFonts w:hint="eastAsia"/>
              </w:rPr>
            </w:pPr>
            <w:r>
              <w:rPr>
                <w:rFonts w:hint="eastAsia"/>
              </w:rPr>
              <w:t>临界温度(℃)</w:t>
            </w:r>
          </w:p>
        </w:tc>
        <w:tc>
          <w:tcPr>
            <w:tcW w:w="1240" w:type="dxa"/>
            <w:gridSpan w:val="3"/>
            <w:tcBorders>
              <w:top w:val="single" w:color="auto" w:sz="2" w:space="0"/>
              <w:left w:val="single" w:color="auto" w:sz="2" w:space="0"/>
              <w:bottom w:val="single" w:color="auto" w:sz="2" w:space="0"/>
              <w:right w:val="single" w:color="auto" w:sz="2" w:space="0"/>
            </w:tcBorders>
            <w:vAlign w:val="center"/>
          </w:tcPr>
          <w:p w14:paraId="45BE1055">
            <w:pPr>
              <w:rPr>
                <w:rFonts w:hint="eastAsia"/>
              </w:rPr>
            </w:pPr>
            <w:r>
              <w:rPr>
                <w:rFonts w:hint="eastAsia"/>
              </w:rPr>
              <w:t>/</w:t>
            </w:r>
          </w:p>
        </w:tc>
        <w:tc>
          <w:tcPr>
            <w:tcW w:w="2980" w:type="dxa"/>
            <w:gridSpan w:val="5"/>
            <w:tcBorders>
              <w:top w:val="single" w:color="auto" w:sz="2" w:space="0"/>
              <w:left w:val="single" w:color="auto" w:sz="2" w:space="0"/>
              <w:bottom w:val="single" w:color="auto" w:sz="2" w:space="0"/>
              <w:right w:val="single" w:color="auto" w:sz="2" w:space="0"/>
            </w:tcBorders>
            <w:vAlign w:val="center"/>
          </w:tcPr>
          <w:p w14:paraId="27855C3B">
            <w:pPr>
              <w:rPr>
                <w:rFonts w:hint="eastAsia"/>
              </w:rPr>
            </w:pPr>
            <w:r>
              <w:rPr>
                <w:rFonts w:hint="eastAsia"/>
              </w:rPr>
              <w:t>临界压力(MPa)</w:t>
            </w:r>
          </w:p>
        </w:tc>
        <w:tc>
          <w:tcPr>
            <w:tcW w:w="707" w:type="dxa"/>
            <w:tcBorders>
              <w:top w:val="single" w:color="auto" w:sz="2" w:space="0"/>
              <w:left w:val="single" w:color="auto" w:sz="2" w:space="0"/>
              <w:bottom w:val="single" w:color="auto" w:sz="2" w:space="0"/>
              <w:right w:val="single" w:color="auto" w:sz="2" w:space="0"/>
            </w:tcBorders>
            <w:vAlign w:val="center"/>
          </w:tcPr>
          <w:p w14:paraId="4230049F">
            <w:pPr>
              <w:rPr>
                <w:rFonts w:hint="eastAsia"/>
              </w:rPr>
            </w:pPr>
            <w:r>
              <w:rPr>
                <w:rFonts w:hint="eastAsia"/>
              </w:rPr>
              <w:t>/</w:t>
            </w:r>
          </w:p>
        </w:tc>
      </w:tr>
      <w:tr w14:paraId="02C5F2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0" w:hRule="atLeast"/>
        </w:trPr>
        <w:tc>
          <w:tcPr>
            <w:tcW w:w="281" w:type="dxa"/>
            <w:vMerge w:val="continue"/>
            <w:tcBorders>
              <w:top w:val="nil"/>
              <w:left w:val="single" w:color="auto" w:sz="2" w:space="0"/>
              <w:bottom w:val="single" w:color="auto" w:sz="2" w:space="0"/>
              <w:right w:val="single" w:color="auto" w:sz="2" w:space="0"/>
            </w:tcBorders>
            <w:vAlign w:val="center"/>
          </w:tcPr>
          <w:p w14:paraId="4FF420CE">
            <w:pPr>
              <w:rPr>
                <w:rFonts w:hint="eastAsia"/>
              </w:rPr>
            </w:pPr>
          </w:p>
        </w:tc>
        <w:tc>
          <w:tcPr>
            <w:tcW w:w="3578" w:type="dxa"/>
            <w:gridSpan w:val="4"/>
            <w:tcBorders>
              <w:top w:val="single" w:color="auto" w:sz="2" w:space="0"/>
              <w:left w:val="single" w:color="auto" w:sz="2" w:space="0"/>
              <w:bottom w:val="single" w:color="auto" w:sz="2" w:space="0"/>
              <w:right w:val="single" w:color="auto" w:sz="2" w:space="0"/>
            </w:tcBorders>
            <w:vAlign w:val="center"/>
          </w:tcPr>
          <w:p w14:paraId="639B6B41">
            <w:pPr>
              <w:rPr>
                <w:rFonts w:hint="eastAsia"/>
              </w:rPr>
            </w:pPr>
            <w:r>
              <w:rPr>
                <w:rFonts w:hint="eastAsia"/>
              </w:rPr>
              <w:t>辛醇/水分配系数的对数值</w:t>
            </w:r>
          </w:p>
        </w:tc>
        <w:tc>
          <w:tcPr>
            <w:tcW w:w="1240" w:type="dxa"/>
            <w:gridSpan w:val="3"/>
            <w:tcBorders>
              <w:top w:val="single" w:color="auto" w:sz="2" w:space="0"/>
              <w:left w:val="single" w:color="auto" w:sz="2" w:space="0"/>
              <w:bottom w:val="single" w:color="auto" w:sz="2" w:space="0"/>
              <w:right w:val="single" w:color="auto" w:sz="2" w:space="0"/>
            </w:tcBorders>
            <w:vAlign w:val="center"/>
          </w:tcPr>
          <w:p w14:paraId="5C6E9672">
            <w:pPr>
              <w:rPr>
                <w:rFonts w:hint="eastAsia"/>
              </w:rPr>
            </w:pPr>
            <w:r>
              <w:rPr>
                <w:rFonts w:hint="eastAsia"/>
              </w:rPr>
              <w:t>/</w:t>
            </w:r>
          </w:p>
        </w:tc>
        <w:tc>
          <w:tcPr>
            <w:tcW w:w="2980" w:type="dxa"/>
            <w:gridSpan w:val="5"/>
            <w:tcBorders>
              <w:top w:val="single" w:color="auto" w:sz="2" w:space="0"/>
              <w:left w:val="single" w:color="auto" w:sz="2" w:space="0"/>
              <w:bottom w:val="single" w:color="auto" w:sz="2" w:space="0"/>
              <w:right w:val="single" w:color="auto" w:sz="2" w:space="0"/>
            </w:tcBorders>
            <w:vAlign w:val="center"/>
          </w:tcPr>
          <w:p w14:paraId="198E7A98">
            <w:pPr>
              <w:rPr>
                <w:rFonts w:hint="eastAsia"/>
              </w:rPr>
            </w:pPr>
            <w:r>
              <w:rPr>
                <w:rFonts w:hint="eastAsia"/>
              </w:rPr>
              <w:t>闪点(℃)</w:t>
            </w:r>
          </w:p>
        </w:tc>
        <w:tc>
          <w:tcPr>
            <w:tcW w:w="707" w:type="dxa"/>
            <w:tcBorders>
              <w:top w:val="single" w:color="auto" w:sz="2" w:space="0"/>
              <w:left w:val="single" w:color="auto" w:sz="2" w:space="0"/>
              <w:bottom w:val="single" w:color="auto" w:sz="2" w:space="0"/>
              <w:right w:val="single" w:color="auto" w:sz="2" w:space="0"/>
            </w:tcBorders>
            <w:vAlign w:val="center"/>
          </w:tcPr>
          <w:p w14:paraId="0A01D145">
            <w:pPr>
              <w:rPr>
                <w:rFonts w:hint="eastAsia"/>
              </w:rPr>
            </w:pPr>
            <w:r>
              <w:rPr>
                <w:rFonts w:hint="eastAsia"/>
              </w:rPr>
              <w:t>18-23</w:t>
            </w:r>
          </w:p>
        </w:tc>
      </w:tr>
      <w:tr w14:paraId="6C8148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trPr>
        <w:tc>
          <w:tcPr>
            <w:tcW w:w="281" w:type="dxa"/>
            <w:vMerge w:val="continue"/>
            <w:tcBorders>
              <w:top w:val="nil"/>
              <w:left w:val="single" w:color="auto" w:sz="2" w:space="0"/>
              <w:bottom w:val="single" w:color="auto" w:sz="2" w:space="0"/>
              <w:right w:val="single" w:color="auto" w:sz="2" w:space="0"/>
            </w:tcBorders>
            <w:vAlign w:val="center"/>
          </w:tcPr>
          <w:p w14:paraId="7EF2E9F5">
            <w:pPr>
              <w:rPr>
                <w:rFonts w:hint="eastAsia"/>
              </w:rPr>
            </w:pPr>
          </w:p>
        </w:tc>
        <w:tc>
          <w:tcPr>
            <w:tcW w:w="3578" w:type="dxa"/>
            <w:gridSpan w:val="4"/>
            <w:tcBorders>
              <w:top w:val="single" w:color="auto" w:sz="2" w:space="0"/>
              <w:left w:val="single" w:color="auto" w:sz="2" w:space="0"/>
              <w:bottom w:val="single" w:color="auto" w:sz="2" w:space="0"/>
              <w:right w:val="single" w:color="auto" w:sz="2" w:space="0"/>
            </w:tcBorders>
            <w:vAlign w:val="center"/>
          </w:tcPr>
          <w:p w14:paraId="48066773">
            <w:pPr>
              <w:rPr>
                <w:rFonts w:hint="eastAsia"/>
              </w:rPr>
            </w:pPr>
            <w:r>
              <w:rPr>
                <w:rFonts w:hint="eastAsia"/>
              </w:rPr>
              <w:t>爆炸上限%(V/V)</w:t>
            </w:r>
          </w:p>
        </w:tc>
        <w:tc>
          <w:tcPr>
            <w:tcW w:w="1240" w:type="dxa"/>
            <w:gridSpan w:val="3"/>
            <w:tcBorders>
              <w:top w:val="single" w:color="auto" w:sz="2" w:space="0"/>
              <w:left w:val="single" w:color="auto" w:sz="2" w:space="0"/>
              <w:bottom w:val="single" w:color="auto" w:sz="2" w:space="0"/>
              <w:right w:val="single" w:color="auto" w:sz="2" w:space="0"/>
            </w:tcBorders>
            <w:vAlign w:val="center"/>
          </w:tcPr>
          <w:p w14:paraId="38BB7288">
            <w:pPr>
              <w:rPr>
                <w:rFonts w:hint="eastAsia"/>
              </w:rPr>
            </w:pPr>
            <w:r>
              <w:rPr>
                <w:rFonts w:hint="eastAsia"/>
              </w:rPr>
              <w:t>7.0</w:t>
            </w:r>
          </w:p>
        </w:tc>
        <w:tc>
          <w:tcPr>
            <w:tcW w:w="2980" w:type="dxa"/>
            <w:gridSpan w:val="5"/>
            <w:tcBorders>
              <w:top w:val="single" w:color="auto" w:sz="2" w:space="0"/>
              <w:left w:val="single" w:color="auto" w:sz="2" w:space="0"/>
              <w:bottom w:val="single" w:color="auto" w:sz="2" w:space="0"/>
              <w:right w:val="single" w:color="auto" w:sz="2" w:space="0"/>
            </w:tcBorders>
            <w:vAlign w:val="center"/>
          </w:tcPr>
          <w:p w14:paraId="0A259763">
            <w:pPr>
              <w:rPr>
                <w:rFonts w:hint="eastAsia"/>
              </w:rPr>
            </w:pPr>
            <w:r>
              <w:rPr>
                <w:rFonts w:hint="eastAsia"/>
              </w:rPr>
              <w:t>爆炸下限%(V/V)</w:t>
            </w:r>
          </w:p>
        </w:tc>
        <w:tc>
          <w:tcPr>
            <w:tcW w:w="707" w:type="dxa"/>
            <w:tcBorders>
              <w:top w:val="single" w:color="auto" w:sz="2" w:space="0"/>
              <w:left w:val="single" w:color="auto" w:sz="2" w:space="0"/>
              <w:bottom w:val="single" w:color="auto" w:sz="2" w:space="0"/>
              <w:right w:val="single" w:color="auto" w:sz="2" w:space="0"/>
            </w:tcBorders>
            <w:vAlign w:val="center"/>
          </w:tcPr>
          <w:p w14:paraId="5F2D6B7B">
            <w:pPr>
              <w:rPr>
                <w:rFonts w:hint="eastAsia"/>
              </w:rPr>
            </w:pPr>
            <w:r>
              <w:rPr>
                <w:rFonts w:hint="eastAsia"/>
              </w:rPr>
              <w:t>1.1</w:t>
            </w:r>
          </w:p>
        </w:tc>
      </w:tr>
      <w:tr w14:paraId="6F1773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0" w:hRule="atLeast"/>
        </w:trPr>
        <w:tc>
          <w:tcPr>
            <w:tcW w:w="281" w:type="dxa"/>
            <w:vMerge w:val="continue"/>
            <w:tcBorders>
              <w:top w:val="nil"/>
              <w:left w:val="single" w:color="auto" w:sz="2" w:space="0"/>
              <w:bottom w:val="single" w:color="auto" w:sz="2" w:space="0"/>
              <w:right w:val="single" w:color="auto" w:sz="2" w:space="0"/>
            </w:tcBorders>
            <w:vAlign w:val="center"/>
          </w:tcPr>
          <w:p w14:paraId="36C9B852">
            <w:pPr>
              <w:rPr>
                <w:rFonts w:hint="eastAsia"/>
              </w:rPr>
            </w:pPr>
          </w:p>
        </w:tc>
        <w:tc>
          <w:tcPr>
            <w:tcW w:w="3578" w:type="dxa"/>
            <w:gridSpan w:val="4"/>
            <w:tcBorders>
              <w:top w:val="single" w:color="auto" w:sz="2" w:space="0"/>
              <w:left w:val="single" w:color="auto" w:sz="2" w:space="0"/>
              <w:bottom w:val="single" w:color="auto" w:sz="2" w:space="0"/>
              <w:right w:val="single" w:color="auto" w:sz="2" w:space="0"/>
            </w:tcBorders>
            <w:vAlign w:val="center"/>
          </w:tcPr>
          <w:p w14:paraId="73B0ECF0">
            <w:pPr>
              <w:rPr>
                <w:rFonts w:hint="eastAsia"/>
              </w:rPr>
            </w:pPr>
            <w:r>
              <w:rPr>
                <w:rFonts w:hint="eastAsia"/>
              </w:rPr>
              <w:t>引燃温度 (℃)</w:t>
            </w:r>
          </w:p>
        </w:tc>
        <w:tc>
          <w:tcPr>
            <w:tcW w:w="1240" w:type="dxa"/>
            <w:gridSpan w:val="3"/>
            <w:tcBorders>
              <w:top w:val="single" w:color="auto" w:sz="2" w:space="0"/>
              <w:left w:val="single" w:color="auto" w:sz="2" w:space="0"/>
              <w:bottom w:val="single" w:color="auto" w:sz="2" w:space="0"/>
              <w:right w:val="single" w:color="auto" w:sz="2" w:space="0"/>
            </w:tcBorders>
            <w:vAlign w:val="center"/>
          </w:tcPr>
          <w:p w14:paraId="657EBA82">
            <w:pPr>
              <w:rPr>
                <w:rFonts w:hint="eastAsia"/>
              </w:rPr>
            </w:pPr>
            <w:r>
              <w:rPr>
                <w:rFonts w:hint="eastAsia"/>
              </w:rPr>
              <w:t>/</w:t>
            </w:r>
          </w:p>
        </w:tc>
        <w:tc>
          <w:tcPr>
            <w:tcW w:w="2980" w:type="dxa"/>
            <w:gridSpan w:val="5"/>
            <w:tcBorders>
              <w:top w:val="single" w:color="auto" w:sz="2" w:space="0"/>
              <w:left w:val="single" w:color="auto" w:sz="2" w:space="0"/>
              <w:bottom w:val="single" w:color="auto" w:sz="2" w:space="0"/>
              <w:right w:val="single" w:color="auto" w:sz="2" w:space="0"/>
            </w:tcBorders>
            <w:vAlign w:val="center"/>
          </w:tcPr>
          <w:p w14:paraId="49C5E8DD">
            <w:pPr>
              <w:rPr>
                <w:rFonts w:hint="eastAsia"/>
              </w:rPr>
            </w:pPr>
            <w:r>
              <w:rPr>
                <w:rFonts w:hint="eastAsia"/>
              </w:rPr>
              <w:t>溶解性</w:t>
            </w:r>
          </w:p>
        </w:tc>
        <w:tc>
          <w:tcPr>
            <w:tcW w:w="707" w:type="dxa"/>
            <w:tcBorders>
              <w:top w:val="single" w:color="auto" w:sz="2" w:space="0"/>
              <w:left w:val="single" w:color="auto" w:sz="2" w:space="0"/>
              <w:bottom w:val="single" w:color="auto" w:sz="2" w:space="0"/>
              <w:right w:val="single" w:color="auto" w:sz="2" w:space="0"/>
            </w:tcBorders>
            <w:vAlign w:val="center"/>
          </w:tcPr>
          <w:p w14:paraId="488345BE">
            <w:pPr>
              <w:rPr>
                <w:rFonts w:hint="eastAsia"/>
              </w:rPr>
            </w:pPr>
            <w:r>
              <w:rPr>
                <w:rFonts w:hint="eastAsia"/>
              </w:rPr>
              <w:t>不溶于水</w:t>
            </w:r>
          </w:p>
        </w:tc>
      </w:tr>
      <w:tr w14:paraId="4DAE4C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20" w:hRule="atLeast"/>
        </w:trPr>
        <w:tc>
          <w:tcPr>
            <w:tcW w:w="281" w:type="dxa"/>
            <w:vMerge w:val="continue"/>
            <w:tcBorders>
              <w:top w:val="nil"/>
              <w:left w:val="single" w:color="auto" w:sz="2" w:space="0"/>
              <w:bottom w:val="single" w:color="auto" w:sz="2" w:space="0"/>
              <w:right w:val="single" w:color="auto" w:sz="2" w:space="0"/>
            </w:tcBorders>
            <w:vAlign w:val="center"/>
          </w:tcPr>
          <w:p w14:paraId="71BA8BCC">
            <w:pPr>
              <w:rPr>
                <w:rFonts w:hint="eastAsia"/>
              </w:rPr>
            </w:pPr>
          </w:p>
        </w:tc>
        <w:tc>
          <w:tcPr>
            <w:tcW w:w="3578" w:type="dxa"/>
            <w:gridSpan w:val="4"/>
            <w:tcBorders>
              <w:top w:val="single" w:color="auto" w:sz="2" w:space="0"/>
              <w:left w:val="single" w:color="auto" w:sz="2" w:space="0"/>
              <w:bottom w:val="single" w:color="auto" w:sz="2" w:space="0"/>
              <w:right w:val="single" w:color="auto" w:sz="2" w:space="0"/>
            </w:tcBorders>
            <w:vAlign w:val="center"/>
          </w:tcPr>
          <w:p w14:paraId="1C91FB6F">
            <w:pPr>
              <w:rPr>
                <w:rFonts w:hint="eastAsia"/>
              </w:rPr>
            </w:pPr>
            <w:r>
              <w:rPr>
                <w:rFonts w:hint="eastAsia"/>
              </w:rPr>
              <w:t>主要用途</w:t>
            </w:r>
          </w:p>
        </w:tc>
        <w:tc>
          <w:tcPr>
            <w:tcW w:w="4927" w:type="dxa"/>
            <w:gridSpan w:val="9"/>
            <w:tcBorders>
              <w:top w:val="single" w:color="auto" w:sz="2" w:space="0"/>
              <w:left w:val="single" w:color="auto" w:sz="2" w:space="0"/>
              <w:bottom w:val="single" w:color="auto" w:sz="2" w:space="0"/>
              <w:right w:val="single" w:color="auto" w:sz="2" w:space="0"/>
            </w:tcBorders>
            <w:vAlign w:val="center"/>
          </w:tcPr>
          <w:p w14:paraId="2767A193">
            <w:pPr>
              <w:rPr>
                <w:rFonts w:hint="eastAsia"/>
              </w:rPr>
            </w:pPr>
            <w:r>
              <w:rPr>
                <w:rFonts w:hint="eastAsia"/>
              </w:rPr>
              <w:t>/</w:t>
            </w:r>
          </w:p>
        </w:tc>
      </w:tr>
      <w:tr w14:paraId="48B321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trPr>
        <w:tc>
          <w:tcPr>
            <w:tcW w:w="281" w:type="dxa"/>
            <w:vMerge w:val="restart"/>
            <w:tcBorders>
              <w:top w:val="nil"/>
              <w:left w:val="single" w:color="auto" w:sz="2" w:space="0"/>
              <w:bottom w:val="single" w:color="auto" w:sz="2" w:space="0"/>
              <w:right w:val="single" w:color="auto" w:sz="2" w:space="0"/>
            </w:tcBorders>
            <w:vAlign w:val="center"/>
          </w:tcPr>
          <w:p w14:paraId="32B900D9">
            <w:pPr>
              <w:rPr>
                <w:rFonts w:hint="eastAsia"/>
              </w:rPr>
            </w:pPr>
            <w:r>
              <w:rPr>
                <w:rFonts w:hint="eastAsia"/>
              </w:rPr>
              <w:t>运输信息</w:t>
            </w:r>
          </w:p>
        </w:tc>
        <w:tc>
          <w:tcPr>
            <w:tcW w:w="2498" w:type="dxa"/>
            <w:gridSpan w:val="3"/>
            <w:tcBorders>
              <w:top w:val="single" w:color="auto" w:sz="2" w:space="0"/>
              <w:left w:val="single" w:color="auto" w:sz="2" w:space="0"/>
              <w:bottom w:val="single" w:color="auto" w:sz="2" w:space="0"/>
              <w:right w:val="single" w:color="auto" w:sz="2" w:space="0"/>
            </w:tcBorders>
            <w:vAlign w:val="center"/>
          </w:tcPr>
          <w:p w14:paraId="7E624976">
            <w:pPr>
              <w:rPr>
                <w:rFonts w:hint="eastAsia"/>
              </w:rPr>
            </w:pPr>
            <w:r>
              <w:rPr>
                <w:rFonts w:hint="eastAsia"/>
              </w:rPr>
              <w:t>包装标志</w:t>
            </w:r>
          </w:p>
        </w:tc>
        <w:tc>
          <w:tcPr>
            <w:tcW w:w="2320" w:type="dxa"/>
            <w:gridSpan w:val="4"/>
            <w:tcBorders>
              <w:top w:val="single" w:color="auto" w:sz="2" w:space="0"/>
              <w:left w:val="single" w:color="auto" w:sz="2" w:space="0"/>
              <w:bottom w:val="single" w:color="auto" w:sz="2" w:space="0"/>
              <w:right w:val="single" w:color="auto" w:sz="2" w:space="0"/>
            </w:tcBorders>
            <w:vAlign w:val="center"/>
          </w:tcPr>
          <w:p w14:paraId="1BA942C2">
            <w:pPr>
              <w:rPr>
                <w:rFonts w:hint="eastAsia"/>
              </w:rPr>
            </w:pPr>
            <w:r>
              <w:rPr>
                <w:rFonts w:hint="eastAsia"/>
              </w:rPr>
              <w:t>易燃液体</w:t>
            </w:r>
          </w:p>
        </w:tc>
        <w:tc>
          <w:tcPr>
            <w:tcW w:w="2560" w:type="dxa"/>
            <w:gridSpan w:val="4"/>
            <w:tcBorders>
              <w:top w:val="single" w:color="auto" w:sz="2" w:space="0"/>
              <w:left w:val="single" w:color="auto" w:sz="2" w:space="0"/>
              <w:bottom w:val="single" w:color="auto" w:sz="2" w:space="0"/>
              <w:right w:val="single" w:color="auto" w:sz="2" w:space="0"/>
            </w:tcBorders>
            <w:vAlign w:val="center"/>
          </w:tcPr>
          <w:p w14:paraId="4772CEF0">
            <w:pPr>
              <w:rPr>
                <w:rFonts w:hint="eastAsia"/>
              </w:rPr>
            </w:pPr>
            <w:r>
              <w:rPr>
                <w:rFonts w:hint="eastAsia"/>
              </w:rPr>
              <w:t>包装类别</w:t>
            </w:r>
          </w:p>
        </w:tc>
        <w:tc>
          <w:tcPr>
            <w:tcW w:w="1127" w:type="dxa"/>
            <w:gridSpan w:val="2"/>
            <w:tcBorders>
              <w:top w:val="single" w:color="auto" w:sz="2" w:space="0"/>
              <w:left w:val="single" w:color="auto" w:sz="2" w:space="0"/>
              <w:bottom w:val="single" w:color="auto" w:sz="2" w:space="0"/>
              <w:right w:val="single" w:color="auto" w:sz="2" w:space="0"/>
            </w:tcBorders>
            <w:vAlign w:val="center"/>
          </w:tcPr>
          <w:p w14:paraId="1A79AB73">
            <w:pPr>
              <w:rPr>
                <w:rFonts w:hint="eastAsia"/>
              </w:rPr>
            </w:pPr>
            <w:r>
              <w:rPr>
                <w:rFonts w:hint="eastAsia"/>
              </w:rPr>
              <w:t>Ⅱ</w:t>
            </w:r>
          </w:p>
        </w:tc>
      </w:tr>
      <w:tr w14:paraId="33F825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20" w:hRule="atLeast"/>
        </w:trPr>
        <w:tc>
          <w:tcPr>
            <w:tcW w:w="281" w:type="dxa"/>
            <w:vMerge w:val="continue"/>
            <w:tcBorders>
              <w:top w:val="nil"/>
              <w:left w:val="single" w:color="auto" w:sz="2" w:space="0"/>
              <w:bottom w:val="single" w:color="auto" w:sz="2" w:space="0"/>
              <w:right w:val="single" w:color="auto" w:sz="2" w:space="0"/>
            </w:tcBorders>
            <w:vAlign w:val="center"/>
          </w:tcPr>
          <w:p w14:paraId="1B1C43EC">
            <w:pPr>
              <w:rPr>
                <w:rFonts w:hint="eastAsia"/>
              </w:rPr>
            </w:pPr>
          </w:p>
        </w:tc>
        <w:tc>
          <w:tcPr>
            <w:tcW w:w="1559" w:type="dxa"/>
            <w:tcBorders>
              <w:top w:val="single" w:color="auto" w:sz="2" w:space="0"/>
              <w:left w:val="single" w:color="auto" w:sz="2" w:space="0"/>
              <w:bottom w:val="single" w:color="auto" w:sz="2" w:space="0"/>
              <w:right w:val="single" w:color="auto" w:sz="2" w:space="0"/>
            </w:tcBorders>
            <w:vAlign w:val="center"/>
          </w:tcPr>
          <w:p w14:paraId="266672B4">
            <w:pPr>
              <w:rPr>
                <w:rFonts w:hint="eastAsia"/>
              </w:rPr>
            </w:pPr>
            <w:r>
              <w:rPr>
                <w:rFonts w:hint="eastAsia"/>
              </w:rPr>
              <w:t>包装方法</w:t>
            </w:r>
          </w:p>
        </w:tc>
        <w:tc>
          <w:tcPr>
            <w:tcW w:w="6946" w:type="dxa"/>
            <w:gridSpan w:val="12"/>
            <w:tcBorders>
              <w:top w:val="single" w:color="auto" w:sz="2" w:space="0"/>
              <w:left w:val="single" w:color="auto" w:sz="2" w:space="0"/>
              <w:bottom w:val="single" w:color="auto" w:sz="2" w:space="0"/>
              <w:right w:val="single" w:color="auto" w:sz="2" w:space="0"/>
            </w:tcBorders>
            <w:vAlign w:val="center"/>
          </w:tcPr>
          <w:p w14:paraId="434B1F2F">
            <w:pPr>
              <w:rPr>
                <w:rFonts w:hint="eastAsia"/>
              </w:rPr>
            </w:pPr>
            <w:r>
              <w:rPr>
                <w:rFonts w:hint="eastAsia"/>
              </w:rPr>
              <w:t>小开口钢桶；螺纹口玻璃瓶、铁盖压口玻璃瓶、塑料瓶或金属桶(罐)外普通木箱</w:t>
            </w:r>
          </w:p>
        </w:tc>
      </w:tr>
      <w:tr w14:paraId="1BE62B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340" w:hRule="atLeast"/>
        </w:trPr>
        <w:tc>
          <w:tcPr>
            <w:tcW w:w="281" w:type="dxa"/>
            <w:vMerge w:val="continue"/>
            <w:tcBorders>
              <w:top w:val="nil"/>
              <w:left w:val="single" w:color="auto" w:sz="2" w:space="0"/>
              <w:bottom w:val="single" w:color="auto" w:sz="2" w:space="0"/>
              <w:right w:val="single" w:color="auto" w:sz="2" w:space="0"/>
            </w:tcBorders>
            <w:vAlign w:val="center"/>
          </w:tcPr>
          <w:p w14:paraId="51D5510B">
            <w:pPr>
              <w:rPr>
                <w:rFonts w:hint="eastAsia"/>
              </w:rPr>
            </w:pPr>
          </w:p>
        </w:tc>
        <w:tc>
          <w:tcPr>
            <w:tcW w:w="1559" w:type="dxa"/>
            <w:tcBorders>
              <w:top w:val="single" w:color="auto" w:sz="2" w:space="0"/>
              <w:left w:val="single" w:color="auto" w:sz="2" w:space="0"/>
              <w:bottom w:val="single" w:color="auto" w:sz="2" w:space="0"/>
              <w:right w:val="single" w:color="auto" w:sz="2" w:space="0"/>
            </w:tcBorders>
            <w:vAlign w:val="center"/>
          </w:tcPr>
          <w:p w14:paraId="7F92E471">
            <w:pPr>
              <w:rPr>
                <w:rFonts w:hint="eastAsia"/>
              </w:rPr>
            </w:pPr>
            <w:r>
              <w:rPr>
                <w:rFonts w:hint="eastAsia"/>
              </w:rPr>
              <w:t>运输注意事项</w:t>
            </w:r>
          </w:p>
        </w:tc>
        <w:tc>
          <w:tcPr>
            <w:tcW w:w="6946" w:type="dxa"/>
            <w:gridSpan w:val="12"/>
            <w:tcBorders>
              <w:top w:val="single" w:color="auto" w:sz="2" w:space="0"/>
              <w:left w:val="single" w:color="auto" w:sz="2" w:space="0"/>
              <w:bottom w:val="single" w:color="auto" w:sz="2" w:space="0"/>
              <w:right w:val="single" w:color="auto" w:sz="2" w:space="0"/>
            </w:tcBorders>
            <w:vAlign w:val="center"/>
          </w:tcPr>
          <w:p w14:paraId="4152ADE6">
            <w:pPr>
              <w:rPr>
                <w:rFonts w:hint="eastAsia"/>
              </w:rPr>
            </w:pPr>
            <w:r>
              <w:rPr>
                <w:rFonts w:hint="eastAsia"/>
              </w:rPr>
              <w:t>运输时运输车辆应配备相应品种和数量的消防器材及泄漏应急处理设备。夏季最好早晚运输。运输时所用的槽(罐)车应有接地链，槽内可设孔隔板以减少震荡产生静电。严禁与氧化剂、酸类、碱类、食用化学品等混装混运.运输途中应防曝晒、雨淋，防高温.中途停留时应远离火种、热源、高温区。装运该物品的车辆排气管必须配备阻火装置，禁止使用易产生火花的机械设备和工具装卸。铁路运输时要禁止溜放，严禁用木船、水泥船散装运输。运输前应检查包装容器是否完整、密封，运输过程中要确保容器不泄露、不倒塌、不坠落、不损坏</w:t>
            </w:r>
          </w:p>
        </w:tc>
      </w:tr>
    </w:tbl>
    <w:p w14:paraId="76DA6660">
      <w:pPr>
        <w:jc w:val="center"/>
        <w:rPr>
          <w:rFonts w:hint="eastAsia"/>
        </w:rPr>
      </w:pPr>
      <w:r>
        <w:rPr>
          <w:rFonts w:hint="eastAsia"/>
          <w:b/>
          <w:bCs/>
        </w:rPr>
        <w:t>表6-7  MTBE 的理化及危险特性分析表</w:t>
      </w:r>
    </w:p>
    <w:tbl>
      <w:tblPr>
        <w:tblStyle w:val="16"/>
        <w:tblW w:w="879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416"/>
        <w:gridCol w:w="7"/>
        <w:gridCol w:w="1473"/>
        <w:gridCol w:w="2800"/>
        <w:gridCol w:w="2000"/>
        <w:gridCol w:w="2098"/>
      </w:tblGrid>
      <w:tr w14:paraId="174381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16" w:type="dxa"/>
            <w:vMerge w:val="restart"/>
            <w:tcBorders>
              <w:top w:val="single" w:color="auto" w:sz="2" w:space="0"/>
              <w:left w:val="single" w:color="auto" w:sz="2" w:space="0"/>
              <w:bottom w:val="single" w:color="auto" w:sz="2" w:space="0"/>
              <w:right w:val="single" w:color="auto" w:sz="2" w:space="0"/>
            </w:tcBorders>
            <w:vAlign w:val="center"/>
          </w:tcPr>
          <w:p w14:paraId="3E5A9752">
            <w:pPr>
              <w:rPr>
                <w:rFonts w:hint="eastAsia"/>
                <w:szCs w:val="21"/>
              </w:rPr>
            </w:pPr>
            <w:r>
              <w:rPr>
                <w:szCs w:val="21"/>
              </w:rPr>
              <w:t>化学品标识</w:t>
            </w:r>
          </w:p>
        </w:tc>
        <w:tc>
          <w:tcPr>
            <w:tcW w:w="1480" w:type="dxa"/>
            <w:gridSpan w:val="2"/>
            <w:tcBorders>
              <w:top w:val="single" w:color="auto" w:sz="2" w:space="0"/>
              <w:left w:val="single" w:color="auto" w:sz="2" w:space="0"/>
              <w:bottom w:val="single" w:color="auto" w:sz="2" w:space="0"/>
              <w:right w:val="single" w:color="auto" w:sz="2" w:space="0"/>
            </w:tcBorders>
            <w:vAlign w:val="center"/>
          </w:tcPr>
          <w:p w14:paraId="346C0B97">
            <w:pPr>
              <w:rPr>
                <w:rFonts w:hint="eastAsia"/>
                <w:szCs w:val="21"/>
              </w:rPr>
            </w:pPr>
            <w:r>
              <w:rPr>
                <w:szCs w:val="21"/>
              </w:rPr>
              <w:t>中文名称</w:t>
            </w:r>
          </w:p>
        </w:tc>
        <w:tc>
          <w:tcPr>
            <w:tcW w:w="2800" w:type="dxa"/>
            <w:tcBorders>
              <w:top w:val="single" w:color="auto" w:sz="2" w:space="0"/>
              <w:left w:val="single" w:color="auto" w:sz="2" w:space="0"/>
              <w:bottom w:val="single" w:color="auto" w:sz="2" w:space="0"/>
              <w:right w:val="single" w:color="auto" w:sz="2" w:space="0"/>
            </w:tcBorders>
            <w:vAlign w:val="center"/>
          </w:tcPr>
          <w:p w14:paraId="300581CA">
            <w:pPr>
              <w:rPr>
                <w:rFonts w:hint="eastAsia"/>
                <w:szCs w:val="21"/>
              </w:rPr>
            </w:pPr>
            <w:r>
              <w:rPr>
                <w:szCs w:val="21"/>
              </w:rPr>
              <w:t>甲基叔丁基醚</w:t>
            </w:r>
          </w:p>
        </w:tc>
        <w:tc>
          <w:tcPr>
            <w:tcW w:w="2000" w:type="dxa"/>
            <w:tcBorders>
              <w:top w:val="single" w:color="auto" w:sz="2" w:space="0"/>
              <w:left w:val="single" w:color="auto" w:sz="2" w:space="0"/>
              <w:bottom w:val="single" w:color="auto" w:sz="2" w:space="0"/>
              <w:right w:val="single" w:color="auto" w:sz="2" w:space="0"/>
            </w:tcBorders>
            <w:vAlign w:val="center"/>
          </w:tcPr>
          <w:p w14:paraId="5E50E55E">
            <w:pPr>
              <w:rPr>
                <w:rFonts w:hint="eastAsia"/>
                <w:szCs w:val="21"/>
              </w:rPr>
            </w:pPr>
            <w:r>
              <w:rPr>
                <w:szCs w:val="21"/>
              </w:rPr>
              <w:t>英文名称</w:t>
            </w:r>
          </w:p>
        </w:tc>
        <w:tc>
          <w:tcPr>
            <w:tcW w:w="2098" w:type="dxa"/>
            <w:tcBorders>
              <w:top w:val="single" w:color="auto" w:sz="2" w:space="0"/>
              <w:left w:val="single" w:color="auto" w:sz="2" w:space="0"/>
              <w:bottom w:val="single" w:color="auto" w:sz="2" w:space="0"/>
              <w:right w:val="single" w:color="auto" w:sz="2" w:space="0"/>
            </w:tcBorders>
            <w:vAlign w:val="center"/>
          </w:tcPr>
          <w:p w14:paraId="607C2FD2">
            <w:pPr>
              <w:rPr>
                <w:rFonts w:hint="eastAsia"/>
                <w:szCs w:val="21"/>
              </w:rPr>
            </w:pPr>
            <w:r>
              <w:rPr>
                <w:szCs w:val="21"/>
              </w:rPr>
              <w:t>Methyl tert-butyl ether</w:t>
            </w:r>
          </w:p>
        </w:tc>
      </w:tr>
      <w:tr w14:paraId="23ECB3F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16" w:type="dxa"/>
            <w:vMerge w:val="continue"/>
            <w:tcBorders>
              <w:top w:val="single" w:color="auto" w:sz="2" w:space="0"/>
              <w:left w:val="single" w:color="auto" w:sz="2" w:space="0"/>
              <w:bottom w:val="single" w:color="auto" w:sz="2" w:space="0"/>
              <w:right w:val="single" w:color="auto" w:sz="2" w:space="0"/>
            </w:tcBorders>
            <w:vAlign w:val="center"/>
          </w:tcPr>
          <w:p w14:paraId="13DE22DF">
            <w:pPr>
              <w:rPr>
                <w:rFonts w:hint="eastAsia"/>
                <w:szCs w:val="21"/>
              </w:rPr>
            </w:pPr>
          </w:p>
        </w:tc>
        <w:tc>
          <w:tcPr>
            <w:tcW w:w="1480" w:type="dxa"/>
            <w:gridSpan w:val="2"/>
            <w:tcBorders>
              <w:top w:val="single" w:color="auto" w:sz="2" w:space="0"/>
              <w:left w:val="single" w:color="auto" w:sz="2" w:space="0"/>
              <w:bottom w:val="single" w:color="auto" w:sz="2" w:space="0"/>
              <w:right w:val="single" w:color="auto" w:sz="2" w:space="0"/>
            </w:tcBorders>
            <w:vAlign w:val="center"/>
          </w:tcPr>
          <w:p w14:paraId="4BEC90B0">
            <w:pPr>
              <w:rPr>
                <w:rFonts w:hint="eastAsia"/>
                <w:szCs w:val="21"/>
              </w:rPr>
            </w:pPr>
            <w:r>
              <w:rPr>
                <w:szCs w:val="21"/>
              </w:rPr>
              <w:t>分子式</w:t>
            </w:r>
          </w:p>
        </w:tc>
        <w:tc>
          <w:tcPr>
            <w:tcW w:w="2800" w:type="dxa"/>
            <w:tcBorders>
              <w:top w:val="single" w:color="auto" w:sz="2" w:space="0"/>
              <w:left w:val="single" w:color="auto" w:sz="2" w:space="0"/>
              <w:bottom w:val="single" w:color="auto" w:sz="2" w:space="0"/>
              <w:right w:val="single" w:color="auto" w:sz="2" w:space="0"/>
            </w:tcBorders>
            <w:vAlign w:val="center"/>
          </w:tcPr>
          <w:p w14:paraId="4D779B4F">
            <w:pPr>
              <w:rPr>
                <w:rFonts w:hint="eastAsia"/>
                <w:szCs w:val="21"/>
              </w:rPr>
            </w:pPr>
            <w:r>
              <w:rPr>
                <w:szCs w:val="21"/>
              </w:rPr>
              <w:t xml:space="preserve"> C₅H₁₂O</w:t>
            </w:r>
          </w:p>
        </w:tc>
        <w:tc>
          <w:tcPr>
            <w:tcW w:w="2000" w:type="dxa"/>
            <w:tcBorders>
              <w:top w:val="single" w:color="auto" w:sz="2" w:space="0"/>
              <w:left w:val="single" w:color="auto" w:sz="2" w:space="0"/>
              <w:bottom w:val="single" w:color="auto" w:sz="2" w:space="0"/>
              <w:right w:val="single" w:color="auto" w:sz="2" w:space="0"/>
            </w:tcBorders>
            <w:vAlign w:val="center"/>
          </w:tcPr>
          <w:p w14:paraId="008E0AB5">
            <w:pPr>
              <w:rPr>
                <w:rFonts w:hint="eastAsia"/>
                <w:szCs w:val="21"/>
              </w:rPr>
            </w:pPr>
            <w:r>
              <w:rPr>
                <w:szCs w:val="21"/>
              </w:rPr>
              <w:t>相对分子量</w:t>
            </w:r>
          </w:p>
        </w:tc>
        <w:tc>
          <w:tcPr>
            <w:tcW w:w="2098" w:type="dxa"/>
            <w:tcBorders>
              <w:top w:val="single" w:color="auto" w:sz="2" w:space="0"/>
              <w:left w:val="single" w:color="auto" w:sz="2" w:space="0"/>
              <w:bottom w:val="single" w:color="auto" w:sz="2" w:space="0"/>
              <w:right w:val="single" w:color="auto" w:sz="2" w:space="0"/>
            </w:tcBorders>
            <w:vAlign w:val="center"/>
          </w:tcPr>
          <w:p w14:paraId="643D6F89">
            <w:pPr>
              <w:rPr>
                <w:rFonts w:hint="eastAsia"/>
                <w:szCs w:val="21"/>
              </w:rPr>
            </w:pPr>
            <w:r>
              <w:rPr>
                <w:szCs w:val="21"/>
              </w:rPr>
              <w:t>88.148</w:t>
            </w:r>
          </w:p>
        </w:tc>
      </w:tr>
      <w:tr w14:paraId="6FB2E2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16" w:type="dxa"/>
            <w:vMerge w:val="restart"/>
            <w:tcBorders>
              <w:top w:val="nil"/>
              <w:left w:val="single" w:color="auto" w:sz="2" w:space="0"/>
              <w:bottom w:val="single" w:color="auto" w:sz="2" w:space="0"/>
              <w:right w:val="single" w:color="auto" w:sz="2" w:space="0"/>
            </w:tcBorders>
            <w:vAlign w:val="center"/>
          </w:tcPr>
          <w:p w14:paraId="4ABFC2F9">
            <w:pPr>
              <w:rPr>
                <w:rFonts w:hint="eastAsia"/>
                <w:bCs/>
                <w:szCs w:val="21"/>
              </w:rPr>
            </w:pPr>
            <w:r>
              <w:rPr>
                <w:bCs/>
                <w:szCs w:val="21"/>
              </w:rPr>
              <w:t>成分/组成信息</w:t>
            </w:r>
          </w:p>
        </w:tc>
        <w:tc>
          <w:tcPr>
            <w:tcW w:w="1480" w:type="dxa"/>
            <w:gridSpan w:val="2"/>
            <w:tcBorders>
              <w:top w:val="single" w:color="auto" w:sz="2" w:space="0"/>
              <w:left w:val="single" w:color="auto" w:sz="2" w:space="0"/>
              <w:bottom w:val="single" w:color="auto" w:sz="2" w:space="0"/>
              <w:right w:val="single" w:color="auto" w:sz="2" w:space="0"/>
            </w:tcBorders>
            <w:vAlign w:val="center"/>
          </w:tcPr>
          <w:p w14:paraId="39A79A8E">
            <w:pPr>
              <w:rPr>
                <w:rFonts w:hint="eastAsia"/>
                <w:szCs w:val="21"/>
              </w:rPr>
            </w:pPr>
            <w:r>
              <w:rPr>
                <w:szCs w:val="21"/>
              </w:rPr>
              <w:t>成分名称</w:t>
            </w:r>
          </w:p>
        </w:tc>
        <w:tc>
          <w:tcPr>
            <w:tcW w:w="6898" w:type="dxa"/>
            <w:gridSpan w:val="3"/>
            <w:tcBorders>
              <w:top w:val="single" w:color="auto" w:sz="2" w:space="0"/>
              <w:left w:val="single" w:color="auto" w:sz="2" w:space="0"/>
              <w:bottom w:val="single" w:color="auto" w:sz="2" w:space="0"/>
              <w:right w:val="single" w:color="auto" w:sz="2" w:space="0"/>
            </w:tcBorders>
            <w:vAlign w:val="center"/>
          </w:tcPr>
          <w:p w14:paraId="6DE11A17">
            <w:pPr>
              <w:rPr>
                <w:rFonts w:hint="eastAsia"/>
                <w:szCs w:val="21"/>
              </w:rPr>
            </w:pPr>
            <w:r>
              <w:rPr>
                <w:szCs w:val="21"/>
              </w:rPr>
              <w:t>纯品</w:t>
            </w:r>
          </w:p>
        </w:tc>
      </w:tr>
      <w:tr w14:paraId="656280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16" w:type="dxa"/>
            <w:vMerge w:val="continue"/>
            <w:tcBorders>
              <w:top w:val="nil"/>
              <w:left w:val="single" w:color="auto" w:sz="2" w:space="0"/>
              <w:bottom w:val="single" w:color="auto" w:sz="2" w:space="0"/>
              <w:right w:val="single" w:color="auto" w:sz="2" w:space="0"/>
            </w:tcBorders>
            <w:vAlign w:val="center"/>
          </w:tcPr>
          <w:p w14:paraId="3CB216CD">
            <w:pPr>
              <w:rPr>
                <w:rFonts w:hint="eastAsia"/>
                <w:bCs/>
                <w:szCs w:val="21"/>
              </w:rPr>
            </w:pPr>
          </w:p>
        </w:tc>
        <w:tc>
          <w:tcPr>
            <w:tcW w:w="1480" w:type="dxa"/>
            <w:gridSpan w:val="2"/>
            <w:tcBorders>
              <w:top w:val="single" w:color="auto" w:sz="2" w:space="0"/>
              <w:left w:val="single" w:color="auto" w:sz="2" w:space="0"/>
              <w:bottom w:val="single" w:color="auto" w:sz="2" w:space="0"/>
              <w:right w:val="single" w:color="auto" w:sz="2" w:space="0"/>
            </w:tcBorders>
            <w:vAlign w:val="center"/>
          </w:tcPr>
          <w:p w14:paraId="172186B9">
            <w:pPr>
              <w:rPr>
                <w:rFonts w:hint="eastAsia"/>
                <w:szCs w:val="21"/>
              </w:rPr>
            </w:pPr>
            <w:r>
              <w:rPr>
                <w:b/>
                <w:szCs w:val="21"/>
              </w:rPr>
              <w:t>有害物成分</w:t>
            </w:r>
          </w:p>
        </w:tc>
        <w:tc>
          <w:tcPr>
            <w:tcW w:w="2800" w:type="dxa"/>
            <w:tcBorders>
              <w:top w:val="single" w:color="auto" w:sz="2" w:space="0"/>
              <w:left w:val="single" w:color="auto" w:sz="2" w:space="0"/>
              <w:bottom w:val="single" w:color="auto" w:sz="2" w:space="0"/>
              <w:right w:val="single" w:color="auto" w:sz="2" w:space="0"/>
            </w:tcBorders>
            <w:vAlign w:val="center"/>
          </w:tcPr>
          <w:p w14:paraId="7C3A2F49">
            <w:pPr>
              <w:rPr>
                <w:rFonts w:hint="eastAsia"/>
                <w:szCs w:val="21"/>
              </w:rPr>
            </w:pPr>
            <w:r>
              <w:rPr>
                <w:szCs w:val="21"/>
              </w:rPr>
              <w:t>/</w:t>
            </w:r>
          </w:p>
        </w:tc>
        <w:tc>
          <w:tcPr>
            <w:tcW w:w="2000" w:type="dxa"/>
            <w:tcBorders>
              <w:top w:val="single" w:color="auto" w:sz="2" w:space="0"/>
              <w:left w:val="single" w:color="auto" w:sz="2" w:space="0"/>
              <w:bottom w:val="single" w:color="auto" w:sz="2" w:space="0"/>
              <w:right w:val="single" w:color="auto" w:sz="2" w:space="0"/>
            </w:tcBorders>
            <w:vAlign w:val="center"/>
          </w:tcPr>
          <w:p w14:paraId="5F34F9AE">
            <w:pPr>
              <w:rPr>
                <w:rFonts w:hint="eastAsia"/>
                <w:szCs w:val="21"/>
              </w:rPr>
            </w:pPr>
            <w:r>
              <w:rPr>
                <w:szCs w:val="21"/>
              </w:rPr>
              <w:t>CASNO.</w:t>
            </w:r>
          </w:p>
        </w:tc>
        <w:tc>
          <w:tcPr>
            <w:tcW w:w="2098" w:type="dxa"/>
            <w:tcBorders>
              <w:top w:val="single" w:color="auto" w:sz="2" w:space="0"/>
              <w:left w:val="single" w:color="auto" w:sz="2" w:space="0"/>
              <w:bottom w:val="single" w:color="auto" w:sz="2" w:space="0"/>
              <w:right w:val="single" w:color="auto" w:sz="2" w:space="0"/>
            </w:tcBorders>
            <w:vAlign w:val="center"/>
          </w:tcPr>
          <w:p w14:paraId="0E5B7349">
            <w:pPr>
              <w:rPr>
                <w:rFonts w:hint="eastAsia"/>
                <w:szCs w:val="21"/>
              </w:rPr>
            </w:pPr>
            <w:r>
              <w:rPr>
                <w:szCs w:val="21"/>
              </w:rPr>
              <w:t>1634-04-4</w:t>
            </w:r>
          </w:p>
        </w:tc>
      </w:tr>
      <w:tr w14:paraId="464697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640" w:hRule="atLeast"/>
          <w:jc w:val="center"/>
        </w:trPr>
        <w:tc>
          <w:tcPr>
            <w:tcW w:w="416" w:type="dxa"/>
            <w:tcBorders>
              <w:top w:val="single" w:color="auto" w:sz="2" w:space="0"/>
              <w:left w:val="single" w:color="auto" w:sz="2" w:space="0"/>
              <w:bottom w:val="single" w:color="auto" w:sz="2" w:space="0"/>
              <w:right w:val="single" w:color="auto" w:sz="2" w:space="0"/>
            </w:tcBorders>
            <w:vAlign w:val="center"/>
          </w:tcPr>
          <w:p w14:paraId="0EEE44F0">
            <w:pPr>
              <w:rPr>
                <w:rFonts w:hint="eastAsia"/>
                <w:bCs/>
                <w:szCs w:val="21"/>
              </w:rPr>
            </w:pPr>
            <w:r>
              <w:rPr>
                <w:bCs/>
                <w:szCs w:val="21"/>
              </w:rPr>
              <w:t>危险性描述</w:t>
            </w:r>
          </w:p>
        </w:tc>
        <w:tc>
          <w:tcPr>
            <w:tcW w:w="8378" w:type="dxa"/>
            <w:gridSpan w:val="5"/>
            <w:tcBorders>
              <w:top w:val="single" w:color="auto" w:sz="2" w:space="0"/>
              <w:left w:val="single" w:color="auto" w:sz="2" w:space="0"/>
              <w:bottom w:val="single" w:color="auto" w:sz="2" w:space="0"/>
              <w:right w:val="single" w:color="auto" w:sz="2" w:space="0"/>
            </w:tcBorders>
          </w:tcPr>
          <w:p w14:paraId="65D75C7D">
            <w:pPr>
              <w:rPr>
                <w:rFonts w:hint="eastAsia"/>
                <w:szCs w:val="21"/>
              </w:rPr>
            </w:pPr>
            <w:r>
              <w:rPr>
                <w:b/>
                <w:szCs w:val="21"/>
              </w:rPr>
              <w:t>侵入途径：</w:t>
            </w:r>
            <w:r>
              <w:rPr>
                <w:szCs w:val="21"/>
              </w:rPr>
              <w:t>吸入、食入。</w:t>
            </w:r>
          </w:p>
          <w:p w14:paraId="1204152F">
            <w:pPr>
              <w:rPr>
                <w:rFonts w:hint="eastAsia"/>
                <w:szCs w:val="21"/>
              </w:rPr>
            </w:pPr>
            <w:r>
              <w:rPr>
                <w:b/>
                <w:szCs w:val="21"/>
              </w:rPr>
              <w:t>健康危害：</w:t>
            </w:r>
            <w:r>
              <w:rPr>
                <w:szCs w:val="21"/>
              </w:rPr>
              <w:t>本品蒸气或雾对眼睛、粘膜和上呼吸道有刺激作用，可引起化学性肺炎。对皮肤有刺激性。</w:t>
            </w:r>
          </w:p>
          <w:p w14:paraId="41AD6385">
            <w:pPr>
              <w:rPr>
                <w:rFonts w:hint="eastAsia"/>
                <w:szCs w:val="21"/>
              </w:rPr>
            </w:pPr>
            <w:r>
              <w:rPr>
                <w:b/>
                <w:szCs w:val="21"/>
              </w:rPr>
              <w:t>环境危害：</w:t>
            </w:r>
            <w:r>
              <w:rPr>
                <w:szCs w:val="21"/>
              </w:rPr>
              <w:t>对环境有害。</w:t>
            </w:r>
          </w:p>
          <w:p w14:paraId="33CFCF0B">
            <w:pPr>
              <w:rPr>
                <w:rFonts w:hint="eastAsia"/>
                <w:szCs w:val="21"/>
              </w:rPr>
            </w:pPr>
            <w:r>
              <w:rPr>
                <w:b/>
                <w:szCs w:val="21"/>
              </w:rPr>
              <w:t>燃爆危险：</w:t>
            </w:r>
            <w:r>
              <w:rPr>
                <w:szCs w:val="21"/>
              </w:rPr>
              <w:t>本品易燃，具刺激性。</w:t>
            </w:r>
          </w:p>
        </w:tc>
      </w:tr>
      <w:tr w14:paraId="5AF367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660" w:hRule="atLeast"/>
          <w:jc w:val="center"/>
        </w:trPr>
        <w:tc>
          <w:tcPr>
            <w:tcW w:w="416" w:type="dxa"/>
            <w:tcBorders>
              <w:top w:val="single" w:color="auto" w:sz="2" w:space="0"/>
              <w:left w:val="single" w:color="auto" w:sz="2" w:space="0"/>
              <w:bottom w:val="single" w:color="auto" w:sz="2" w:space="0"/>
              <w:right w:val="single" w:color="auto" w:sz="2" w:space="0"/>
            </w:tcBorders>
            <w:vAlign w:val="center"/>
          </w:tcPr>
          <w:p w14:paraId="1D39DC1A">
            <w:pPr>
              <w:rPr>
                <w:rFonts w:hint="eastAsia"/>
                <w:bCs/>
                <w:szCs w:val="21"/>
              </w:rPr>
            </w:pPr>
            <w:r>
              <w:rPr>
                <w:bCs/>
                <w:szCs w:val="21"/>
              </w:rPr>
              <w:t>急救措施</w:t>
            </w:r>
          </w:p>
        </w:tc>
        <w:tc>
          <w:tcPr>
            <w:tcW w:w="8378" w:type="dxa"/>
            <w:gridSpan w:val="5"/>
            <w:tcBorders>
              <w:top w:val="single" w:color="auto" w:sz="2" w:space="0"/>
              <w:left w:val="single" w:color="auto" w:sz="2" w:space="0"/>
              <w:bottom w:val="single" w:color="auto" w:sz="2" w:space="0"/>
              <w:right w:val="single" w:color="auto" w:sz="2" w:space="0"/>
            </w:tcBorders>
          </w:tcPr>
          <w:p w14:paraId="4FBDA25E">
            <w:pPr>
              <w:rPr>
                <w:rFonts w:hint="eastAsia"/>
                <w:szCs w:val="21"/>
              </w:rPr>
            </w:pPr>
            <w:r>
              <w:rPr>
                <w:b/>
                <w:szCs w:val="21"/>
              </w:rPr>
              <w:t>皮肤接触：</w:t>
            </w:r>
            <w:r>
              <w:rPr>
                <w:szCs w:val="21"/>
              </w:rPr>
              <w:t>脱去污染的衣着，用肥皂水和清水彻底冲洗皮肤。</w:t>
            </w:r>
          </w:p>
          <w:p w14:paraId="390AD095">
            <w:pPr>
              <w:rPr>
                <w:rFonts w:hint="eastAsia"/>
                <w:szCs w:val="21"/>
              </w:rPr>
            </w:pPr>
            <w:r>
              <w:rPr>
                <w:b/>
                <w:szCs w:val="21"/>
              </w:rPr>
              <w:t>眼睛接触：</w:t>
            </w:r>
            <w:r>
              <w:rPr>
                <w:szCs w:val="21"/>
              </w:rPr>
              <w:t>脱去污染的衣着，用肥皂水和清水彻底冲洗皮肤。</w:t>
            </w:r>
          </w:p>
          <w:p w14:paraId="6EF0B533">
            <w:pPr>
              <w:rPr>
                <w:rFonts w:hint="eastAsia"/>
                <w:szCs w:val="21"/>
              </w:rPr>
            </w:pPr>
            <w:r>
              <w:rPr>
                <w:b/>
                <w:szCs w:val="21"/>
              </w:rPr>
              <w:t>吸入：</w:t>
            </w:r>
            <w:r>
              <w:rPr>
                <w:szCs w:val="21"/>
              </w:rPr>
              <w:t>迅速脱离现场至空气新鲜处。保持呼吸道通畅。如呼吸困难，给输氧。如呼吸停止，立即进行人工呼吸。就医。</w:t>
            </w:r>
          </w:p>
          <w:p w14:paraId="236453E6">
            <w:pPr>
              <w:rPr>
                <w:rFonts w:hint="eastAsia"/>
                <w:szCs w:val="21"/>
              </w:rPr>
            </w:pPr>
            <w:r>
              <w:rPr>
                <w:b/>
                <w:szCs w:val="21"/>
              </w:rPr>
              <w:t>食入：</w:t>
            </w:r>
            <w:r>
              <w:rPr>
                <w:szCs w:val="21"/>
              </w:rPr>
              <w:t>饮足量温水，催吐。就医。</w:t>
            </w:r>
          </w:p>
        </w:tc>
      </w:tr>
      <w:tr w14:paraId="6C9145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00" w:hRule="atLeast"/>
          <w:jc w:val="center"/>
        </w:trPr>
        <w:tc>
          <w:tcPr>
            <w:tcW w:w="416" w:type="dxa"/>
            <w:tcBorders>
              <w:top w:val="single" w:color="auto" w:sz="2" w:space="0"/>
              <w:left w:val="single" w:color="auto" w:sz="2" w:space="0"/>
              <w:bottom w:val="single" w:color="auto" w:sz="2" w:space="0"/>
              <w:right w:val="single" w:color="auto" w:sz="2" w:space="0"/>
            </w:tcBorders>
            <w:vAlign w:val="center"/>
          </w:tcPr>
          <w:p w14:paraId="46D4E997">
            <w:pPr>
              <w:rPr>
                <w:rFonts w:hint="eastAsia"/>
                <w:bCs/>
                <w:szCs w:val="21"/>
              </w:rPr>
            </w:pPr>
            <w:r>
              <w:rPr>
                <w:bCs/>
                <w:szCs w:val="21"/>
              </w:rPr>
              <w:t>消防措施</w:t>
            </w:r>
          </w:p>
        </w:tc>
        <w:tc>
          <w:tcPr>
            <w:tcW w:w="8378" w:type="dxa"/>
            <w:gridSpan w:val="5"/>
            <w:tcBorders>
              <w:top w:val="single" w:color="auto" w:sz="2" w:space="0"/>
              <w:left w:val="single" w:color="auto" w:sz="2" w:space="0"/>
              <w:bottom w:val="single" w:color="auto" w:sz="2" w:space="0"/>
              <w:right w:val="single" w:color="auto" w:sz="2" w:space="0"/>
            </w:tcBorders>
          </w:tcPr>
          <w:p w14:paraId="711229E2">
            <w:pPr>
              <w:rPr>
                <w:rFonts w:hint="eastAsia"/>
                <w:szCs w:val="21"/>
              </w:rPr>
            </w:pPr>
            <w:r>
              <w:rPr>
                <w:b/>
                <w:szCs w:val="21"/>
              </w:rPr>
              <w:t>危险特性：</w:t>
            </w:r>
            <w:r>
              <w:rPr>
                <w:szCs w:val="21"/>
              </w:rPr>
              <w:t>易燃，其蒸气与空气可形成爆炸性混合物，遇明火、高热或与氧化剂接触，有引起燃烧爆炸的危险。与氧化剂接触猛烈反应。其蒸气比空气重，能在较低处扩散到相当远的地方，遇火源会着火回燃。</w:t>
            </w:r>
          </w:p>
          <w:p w14:paraId="60DDAFBF">
            <w:pPr>
              <w:rPr>
                <w:rFonts w:hint="eastAsia"/>
                <w:szCs w:val="21"/>
              </w:rPr>
            </w:pPr>
            <w:r>
              <w:rPr>
                <w:b/>
                <w:szCs w:val="21"/>
              </w:rPr>
              <w:t>有害燃烧产物：</w:t>
            </w:r>
            <w:r>
              <w:rPr>
                <w:szCs w:val="21"/>
              </w:rPr>
              <w:t>一氧化碳、二氧化碳。</w:t>
            </w:r>
          </w:p>
          <w:p w14:paraId="33AC1AEA">
            <w:pPr>
              <w:rPr>
                <w:rFonts w:hint="eastAsia"/>
                <w:szCs w:val="21"/>
              </w:rPr>
            </w:pPr>
            <w:r>
              <w:rPr>
                <w:b/>
                <w:szCs w:val="21"/>
              </w:rPr>
              <w:t>灭火方法：</w:t>
            </w:r>
            <w:r>
              <w:rPr>
                <w:szCs w:val="21"/>
              </w:rPr>
              <w:t>尽可能将容器从火场移至空旷处。喷水保持火场容器冷却，直至灭火结束。处在火场中的容器若已变色或从安全泄压装置中产生声音，必须马上撤离。灭火剂：抗溶性泡沫、干粉、二氧化碳、砂土。</w:t>
            </w:r>
          </w:p>
        </w:tc>
      </w:tr>
      <w:tr w14:paraId="301D64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660" w:hRule="atLeast"/>
          <w:jc w:val="center"/>
        </w:trPr>
        <w:tc>
          <w:tcPr>
            <w:tcW w:w="416" w:type="dxa"/>
            <w:tcBorders>
              <w:top w:val="single" w:color="auto" w:sz="2" w:space="0"/>
              <w:left w:val="single" w:color="auto" w:sz="2" w:space="0"/>
              <w:bottom w:val="single" w:color="auto" w:sz="2" w:space="0"/>
              <w:right w:val="single" w:color="auto" w:sz="2" w:space="0"/>
            </w:tcBorders>
            <w:vAlign w:val="center"/>
          </w:tcPr>
          <w:p w14:paraId="1C200AFC">
            <w:pPr>
              <w:rPr>
                <w:rFonts w:hint="eastAsia"/>
                <w:bCs/>
                <w:szCs w:val="21"/>
              </w:rPr>
            </w:pPr>
            <w:r>
              <w:rPr>
                <w:bCs/>
                <w:szCs w:val="21"/>
              </w:rPr>
              <w:t>泄漏应急处理</w:t>
            </w:r>
          </w:p>
        </w:tc>
        <w:tc>
          <w:tcPr>
            <w:tcW w:w="8378" w:type="dxa"/>
            <w:gridSpan w:val="5"/>
            <w:tcBorders>
              <w:top w:val="single" w:color="auto" w:sz="2" w:space="0"/>
              <w:left w:val="single" w:color="auto" w:sz="2" w:space="0"/>
              <w:bottom w:val="single" w:color="auto" w:sz="2" w:space="0"/>
              <w:right w:val="single" w:color="auto" w:sz="2" w:space="0"/>
            </w:tcBorders>
            <w:vAlign w:val="center"/>
          </w:tcPr>
          <w:p w14:paraId="1452308E">
            <w:pPr>
              <w:rPr>
                <w:rFonts w:hint="eastAsia"/>
                <w:szCs w:val="21"/>
              </w:rPr>
            </w:pPr>
            <w:r>
              <w:rPr>
                <w:szCs w:val="21"/>
              </w:rPr>
              <w:t>迅速撤离泄漏污染区人员至安全区，并进行隔离，严格限制出入。切断火源。建议应急处理人员戴自给正压式呼吸器，穿防静电工作服。尽可能切断泄漏源。防止流入下水道、排洪沟等限制性空间。小量泄漏：用砂土、蛭石或其它惰性材料吸收。大量泄漏：构筑围堤或挖坑收容。用泡沫覆盖，降低蒸气灾害。用防爆泵转移至槽车或专用收集器内，回收或运至废物处理场所处置。</w:t>
            </w:r>
          </w:p>
        </w:tc>
      </w:tr>
      <w:tr w14:paraId="4D4557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960" w:hRule="atLeast"/>
          <w:jc w:val="center"/>
        </w:trPr>
        <w:tc>
          <w:tcPr>
            <w:tcW w:w="416" w:type="dxa"/>
            <w:tcBorders>
              <w:top w:val="single" w:color="auto" w:sz="2" w:space="0"/>
              <w:left w:val="single" w:color="auto" w:sz="2" w:space="0"/>
              <w:bottom w:val="single" w:color="auto" w:sz="2" w:space="0"/>
              <w:right w:val="single" w:color="auto" w:sz="2" w:space="0"/>
            </w:tcBorders>
            <w:vAlign w:val="center"/>
          </w:tcPr>
          <w:p w14:paraId="729B8240">
            <w:pPr>
              <w:rPr>
                <w:rFonts w:hint="eastAsia"/>
                <w:bCs/>
                <w:szCs w:val="21"/>
              </w:rPr>
            </w:pPr>
            <w:r>
              <w:rPr>
                <w:bCs/>
                <w:szCs w:val="21"/>
              </w:rPr>
              <w:t>操作处置与储存</w:t>
            </w:r>
          </w:p>
        </w:tc>
        <w:tc>
          <w:tcPr>
            <w:tcW w:w="8378" w:type="dxa"/>
            <w:gridSpan w:val="5"/>
            <w:tcBorders>
              <w:top w:val="single" w:color="auto" w:sz="2" w:space="0"/>
              <w:left w:val="single" w:color="auto" w:sz="2" w:space="0"/>
              <w:bottom w:val="single" w:color="auto" w:sz="2" w:space="0"/>
              <w:right w:val="single" w:color="auto" w:sz="2" w:space="0"/>
            </w:tcBorders>
          </w:tcPr>
          <w:p w14:paraId="52E0C863">
            <w:pPr>
              <w:rPr>
                <w:rFonts w:hint="eastAsia"/>
                <w:szCs w:val="21"/>
              </w:rPr>
            </w:pPr>
            <w:r>
              <w:rPr>
                <w:b/>
                <w:szCs w:val="21"/>
              </w:rPr>
              <w:t>操作注意事项：</w:t>
            </w:r>
            <w:r>
              <w:rPr>
                <w:szCs w:val="21"/>
              </w:rPr>
              <w:t>密闭操作，全面通风。操作人员必须经过专门培训，严格遵守操作规程。建议操作人员佩戴过滤式防毒面具(半面罩)，戴化学安全防护眼镜，穿防静电工作服，戴橡胶耐油手套。远离火种、热源，工作场所严禁吸烟。使用防爆型的通风系统和设备。防止蒸气泄漏到工作场所空气中。避免与氧化剂接触。灌装时应控制流速，且有接地装置，防止静电积聚。搬运时要轻装轻卸，防止包装及容器损坏。配备相应品种和数量的消防器材及泄漏应急处理设备。倒空的容器可能残留有害物。</w:t>
            </w:r>
          </w:p>
          <w:p w14:paraId="1474509D">
            <w:pPr>
              <w:rPr>
                <w:rFonts w:hint="eastAsia"/>
                <w:szCs w:val="21"/>
              </w:rPr>
            </w:pPr>
            <w:r>
              <w:rPr>
                <w:b/>
                <w:szCs w:val="21"/>
              </w:rPr>
              <w:t>储存注意事项：</w:t>
            </w:r>
            <w:r>
              <w:rPr>
                <w:szCs w:val="21"/>
              </w:rPr>
              <w:t>储存于阴凉、通风的库房。远离火种、热源。库温不宜超过 30℃。保持容器密封。应与氧化剂分开存放，切忌混储。采用防爆型照明、通风设施。禁止使用易产生火花的机械设备和工具。储区应备有泄漏应急处理设备和合适的收容材料。</w:t>
            </w:r>
          </w:p>
        </w:tc>
      </w:tr>
      <w:tr w14:paraId="0EB097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00" w:hRule="atLeast"/>
        </w:trPr>
        <w:tc>
          <w:tcPr>
            <w:tcW w:w="423" w:type="dxa"/>
            <w:gridSpan w:val="2"/>
            <w:tcBorders>
              <w:top w:val="single" w:color="auto" w:sz="2" w:space="0"/>
              <w:left w:val="single" w:color="auto" w:sz="2" w:space="0"/>
              <w:bottom w:val="single" w:color="auto" w:sz="2" w:space="0"/>
              <w:right w:val="single" w:color="auto" w:sz="2" w:space="0"/>
            </w:tcBorders>
            <w:vAlign w:val="center"/>
          </w:tcPr>
          <w:p w14:paraId="225D07F6">
            <w:pPr>
              <w:wordWrap w:val="0"/>
              <w:spacing w:line="300" w:lineRule="atLeast"/>
              <w:jc w:val="center"/>
              <w:textAlignment w:val="baseline"/>
              <w:rPr>
                <w:rFonts w:hint="eastAsia"/>
                <w:bCs/>
                <w:szCs w:val="21"/>
              </w:rPr>
            </w:pPr>
            <w:r>
              <w:rPr>
                <w:bCs/>
                <w:color w:val="000000"/>
                <w:szCs w:val="21"/>
              </w:rPr>
              <w:t>消防措施</w:t>
            </w:r>
          </w:p>
        </w:tc>
        <w:tc>
          <w:tcPr>
            <w:tcW w:w="8371" w:type="dxa"/>
            <w:gridSpan w:val="4"/>
            <w:tcBorders>
              <w:top w:val="single" w:color="auto" w:sz="2" w:space="0"/>
              <w:left w:val="single" w:color="auto" w:sz="2" w:space="0"/>
              <w:bottom w:val="single" w:color="auto" w:sz="2" w:space="0"/>
              <w:right w:val="single" w:color="auto" w:sz="2" w:space="0"/>
            </w:tcBorders>
          </w:tcPr>
          <w:p w14:paraId="6607280E">
            <w:pPr>
              <w:wordWrap w:val="0"/>
              <w:spacing w:line="360" w:lineRule="atLeast"/>
              <w:textAlignment w:val="baseline"/>
              <w:rPr>
                <w:rFonts w:hint="eastAsia"/>
                <w:szCs w:val="21"/>
              </w:rPr>
            </w:pPr>
            <w:r>
              <w:rPr>
                <w:b/>
                <w:color w:val="000000"/>
                <w:szCs w:val="21"/>
              </w:rPr>
              <w:t>危险特性：</w:t>
            </w:r>
            <w:r>
              <w:rPr>
                <w:color w:val="000000"/>
                <w:szCs w:val="21"/>
              </w:rPr>
              <w:t>易燃，其蒸气与空气可形成爆炸性混合物，遇明火、高热或与氧化剂接触，有引起燃烧爆炸的危险。与氧化剂接触猛烈反应。其蒸气比空气重，能在较低处扩散到相当远的地方，遇火源会着火回燃。</w:t>
            </w:r>
          </w:p>
          <w:p w14:paraId="3B988A10">
            <w:pPr>
              <w:wordWrap w:val="0"/>
              <w:spacing w:line="360" w:lineRule="atLeast"/>
              <w:textAlignment w:val="baseline"/>
              <w:rPr>
                <w:rFonts w:hint="eastAsia"/>
                <w:szCs w:val="21"/>
              </w:rPr>
            </w:pPr>
            <w:r>
              <w:rPr>
                <w:b/>
                <w:color w:val="000000"/>
                <w:szCs w:val="21"/>
              </w:rPr>
              <w:t>有害燃烧产物：</w:t>
            </w:r>
            <w:r>
              <w:rPr>
                <w:color w:val="000000"/>
                <w:szCs w:val="21"/>
              </w:rPr>
              <w:t>一氧化碳、二氧化碳。</w:t>
            </w:r>
          </w:p>
          <w:p w14:paraId="65F54DA5">
            <w:pPr>
              <w:wordWrap w:val="0"/>
              <w:spacing w:line="360" w:lineRule="atLeast"/>
              <w:textAlignment w:val="baseline"/>
              <w:rPr>
                <w:rFonts w:hint="eastAsia"/>
                <w:szCs w:val="21"/>
              </w:rPr>
            </w:pPr>
            <w:r>
              <w:rPr>
                <w:b/>
                <w:color w:val="000000"/>
                <w:szCs w:val="21"/>
              </w:rPr>
              <w:t>灭火方法：</w:t>
            </w:r>
            <w:r>
              <w:rPr>
                <w:color w:val="000000"/>
                <w:szCs w:val="21"/>
              </w:rPr>
              <w:t>尽可能将容器从火场移至空旷处。喷水保持火场容器冷却，直至灭火结束。处在火场中的容器若已变色或从安全泄压装置中产生声音，必须马上撤离。灭火剂：抗溶性泡沫、干粉、二氧化碳、砂土。</w:t>
            </w:r>
          </w:p>
        </w:tc>
      </w:tr>
      <w:tr w14:paraId="5E9299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660" w:hRule="atLeast"/>
        </w:trPr>
        <w:tc>
          <w:tcPr>
            <w:tcW w:w="423" w:type="dxa"/>
            <w:gridSpan w:val="2"/>
            <w:tcBorders>
              <w:top w:val="single" w:color="auto" w:sz="2" w:space="0"/>
              <w:left w:val="single" w:color="auto" w:sz="2" w:space="0"/>
              <w:bottom w:val="single" w:color="auto" w:sz="2" w:space="0"/>
              <w:right w:val="single" w:color="auto" w:sz="2" w:space="0"/>
            </w:tcBorders>
            <w:vAlign w:val="center"/>
          </w:tcPr>
          <w:p w14:paraId="27BF1331">
            <w:pPr>
              <w:wordWrap w:val="0"/>
              <w:spacing w:line="300" w:lineRule="atLeast"/>
              <w:jc w:val="center"/>
              <w:textAlignment w:val="baseline"/>
              <w:rPr>
                <w:rFonts w:hint="eastAsia"/>
                <w:bCs/>
                <w:szCs w:val="21"/>
              </w:rPr>
            </w:pPr>
            <w:r>
              <w:rPr>
                <w:bCs/>
                <w:color w:val="000000"/>
                <w:szCs w:val="21"/>
              </w:rPr>
              <w:t>泄漏应急处理</w:t>
            </w:r>
          </w:p>
        </w:tc>
        <w:tc>
          <w:tcPr>
            <w:tcW w:w="8371" w:type="dxa"/>
            <w:gridSpan w:val="4"/>
            <w:tcBorders>
              <w:top w:val="single" w:color="auto" w:sz="2" w:space="0"/>
              <w:left w:val="single" w:color="auto" w:sz="2" w:space="0"/>
              <w:bottom w:val="single" w:color="auto" w:sz="2" w:space="0"/>
              <w:right w:val="single" w:color="auto" w:sz="2" w:space="0"/>
            </w:tcBorders>
            <w:vAlign w:val="center"/>
          </w:tcPr>
          <w:p w14:paraId="684FF5B9">
            <w:pPr>
              <w:wordWrap w:val="0"/>
              <w:spacing w:line="300" w:lineRule="atLeast"/>
              <w:textAlignment w:val="baseline"/>
              <w:rPr>
                <w:rFonts w:hint="eastAsia"/>
                <w:szCs w:val="21"/>
              </w:rPr>
            </w:pPr>
            <w:r>
              <w:rPr>
                <w:color w:val="000000"/>
                <w:szCs w:val="21"/>
              </w:rPr>
              <w:t>迅速撤离泄漏污染区人员至安全区，并进行隔离，严格限制出入。切断火源。建议应急处理人员戴自给正压式呼吸器，穿防静电工作服。尽可能切断泄漏源。防止流入下水道、排洪沟等限制性空间。小量泄漏：用砂土、蛭石或其它惰性材料吸收。大量泄漏：构筑围堤或挖坑收容。用泡沫覆盖，降低蒸气灾害。用防爆泵转移至槽车或专用收集器内，回收或运至废物处理场所处置。</w:t>
            </w:r>
          </w:p>
        </w:tc>
      </w:tr>
      <w:tr w14:paraId="5AED6A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960" w:hRule="atLeast"/>
        </w:trPr>
        <w:tc>
          <w:tcPr>
            <w:tcW w:w="423" w:type="dxa"/>
            <w:gridSpan w:val="2"/>
            <w:tcBorders>
              <w:top w:val="single" w:color="auto" w:sz="2" w:space="0"/>
              <w:left w:val="single" w:color="auto" w:sz="2" w:space="0"/>
              <w:bottom w:val="single" w:color="auto" w:sz="2" w:space="0"/>
              <w:right w:val="single" w:color="auto" w:sz="2" w:space="0"/>
            </w:tcBorders>
            <w:vAlign w:val="center"/>
          </w:tcPr>
          <w:p w14:paraId="39183897">
            <w:pPr>
              <w:wordWrap w:val="0"/>
              <w:spacing w:line="300" w:lineRule="atLeast"/>
              <w:jc w:val="center"/>
              <w:textAlignment w:val="baseline"/>
              <w:rPr>
                <w:rFonts w:hint="eastAsia"/>
                <w:bCs/>
                <w:szCs w:val="21"/>
              </w:rPr>
            </w:pPr>
            <w:r>
              <w:rPr>
                <w:bCs/>
                <w:color w:val="000000"/>
                <w:szCs w:val="21"/>
              </w:rPr>
              <w:t>操作处置与储存</w:t>
            </w:r>
          </w:p>
        </w:tc>
        <w:tc>
          <w:tcPr>
            <w:tcW w:w="8371" w:type="dxa"/>
            <w:gridSpan w:val="4"/>
            <w:tcBorders>
              <w:top w:val="single" w:color="auto" w:sz="2" w:space="0"/>
              <w:left w:val="single" w:color="auto" w:sz="2" w:space="0"/>
              <w:bottom w:val="single" w:color="auto" w:sz="2" w:space="0"/>
              <w:right w:val="single" w:color="auto" w:sz="2" w:space="0"/>
            </w:tcBorders>
          </w:tcPr>
          <w:p w14:paraId="713FD850">
            <w:pPr>
              <w:wordWrap w:val="0"/>
              <w:spacing w:line="360" w:lineRule="atLeast"/>
              <w:textAlignment w:val="baseline"/>
              <w:rPr>
                <w:rFonts w:hint="eastAsia"/>
                <w:szCs w:val="21"/>
              </w:rPr>
            </w:pPr>
            <w:r>
              <w:rPr>
                <w:b/>
                <w:color w:val="000000"/>
                <w:szCs w:val="21"/>
              </w:rPr>
              <w:t>操作注意事项：</w:t>
            </w:r>
            <w:r>
              <w:rPr>
                <w:color w:val="000000"/>
                <w:szCs w:val="21"/>
              </w:rPr>
              <w:t>密闭操作，全面通风。操作人员必须经过专门培训，严格遵守操作规程。建议操作人员佩戴过滤式防毒面具(半面罩)，戴化学安全防护眼镜，穿防静电工作服，戴橡胶耐油手套。远离火种、热源，工作场所严禁吸烟。使用防爆型的通风系统和设备。防止蒸气泄漏到工作场所空气中。避免与氧化剂接触。灌装时应控制流速，且有接地装置，防止静电积聚。搬运时要轻装轻卸，防止包装及容器损坏。配备相应品种和数量的消防器材及泄漏应急处理设备。倒空的容器可能残留有害物。</w:t>
            </w:r>
          </w:p>
          <w:p w14:paraId="395A5EA3">
            <w:pPr>
              <w:wordWrap w:val="0"/>
              <w:spacing w:line="360" w:lineRule="atLeast"/>
              <w:textAlignment w:val="baseline"/>
              <w:rPr>
                <w:rFonts w:hint="eastAsia"/>
                <w:szCs w:val="21"/>
              </w:rPr>
            </w:pPr>
            <w:r>
              <w:rPr>
                <w:b/>
                <w:color w:val="000000"/>
                <w:szCs w:val="21"/>
              </w:rPr>
              <w:t>储存注意事项：</w:t>
            </w:r>
            <w:r>
              <w:rPr>
                <w:color w:val="000000"/>
                <w:szCs w:val="21"/>
              </w:rPr>
              <w:t>储存于阴凉、通风的库房。远离火种、热源。库温不宜超过30℃。保持容器密封。应与氧化剂分开存放，切忌混储。采用防爆型照明、通风设施。禁止使用易产生火花的机械设备和工具。储区应备有泄漏应急处理设备和合适的收容材料。</w:t>
            </w:r>
          </w:p>
        </w:tc>
      </w:tr>
    </w:tbl>
    <w:p w14:paraId="6999C50E">
      <w:pPr>
        <w:rPr>
          <w:rFonts w:hint="eastAsia"/>
        </w:rPr>
      </w:pPr>
    </w:p>
    <w:p w14:paraId="4B0C4705">
      <w:pPr>
        <w:rPr>
          <w:rFonts w:hint="eastAsia"/>
        </w:rPr>
      </w:pPr>
    </w:p>
    <w:p w14:paraId="18C4DDCD">
      <w:pPr>
        <w:adjustRightInd w:val="0"/>
        <w:snapToGrid w:val="0"/>
        <w:spacing w:line="360" w:lineRule="auto"/>
        <w:rPr>
          <w:rFonts w:hint="eastAsia"/>
          <w:b/>
          <w:spacing w:val="-10"/>
        </w:rPr>
      </w:pPr>
      <w:r>
        <w:rPr>
          <w:b/>
          <w:spacing w:val="-10"/>
        </w:rPr>
        <w:t>3.2环境敏感目标调查</w:t>
      </w:r>
    </w:p>
    <w:p w14:paraId="4C97DA96">
      <w:pPr>
        <w:spacing w:line="360" w:lineRule="auto"/>
        <w:ind w:firstLine="480" w:firstLineChars="200"/>
        <w:rPr>
          <w:rFonts w:hint="eastAsia"/>
        </w:rPr>
      </w:pPr>
      <w:bookmarkStart w:id="20" w:name="_Hlk151655751"/>
      <w:r>
        <w:t>本项目厂址位于</w:t>
      </w:r>
      <w:r>
        <w:rPr>
          <w:rFonts w:hint="eastAsia"/>
        </w:rPr>
        <w:t>吉木萨尔县北庭工业园区化工产业区，厂址周边5km均为空地，</w:t>
      </w:r>
      <w:r>
        <w:t>环境风险敏感目标见下表。</w:t>
      </w:r>
    </w:p>
    <w:bookmarkEnd w:id="20"/>
    <w:p w14:paraId="4B542219">
      <w:pPr>
        <w:pStyle w:val="57"/>
        <w:rPr>
          <w:rFonts w:hint="eastAsia"/>
          <w:color w:val="000000" w:themeColor="text1"/>
          <w14:textFill>
            <w14:solidFill>
              <w14:schemeClr w14:val="tx1"/>
            </w14:solidFill>
          </w14:textFill>
        </w:rPr>
      </w:pPr>
      <w:r>
        <w:rPr>
          <w:rFonts w:hint="eastAsia"/>
        </w:rPr>
        <w:t>表6-8</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环境敏感特征表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576"/>
        <w:gridCol w:w="1476"/>
        <w:gridCol w:w="1296"/>
        <w:gridCol w:w="936"/>
        <w:gridCol w:w="1476"/>
        <w:gridCol w:w="1701"/>
      </w:tblGrid>
      <w:tr w14:paraId="6EDC0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Align w:val="center"/>
          </w:tcPr>
          <w:p w14:paraId="75AD074C">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类别</w:t>
            </w:r>
          </w:p>
        </w:tc>
        <w:tc>
          <w:tcPr>
            <w:tcW w:w="0" w:type="auto"/>
            <w:gridSpan w:val="6"/>
            <w:vAlign w:val="center"/>
          </w:tcPr>
          <w:p w14:paraId="09FDF63C">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环境敏感特征</w:t>
            </w:r>
          </w:p>
        </w:tc>
      </w:tr>
      <w:tr w14:paraId="4C8BA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restart"/>
            <w:vAlign w:val="center"/>
          </w:tcPr>
          <w:p w14:paraId="09F5511B">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环境空气</w:t>
            </w:r>
          </w:p>
        </w:tc>
        <w:tc>
          <w:tcPr>
            <w:tcW w:w="0" w:type="auto"/>
            <w:gridSpan w:val="6"/>
            <w:vAlign w:val="center"/>
          </w:tcPr>
          <w:p w14:paraId="23353DAB">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厂址周边</w:t>
            </w:r>
            <w:r>
              <w:rPr>
                <w:color w:val="000000" w:themeColor="text1"/>
                <w:sz w:val="18"/>
                <w:szCs w:val="18"/>
                <w14:textFill>
                  <w14:solidFill>
                    <w14:schemeClr w14:val="tx1"/>
                  </w14:solidFill>
                </w14:textFill>
              </w:rPr>
              <w:t>5km</w:t>
            </w:r>
            <w:r>
              <w:rPr>
                <w:rFonts w:hint="eastAsia"/>
                <w:color w:val="000000" w:themeColor="text1"/>
                <w:sz w:val="18"/>
                <w:szCs w:val="18"/>
                <w14:textFill>
                  <w14:solidFill>
                    <w14:schemeClr w14:val="tx1"/>
                  </w14:solidFill>
                </w14:textFill>
              </w:rPr>
              <w:t>范围内</w:t>
            </w:r>
          </w:p>
        </w:tc>
      </w:tr>
      <w:tr w14:paraId="5615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238D2DD3">
            <w:pPr>
              <w:jc w:val="center"/>
              <w:rPr>
                <w:rFonts w:hint="eastAsia" w:eastAsiaTheme="minorEastAsia"/>
                <w:color w:val="000000" w:themeColor="text1"/>
                <w:sz w:val="18"/>
                <w:szCs w:val="18"/>
                <w14:textFill>
                  <w14:solidFill>
                    <w14:schemeClr w14:val="tx1"/>
                  </w14:solidFill>
                </w14:textFill>
              </w:rPr>
            </w:pPr>
          </w:p>
        </w:tc>
        <w:tc>
          <w:tcPr>
            <w:tcW w:w="0" w:type="auto"/>
            <w:vAlign w:val="center"/>
          </w:tcPr>
          <w:p w14:paraId="7A23D011">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序号</w:t>
            </w:r>
          </w:p>
        </w:tc>
        <w:tc>
          <w:tcPr>
            <w:tcW w:w="0" w:type="auto"/>
            <w:vAlign w:val="center"/>
          </w:tcPr>
          <w:p w14:paraId="4AF202E7">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敏感目标名称</w:t>
            </w:r>
          </w:p>
        </w:tc>
        <w:tc>
          <w:tcPr>
            <w:tcW w:w="0" w:type="auto"/>
            <w:vAlign w:val="center"/>
          </w:tcPr>
          <w:p w14:paraId="416632F5">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相对方位</w:t>
            </w:r>
          </w:p>
        </w:tc>
        <w:tc>
          <w:tcPr>
            <w:tcW w:w="0" w:type="auto"/>
            <w:vAlign w:val="center"/>
          </w:tcPr>
          <w:p w14:paraId="08BDAF15">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距离</w:t>
            </w:r>
            <w:r>
              <w:rPr>
                <w:color w:val="000000" w:themeColor="text1"/>
                <w:sz w:val="18"/>
                <w:szCs w:val="18"/>
                <w14:textFill>
                  <w14:solidFill>
                    <w14:schemeClr w14:val="tx1"/>
                  </w14:solidFill>
                </w14:textFill>
              </w:rPr>
              <w:t>/m</w:t>
            </w:r>
          </w:p>
        </w:tc>
        <w:tc>
          <w:tcPr>
            <w:tcW w:w="0" w:type="auto"/>
            <w:vAlign w:val="center"/>
          </w:tcPr>
          <w:p w14:paraId="6FF27671">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属性</w:t>
            </w:r>
          </w:p>
        </w:tc>
        <w:tc>
          <w:tcPr>
            <w:tcW w:w="0" w:type="auto"/>
            <w:vAlign w:val="center"/>
          </w:tcPr>
          <w:p w14:paraId="43B6C7A2">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人口数</w:t>
            </w:r>
          </w:p>
        </w:tc>
      </w:tr>
      <w:tr w14:paraId="0265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0FC2AC1D">
            <w:pPr>
              <w:jc w:val="center"/>
              <w:rPr>
                <w:rFonts w:hint="eastAsia" w:eastAsiaTheme="minorEastAsia"/>
                <w:color w:val="000000" w:themeColor="text1"/>
                <w:sz w:val="18"/>
                <w:szCs w:val="18"/>
                <w14:textFill>
                  <w14:solidFill>
                    <w14:schemeClr w14:val="tx1"/>
                  </w14:solidFill>
                </w14:textFill>
              </w:rPr>
            </w:pPr>
          </w:p>
        </w:tc>
        <w:tc>
          <w:tcPr>
            <w:tcW w:w="0" w:type="auto"/>
          </w:tcPr>
          <w:p w14:paraId="3A5186AA">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0" w:type="auto"/>
          </w:tcPr>
          <w:p w14:paraId="64A7EF16">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0" w:type="auto"/>
          </w:tcPr>
          <w:p w14:paraId="198C1C33">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0" w:type="auto"/>
          </w:tcPr>
          <w:p w14:paraId="2F229803">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0" w:type="auto"/>
          </w:tcPr>
          <w:p w14:paraId="5D2E6981">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0" w:type="auto"/>
          </w:tcPr>
          <w:p w14:paraId="58925F77">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54CC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00FF1A0A">
            <w:pPr>
              <w:jc w:val="center"/>
              <w:rPr>
                <w:rFonts w:hint="eastAsia" w:eastAsiaTheme="minorEastAsia"/>
                <w:color w:val="000000" w:themeColor="text1"/>
                <w:sz w:val="18"/>
                <w:szCs w:val="18"/>
                <w14:textFill>
                  <w14:solidFill>
                    <w14:schemeClr w14:val="tx1"/>
                  </w14:solidFill>
                </w14:textFill>
              </w:rPr>
            </w:pPr>
          </w:p>
        </w:tc>
        <w:tc>
          <w:tcPr>
            <w:tcW w:w="0" w:type="auto"/>
            <w:gridSpan w:val="5"/>
            <w:vAlign w:val="center"/>
          </w:tcPr>
          <w:p w14:paraId="5596ADF4">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厂址周边</w:t>
            </w:r>
            <w:r>
              <w:rPr>
                <w:color w:val="000000" w:themeColor="text1"/>
                <w:sz w:val="18"/>
                <w:szCs w:val="18"/>
                <w14:textFill>
                  <w14:solidFill>
                    <w14:schemeClr w14:val="tx1"/>
                  </w14:solidFill>
                </w14:textFill>
              </w:rPr>
              <w:t>500m</w:t>
            </w:r>
            <w:r>
              <w:rPr>
                <w:rFonts w:hint="eastAsia"/>
                <w:color w:val="000000" w:themeColor="text1"/>
                <w:sz w:val="18"/>
                <w:szCs w:val="18"/>
                <w14:textFill>
                  <w14:solidFill>
                    <w14:schemeClr w14:val="tx1"/>
                  </w14:solidFill>
                </w14:textFill>
              </w:rPr>
              <w:t>范围内人口数小计</w:t>
            </w:r>
          </w:p>
        </w:tc>
        <w:tc>
          <w:tcPr>
            <w:tcW w:w="0" w:type="auto"/>
            <w:vAlign w:val="center"/>
          </w:tcPr>
          <w:p w14:paraId="109C3C95">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w:t>
            </w:r>
          </w:p>
        </w:tc>
      </w:tr>
      <w:tr w14:paraId="3789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0" w:type="auto"/>
            <w:vMerge w:val="continue"/>
            <w:vAlign w:val="center"/>
          </w:tcPr>
          <w:p w14:paraId="54318CB3">
            <w:pPr>
              <w:jc w:val="center"/>
              <w:rPr>
                <w:rFonts w:hint="eastAsia" w:eastAsiaTheme="minorEastAsia"/>
                <w:color w:val="000000" w:themeColor="text1"/>
                <w:sz w:val="18"/>
                <w:szCs w:val="18"/>
                <w14:textFill>
                  <w14:solidFill>
                    <w14:schemeClr w14:val="tx1"/>
                  </w14:solidFill>
                </w14:textFill>
              </w:rPr>
            </w:pPr>
          </w:p>
        </w:tc>
        <w:tc>
          <w:tcPr>
            <w:tcW w:w="0" w:type="auto"/>
            <w:gridSpan w:val="5"/>
            <w:vAlign w:val="center"/>
          </w:tcPr>
          <w:p w14:paraId="0BEF9036">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厂址周边</w:t>
            </w:r>
            <w:r>
              <w:rPr>
                <w:color w:val="000000" w:themeColor="text1"/>
                <w:sz w:val="18"/>
                <w:szCs w:val="18"/>
                <w14:textFill>
                  <w14:solidFill>
                    <w14:schemeClr w14:val="tx1"/>
                  </w14:solidFill>
                </w14:textFill>
              </w:rPr>
              <w:t>5km</w:t>
            </w:r>
            <w:r>
              <w:rPr>
                <w:rFonts w:hint="eastAsia"/>
                <w:color w:val="000000" w:themeColor="text1"/>
                <w:sz w:val="18"/>
                <w:szCs w:val="18"/>
                <w14:textFill>
                  <w14:solidFill>
                    <w14:schemeClr w14:val="tx1"/>
                  </w14:solidFill>
                </w14:textFill>
              </w:rPr>
              <w:t>范围内人口数小计</w:t>
            </w:r>
          </w:p>
        </w:tc>
        <w:tc>
          <w:tcPr>
            <w:tcW w:w="0" w:type="auto"/>
            <w:vAlign w:val="center"/>
          </w:tcPr>
          <w:p w14:paraId="007C31A7">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w:t>
            </w:r>
          </w:p>
        </w:tc>
      </w:tr>
      <w:tr w14:paraId="7EC89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2EF90BCF">
            <w:pPr>
              <w:jc w:val="center"/>
              <w:rPr>
                <w:rFonts w:hint="eastAsia" w:eastAsiaTheme="minorEastAsia"/>
                <w:color w:val="000000" w:themeColor="text1"/>
                <w:sz w:val="18"/>
                <w:szCs w:val="18"/>
                <w14:textFill>
                  <w14:solidFill>
                    <w14:schemeClr w14:val="tx1"/>
                  </w14:solidFill>
                </w14:textFill>
              </w:rPr>
            </w:pPr>
          </w:p>
        </w:tc>
        <w:tc>
          <w:tcPr>
            <w:tcW w:w="0" w:type="auto"/>
            <w:gridSpan w:val="5"/>
            <w:vAlign w:val="center"/>
          </w:tcPr>
          <w:p w14:paraId="2346DB91">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大气环境敏感程度</w:t>
            </w:r>
            <w:r>
              <w:rPr>
                <w:color w:val="000000" w:themeColor="text1"/>
                <w:sz w:val="18"/>
                <w:szCs w:val="18"/>
                <w14:textFill>
                  <w14:solidFill>
                    <w14:schemeClr w14:val="tx1"/>
                  </w14:solidFill>
                </w14:textFill>
              </w:rPr>
              <w:t>E</w:t>
            </w:r>
            <w:r>
              <w:rPr>
                <w:rFonts w:hint="eastAsia"/>
                <w:color w:val="000000" w:themeColor="text1"/>
                <w:sz w:val="18"/>
                <w:szCs w:val="18"/>
                <w14:textFill>
                  <w14:solidFill>
                    <w14:schemeClr w14:val="tx1"/>
                  </w14:solidFill>
                </w14:textFill>
              </w:rPr>
              <w:t>值</w:t>
            </w:r>
          </w:p>
        </w:tc>
        <w:tc>
          <w:tcPr>
            <w:tcW w:w="0" w:type="auto"/>
            <w:vAlign w:val="center"/>
          </w:tcPr>
          <w:p w14:paraId="70621B92">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w:t>
            </w:r>
            <w:r>
              <w:rPr>
                <w:color w:val="000000" w:themeColor="text1"/>
                <w:sz w:val="18"/>
                <w:szCs w:val="18"/>
                <w14:textFill>
                  <w14:solidFill>
                    <w14:schemeClr w14:val="tx1"/>
                  </w14:solidFill>
                </w14:textFill>
              </w:rPr>
              <w:t>3</w:t>
            </w:r>
          </w:p>
        </w:tc>
      </w:tr>
      <w:tr w14:paraId="30A71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restart"/>
            <w:vAlign w:val="center"/>
          </w:tcPr>
          <w:p w14:paraId="716F0B1A">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地表水</w:t>
            </w:r>
          </w:p>
        </w:tc>
        <w:tc>
          <w:tcPr>
            <w:tcW w:w="0" w:type="auto"/>
            <w:gridSpan w:val="6"/>
            <w:vAlign w:val="center"/>
          </w:tcPr>
          <w:p w14:paraId="4C09D7C2">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受纳水体</w:t>
            </w:r>
          </w:p>
        </w:tc>
      </w:tr>
      <w:tr w14:paraId="1B938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15F55BE4">
            <w:pPr>
              <w:jc w:val="center"/>
              <w:rPr>
                <w:rFonts w:hint="eastAsia" w:eastAsiaTheme="minorEastAsia"/>
                <w:color w:val="000000" w:themeColor="text1"/>
                <w:sz w:val="18"/>
                <w:szCs w:val="18"/>
                <w14:textFill>
                  <w14:solidFill>
                    <w14:schemeClr w14:val="tx1"/>
                  </w14:solidFill>
                </w14:textFill>
              </w:rPr>
            </w:pPr>
          </w:p>
        </w:tc>
        <w:tc>
          <w:tcPr>
            <w:tcW w:w="0" w:type="auto"/>
            <w:vAlign w:val="center"/>
          </w:tcPr>
          <w:p w14:paraId="00D2E9DD">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序号</w:t>
            </w:r>
          </w:p>
        </w:tc>
        <w:tc>
          <w:tcPr>
            <w:tcW w:w="0" w:type="auto"/>
            <w:gridSpan w:val="2"/>
            <w:vAlign w:val="center"/>
          </w:tcPr>
          <w:p w14:paraId="366260F5">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受纳水体名称</w:t>
            </w:r>
          </w:p>
        </w:tc>
        <w:tc>
          <w:tcPr>
            <w:tcW w:w="0" w:type="auto"/>
            <w:gridSpan w:val="2"/>
            <w:vAlign w:val="center"/>
          </w:tcPr>
          <w:p w14:paraId="772E6E25">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排放点水域环境功能</w:t>
            </w:r>
          </w:p>
        </w:tc>
        <w:tc>
          <w:tcPr>
            <w:tcW w:w="0" w:type="auto"/>
            <w:vAlign w:val="center"/>
          </w:tcPr>
          <w:p w14:paraId="4B447043">
            <w:pPr>
              <w:jc w:val="center"/>
              <w:rPr>
                <w:rFonts w:hint="eastAsia"/>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24h</w:t>
            </w:r>
            <w:r>
              <w:rPr>
                <w:rFonts w:hint="eastAsia"/>
                <w:color w:val="000000" w:themeColor="text1"/>
                <w:sz w:val="18"/>
                <w:szCs w:val="18"/>
                <w14:textFill>
                  <w14:solidFill>
                    <w14:schemeClr w14:val="tx1"/>
                  </w14:solidFill>
                </w14:textFill>
              </w:rPr>
              <w:t>内流经范围</w:t>
            </w:r>
            <w:r>
              <w:rPr>
                <w:color w:val="000000" w:themeColor="text1"/>
                <w:sz w:val="18"/>
                <w:szCs w:val="18"/>
                <w14:textFill>
                  <w14:solidFill>
                    <w14:schemeClr w14:val="tx1"/>
                  </w14:solidFill>
                </w14:textFill>
              </w:rPr>
              <w:t>/km</w:t>
            </w:r>
          </w:p>
        </w:tc>
      </w:tr>
      <w:tr w14:paraId="5EF0C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05A311AA">
            <w:pPr>
              <w:jc w:val="center"/>
              <w:rPr>
                <w:rFonts w:hint="eastAsia" w:eastAsiaTheme="minorEastAsia"/>
                <w:color w:val="000000" w:themeColor="text1"/>
                <w:sz w:val="18"/>
                <w:szCs w:val="18"/>
                <w14:textFill>
                  <w14:solidFill>
                    <w14:schemeClr w14:val="tx1"/>
                  </w14:solidFill>
                </w14:textFill>
              </w:rPr>
            </w:pPr>
          </w:p>
        </w:tc>
        <w:tc>
          <w:tcPr>
            <w:tcW w:w="0" w:type="auto"/>
          </w:tcPr>
          <w:p w14:paraId="5BE966AC">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0" w:type="auto"/>
            <w:gridSpan w:val="2"/>
          </w:tcPr>
          <w:p w14:paraId="2414AC01">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0" w:type="auto"/>
            <w:gridSpan w:val="2"/>
          </w:tcPr>
          <w:p w14:paraId="48175BD5">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0" w:type="auto"/>
          </w:tcPr>
          <w:p w14:paraId="432AE06E">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4D173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55BFF105">
            <w:pPr>
              <w:jc w:val="center"/>
              <w:rPr>
                <w:rFonts w:hint="eastAsia" w:eastAsiaTheme="minorEastAsia"/>
                <w:color w:val="000000" w:themeColor="text1"/>
                <w:sz w:val="18"/>
                <w:szCs w:val="18"/>
                <w14:textFill>
                  <w14:solidFill>
                    <w14:schemeClr w14:val="tx1"/>
                  </w14:solidFill>
                </w14:textFill>
              </w:rPr>
            </w:pPr>
          </w:p>
        </w:tc>
        <w:tc>
          <w:tcPr>
            <w:tcW w:w="0" w:type="auto"/>
            <w:gridSpan w:val="6"/>
            <w:vAlign w:val="center"/>
          </w:tcPr>
          <w:p w14:paraId="3F8E31BF">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内陆水体排放点下游</w:t>
            </w:r>
            <w:r>
              <w:rPr>
                <w:color w:val="000000" w:themeColor="text1"/>
                <w:sz w:val="18"/>
                <w:szCs w:val="18"/>
                <w14:textFill>
                  <w14:solidFill>
                    <w14:schemeClr w14:val="tx1"/>
                  </w14:solidFill>
                </w14:textFill>
              </w:rPr>
              <w:t>10 km</w:t>
            </w:r>
            <w:r>
              <w:rPr>
                <w:rFonts w:hint="eastAsia"/>
                <w:color w:val="000000" w:themeColor="text1"/>
                <w:sz w:val="18"/>
                <w:szCs w:val="18"/>
                <w14:textFill>
                  <w14:solidFill>
                    <w14:schemeClr w14:val="tx1"/>
                  </w14:solidFill>
                </w14:textFill>
              </w:rPr>
              <w:t>（近岸海域一个潮周期最大水平距离两倍）范围内敏感目标</w:t>
            </w:r>
          </w:p>
        </w:tc>
      </w:tr>
      <w:tr w14:paraId="11B88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0F08269A">
            <w:pPr>
              <w:jc w:val="center"/>
              <w:rPr>
                <w:rFonts w:hint="eastAsia" w:eastAsiaTheme="minorEastAsia"/>
                <w:color w:val="000000" w:themeColor="text1"/>
                <w:sz w:val="18"/>
                <w:szCs w:val="18"/>
                <w14:textFill>
                  <w14:solidFill>
                    <w14:schemeClr w14:val="tx1"/>
                  </w14:solidFill>
                </w14:textFill>
              </w:rPr>
            </w:pPr>
          </w:p>
        </w:tc>
        <w:tc>
          <w:tcPr>
            <w:tcW w:w="0" w:type="auto"/>
            <w:vAlign w:val="center"/>
          </w:tcPr>
          <w:p w14:paraId="46BD9AE4">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序号</w:t>
            </w:r>
          </w:p>
        </w:tc>
        <w:tc>
          <w:tcPr>
            <w:tcW w:w="0" w:type="auto"/>
            <w:vAlign w:val="center"/>
          </w:tcPr>
          <w:p w14:paraId="72EBF876">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敏感目标名称</w:t>
            </w:r>
          </w:p>
        </w:tc>
        <w:tc>
          <w:tcPr>
            <w:tcW w:w="0" w:type="auto"/>
            <w:vAlign w:val="center"/>
          </w:tcPr>
          <w:p w14:paraId="61A7CCB0">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环境敏感特征</w:t>
            </w:r>
          </w:p>
        </w:tc>
        <w:tc>
          <w:tcPr>
            <w:tcW w:w="0" w:type="auto"/>
            <w:gridSpan w:val="2"/>
            <w:vAlign w:val="center"/>
          </w:tcPr>
          <w:p w14:paraId="7D6465A8">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水质目标</w:t>
            </w:r>
          </w:p>
        </w:tc>
        <w:tc>
          <w:tcPr>
            <w:tcW w:w="0" w:type="auto"/>
            <w:vAlign w:val="center"/>
          </w:tcPr>
          <w:p w14:paraId="0F9CE98D">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与排放点距离</w:t>
            </w:r>
            <w:r>
              <w:rPr>
                <w:color w:val="000000" w:themeColor="text1"/>
                <w:sz w:val="18"/>
                <w:szCs w:val="18"/>
                <w14:textFill>
                  <w14:solidFill>
                    <w14:schemeClr w14:val="tx1"/>
                  </w14:solidFill>
                </w14:textFill>
              </w:rPr>
              <w:t>/m</w:t>
            </w:r>
          </w:p>
        </w:tc>
      </w:tr>
      <w:tr w14:paraId="0F2F9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6E638B36">
            <w:pPr>
              <w:jc w:val="center"/>
              <w:rPr>
                <w:rFonts w:hint="eastAsia" w:eastAsiaTheme="minorEastAsia"/>
                <w:color w:val="000000" w:themeColor="text1"/>
                <w:sz w:val="18"/>
                <w:szCs w:val="18"/>
                <w14:textFill>
                  <w14:solidFill>
                    <w14:schemeClr w14:val="tx1"/>
                  </w14:solidFill>
                </w14:textFill>
              </w:rPr>
            </w:pPr>
          </w:p>
        </w:tc>
        <w:tc>
          <w:tcPr>
            <w:tcW w:w="0" w:type="auto"/>
          </w:tcPr>
          <w:p w14:paraId="7BE0952B">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0" w:type="auto"/>
          </w:tcPr>
          <w:p w14:paraId="71C78AE1">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0" w:type="auto"/>
          </w:tcPr>
          <w:p w14:paraId="0F27C81C">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0" w:type="auto"/>
            <w:gridSpan w:val="2"/>
          </w:tcPr>
          <w:p w14:paraId="0434A315">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0" w:type="auto"/>
          </w:tcPr>
          <w:p w14:paraId="726105FD">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2BC4B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30F149E9">
            <w:pPr>
              <w:jc w:val="center"/>
              <w:rPr>
                <w:rFonts w:hint="eastAsia" w:eastAsiaTheme="minorEastAsia"/>
                <w:color w:val="000000" w:themeColor="text1"/>
                <w:sz w:val="18"/>
                <w:szCs w:val="18"/>
                <w14:textFill>
                  <w14:solidFill>
                    <w14:schemeClr w14:val="tx1"/>
                  </w14:solidFill>
                </w14:textFill>
              </w:rPr>
            </w:pPr>
          </w:p>
        </w:tc>
        <w:tc>
          <w:tcPr>
            <w:tcW w:w="0" w:type="auto"/>
            <w:gridSpan w:val="5"/>
            <w:vAlign w:val="center"/>
          </w:tcPr>
          <w:p w14:paraId="33AD38A0">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地表水环境敏感程度</w:t>
            </w:r>
            <w:r>
              <w:rPr>
                <w:color w:val="000000" w:themeColor="text1"/>
                <w:sz w:val="18"/>
                <w:szCs w:val="18"/>
                <w14:textFill>
                  <w14:solidFill>
                    <w14:schemeClr w14:val="tx1"/>
                  </w14:solidFill>
                </w14:textFill>
              </w:rPr>
              <w:t>E</w:t>
            </w:r>
            <w:r>
              <w:rPr>
                <w:rFonts w:hint="eastAsia"/>
                <w:color w:val="000000" w:themeColor="text1"/>
                <w:sz w:val="18"/>
                <w:szCs w:val="18"/>
                <w14:textFill>
                  <w14:solidFill>
                    <w14:schemeClr w14:val="tx1"/>
                  </w14:solidFill>
                </w14:textFill>
              </w:rPr>
              <w:t>值</w:t>
            </w:r>
          </w:p>
        </w:tc>
        <w:tc>
          <w:tcPr>
            <w:tcW w:w="0" w:type="auto"/>
            <w:vAlign w:val="center"/>
          </w:tcPr>
          <w:p w14:paraId="176228D2">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5CF5E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restart"/>
            <w:vAlign w:val="center"/>
          </w:tcPr>
          <w:p w14:paraId="351A0D67">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地下水</w:t>
            </w:r>
          </w:p>
        </w:tc>
        <w:tc>
          <w:tcPr>
            <w:tcW w:w="0" w:type="auto"/>
            <w:vAlign w:val="center"/>
          </w:tcPr>
          <w:p w14:paraId="4380E6E9">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序号</w:t>
            </w:r>
          </w:p>
        </w:tc>
        <w:tc>
          <w:tcPr>
            <w:tcW w:w="0" w:type="auto"/>
            <w:vAlign w:val="center"/>
          </w:tcPr>
          <w:p w14:paraId="43273EDA">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环境敏感区名称</w:t>
            </w:r>
          </w:p>
        </w:tc>
        <w:tc>
          <w:tcPr>
            <w:tcW w:w="0" w:type="auto"/>
            <w:vAlign w:val="center"/>
          </w:tcPr>
          <w:p w14:paraId="53A3129A">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环境敏感特征</w:t>
            </w:r>
          </w:p>
        </w:tc>
        <w:tc>
          <w:tcPr>
            <w:tcW w:w="0" w:type="auto"/>
            <w:vAlign w:val="center"/>
          </w:tcPr>
          <w:p w14:paraId="320D7CE1">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水质目标</w:t>
            </w:r>
          </w:p>
        </w:tc>
        <w:tc>
          <w:tcPr>
            <w:tcW w:w="0" w:type="auto"/>
            <w:vAlign w:val="center"/>
          </w:tcPr>
          <w:p w14:paraId="4A7CA2E6">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包气带防污性能</w:t>
            </w:r>
          </w:p>
        </w:tc>
        <w:tc>
          <w:tcPr>
            <w:tcW w:w="0" w:type="auto"/>
            <w:vAlign w:val="center"/>
          </w:tcPr>
          <w:p w14:paraId="2A821F42">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与下游厂界距离</w:t>
            </w:r>
            <w:r>
              <w:rPr>
                <w:color w:val="000000" w:themeColor="text1"/>
                <w:sz w:val="18"/>
                <w:szCs w:val="18"/>
                <w14:textFill>
                  <w14:solidFill>
                    <w14:schemeClr w14:val="tx1"/>
                  </w14:solidFill>
                </w14:textFill>
              </w:rPr>
              <w:t>/m</w:t>
            </w:r>
          </w:p>
        </w:tc>
      </w:tr>
      <w:tr w14:paraId="6E71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60DE2DE3">
            <w:pPr>
              <w:jc w:val="center"/>
              <w:rPr>
                <w:rFonts w:hint="eastAsia" w:eastAsiaTheme="minorEastAsia"/>
                <w:color w:val="000000" w:themeColor="text1"/>
                <w:sz w:val="18"/>
                <w:szCs w:val="18"/>
                <w14:textFill>
                  <w14:solidFill>
                    <w14:schemeClr w14:val="tx1"/>
                  </w14:solidFill>
                </w14:textFill>
              </w:rPr>
            </w:pPr>
          </w:p>
        </w:tc>
        <w:tc>
          <w:tcPr>
            <w:tcW w:w="0" w:type="auto"/>
          </w:tcPr>
          <w:p w14:paraId="46933BB9">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0" w:type="auto"/>
          </w:tcPr>
          <w:p w14:paraId="19671561">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0" w:type="auto"/>
          </w:tcPr>
          <w:p w14:paraId="22ABF6AB">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0" w:type="auto"/>
          </w:tcPr>
          <w:p w14:paraId="3A22BC16">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0" w:type="auto"/>
          </w:tcPr>
          <w:p w14:paraId="61967A26">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0" w:type="auto"/>
          </w:tcPr>
          <w:p w14:paraId="64D8DBB2">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1BEF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03B1A345">
            <w:pPr>
              <w:jc w:val="center"/>
              <w:rPr>
                <w:rFonts w:hint="eastAsia" w:eastAsiaTheme="minorEastAsia"/>
                <w:color w:val="000000" w:themeColor="text1"/>
                <w:sz w:val="18"/>
                <w:szCs w:val="18"/>
                <w14:textFill>
                  <w14:solidFill>
                    <w14:schemeClr w14:val="tx1"/>
                  </w14:solidFill>
                </w14:textFill>
              </w:rPr>
            </w:pPr>
          </w:p>
        </w:tc>
        <w:tc>
          <w:tcPr>
            <w:tcW w:w="0" w:type="auto"/>
            <w:gridSpan w:val="5"/>
            <w:vAlign w:val="center"/>
          </w:tcPr>
          <w:p w14:paraId="50D152A0">
            <w:pPr>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地下水环境敏感程度</w:t>
            </w:r>
            <w:r>
              <w:rPr>
                <w:color w:val="000000" w:themeColor="text1"/>
                <w:sz w:val="18"/>
                <w:szCs w:val="18"/>
                <w14:textFill>
                  <w14:solidFill>
                    <w14:schemeClr w14:val="tx1"/>
                  </w14:solidFill>
                </w14:textFill>
              </w:rPr>
              <w:t>E</w:t>
            </w:r>
            <w:r>
              <w:rPr>
                <w:rFonts w:hint="eastAsia"/>
                <w:color w:val="000000" w:themeColor="text1"/>
                <w:sz w:val="18"/>
                <w:szCs w:val="18"/>
                <w14:textFill>
                  <w14:solidFill>
                    <w14:schemeClr w14:val="tx1"/>
                  </w14:solidFill>
                </w14:textFill>
              </w:rPr>
              <w:t>值</w:t>
            </w:r>
          </w:p>
        </w:tc>
        <w:tc>
          <w:tcPr>
            <w:tcW w:w="0" w:type="auto"/>
            <w:vAlign w:val="center"/>
          </w:tcPr>
          <w:p w14:paraId="095BA5AF">
            <w:pPr>
              <w:jc w:val="center"/>
              <w:rPr>
                <w:rFonts w:hint="eastAsia"/>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E2</w:t>
            </w:r>
          </w:p>
        </w:tc>
      </w:tr>
    </w:tbl>
    <w:p w14:paraId="7F8774E3">
      <w:pPr>
        <w:spacing w:line="360" w:lineRule="auto"/>
        <w:ind w:firstLine="440" w:firstLineChars="200"/>
        <w:rPr>
          <w:rFonts w:hint="eastAsia"/>
          <w:spacing w:val="-10"/>
          <w:szCs w:val="21"/>
        </w:rPr>
      </w:pPr>
    </w:p>
    <w:p w14:paraId="0A9C2E97">
      <w:pPr>
        <w:adjustRightInd w:val="0"/>
        <w:snapToGrid w:val="0"/>
        <w:spacing w:line="360" w:lineRule="auto"/>
        <w:rPr>
          <w:rFonts w:hint="eastAsia"/>
          <w:b/>
          <w:bCs/>
          <w:spacing w:val="-10"/>
        </w:rPr>
      </w:pPr>
      <w:r>
        <w:rPr>
          <w:b/>
          <w:bCs/>
          <w:spacing w:val="-10"/>
        </w:rPr>
        <w:t>4</w:t>
      </w:r>
      <w:r>
        <w:rPr>
          <w:rFonts w:hint="eastAsia"/>
          <w:b/>
          <w:bCs/>
          <w:spacing w:val="-10"/>
        </w:rPr>
        <w:t xml:space="preserve"> </w:t>
      </w:r>
      <w:bookmarkStart w:id="21" w:name="_Hlk151540785"/>
      <w:r>
        <w:rPr>
          <w:b/>
          <w:bCs/>
          <w:spacing w:val="-10"/>
        </w:rPr>
        <w:t>环境风险潜势初判</w:t>
      </w:r>
    </w:p>
    <w:p w14:paraId="4FAAF553">
      <w:pPr>
        <w:adjustRightInd w:val="0"/>
        <w:snapToGrid w:val="0"/>
        <w:spacing w:line="360" w:lineRule="auto"/>
        <w:rPr>
          <w:rFonts w:hint="eastAsia"/>
          <w:b/>
          <w:bCs/>
          <w:spacing w:val="-10"/>
        </w:rPr>
      </w:pPr>
      <w:r>
        <w:rPr>
          <w:rFonts w:hint="eastAsia"/>
          <w:b/>
          <w:bCs/>
          <w:spacing w:val="-10"/>
        </w:rPr>
        <w:t>4.1</w:t>
      </w:r>
      <w:r>
        <w:rPr>
          <w:b/>
          <w:bCs/>
          <w:spacing w:val="-10"/>
        </w:rPr>
        <w:t>环境风险潜势划分依据</w:t>
      </w:r>
    </w:p>
    <w:p w14:paraId="6C9258A0">
      <w:pPr>
        <w:spacing w:line="360" w:lineRule="auto"/>
        <w:ind w:firstLine="480" w:firstLineChars="200"/>
        <w:rPr>
          <w:rFonts w:hint="eastAsia"/>
        </w:rPr>
      </w:pPr>
      <w:r>
        <w:t>根据《建设项目环境风险评价技术导则》（HJ 169-2018），建设项目环境风险潜势划分为Ⅰ、Ⅱ、Ⅲ、Ⅳ/Ⅳ+级。</w:t>
      </w:r>
    </w:p>
    <w:p w14:paraId="455EEC68">
      <w:pPr>
        <w:spacing w:line="360" w:lineRule="auto"/>
        <w:ind w:firstLine="480" w:firstLineChars="200"/>
        <w:rPr>
          <w:rFonts w:hint="eastAsia"/>
        </w:rPr>
      </w:pPr>
      <w:r>
        <w:rPr>
          <w:rFonts w:hint="eastAsia"/>
        </w:rPr>
        <w:t>根据建设项目涉及的物质和工艺系统的危险性及其所在地的环境敏感程度，结合事故环境影响途径，对建设项目潜在环境危害程度进行概化分析，进而确定环境风险潜势，确定依据见表6-9。</w:t>
      </w:r>
    </w:p>
    <w:p w14:paraId="65A03C67">
      <w:pPr>
        <w:adjustRightInd w:val="0"/>
        <w:snapToGrid w:val="0"/>
        <w:jc w:val="center"/>
        <w:rPr>
          <w:rFonts w:hint="eastAsia"/>
          <w:b/>
          <w:szCs w:val="28"/>
        </w:rPr>
      </w:pPr>
      <w:r>
        <w:rPr>
          <w:rFonts w:hint="eastAsia"/>
          <w:b/>
          <w:bCs/>
          <w:spacing w:val="-10"/>
        </w:rPr>
        <w:t>表6-9  项目环境风险潜势划分依据一览表</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3"/>
        <w:gridCol w:w="1624"/>
        <w:gridCol w:w="1637"/>
        <w:gridCol w:w="1652"/>
        <w:gridCol w:w="1559"/>
      </w:tblGrid>
      <w:tr w14:paraId="3F357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3" w:type="dxa"/>
            <w:vMerge w:val="restart"/>
            <w:tcBorders>
              <w:top w:val="single" w:color="auto" w:sz="12" w:space="0"/>
              <w:left w:val="single" w:color="auto" w:sz="12" w:space="0"/>
            </w:tcBorders>
            <w:vAlign w:val="center"/>
          </w:tcPr>
          <w:p w14:paraId="4F3A2777">
            <w:pPr>
              <w:jc w:val="center"/>
              <w:rPr>
                <w:rFonts w:hint="eastAsia"/>
                <w:lang w:eastAsia="en-US"/>
              </w:rPr>
            </w:pPr>
            <w:r>
              <w:rPr>
                <w:lang w:eastAsia="en-US"/>
              </w:rPr>
              <w:t>环境敏感程度</w:t>
            </w:r>
          </w:p>
        </w:tc>
        <w:tc>
          <w:tcPr>
            <w:tcW w:w="6196" w:type="dxa"/>
            <w:gridSpan w:val="4"/>
            <w:tcBorders>
              <w:top w:val="single" w:color="auto" w:sz="12" w:space="0"/>
              <w:right w:val="single" w:color="auto" w:sz="12" w:space="0"/>
            </w:tcBorders>
            <w:vAlign w:val="center"/>
          </w:tcPr>
          <w:p w14:paraId="0508D73A">
            <w:pPr>
              <w:jc w:val="center"/>
              <w:rPr>
                <w:rFonts w:hint="eastAsia"/>
              </w:rPr>
            </w:pPr>
            <w:r>
              <w:t>危险物质及工艺系统危险性P</w:t>
            </w:r>
          </w:p>
        </w:tc>
      </w:tr>
      <w:tr w14:paraId="0412F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3" w:type="dxa"/>
            <w:vMerge w:val="continue"/>
            <w:tcBorders>
              <w:left w:val="single" w:color="auto" w:sz="12" w:space="0"/>
            </w:tcBorders>
            <w:vAlign w:val="center"/>
          </w:tcPr>
          <w:p w14:paraId="01C1572A">
            <w:pPr>
              <w:jc w:val="center"/>
              <w:rPr>
                <w:rFonts w:hint="eastAsia"/>
              </w:rPr>
            </w:pPr>
          </w:p>
        </w:tc>
        <w:tc>
          <w:tcPr>
            <w:tcW w:w="1555" w:type="dxa"/>
            <w:vAlign w:val="center"/>
          </w:tcPr>
          <w:p w14:paraId="7139A63E">
            <w:pPr>
              <w:jc w:val="center"/>
              <w:rPr>
                <w:rFonts w:hint="eastAsia"/>
                <w:lang w:eastAsia="en-US"/>
              </w:rPr>
            </w:pPr>
            <w:r>
              <w:rPr>
                <w:lang w:eastAsia="en-US"/>
              </w:rPr>
              <w:t>极高危害（P1）</w:t>
            </w:r>
          </w:p>
        </w:tc>
        <w:tc>
          <w:tcPr>
            <w:tcW w:w="1567" w:type="dxa"/>
            <w:vAlign w:val="center"/>
          </w:tcPr>
          <w:p w14:paraId="4BAB9D60">
            <w:pPr>
              <w:jc w:val="center"/>
              <w:rPr>
                <w:rFonts w:hint="eastAsia"/>
                <w:lang w:eastAsia="en-US"/>
              </w:rPr>
            </w:pPr>
            <w:r>
              <w:rPr>
                <w:lang w:eastAsia="en-US"/>
              </w:rPr>
              <w:t>高度危害（P2）</w:t>
            </w:r>
          </w:p>
        </w:tc>
        <w:tc>
          <w:tcPr>
            <w:tcW w:w="1582" w:type="dxa"/>
            <w:vAlign w:val="center"/>
          </w:tcPr>
          <w:p w14:paraId="11C1383B">
            <w:pPr>
              <w:jc w:val="center"/>
              <w:rPr>
                <w:rFonts w:hint="eastAsia"/>
                <w:lang w:eastAsia="en-US"/>
              </w:rPr>
            </w:pPr>
            <w:r>
              <w:rPr>
                <w:lang w:eastAsia="en-US"/>
              </w:rPr>
              <w:t>中度危害（P3）</w:t>
            </w:r>
          </w:p>
        </w:tc>
        <w:tc>
          <w:tcPr>
            <w:tcW w:w="1492" w:type="dxa"/>
            <w:tcBorders>
              <w:right w:val="single" w:color="auto" w:sz="12" w:space="0"/>
            </w:tcBorders>
            <w:vAlign w:val="center"/>
          </w:tcPr>
          <w:p w14:paraId="3C96E66E">
            <w:pPr>
              <w:jc w:val="center"/>
              <w:rPr>
                <w:rFonts w:hint="eastAsia"/>
                <w:lang w:eastAsia="en-US"/>
              </w:rPr>
            </w:pPr>
            <w:r>
              <w:rPr>
                <w:lang w:eastAsia="en-US"/>
              </w:rPr>
              <w:t>轻度危害（P4）</w:t>
            </w:r>
          </w:p>
        </w:tc>
      </w:tr>
      <w:tr w14:paraId="4C444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3" w:type="dxa"/>
            <w:tcBorders>
              <w:left w:val="single" w:color="auto" w:sz="12" w:space="0"/>
            </w:tcBorders>
            <w:vAlign w:val="center"/>
          </w:tcPr>
          <w:p w14:paraId="65972BAD">
            <w:pPr>
              <w:jc w:val="center"/>
              <w:rPr>
                <w:rFonts w:hint="eastAsia"/>
              </w:rPr>
            </w:pPr>
            <w:r>
              <w:t>环境高敏感度区（E1）</w:t>
            </w:r>
          </w:p>
        </w:tc>
        <w:tc>
          <w:tcPr>
            <w:tcW w:w="1555" w:type="dxa"/>
            <w:vAlign w:val="center"/>
          </w:tcPr>
          <w:p w14:paraId="73736BAE">
            <w:pPr>
              <w:jc w:val="center"/>
              <w:rPr>
                <w:rFonts w:hint="eastAsia"/>
                <w:lang w:eastAsia="en-US"/>
              </w:rPr>
            </w:pPr>
            <w:r>
              <w:rPr>
                <w:lang w:eastAsia="en-US"/>
              </w:rPr>
              <w:t>IV</w:t>
            </w:r>
            <w:r>
              <w:rPr>
                <w:vertAlign w:val="superscript"/>
                <w:lang w:eastAsia="en-US"/>
              </w:rPr>
              <w:t>+</w:t>
            </w:r>
          </w:p>
        </w:tc>
        <w:tc>
          <w:tcPr>
            <w:tcW w:w="1567" w:type="dxa"/>
            <w:vAlign w:val="center"/>
          </w:tcPr>
          <w:p w14:paraId="2DF6D844">
            <w:pPr>
              <w:jc w:val="center"/>
              <w:rPr>
                <w:rFonts w:hint="eastAsia"/>
                <w:lang w:eastAsia="en-US"/>
              </w:rPr>
            </w:pPr>
            <w:r>
              <w:rPr>
                <w:lang w:eastAsia="en-US"/>
              </w:rPr>
              <w:t>IV</w:t>
            </w:r>
          </w:p>
        </w:tc>
        <w:tc>
          <w:tcPr>
            <w:tcW w:w="1582" w:type="dxa"/>
            <w:vAlign w:val="center"/>
          </w:tcPr>
          <w:p w14:paraId="71D36B76">
            <w:pPr>
              <w:jc w:val="center"/>
              <w:rPr>
                <w:rFonts w:hint="eastAsia"/>
                <w:lang w:eastAsia="en-US"/>
              </w:rPr>
            </w:pPr>
            <w:r>
              <w:rPr>
                <w:lang w:eastAsia="en-US"/>
              </w:rPr>
              <w:t>III</w:t>
            </w:r>
          </w:p>
        </w:tc>
        <w:tc>
          <w:tcPr>
            <w:tcW w:w="1492" w:type="dxa"/>
            <w:tcBorders>
              <w:right w:val="single" w:color="auto" w:sz="12" w:space="0"/>
            </w:tcBorders>
            <w:vAlign w:val="center"/>
          </w:tcPr>
          <w:p w14:paraId="56CE8800">
            <w:pPr>
              <w:jc w:val="center"/>
              <w:rPr>
                <w:rFonts w:hint="eastAsia"/>
                <w:lang w:eastAsia="en-US"/>
              </w:rPr>
            </w:pPr>
            <w:r>
              <w:rPr>
                <w:lang w:eastAsia="en-US"/>
              </w:rPr>
              <w:t>III</w:t>
            </w:r>
          </w:p>
        </w:tc>
      </w:tr>
      <w:tr w14:paraId="5B39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3" w:type="dxa"/>
            <w:tcBorders>
              <w:left w:val="single" w:color="auto" w:sz="12" w:space="0"/>
            </w:tcBorders>
            <w:vAlign w:val="center"/>
          </w:tcPr>
          <w:p w14:paraId="7211A19A">
            <w:pPr>
              <w:jc w:val="center"/>
              <w:rPr>
                <w:rFonts w:hint="eastAsia"/>
              </w:rPr>
            </w:pPr>
            <w:r>
              <w:t>环境中敏感度区（E2）</w:t>
            </w:r>
          </w:p>
        </w:tc>
        <w:tc>
          <w:tcPr>
            <w:tcW w:w="1555" w:type="dxa"/>
            <w:vAlign w:val="center"/>
          </w:tcPr>
          <w:p w14:paraId="29718550">
            <w:pPr>
              <w:jc w:val="center"/>
              <w:rPr>
                <w:rFonts w:hint="eastAsia"/>
                <w:lang w:eastAsia="en-US"/>
              </w:rPr>
            </w:pPr>
            <w:r>
              <w:rPr>
                <w:lang w:eastAsia="en-US"/>
              </w:rPr>
              <w:t>IV</w:t>
            </w:r>
          </w:p>
        </w:tc>
        <w:tc>
          <w:tcPr>
            <w:tcW w:w="1567" w:type="dxa"/>
            <w:vAlign w:val="center"/>
          </w:tcPr>
          <w:p w14:paraId="031404FD">
            <w:pPr>
              <w:jc w:val="center"/>
              <w:rPr>
                <w:rFonts w:hint="eastAsia"/>
                <w:lang w:eastAsia="en-US"/>
              </w:rPr>
            </w:pPr>
            <w:r>
              <w:rPr>
                <w:lang w:eastAsia="en-US"/>
              </w:rPr>
              <w:t>III</w:t>
            </w:r>
          </w:p>
        </w:tc>
        <w:tc>
          <w:tcPr>
            <w:tcW w:w="1582" w:type="dxa"/>
            <w:vAlign w:val="center"/>
          </w:tcPr>
          <w:p w14:paraId="321016DB">
            <w:pPr>
              <w:jc w:val="center"/>
              <w:rPr>
                <w:rFonts w:hint="eastAsia"/>
                <w:lang w:eastAsia="en-US"/>
              </w:rPr>
            </w:pPr>
            <w:r>
              <w:rPr>
                <w:lang w:eastAsia="en-US"/>
              </w:rPr>
              <w:t>III</w:t>
            </w:r>
          </w:p>
        </w:tc>
        <w:tc>
          <w:tcPr>
            <w:tcW w:w="1492" w:type="dxa"/>
            <w:tcBorders>
              <w:right w:val="single" w:color="auto" w:sz="12" w:space="0"/>
            </w:tcBorders>
            <w:vAlign w:val="center"/>
          </w:tcPr>
          <w:p w14:paraId="2E49AB33">
            <w:pPr>
              <w:jc w:val="center"/>
              <w:rPr>
                <w:rFonts w:hint="eastAsia"/>
                <w:lang w:eastAsia="en-US"/>
              </w:rPr>
            </w:pPr>
            <w:r>
              <w:rPr>
                <w:lang w:eastAsia="en-US"/>
              </w:rPr>
              <w:t>II</w:t>
            </w:r>
          </w:p>
        </w:tc>
      </w:tr>
      <w:tr w14:paraId="0D9C3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3" w:type="dxa"/>
            <w:tcBorders>
              <w:left w:val="single" w:color="auto" w:sz="12" w:space="0"/>
            </w:tcBorders>
            <w:vAlign w:val="center"/>
          </w:tcPr>
          <w:p w14:paraId="4AE141A2">
            <w:pPr>
              <w:jc w:val="center"/>
              <w:rPr>
                <w:rFonts w:hint="eastAsia"/>
              </w:rPr>
            </w:pPr>
            <w:r>
              <w:t>环境低敏感度区（E3）</w:t>
            </w:r>
          </w:p>
        </w:tc>
        <w:tc>
          <w:tcPr>
            <w:tcW w:w="1555" w:type="dxa"/>
            <w:vAlign w:val="center"/>
          </w:tcPr>
          <w:p w14:paraId="3E9FBBE5">
            <w:pPr>
              <w:jc w:val="center"/>
              <w:rPr>
                <w:rFonts w:hint="eastAsia"/>
                <w:lang w:eastAsia="en-US"/>
              </w:rPr>
            </w:pPr>
            <w:r>
              <w:rPr>
                <w:lang w:eastAsia="en-US"/>
              </w:rPr>
              <w:t>III</w:t>
            </w:r>
          </w:p>
        </w:tc>
        <w:tc>
          <w:tcPr>
            <w:tcW w:w="1567" w:type="dxa"/>
            <w:vAlign w:val="center"/>
          </w:tcPr>
          <w:p w14:paraId="10F80414">
            <w:pPr>
              <w:jc w:val="center"/>
              <w:rPr>
                <w:rFonts w:hint="eastAsia"/>
                <w:lang w:eastAsia="en-US"/>
              </w:rPr>
            </w:pPr>
            <w:r>
              <w:rPr>
                <w:lang w:eastAsia="en-US"/>
              </w:rPr>
              <w:t>III</w:t>
            </w:r>
          </w:p>
        </w:tc>
        <w:tc>
          <w:tcPr>
            <w:tcW w:w="1582" w:type="dxa"/>
            <w:vAlign w:val="center"/>
          </w:tcPr>
          <w:p w14:paraId="15C13C79">
            <w:pPr>
              <w:jc w:val="center"/>
              <w:rPr>
                <w:rFonts w:hint="eastAsia"/>
                <w:lang w:eastAsia="en-US"/>
              </w:rPr>
            </w:pPr>
            <w:r>
              <w:rPr>
                <w:lang w:eastAsia="en-US"/>
              </w:rPr>
              <w:t>II</w:t>
            </w:r>
          </w:p>
        </w:tc>
        <w:tc>
          <w:tcPr>
            <w:tcW w:w="1492" w:type="dxa"/>
            <w:tcBorders>
              <w:right w:val="single" w:color="auto" w:sz="12" w:space="0"/>
            </w:tcBorders>
            <w:vAlign w:val="center"/>
          </w:tcPr>
          <w:p w14:paraId="3139B331">
            <w:pPr>
              <w:jc w:val="center"/>
              <w:rPr>
                <w:rFonts w:hint="eastAsia"/>
                <w:lang w:eastAsia="en-US"/>
              </w:rPr>
            </w:pPr>
            <w:r>
              <w:rPr>
                <w:lang w:eastAsia="en-US"/>
              </w:rPr>
              <w:t>I</w:t>
            </w:r>
          </w:p>
        </w:tc>
      </w:tr>
      <w:tr w14:paraId="228F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59" w:type="dxa"/>
            <w:gridSpan w:val="5"/>
            <w:tcBorders>
              <w:left w:val="single" w:color="auto" w:sz="12" w:space="0"/>
              <w:bottom w:val="single" w:color="auto" w:sz="12" w:space="0"/>
              <w:right w:val="single" w:color="auto" w:sz="12" w:space="0"/>
            </w:tcBorders>
            <w:vAlign w:val="center"/>
          </w:tcPr>
          <w:p w14:paraId="3C44481D">
            <w:pPr>
              <w:jc w:val="center"/>
              <w:rPr>
                <w:rFonts w:hint="eastAsia"/>
              </w:rPr>
            </w:pPr>
            <w:r>
              <w:t>注：IV</w:t>
            </w:r>
            <w:r>
              <w:rPr>
                <w:vertAlign w:val="superscript"/>
              </w:rPr>
              <w:t>+</w:t>
            </w:r>
            <w:r>
              <w:t>为极高环境风险</w:t>
            </w:r>
          </w:p>
        </w:tc>
      </w:tr>
    </w:tbl>
    <w:p w14:paraId="3FF663EF">
      <w:pPr>
        <w:adjustRightInd w:val="0"/>
        <w:snapToGrid w:val="0"/>
        <w:rPr>
          <w:rFonts w:hint="eastAsia"/>
          <w:b/>
          <w:bCs/>
          <w:spacing w:val="-10"/>
        </w:rPr>
      </w:pPr>
    </w:p>
    <w:p w14:paraId="24B40FBA">
      <w:pPr>
        <w:adjustRightInd w:val="0"/>
        <w:snapToGrid w:val="0"/>
        <w:spacing w:line="360" w:lineRule="auto"/>
        <w:rPr>
          <w:rFonts w:hint="eastAsia"/>
          <w:b/>
          <w:spacing w:val="-10"/>
        </w:rPr>
      </w:pPr>
      <w:r>
        <w:rPr>
          <w:b/>
          <w:spacing w:val="-10"/>
        </w:rPr>
        <w:t>4.</w:t>
      </w:r>
      <w:r>
        <w:rPr>
          <w:rFonts w:hint="eastAsia"/>
          <w:b/>
          <w:spacing w:val="-10"/>
        </w:rPr>
        <w:t>2</w:t>
      </w:r>
      <w:r>
        <w:rPr>
          <w:b/>
          <w:spacing w:val="-10"/>
        </w:rPr>
        <w:t>危险物质及工艺系统危险性（P）的分级确定</w:t>
      </w:r>
    </w:p>
    <w:p w14:paraId="417D2548">
      <w:pPr>
        <w:adjustRightInd w:val="0"/>
        <w:snapToGrid w:val="0"/>
        <w:spacing w:line="360" w:lineRule="auto"/>
        <w:ind w:firstLine="440" w:firstLineChars="200"/>
        <w:rPr>
          <w:rFonts w:hint="eastAsia"/>
          <w:bCs/>
          <w:spacing w:val="-10"/>
        </w:rPr>
      </w:pPr>
      <w:bookmarkStart w:id="22" w:name="_Hlk163837471"/>
      <w:r>
        <w:rPr>
          <w:bCs/>
          <w:spacing w:val="-10"/>
        </w:rPr>
        <w:t>根据《建设项目环境风险评价技术导则》（HJ169-2018）的规定，分析建设项目生产、使用、储存过程中涉及的有毒有害、易燃易爆物质，参见附录 B 确定危险物质的临界量。定量分析危险物质数量与临界量的比值（Q）和所属行业及生产工艺特点（M），按附录C对危险物质及工艺系统危险性（P）等级进行判断。</w:t>
      </w:r>
    </w:p>
    <w:p w14:paraId="2ACC273E">
      <w:pPr>
        <w:adjustRightInd w:val="0"/>
        <w:snapToGrid w:val="0"/>
        <w:spacing w:line="360" w:lineRule="auto"/>
        <w:ind w:firstLine="440" w:firstLineChars="200"/>
        <w:rPr>
          <w:rFonts w:hint="eastAsia"/>
          <w:bCs/>
          <w:spacing w:val="-10"/>
        </w:rPr>
      </w:pPr>
      <w:r>
        <w:rPr>
          <w:rFonts w:hint="eastAsia"/>
          <w:bCs/>
          <w:spacing w:val="-10"/>
        </w:rPr>
        <w:t>①</w:t>
      </w:r>
      <w:r>
        <w:rPr>
          <w:bCs/>
          <w:spacing w:val="-10"/>
        </w:rPr>
        <w:t>危险物质数量与临界量比值（Q）</w:t>
      </w:r>
    </w:p>
    <w:p w14:paraId="750A32BD">
      <w:pPr>
        <w:adjustRightInd w:val="0"/>
        <w:snapToGrid w:val="0"/>
        <w:spacing w:line="360" w:lineRule="auto"/>
        <w:ind w:firstLine="440" w:firstLineChars="200"/>
        <w:rPr>
          <w:rFonts w:hint="eastAsia"/>
          <w:bCs/>
          <w:spacing w:val="-10"/>
        </w:rPr>
      </w:pPr>
      <w:r>
        <w:rPr>
          <w:bCs/>
          <w:spacing w:val="-10"/>
        </w:rPr>
        <w:t>根据《建设项目环境风险评价技术导则》（HJ169-2018）的规定：</w:t>
      </w:r>
    </w:p>
    <w:p w14:paraId="234965DD">
      <w:pPr>
        <w:adjustRightInd w:val="0"/>
        <w:snapToGrid w:val="0"/>
        <w:spacing w:line="360" w:lineRule="auto"/>
        <w:ind w:firstLine="440" w:firstLineChars="200"/>
        <w:rPr>
          <w:rFonts w:hint="eastAsia"/>
          <w:bCs/>
          <w:spacing w:val="-10"/>
        </w:rPr>
      </w:pPr>
      <w:r>
        <w:rPr>
          <w:bCs/>
          <w:spacing w:val="-10"/>
        </w:rPr>
        <w:t>1）当厂界内只涉及一种危险物质时，计算该物质的总量与其临界量比值，即为Q；</w:t>
      </w:r>
    </w:p>
    <w:p w14:paraId="51D583A9">
      <w:pPr>
        <w:adjustRightInd w:val="0"/>
        <w:snapToGrid w:val="0"/>
        <w:spacing w:line="360" w:lineRule="auto"/>
        <w:ind w:firstLine="440" w:firstLineChars="200"/>
        <w:rPr>
          <w:rFonts w:hint="eastAsia"/>
          <w:bCs/>
          <w:spacing w:val="-10"/>
        </w:rPr>
      </w:pPr>
      <w:r>
        <w:rPr>
          <w:bCs/>
          <w:spacing w:val="-10"/>
        </w:rPr>
        <w:t>2）当厂界内存在多种危险，则按式（C.1）计算物质总量与其临界量比值（Q）；</w:t>
      </w:r>
    </w:p>
    <w:p w14:paraId="0728C2F7">
      <w:pPr>
        <w:adjustRightInd w:val="0"/>
        <w:snapToGrid w:val="0"/>
        <w:spacing w:line="360" w:lineRule="auto"/>
        <w:jc w:val="center"/>
        <w:rPr>
          <w:rFonts w:hint="eastAsia"/>
          <w:bCs/>
          <w:spacing w:val="-10"/>
        </w:rPr>
      </w:pPr>
      <w:r>
        <w:rPr>
          <w:bCs/>
          <w:spacing w:val="-10"/>
        </w:rPr>
        <w:drawing>
          <wp:inline distT="0" distB="0" distL="0" distR="0">
            <wp:extent cx="1397000" cy="450850"/>
            <wp:effectExtent l="0" t="0" r="0" b="6350"/>
            <wp:docPr id="106620638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06384" name="图片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397000" cy="450850"/>
                    </a:xfrm>
                    <a:prstGeom prst="rect">
                      <a:avLst/>
                    </a:prstGeom>
                    <a:noFill/>
                    <a:ln>
                      <a:noFill/>
                    </a:ln>
                  </pic:spPr>
                </pic:pic>
              </a:graphicData>
            </a:graphic>
          </wp:inline>
        </w:drawing>
      </w:r>
      <w:r>
        <w:rPr>
          <w:bCs/>
          <w:spacing w:val="-10"/>
        </w:rPr>
        <w:t>（C.1）</w:t>
      </w:r>
    </w:p>
    <w:p w14:paraId="41CC25AB">
      <w:pPr>
        <w:adjustRightInd w:val="0"/>
        <w:snapToGrid w:val="0"/>
        <w:spacing w:line="360" w:lineRule="auto"/>
        <w:ind w:firstLine="440" w:firstLineChars="200"/>
        <w:rPr>
          <w:rFonts w:hint="eastAsia"/>
          <w:bCs/>
          <w:spacing w:val="-10"/>
        </w:rPr>
      </w:pPr>
      <w:r>
        <w:rPr>
          <w:bCs/>
          <w:spacing w:val="-10"/>
        </w:rPr>
        <w:t>式中：</w:t>
      </w:r>
    </w:p>
    <w:p w14:paraId="4FCDE3D7">
      <w:pPr>
        <w:adjustRightInd w:val="0"/>
        <w:snapToGrid w:val="0"/>
        <w:spacing w:line="360" w:lineRule="auto"/>
        <w:ind w:firstLine="440" w:firstLineChars="200"/>
        <w:rPr>
          <w:rFonts w:hint="eastAsia"/>
          <w:bCs/>
          <w:spacing w:val="-10"/>
        </w:rPr>
      </w:pPr>
      <w:r>
        <w:rPr>
          <w:bCs/>
          <w:spacing w:val="-10"/>
        </w:rPr>
        <w:t>q</w:t>
      </w:r>
      <w:r>
        <w:rPr>
          <w:bCs/>
          <w:spacing w:val="-10"/>
          <w:vertAlign w:val="subscript"/>
        </w:rPr>
        <w:t>1</w:t>
      </w:r>
      <w:r>
        <w:rPr>
          <w:bCs/>
          <w:spacing w:val="-10"/>
        </w:rPr>
        <w:t>、q</w:t>
      </w:r>
      <w:r>
        <w:rPr>
          <w:bCs/>
          <w:spacing w:val="-10"/>
          <w:vertAlign w:val="subscript"/>
        </w:rPr>
        <w:t>2</w:t>
      </w:r>
      <w:r>
        <w:rPr>
          <w:bCs/>
          <w:spacing w:val="-10"/>
        </w:rPr>
        <w:t>、…q</w:t>
      </w:r>
      <w:r>
        <w:rPr>
          <w:bCs/>
          <w:spacing w:val="-10"/>
          <w:vertAlign w:val="subscript"/>
        </w:rPr>
        <w:t>n</w:t>
      </w:r>
      <w:r>
        <w:rPr>
          <w:bCs/>
          <w:spacing w:val="-10"/>
        </w:rPr>
        <w:t>--每种危险物质的最大存在总量，t；</w:t>
      </w:r>
    </w:p>
    <w:p w14:paraId="28AA9D54">
      <w:pPr>
        <w:adjustRightInd w:val="0"/>
        <w:snapToGrid w:val="0"/>
        <w:spacing w:line="360" w:lineRule="auto"/>
        <w:ind w:firstLine="440" w:firstLineChars="200"/>
        <w:rPr>
          <w:rFonts w:hint="eastAsia"/>
          <w:bCs/>
          <w:spacing w:val="-10"/>
        </w:rPr>
      </w:pPr>
      <w:r>
        <w:rPr>
          <w:bCs/>
          <w:spacing w:val="-10"/>
        </w:rPr>
        <w:t>Q</w:t>
      </w:r>
      <w:r>
        <w:rPr>
          <w:bCs/>
          <w:spacing w:val="-10"/>
          <w:vertAlign w:val="subscript"/>
        </w:rPr>
        <w:t>1</w:t>
      </w:r>
      <w:r>
        <w:rPr>
          <w:bCs/>
          <w:spacing w:val="-10"/>
        </w:rPr>
        <w:t>、Q</w:t>
      </w:r>
      <w:r>
        <w:rPr>
          <w:bCs/>
          <w:spacing w:val="-10"/>
          <w:vertAlign w:val="subscript"/>
        </w:rPr>
        <w:t>2</w:t>
      </w:r>
      <w:r>
        <w:rPr>
          <w:bCs/>
          <w:spacing w:val="-10"/>
        </w:rPr>
        <w:t>、…Q</w:t>
      </w:r>
      <w:r>
        <w:rPr>
          <w:bCs/>
          <w:spacing w:val="-10"/>
          <w:vertAlign w:val="subscript"/>
        </w:rPr>
        <w:t>n</w:t>
      </w:r>
      <w:r>
        <w:rPr>
          <w:bCs/>
          <w:spacing w:val="-10"/>
        </w:rPr>
        <w:t>--每种危险物质相对应的临界量，t。</w:t>
      </w:r>
    </w:p>
    <w:p w14:paraId="34625A69">
      <w:pPr>
        <w:adjustRightInd w:val="0"/>
        <w:snapToGrid w:val="0"/>
        <w:spacing w:line="360" w:lineRule="auto"/>
        <w:ind w:firstLine="440" w:firstLineChars="200"/>
        <w:rPr>
          <w:rFonts w:hint="eastAsia"/>
          <w:bCs/>
          <w:spacing w:val="-10"/>
        </w:rPr>
      </w:pPr>
      <w:r>
        <w:rPr>
          <w:bCs/>
          <w:spacing w:val="-10"/>
        </w:rPr>
        <w:t>计算出Q值后，当Q＜1时，该项目环境风险潜势为Ⅰ。</w:t>
      </w:r>
    </w:p>
    <w:p w14:paraId="3C333F24">
      <w:pPr>
        <w:adjustRightInd w:val="0"/>
        <w:snapToGrid w:val="0"/>
        <w:spacing w:line="360" w:lineRule="auto"/>
        <w:ind w:firstLine="440" w:firstLineChars="200"/>
        <w:rPr>
          <w:rFonts w:hint="eastAsia"/>
          <w:bCs/>
          <w:spacing w:val="-10"/>
        </w:rPr>
      </w:pPr>
      <w:r>
        <w:rPr>
          <w:bCs/>
          <w:spacing w:val="-10"/>
        </w:rPr>
        <w:t>当Q≥1时，将Q值划分为：</w:t>
      </w:r>
      <w:r>
        <w:rPr>
          <w:rFonts w:hint="eastAsia"/>
          <w:bCs/>
          <w:spacing w:val="-10"/>
        </w:rPr>
        <w:t>①</w:t>
      </w:r>
      <w:r>
        <w:rPr>
          <w:bCs/>
          <w:spacing w:val="-10"/>
        </w:rPr>
        <w:t>1≤Q＜10；</w:t>
      </w:r>
      <w:r>
        <w:rPr>
          <w:rFonts w:hint="eastAsia"/>
          <w:bCs/>
          <w:spacing w:val="-10"/>
        </w:rPr>
        <w:t>②</w:t>
      </w:r>
      <w:r>
        <w:rPr>
          <w:bCs/>
          <w:spacing w:val="-10"/>
        </w:rPr>
        <w:t>10≤Q＜100；</w:t>
      </w:r>
      <w:r>
        <w:rPr>
          <w:rFonts w:hint="eastAsia"/>
          <w:bCs/>
          <w:spacing w:val="-10"/>
        </w:rPr>
        <w:t>③</w:t>
      </w:r>
      <w:r>
        <w:rPr>
          <w:bCs/>
          <w:spacing w:val="-10"/>
        </w:rPr>
        <w:t>Q≥100。</w:t>
      </w:r>
    </w:p>
    <w:p w14:paraId="42CC4EA3">
      <w:pPr>
        <w:adjustRightInd w:val="0"/>
        <w:snapToGrid w:val="0"/>
        <w:spacing w:line="360" w:lineRule="auto"/>
        <w:ind w:firstLine="440" w:firstLineChars="200"/>
        <w:rPr>
          <w:rFonts w:hint="eastAsia"/>
          <w:bCs/>
          <w:spacing w:val="-10"/>
        </w:rPr>
      </w:pPr>
      <w:r>
        <w:rPr>
          <w:bCs/>
          <w:spacing w:val="-10"/>
        </w:rPr>
        <w:t>本项目</w:t>
      </w:r>
      <w:r>
        <w:rPr>
          <w:rFonts w:hint="eastAsia"/>
          <w:bCs/>
          <w:spacing w:val="-10"/>
        </w:rPr>
        <w:t>的</w:t>
      </w:r>
      <w:r>
        <w:rPr>
          <w:bCs/>
          <w:spacing w:val="-10"/>
        </w:rPr>
        <w:t>Q值计算结果见表6-</w:t>
      </w:r>
      <w:r>
        <w:rPr>
          <w:rFonts w:hint="eastAsia"/>
          <w:bCs/>
          <w:spacing w:val="-10"/>
        </w:rPr>
        <w:t>10</w:t>
      </w:r>
      <w:r>
        <w:rPr>
          <w:bCs/>
          <w:spacing w:val="-10"/>
        </w:rPr>
        <w:t>。</w:t>
      </w:r>
    </w:p>
    <w:p w14:paraId="32F18B99">
      <w:pPr>
        <w:adjustRightInd w:val="0"/>
        <w:snapToGrid w:val="0"/>
        <w:jc w:val="center"/>
        <w:rPr>
          <w:rFonts w:hint="eastAsia"/>
          <w:b/>
          <w:bCs/>
          <w:spacing w:val="-10"/>
        </w:rPr>
      </w:pPr>
      <w:r>
        <w:rPr>
          <w:b/>
          <w:bCs/>
          <w:spacing w:val="-10"/>
        </w:rPr>
        <w:t>表6-</w:t>
      </w:r>
      <w:r>
        <w:rPr>
          <w:rFonts w:hint="eastAsia"/>
          <w:b/>
          <w:bCs/>
          <w:spacing w:val="-10"/>
        </w:rPr>
        <w:t xml:space="preserve">10  </w:t>
      </w:r>
      <w:r>
        <w:rPr>
          <w:b/>
          <w:bCs/>
          <w:spacing w:val="-10"/>
        </w:rPr>
        <w:t>建设项目Q值确定表</w:t>
      </w:r>
    </w:p>
    <w:tbl>
      <w:tblPr>
        <w:tblStyle w:val="16"/>
        <w:tblW w:w="484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2"/>
        <w:gridCol w:w="720"/>
        <w:gridCol w:w="753"/>
        <w:gridCol w:w="755"/>
        <w:gridCol w:w="1259"/>
        <w:gridCol w:w="1755"/>
        <w:gridCol w:w="1264"/>
        <w:gridCol w:w="1607"/>
      </w:tblGrid>
      <w:tr w14:paraId="73D33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restart"/>
            <w:vAlign w:val="center"/>
          </w:tcPr>
          <w:p w14:paraId="275D308D">
            <w:pPr>
              <w:jc w:val="center"/>
              <w:rPr>
                <w:rFonts w:hint="eastAsia"/>
                <w:szCs w:val="21"/>
              </w:rPr>
            </w:pPr>
            <w:r>
              <w:rPr>
                <w:rFonts w:hint="eastAsia"/>
                <w:szCs w:val="21"/>
              </w:rPr>
              <w:t>本项目</w:t>
            </w:r>
          </w:p>
        </w:tc>
        <w:tc>
          <w:tcPr>
            <w:tcW w:w="421" w:type="pct"/>
            <w:vAlign w:val="center"/>
          </w:tcPr>
          <w:p w14:paraId="778531E3">
            <w:pPr>
              <w:jc w:val="center"/>
              <w:rPr>
                <w:rFonts w:hint="eastAsia"/>
                <w:szCs w:val="21"/>
              </w:rPr>
            </w:pPr>
            <w:r>
              <w:rPr>
                <w:szCs w:val="21"/>
              </w:rPr>
              <w:t>序号</w:t>
            </w:r>
          </w:p>
        </w:tc>
        <w:tc>
          <w:tcPr>
            <w:tcW w:w="881" w:type="pct"/>
            <w:gridSpan w:val="2"/>
            <w:vAlign w:val="center"/>
          </w:tcPr>
          <w:p w14:paraId="4BD7D257">
            <w:pPr>
              <w:jc w:val="center"/>
              <w:rPr>
                <w:rFonts w:hint="eastAsia"/>
                <w:szCs w:val="21"/>
              </w:rPr>
            </w:pPr>
            <w:r>
              <w:rPr>
                <w:szCs w:val="21"/>
              </w:rPr>
              <w:t>危险物质名称</w:t>
            </w:r>
          </w:p>
        </w:tc>
        <w:tc>
          <w:tcPr>
            <w:tcW w:w="736" w:type="pct"/>
            <w:vAlign w:val="center"/>
          </w:tcPr>
          <w:p w14:paraId="31AD3DA1">
            <w:pPr>
              <w:jc w:val="center"/>
              <w:rPr>
                <w:rFonts w:hint="eastAsia"/>
                <w:szCs w:val="21"/>
              </w:rPr>
            </w:pPr>
            <w:r>
              <w:rPr>
                <w:szCs w:val="21"/>
              </w:rPr>
              <w:t>CAS号</w:t>
            </w:r>
          </w:p>
        </w:tc>
        <w:tc>
          <w:tcPr>
            <w:tcW w:w="1026" w:type="pct"/>
            <w:vAlign w:val="center"/>
          </w:tcPr>
          <w:p w14:paraId="5E222426">
            <w:pPr>
              <w:jc w:val="center"/>
              <w:rPr>
                <w:rFonts w:hint="eastAsia"/>
                <w:szCs w:val="21"/>
              </w:rPr>
            </w:pPr>
            <w:r>
              <w:rPr>
                <w:szCs w:val="21"/>
              </w:rPr>
              <w:t>最大存在总量qn/t</w:t>
            </w:r>
          </w:p>
        </w:tc>
        <w:tc>
          <w:tcPr>
            <w:tcW w:w="739" w:type="pct"/>
            <w:vAlign w:val="center"/>
          </w:tcPr>
          <w:p w14:paraId="5ED1BDC3">
            <w:pPr>
              <w:jc w:val="center"/>
              <w:rPr>
                <w:rFonts w:hint="eastAsia"/>
                <w:szCs w:val="21"/>
              </w:rPr>
            </w:pPr>
            <w:r>
              <w:rPr>
                <w:szCs w:val="21"/>
              </w:rPr>
              <w:t>临界量Qn/t</w:t>
            </w:r>
          </w:p>
        </w:tc>
        <w:tc>
          <w:tcPr>
            <w:tcW w:w="939" w:type="pct"/>
            <w:vAlign w:val="center"/>
          </w:tcPr>
          <w:p w14:paraId="2F69DAA0">
            <w:pPr>
              <w:jc w:val="center"/>
              <w:rPr>
                <w:rFonts w:hint="eastAsia"/>
                <w:szCs w:val="21"/>
              </w:rPr>
            </w:pPr>
            <w:r>
              <w:rPr>
                <w:szCs w:val="21"/>
              </w:rPr>
              <w:t>该种危险物质</w:t>
            </w:r>
          </w:p>
          <w:p w14:paraId="0AF4FE7A">
            <w:pPr>
              <w:jc w:val="center"/>
              <w:rPr>
                <w:rFonts w:hint="eastAsia"/>
                <w:szCs w:val="21"/>
              </w:rPr>
            </w:pPr>
            <w:r>
              <w:rPr>
                <w:szCs w:val="21"/>
              </w:rPr>
              <w:t>Q值</w:t>
            </w:r>
          </w:p>
        </w:tc>
      </w:tr>
      <w:tr w14:paraId="3D6DD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vAlign w:val="center"/>
          </w:tcPr>
          <w:p w14:paraId="051EE3AE">
            <w:pPr>
              <w:jc w:val="center"/>
              <w:rPr>
                <w:rFonts w:hint="eastAsia"/>
                <w:szCs w:val="21"/>
              </w:rPr>
            </w:pPr>
          </w:p>
        </w:tc>
        <w:tc>
          <w:tcPr>
            <w:tcW w:w="421" w:type="pct"/>
            <w:vAlign w:val="center"/>
          </w:tcPr>
          <w:p w14:paraId="086539BF">
            <w:pPr>
              <w:jc w:val="center"/>
              <w:rPr>
                <w:rFonts w:hint="eastAsia"/>
                <w:szCs w:val="21"/>
              </w:rPr>
            </w:pPr>
            <w:r>
              <w:rPr>
                <w:szCs w:val="21"/>
              </w:rPr>
              <w:t>1</w:t>
            </w:r>
          </w:p>
        </w:tc>
        <w:tc>
          <w:tcPr>
            <w:tcW w:w="881" w:type="pct"/>
            <w:gridSpan w:val="2"/>
            <w:vAlign w:val="center"/>
          </w:tcPr>
          <w:p w14:paraId="2E64FD39">
            <w:pPr>
              <w:jc w:val="center"/>
              <w:rPr>
                <w:rFonts w:hint="eastAsia"/>
                <w:szCs w:val="21"/>
              </w:rPr>
            </w:pPr>
            <w:r>
              <w:rPr>
                <w:szCs w:val="21"/>
              </w:rPr>
              <w:t>柴油</w:t>
            </w:r>
          </w:p>
        </w:tc>
        <w:tc>
          <w:tcPr>
            <w:tcW w:w="736" w:type="pct"/>
            <w:vAlign w:val="center"/>
          </w:tcPr>
          <w:p w14:paraId="73534D52">
            <w:pPr>
              <w:jc w:val="center"/>
              <w:rPr>
                <w:rFonts w:hint="eastAsia"/>
                <w:szCs w:val="21"/>
              </w:rPr>
            </w:pPr>
            <w:r>
              <w:rPr>
                <w:szCs w:val="21"/>
              </w:rPr>
              <w:t>-</w:t>
            </w:r>
          </w:p>
        </w:tc>
        <w:tc>
          <w:tcPr>
            <w:tcW w:w="1026" w:type="pct"/>
            <w:vAlign w:val="center"/>
          </w:tcPr>
          <w:p w14:paraId="5DCA25EB">
            <w:pPr>
              <w:jc w:val="center"/>
              <w:rPr>
                <w:rFonts w:hint="eastAsia"/>
                <w:szCs w:val="21"/>
              </w:rPr>
            </w:pPr>
            <w:r>
              <w:rPr>
                <w:rFonts w:hint="eastAsia"/>
                <w:szCs w:val="21"/>
              </w:rPr>
              <w:t>4927.5</w:t>
            </w:r>
          </w:p>
        </w:tc>
        <w:tc>
          <w:tcPr>
            <w:tcW w:w="739" w:type="pct"/>
            <w:vAlign w:val="center"/>
          </w:tcPr>
          <w:p w14:paraId="2F1D8E33">
            <w:pPr>
              <w:jc w:val="center"/>
              <w:rPr>
                <w:rFonts w:hint="eastAsia"/>
                <w:szCs w:val="21"/>
              </w:rPr>
            </w:pPr>
            <w:r>
              <w:rPr>
                <w:szCs w:val="21"/>
              </w:rPr>
              <w:t>2500</w:t>
            </w:r>
          </w:p>
        </w:tc>
        <w:tc>
          <w:tcPr>
            <w:tcW w:w="939" w:type="pct"/>
            <w:vAlign w:val="center"/>
          </w:tcPr>
          <w:p w14:paraId="1BE50E99">
            <w:pPr>
              <w:jc w:val="center"/>
              <w:rPr>
                <w:rFonts w:hint="eastAsia"/>
                <w:szCs w:val="21"/>
              </w:rPr>
            </w:pPr>
            <w:r>
              <w:rPr>
                <w:rFonts w:hint="eastAsia"/>
                <w:szCs w:val="21"/>
              </w:rPr>
              <w:t>1.971</w:t>
            </w:r>
          </w:p>
        </w:tc>
      </w:tr>
      <w:tr w14:paraId="238AD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vAlign w:val="center"/>
          </w:tcPr>
          <w:p w14:paraId="6927DE3A">
            <w:pPr>
              <w:jc w:val="center"/>
              <w:rPr>
                <w:rFonts w:hint="eastAsia"/>
                <w:szCs w:val="21"/>
              </w:rPr>
            </w:pPr>
          </w:p>
        </w:tc>
        <w:tc>
          <w:tcPr>
            <w:tcW w:w="421" w:type="pct"/>
            <w:vAlign w:val="center"/>
          </w:tcPr>
          <w:p w14:paraId="03233B2B">
            <w:pPr>
              <w:jc w:val="center"/>
              <w:rPr>
                <w:rFonts w:hint="eastAsia"/>
                <w:szCs w:val="21"/>
              </w:rPr>
            </w:pPr>
            <w:r>
              <w:rPr>
                <w:rFonts w:hint="eastAsia"/>
                <w:szCs w:val="21"/>
              </w:rPr>
              <w:t>2</w:t>
            </w:r>
          </w:p>
        </w:tc>
        <w:tc>
          <w:tcPr>
            <w:tcW w:w="881" w:type="pct"/>
            <w:gridSpan w:val="2"/>
            <w:vAlign w:val="center"/>
          </w:tcPr>
          <w:p w14:paraId="79A19DE9">
            <w:pPr>
              <w:jc w:val="center"/>
              <w:rPr>
                <w:rFonts w:hint="eastAsia"/>
                <w:szCs w:val="21"/>
              </w:rPr>
            </w:pPr>
            <w:r>
              <w:rPr>
                <w:rFonts w:hint="eastAsia"/>
                <w:szCs w:val="21"/>
              </w:rPr>
              <w:t>92#汽油</w:t>
            </w:r>
          </w:p>
        </w:tc>
        <w:tc>
          <w:tcPr>
            <w:tcW w:w="736" w:type="pct"/>
            <w:vAlign w:val="center"/>
          </w:tcPr>
          <w:p w14:paraId="4833E3D0">
            <w:pPr>
              <w:jc w:val="center"/>
              <w:rPr>
                <w:rFonts w:hint="eastAsia"/>
                <w:szCs w:val="21"/>
              </w:rPr>
            </w:pPr>
            <w:r>
              <w:rPr>
                <w:rFonts w:hint="eastAsia"/>
                <w:szCs w:val="21"/>
              </w:rPr>
              <w:t>-</w:t>
            </w:r>
          </w:p>
        </w:tc>
        <w:tc>
          <w:tcPr>
            <w:tcW w:w="1026" w:type="pct"/>
            <w:vAlign w:val="center"/>
          </w:tcPr>
          <w:p w14:paraId="09B79030">
            <w:pPr>
              <w:jc w:val="center"/>
              <w:rPr>
                <w:rFonts w:hint="eastAsia"/>
                <w:szCs w:val="21"/>
              </w:rPr>
            </w:pPr>
            <w:r>
              <w:rPr>
                <w:rFonts w:hint="eastAsia"/>
                <w:szCs w:val="21"/>
              </w:rPr>
              <w:t>1495</w:t>
            </w:r>
          </w:p>
        </w:tc>
        <w:tc>
          <w:tcPr>
            <w:tcW w:w="739" w:type="pct"/>
            <w:vAlign w:val="center"/>
          </w:tcPr>
          <w:p w14:paraId="62232AF2">
            <w:pPr>
              <w:jc w:val="center"/>
              <w:rPr>
                <w:rFonts w:hint="eastAsia"/>
                <w:szCs w:val="21"/>
              </w:rPr>
            </w:pPr>
            <w:r>
              <w:rPr>
                <w:rFonts w:hint="eastAsia"/>
                <w:szCs w:val="21"/>
              </w:rPr>
              <w:t>2500</w:t>
            </w:r>
          </w:p>
        </w:tc>
        <w:tc>
          <w:tcPr>
            <w:tcW w:w="939" w:type="pct"/>
            <w:vAlign w:val="center"/>
          </w:tcPr>
          <w:p w14:paraId="7A3377E0">
            <w:pPr>
              <w:jc w:val="center"/>
              <w:rPr>
                <w:rFonts w:hint="eastAsia"/>
                <w:szCs w:val="21"/>
              </w:rPr>
            </w:pPr>
            <w:r>
              <w:rPr>
                <w:rFonts w:hint="eastAsia"/>
                <w:szCs w:val="21"/>
              </w:rPr>
              <w:t>0.598</w:t>
            </w:r>
          </w:p>
        </w:tc>
      </w:tr>
      <w:tr w14:paraId="5818D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vAlign w:val="center"/>
          </w:tcPr>
          <w:p w14:paraId="4B6C2A5C">
            <w:pPr>
              <w:jc w:val="center"/>
              <w:rPr>
                <w:rFonts w:hint="eastAsia"/>
                <w:szCs w:val="21"/>
              </w:rPr>
            </w:pPr>
          </w:p>
        </w:tc>
        <w:tc>
          <w:tcPr>
            <w:tcW w:w="421" w:type="pct"/>
            <w:vAlign w:val="center"/>
          </w:tcPr>
          <w:p w14:paraId="72632FE7">
            <w:pPr>
              <w:jc w:val="center"/>
              <w:rPr>
                <w:rFonts w:hint="eastAsia"/>
                <w:szCs w:val="21"/>
              </w:rPr>
            </w:pPr>
            <w:r>
              <w:rPr>
                <w:rFonts w:hint="eastAsia"/>
                <w:szCs w:val="21"/>
              </w:rPr>
              <w:t>3</w:t>
            </w:r>
          </w:p>
        </w:tc>
        <w:tc>
          <w:tcPr>
            <w:tcW w:w="881" w:type="pct"/>
            <w:gridSpan w:val="2"/>
            <w:vAlign w:val="center"/>
          </w:tcPr>
          <w:p w14:paraId="6231B65D">
            <w:pPr>
              <w:jc w:val="center"/>
              <w:rPr>
                <w:rFonts w:hint="eastAsia"/>
                <w:szCs w:val="21"/>
              </w:rPr>
            </w:pPr>
            <w:r>
              <w:rPr>
                <w:rFonts w:hint="eastAsia"/>
                <w:szCs w:val="21"/>
              </w:rPr>
              <w:t>95#汽油</w:t>
            </w:r>
          </w:p>
        </w:tc>
        <w:tc>
          <w:tcPr>
            <w:tcW w:w="736" w:type="pct"/>
            <w:vAlign w:val="center"/>
          </w:tcPr>
          <w:p w14:paraId="282DFAF5">
            <w:pPr>
              <w:jc w:val="center"/>
              <w:rPr>
                <w:rFonts w:hint="eastAsia"/>
                <w:szCs w:val="21"/>
              </w:rPr>
            </w:pPr>
            <w:r>
              <w:rPr>
                <w:rFonts w:hint="eastAsia"/>
                <w:szCs w:val="21"/>
              </w:rPr>
              <w:t>-</w:t>
            </w:r>
          </w:p>
        </w:tc>
        <w:tc>
          <w:tcPr>
            <w:tcW w:w="1026" w:type="pct"/>
            <w:vAlign w:val="center"/>
          </w:tcPr>
          <w:p w14:paraId="0701556F">
            <w:pPr>
              <w:jc w:val="center"/>
              <w:rPr>
                <w:rFonts w:hint="eastAsia"/>
                <w:szCs w:val="21"/>
              </w:rPr>
            </w:pPr>
            <w:r>
              <w:rPr>
                <w:rFonts w:hint="eastAsia"/>
                <w:szCs w:val="21"/>
              </w:rPr>
              <w:t>1495</w:t>
            </w:r>
          </w:p>
        </w:tc>
        <w:tc>
          <w:tcPr>
            <w:tcW w:w="739" w:type="pct"/>
            <w:vAlign w:val="center"/>
          </w:tcPr>
          <w:p w14:paraId="5937414A">
            <w:pPr>
              <w:jc w:val="center"/>
              <w:rPr>
                <w:rFonts w:hint="eastAsia"/>
                <w:szCs w:val="21"/>
              </w:rPr>
            </w:pPr>
            <w:r>
              <w:rPr>
                <w:rFonts w:hint="eastAsia"/>
                <w:szCs w:val="21"/>
              </w:rPr>
              <w:t>2500</w:t>
            </w:r>
          </w:p>
        </w:tc>
        <w:tc>
          <w:tcPr>
            <w:tcW w:w="939" w:type="pct"/>
            <w:vAlign w:val="center"/>
          </w:tcPr>
          <w:p w14:paraId="37D0960A">
            <w:pPr>
              <w:jc w:val="center"/>
              <w:rPr>
                <w:rFonts w:hint="eastAsia"/>
                <w:szCs w:val="21"/>
              </w:rPr>
            </w:pPr>
            <w:r>
              <w:rPr>
                <w:rFonts w:hint="eastAsia"/>
                <w:szCs w:val="21"/>
              </w:rPr>
              <w:t>0.598</w:t>
            </w:r>
          </w:p>
        </w:tc>
      </w:tr>
      <w:tr w14:paraId="3C60A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vAlign w:val="center"/>
          </w:tcPr>
          <w:p w14:paraId="520FFF90">
            <w:pPr>
              <w:jc w:val="center"/>
              <w:rPr>
                <w:rFonts w:hint="eastAsia"/>
                <w:szCs w:val="21"/>
              </w:rPr>
            </w:pPr>
          </w:p>
        </w:tc>
        <w:tc>
          <w:tcPr>
            <w:tcW w:w="421" w:type="pct"/>
            <w:vAlign w:val="center"/>
          </w:tcPr>
          <w:p w14:paraId="4BC451FE">
            <w:pPr>
              <w:jc w:val="center"/>
              <w:rPr>
                <w:rFonts w:hint="eastAsia"/>
                <w:szCs w:val="21"/>
              </w:rPr>
            </w:pPr>
            <w:r>
              <w:rPr>
                <w:rFonts w:hint="eastAsia"/>
                <w:szCs w:val="21"/>
              </w:rPr>
              <w:t>4</w:t>
            </w:r>
          </w:p>
        </w:tc>
        <w:tc>
          <w:tcPr>
            <w:tcW w:w="881" w:type="pct"/>
            <w:gridSpan w:val="2"/>
            <w:vAlign w:val="center"/>
          </w:tcPr>
          <w:p w14:paraId="458A4EB8">
            <w:pPr>
              <w:jc w:val="center"/>
              <w:rPr>
                <w:rFonts w:hint="eastAsia"/>
                <w:szCs w:val="21"/>
              </w:rPr>
            </w:pPr>
            <w:r>
              <w:rPr>
                <w:rFonts w:hint="eastAsia"/>
                <w:szCs w:val="21"/>
              </w:rPr>
              <w:t>石脑油</w:t>
            </w:r>
          </w:p>
        </w:tc>
        <w:tc>
          <w:tcPr>
            <w:tcW w:w="736" w:type="pct"/>
            <w:vAlign w:val="center"/>
          </w:tcPr>
          <w:p w14:paraId="65FAD3B1">
            <w:pPr>
              <w:jc w:val="center"/>
              <w:rPr>
                <w:rFonts w:hint="eastAsia"/>
                <w:szCs w:val="21"/>
              </w:rPr>
            </w:pPr>
            <w:r>
              <w:rPr>
                <w:rFonts w:hint="eastAsia"/>
                <w:szCs w:val="21"/>
              </w:rPr>
              <w:t>-</w:t>
            </w:r>
          </w:p>
        </w:tc>
        <w:tc>
          <w:tcPr>
            <w:tcW w:w="1026" w:type="pct"/>
            <w:vAlign w:val="center"/>
          </w:tcPr>
          <w:p w14:paraId="629807E3">
            <w:pPr>
              <w:jc w:val="center"/>
              <w:rPr>
                <w:rFonts w:hint="eastAsia"/>
                <w:szCs w:val="21"/>
              </w:rPr>
            </w:pPr>
            <w:r>
              <w:rPr>
                <w:rFonts w:hint="eastAsia"/>
                <w:szCs w:val="21"/>
              </w:rPr>
              <w:t>1460</w:t>
            </w:r>
          </w:p>
        </w:tc>
        <w:tc>
          <w:tcPr>
            <w:tcW w:w="739" w:type="pct"/>
            <w:vAlign w:val="center"/>
          </w:tcPr>
          <w:p w14:paraId="7D738074">
            <w:pPr>
              <w:jc w:val="center"/>
              <w:rPr>
                <w:rFonts w:hint="eastAsia"/>
                <w:szCs w:val="21"/>
              </w:rPr>
            </w:pPr>
            <w:r>
              <w:rPr>
                <w:rFonts w:hint="eastAsia"/>
                <w:szCs w:val="21"/>
              </w:rPr>
              <w:t>2500</w:t>
            </w:r>
          </w:p>
        </w:tc>
        <w:tc>
          <w:tcPr>
            <w:tcW w:w="939" w:type="pct"/>
            <w:vAlign w:val="center"/>
          </w:tcPr>
          <w:p w14:paraId="5313DF0C">
            <w:pPr>
              <w:jc w:val="center"/>
              <w:rPr>
                <w:rFonts w:hint="eastAsia"/>
                <w:szCs w:val="21"/>
              </w:rPr>
            </w:pPr>
            <w:r>
              <w:rPr>
                <w:rFonts w:hint="eastAsia"/>
                <w:szCs w:val="21"/>
              </w:rPr>
              <w:t>0.584</w:t>
            </w:r>
          </w:p>
        </w:tc>
      </w:tr>
      <w:tr w14:paraId="34D49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vAlign w:val="center"/>
          </w:tcPr>
          <w:p w14:paraId="10ACA300">
            <w:pPr>
              <w:jc w:val="center"/>
              <w:rPr>
                <w:rFonts w:hint="eastAsia"/>
                <w:szCs w:val="21"/>
              </w:rPr>
            </w:pPr>
          </w:p>
        </w:tc>
        <w:tc>
          <w:tcPr>
            <w:tcW w:w="421" w:type="pct"/>
            <w:vAlign w:val="center"/>
          </w:tcPr>
          <w:p w14:paraId="68368B96">
            <w:pPr>
              <w:jc w:val="center"/>
              <w:rPr>
                <w:rFonts w:hint="eastAsia"/>
                <w:szCs w:val="21"/>
              </w:rPr>
            </w:pPr>
            <w:r>
              <w:rPr>
                <w:rFonts w:hint="eastAsia"/>
                <w:szCs w:val="21"/>
              </w:rPr>
              <w:t>5</w:t>
            </w:r>
          </w:p>
        </w:tc>
        <w:tc>
          <w:tcPr>
            <w:tcW w:w="881" w:type="pct"/>
            <w:gridSpan w:val="2"/>
            <w:vAlign w:val="center"/>
          </w:tcPr>
          <w:p w14:paraId="0F95DA87">
            <w:pPr>
              <w:jc w:val="center"/>
              <w:rPr>
                <w:rFonts w:hint="eastAsia"/>
                <w:szCs w:val="21"/>
              </w:rPr>
            </w:pPr>
            <w:r>
              <w:rPr>
                <w:rFonts w:hint="eastAsia"/>
                <w:szCs w:val="21"/>
              </w:rPr>
              <w:t>异辛烷</w:t>
            </w:r>
          </w:p>
        </w:tc>
        <w:tc>
          <w:tcPr>
            <w:tcW w:w="736" w:type="pct"/>
            <w:vAlign w:val="center"/>
          </w:tcPr>
          <w:p w14:paraId="02ED2924">
            <w:pPr>
              <w:jc w:val="center"/>
              <w:rPr>
                <w:rFonts w:hint="eastAsia"/>
                <w:szCs w:val="21"/>
              </w:rPr>
            </w:pPr>
            <w:r>
              <w:rPr>
                <w:rFonts w:hint="eastAsia"/>
                <w:szCs w:val="21"/>
              </w:rPr>
              <w:t>-</w:t>
            </w:r>
          </w:p>
        </w:tc>
        <w:tc>
          <w:tcPr>
            <w:tcW w:w="1026" w:type="pct"/>
            <w:vAlign w:val="center"/>
          </w:tcPr>
          <w:p w14:paraId="5F4FF11D">
            <w:pPr>
              <w:jc w:val="center"/>
              <w:rPr>
                <w:rFonts w:hint="eastAsia"/>
                <w:szCs w:val="21"/>
              </w:rPr>
            </w:pPr>
            <w:r>
              <w:rPr>
                <w:rFonts w:hint="eastAsia"/>
                <w:szCs w:val="21"/>
              </w:rPr>
              <w:t>1380</w:t>
            </w:r>
          </w:p>
        </w:tc>
        <w:tc>
          <w:tcPr>
            <w:tcW w:w="739" w:type="pct"/>
            <w:vAlign w:val="center"/>
          </w:tcPr>
          <w:p w14:paraId="18E1D7BB">
            <w:pPr>
              <w:jc w:val="center"/>
              <w:rPr>
                <w:rFonts w:hint="eastAsia"/>
                <w:szCs w:val="21"/>
              </w:rPr>
            </w:pPr>
            <w:r>
              <w:rPr>
                <w:rFonts w:hint="eastAsia"/>
                <w:szCs w:val="21"/>
              </w:rPr>
              <w:t>100</w:t>
            </w:r>
          </w:p>
        </w:tc>
        <w:tc>
          <w:tcPr>
            <w:tcW w:w="939" w:type="pct"/>
            <w:vAlign w:val="center"/>
          </w:tcPr>
          <w:p w14:paraId="2B1DE485">
            <w:pPr>
              <w:jc w:val="center"/>
              <w:rPr>
                <w:rFonts w:hint="eastAsia"/>
                <w:szCs w:val="21"/>
              </w:rPr>
            </w:pPr>
            <w:r>
              <w:rPr>
                <w:rFonts w:hint="eastAsia"/>
                <w:szCs w:val="21"/>
              </w:rPr>
              <w:t>13.8</w:t>
            </w:r>
          </w:p>
        </w:tc>
      </w:tr>
      <w:tr w14:paraId="2AD25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vAlign w:val="center"/>
          </w:tcPr>
          <w:p w14:paraId="7AAF964C">
            <w:pPr>
              <w:jc w:val="center"/>
              <w:rPr>
                <w:rFonts w:hint="eastAsia"/>
                <w:szCs w:val="21"/>
              </w:rPr>
            </w:pPr>
          </w:p>
        </w:tc>
        <w:tc>
          <w:tcPr>
            <w:tcW w:w="421" w:type="pct"/>
            <w:vAlign w:val="center"/>
          </w:tcPr>
          <w:p w14:paraId="5A8BC6CE">
            <w:pPr>
              <w:jc w:val="center"/>
              <w:rPr>
                <w:rFonts w:hint="eastAsia"/>
                <w:szCs w:val="21"/>
              </w:rPr>
            </w:pPr>
            <w:r>
              <w:rPr>
                <w:rFonts w:hint="eastAsia"/>
                <w:szCs w:val="21"/>
              </w:rPr>
              <w:t>6</w:t>
            </w:r>
          </w:p>
        </w:tc>
        <w:tc>
          <w:tcPr>
            <w:tcW w:w="881" w:type="pct"/>
            <w:gridSpan w:val="2"/>
            <w:vAlign w:val="center"/>
          </w:tcPr>
          <w:p w14:paraId="3F56C53F">
            <w:pPr>
              <w:jc w:val="center"/>
              <w:rPr>
                <w:rFonts w:hint="eastAsia"/>
                <w:szCs w:val="21"/>
              </w:rPr>
            </w:pPr>
            <w:r>
              <w:rPr>
                <w:rFonts w:hint="eastAsia"/>
                <w:szCs w:val="21"/>
              </w:rPr>
              <w:t>轻质燃料油</w:t>
            </w:r>
          </w:p>
        </w:tc>
        <w:tc>
          <w:tcPr>
            <w:tcW w:w="736" w:type="pct"/>
            <w:vAlign w:val="center"/>
          </w:tcPr>
          <w:p w14:paraId="7ED9D7C0">
            <w:pPr>
              <w:jc w:val="center"/>
              <w:rPr>
                <w:rFonts w:hint="eastAsia"/>
                <w:szCs w:val="21"/>
              </w:rPr>
            </w:pPr>
            <w:r>
              <w:rPr>
                <w:rFonts w:hint="eastAsia"/>
                <w:szCs w:val="21"/>
              </w:rPr>
              <w:t>-</w:t>
            </w:r>
          </w:p>
        </w:tc>
        <w:tc>
          <w:tcPr>
            <w:tcW w:w="1026" w:type="pct"/>
            <w:vAlign w:val="center"/>
          </w:tcPr>
          <w:p w14:paraId="0636E71A">
            <w:pPr>
              <w:jc w:val="center"/>
              <w:rPr>
                <w:rFonts w:hint="eastAsia"/>
                <w:szCs w:val="21"/>
              </w:rPr>
            </w:pPr>
            <w:r>
              <w:rPr>
                <w:rFonts w:hint="eastAsia"/>
                <w:szCs w:val="21"/>
              </w:rPr>
              <w:t>2550</w:t>
            </w:r>
          </w:p>
        </w:tc>
        <w:tc>
          <w:tcPr>
            <w:tcW w:w="739" w:type="pct"/>
            <w:vAlign w:val="center"/>
          </w:tcPr>
          <w:p w14:paraId="034C77C9">
            <w:pPr>
              <w:jc w:val="center"/>
              <w:rPr>
                <w:rFonts w:hint="eastAsia"/>
                <w:szCs w:val="21"/>
              </w:rPr>
            </w:pPr>
            <w:r>
              <w:rPr>
                <w:rFonts w:hint="eastAsia"/>
                <w:szCs w:val="21"/>
              </w:rPr>
              <w:t>2500</w:t>
            </w:r>
          </w:p>
        </w:tc>
        <w:tc>
          <w:tcPr>
            <w:tcW w:w="939" w:type="pct"/>
            <w:vAlign w:val="center"/>
          </w:tcPr>
          <w:p w14:paraId="279C1B5C">
            <w:pPr>
              <w:jc w:val="center"/>
              <w:rPr>
                <w:rFonts w:hint="eastAsia"/>
                <w:szCs w:val="21"/>
              </w:rPr>
            </w:pPr>
            <w:r>
              <w:rPr>
                <w:rFonts w:hint="eastAsia"/>
                <w:szCs w:val="21"/>
              </w:rPr>
              <w:t>1.02</w:t>
            </w:r>
          </w:p>
        </w:tc>
      </w:tr>
      <w:tr w14:paraId="4EFDB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vAlign w:val="center"/>
          </w:tcPr>
          <w:p w14:paraId="72D5E8FA">
            <w:pPr>
              <w:jc w:val="center"/>
              <w:rPr>
                <w:rFonts w:hint="eastAsia"/>
                <w:szCs w:val="21"/>
              </w:rPr>
            </w:pPr>
          </w:p>
        </w:tc>
        <w:tc>
          <w:tcPr>
            <w:tcW w:w="421" w:type="pct"/>
            <w:vAlign w:val="center"/>
          </w:tcPr>
          <w:p w14:paraId="094A0E7E">
            <w:pPr>
              <w:jc w:val="center"/>
              <w:rPr>
                <w:rFonts w:hint="eastAsia"/>
                <w:szCs w:val="21"/>
              </w:rPr>
            </w:pPr>
            <w:r>
              <w:rPr>
                <w:rFonts w:hint="eastAsia"/>
                <w:szCs w:val="21"/>
              </w:rPr>
              <w:t>7</w:t>
            </w:r>
          </w:p>
        </w:tc>
        <w:tc>
          <w:tcPr>
            <w:tcW w:w="881" w:type="pct"/>
            <w:gridSpan w:val="2"/>
            <w:vAlign w:val="center"/>
          </w:tcPr>
          <w:p w14:paraId="791ABEE1">
            <w:pPr>
              <w:jc w:val="center"/>
              <w:rPr>
                <w:rFonts w:hint="eastAsia"/>
                <w:szCs w:val="21"/>
              </w:rPr>
            </w:pPr>
            <w:r>
              <w:rPr>
                <w:rFonts w:hint="eastAsia"/>
                <w:szCs w:val="21"/>
              </w:rPr>
              <w:t>煤基柴油</w:t>
            </w:r>
          </w:p>
        </w:tc>
        <w:tc>
          <w:tcPr>
            <w:tcW w:w="736" w:type="pct"/>
            <w:vAlign w:val="center"/>
          </w:tcPr>
          <w:p w14:paraId="1219A60B">
            <w:pPr>
              <w:jc w:val="center"/>
              <w:rPr>
                <w:rFonts w:hint="eastAsia"/>
                <w:szCs w:val="21"/>
              </w:rPr>
            </w:pPr>
            <w:r>
              <w:rPr>
                <w:rFonts w:hint="eastAsia"/>
                <w:szCs w:val="21"/>
              </w:rPr>
              <w:t>-</w:t>
            </w:r>
          </w:p>
        </w:tc>
        <w:tc>
          <w:tcPr>
            <w:tcW w:w="1026" w:type="pct"/>
            <w:vAlign w:val="center"/>
          </w:tcPr>
          <w:p w14:paraId="7D03A179">
            <w:pPr>
              <w:jc w:val="center"/>
              <w:rPr>
                <w:rFonts w:hint="eastAsia"/>
                <w:szCs w:val="21"/>
              </w:rPr>
            </w:pPr>
            <w:r>
              <w:rPr>
                <w:rFonts w:hint="eastAsia"/>
                <w:szCs w:val="21"/>
              </w:rPr>
              <w:t>2550</w:t>
            </w:r>
          </w:p>
        </w:tc>
        <w:tc>
          <w:tcPr>
            <w:tcW w:w="739" w:type="pct"/>
            <w:vAlign w:val="center"/>
          </w:tcPr>
          <w:p w14:paraId="0F56A8FA">
            <w:pPr>
              <w:jc w:val="center"/>
              <w:rPr>
                <w:rFonts w:hint="eastAsia"/>
                <w:szCs w:val="21"/>
              </w:rPr>
            </w:pPr>
            <w:r>
              <w:rPr>
                <w:rFonts w:hint="eastAsia"/>
                <w:szCs w:val="21"/>
              </w:rPr>
              <w:t>2500</w:t>
            </w:r>
          </w:p>
        </w:tc>
        <w:tc>
          <w:tcPr>
            <w:tcW w:w="939" w:type="pct"/>
            <w:vAlign w:val="center"/>
          </w:tcPr>
          <w:p w14:paraId="0A9D48C7">
            <w:pPr>
              <w:jc w:val="center"/>
              <w:rPr>
                <w:rFonts w:hint="eastAsia"/>
                <w:szCs w:val="21"/>
              </w:rPr>
            </w:pPr>
            <w:r>
              <w:rPr>
                <w:rFonts w:hint="eastAsia"/>
                <w:szCs w:val="21"/>
              </w:rPr>
              <w:t>1.02</w:t>
            </w:r>
          </w:p>
        </w:tc>
      </w:tr>
      <w:tr w14:paraId="6B8CF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vAlign w:val="center"/>
          </w:tcPr>
          <w:p w14:paraId="26FD89BA">
            <w:pPr>
              <w:jc w:val="center"/>
              <w:rPr>
                <w:rFonts w:hint="eastAsia"/>
                <w:szCs w:val="21"/>
              </w:rPr>
            </w:pPr>
          </w:p>
        </w:tc>
        <w:tc>
          <w:tcPr>
            <w:tcW w:w="421" w:type="pct"/>
            <w:vAlign w:val="center"/>
          </w:tcPr>
          <w:p w14:paraId="45338954">
            <w:pPr>
              <w:jc w:val="center"/>
              <w:rPr>
                <w:rFonts w:hint="eastAsia"/>
                <w:szCs w:val="21"/>
              </w:rPr>
            </w:pPr>
            <w:r>
              <w:rPr>
                <w:rFonts w:hint="eastAsia"/>
                <w:szCs w:val="21"/>
              </w:rPr>
              <w:t>8</w:t>
            </w:r>
          </w:p>
        </w:tc>
        <w:tc>
          <w:tcPr>
            <w:tcW w:w="881" w:type="pct"/>
            <w:gridSpan w:val="2"/>
            <w:vAlign w:val="center"/>
          </w:tcPr>
          <w:p w14:paraId="65284038">
            <w:pPr>
              <w:jc w:val="center"/>
              <w:rPr>
                <w:rFonts w:hint="eastAsia"/>
                <w:szCs w:val="21"/>
              </w:rPr>
            </w:pPr>
            <w:r>
              <w:rPr>
                <w:rFonts w:hint="eastAsia"/>
                <w:szCs w:val="21"/>
              </w:rPr>
              <w:t>MTBE</w:t>
            </w:r>
          </w:p>
        </w:tc>
        <w:tc>
          <w:tcPr>
            <w:tcW w:w="736" w:type="pct"/>
            <w:vAlign w:val="center"/>
          </w:tcPr>
          <w:p w14:paraId="543482FA">
            <w:pPr>
              <w:jc w:val="center"/>
              <w:rPr>
                <w:rFonts w:hint="eastAsia"/>
                <w:szCs w:val="21"/>
              </w:rPr>
            </w:pPr>
            <w:r>
              <w:rPr>
                <w:rFonts w:hint="eastAsia"/>
                <w:szCs w:val="21"/>
              </w:rPr>
              <w:t>1634-04-4</w:t>
            </w:r>
          </w:p>
        </w:tc>
        <w:tc>
          <w:tcPr>
            <w:tcW w:w="1026" w:type="pct"/>
            <w:vAlign w:val="center"/>
          </w:tcPr>
          <w:p w14:paraId="7D919A77">
            <w:pPr>
              <w:jc w:val="center"/>
              <w:rPr>
                <w:rFonts w:hint="eastAsia"/>
                <w:szCs w:val="21"/>
              </w:rPr>
            </w:pPr>
            <w:r>
              <w:rPr>
                <w:rFonts w:hint="eastAsia"/>
                <w:szCs w:val="21"/>
              </w:rPr>
              <w:t>1480</w:t>
            </w:r>
          </w:p>
        </w:tc>
        <w:tc>
          <w:tcPr>
            <w:tcW w:w="739" w:type="pct"/>
            <w:vAlign w:val="center"/>
          </w:tcPr>
          <w:p w14:paraId="55DFCBC7">
            <w:pPr>
              <w:jc w:val="center"/>
              <w:rPr>
                <w:rFonts w:hint="eastAsia"/>
                <w:szCs w:val="21"/>
              </w:rPr>
            </w:pPr>
            <w:r>
              <w:rPr>
                <w:rFonts w:hint="eastAsia"/>
                <w:szCs w:val="21"/>
              </w:rPr>
              <w:t>10</w:t>
            </w:r>
          </w:p>
        </w:tc>
        <w:tc>
          <w:tcPr>
            <w:tcW w:w="939" w:type="pct"/>
            <w:vAlign w:val="center"/>
          </w:tcPr>
          <w:p w14:paraId="05997793">
            <w:pPr>
              <w:jc w:val="center"/>
              <w:rPr>
                <w:rFonts w:hint="eastAsia"/>
                <w:szCs w:val="21"/>
              </w:rPr>
            </w:pPr>
            <w:r>
              <w:rPr>
                <w:rFonts w:hint="eastAsia"/>
                <w:szCs w:val="21"/>
              </w:rPr>
              <w:t>148</w:t>
            </w:r>
          </w:p>
        </w:tc>
      </w:tr>
      <w:tr w14:paraId="1E840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vAlign w:val="center"/>
          </w:tcPr>
          <w:p w14:paraId="6B97FB18">
            <w:pPr>
              <w:jc w:val="center"/>
              <w:rPr>
                <w:rFonts w:hint="eastAsia"/>
                <w:szCs w:val="21"/>
              </w:rPr>
            </w:pPr>
          </w:p>
        </w:tc>
        <w:tc>
          <w:tcPr>
            <w:tcW w:w="421" w:type="pct"/>
            <w:vMerge w:val="restart"/>
            <w:vAlign w:val="center"/>
          </w:tcPr>
          <w:p w14:paraId="4088C00E">
            <w:pPr>
              <w:jc w:val="center"/>
              <w:rPr>
                <w:rFonts w:hint="eastAsia"/>
                <w:szCs w:val="21"/>
              </w:rPr>
            </w:pPr>
            <w:r>
              <w:rPr>
                <w:rFonts w:hint="eastAsia"/>
                <w:szCs w:val="21"/>
              </w:rPr>
              <w:t>9</w:t>
            </w:r>
          </w:p>
        </w:tc>
        <w:tc>
          <w:tcPr>
            <w:tcW w:w="440" w:type="pct"/>
            <w:vMerge w:val="restart"/>
            <w:vAlign w:val="center"/>
          </w:tcPr>
          <w:p w14:paraId="0120B46F">
            <w:pPr>
              <w:jc w:val="center"/>
              <w:rPr>
                <w:rFonts w:hint="eastAsia"/>
                <w:szCs w:val="21"/>
              </w:rPr>
            </w:pPr>
            <w:r>
              <w:rPr>
                <w:rFonts w:hint="eastAsia"/>
                <w:szCs w:val="21"/>
              </w:rPr>
              <w:t>混合芳烃</w:t>
            </w:r>
          </w:p>
        </w:tc>
        <w:tc>
          <w:tcPr>
            <w:tcW w:w="441" w:type="pct"/>
            <w:vAlign w:val="center"/>
          </w:tcPr>
          <w:p w14:paraId="593CA822">
            <w:pPr>
              <w:jc w:val="center"/>
              <w:rPr>
                <w:rFonts w:hint="eastAsia"/>
                <w:szCs w:val="21"/>
              </w:rPr>
            </w:pPr>
            <w:r>
              <w:rPr>
                <w:rFonts w:hint="eastAsia"/>
                <w:szCs w:val="21"/>
              </w:rPr>
              <w:t>苯</w:t>
            </w:r>
          </w:p>
        </w:tc>
        <w:tc>
          <w:tcPr>
            <w:tcW w:w="736" w:type="pct"/>
            <w:vAlign w:val="center"/>
          </w:tcPr>
          <w:p w14:paraId="070B1265">
            <w:pPr>
              <w:jc w:val="center"/>
              <w:rPr>
                <w:rFonts w:hint="eastAsia"/>
                <w:szCs w:val="21"/>
              </w:rPr>
            </w:pPr>
            <w:r>
              <w:rPr>
                <w:rFonts w:ascii="Times New Roman" w:hAnsi="Times New Roman" w:cs="Times New Roman"/>
                <w:spacing w:val="-10"/>
                <w:szCs w:val="21"/>
              </w:rPr>
              <w:t>71-43-2</w:t>
            </w:r>
          </w:p>
        </w:tc>
        <w:tc>
          <w:tcPr>
            <w:tcW w:w="1026" w:type="pct"/>
            <w:vAlign w:val="center"/>
          </w:tcPr>
          <w:p w14:paraId="4ECD71B3">
            <w:pPr>
              <w:jc w:val="center"/>
              <w:rPr>
                <w:rFonts w:hint="eastAsia"/>
                <w:szCs w:val="21"/>
              </w:rPr>
            </w:pPr>
            <w:r>
              <w:rPr>
                <w:rFonts w:hint="eastAsia"/>
                <w:szCs w:val="21"/>
              </w:rPr>
              <w:t>13.904</w:t>
            </w:r>
          </w:p>
        </w:tc>
        <w:tc>
          <w:tcPr>
            <w:tcW w:w="739" w:type="pct"/>
            <w:vAlign w:val="center"/>
          </w:tcPr>
          <w:p w14:paraId="3A8FC508">
            <w:pPr>
              <w:jc w:val="center"/>
              <w:rPr>
                <w:rFonts w:hint="eastAsia"/>
                <w:szCs w:val="21"/>
              </w:rPr>
            </w:pPr>
            <w:r>
              <w:rPr>
                <w:rFonts w:hint="eastAsia"/>
                <w:szCs w:val="21"/>
              </w:rPr>
              <w:t>10</w:t>
            </w:r>
          </w:p>
        </w:tc>
        <w:tc>
          <w:tcPr>
            <w:tcW w:w="939" w:type="pct"/>
            <w:vAlign w:val="center"/>
          </w:tcPr>
          <w:p w14:paraId="3886980D">
            <w:pPr>
              <w:jc w:val="center"/>
              <w:rPr>
                <w:rFonts w:hint="eastAsia"/>
                <w:szCs w:val="21"/>
              </w:rPr>
            </w:pPr>
            <w:r>
              <w:rPr>
                <w:rFonts w:hint="eastAsia"/>
                <w:szCs w:val="21"/>
              </w:rPr>
              <w:t>1.3</w:t>
            </w:r>
          </w:p>
        </w:tc>
      </w:tr>
      <w:tr w14:paraId="49152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vAlign w:val="center"/>
          </w:tcPr>
          <w:p w14:paraId="560EAC9E">
            <w:pPr>
              <w:jc w:val="center"/>
              <w:rPr>
                <w:rFonts w:hint="eastAsia"/>
                <w:szCs w:val="21"/>
              </w:rPr>
            </w:pPr>
          </w:p>
        </w:tc>
        <w:tc>
          <w:tcPr>
            <w:tcW w:w="421" w:type="pct"/>
            <w:vMerge w:val="continue"/>
            <w:vAlign w:val="center"/>
          </w:tcPr>
          <w:p w14:paraId="0C0105DD">
            <w:pPr>
              <w:jc w:val="center"/>
              <w:rPr>
                <w:rFonts w:hint="eastAsia"/>
                <w:szCs w:val="21"/>
              </w:rPr>
            </w:pPr>
          </w:p>
        </w:tc>
        <w:tc>
          <w:tcPr>
            <w:tcW w:w="440" w:type="pct"/>
            <w:vMerge w:val="continue"/>
            <w:vAlign w:val="center"/>
          </w:tcPr>
          <w:p w14:paraId="61C4E9FD">
            <w:pPr>
              <w:jc w:val="center"/>
              <w:rPr>
                <w:rFonts w:hint="eastAsia"/>
                <w:szCs w:val="21"/>
              </w:rPr>
            </w:pPr>
          </w:p>
        </w:tc>
        <w:tc>
          <w:tcPr>
            <w:tcW w:w="441" w:type="pct"/>
            <w:vAlign w:val="center"/>
          </w:tcPr>
          <w:p w14:paraId="1E4AA84F">
            <w:pPr>
              <w:jc w:val="center"/>
              <w:rPr>
                <w:rFonts w:hint="eastAsia"/>
                <w:szCs w:val="21"/>
              </w:rPr>
            </w:pPr>
            <w:r>
              <w:rPr>
                <w:rFonts w:hint="eastAsia"/>
                <w:szCs w:val="21"/>
              </w:rPr>
              <w:t>甲苯</w:t>
            </w:r>
          </w:p>
        </w:tc>
        <w:tc>
          <w:tcPr>
            <w:tcW w:w="736" w:type="pct"/>
            <w:vAlign w:val="center"/>
          </w:tcPr>
          <w:p w14:paraId="31279AF1">
            <w:pPr>
              <w:jc w:val="center"/>
              <w:rPr>
                <w:rFonts w:hint="eastAsia"/>
                <w:szCs w:val="21"/>
              </w:rPr>
            </w:pPr>
            <w:r>
              <w:rPr>
                <w:rFonts w:ascii="Times New Roman" w:hAnsi="Times New Roman" w:cs="Times New Roman"/>
                <w:spacing w:val="-10"/>
                <w:szCs w:val="21"/>
              </w:rPr>
              <w:t>108-88-3</w:t>
            </w:r>
          </w:p>
        </w:tc>
        <w:tc>
          <w:tcPr>
            <w:tcW w:w="1026" w:type="pct"/>
            <w:vAlign w:val="center"/>
          </w:tcPr>
          <w:p w14:paraId="576FEAE3">
            <w:pPr>
              <w:jc w:val="center"/>
              <w:rPr>
                <w:rFonts w:hint="eastAsia"/>
                <w:szCs w:val="21"/>
              </w:rPr>
            </w:pPr>
            <w:r>
              <w:rPr>
                <w:rFonts w:hint="eastAsia"/>
                <w:szCs w:val="21"/>
              </w:rPr>
              <w:t>1175.504</w:t>
            </w:r>
          </w:p>
        </w:tc>
        <w:tc>
          <w:tcPr>
            <w:tcW w:w="739" w:type="pct"/>
            <w:vAlign w:val="center"/>
          </w:tcPr>
          <w:p w14:paraId="7B92F069">
            <w:pPr>
              <w:jc w:val="center"/>
              <w:rPr>
                <w:rFonts w:hint="eastAsia"/>
                <w:szCs w:val="21"/>
              </w:rPr>
            </w:pPr>
            <w:r>
              <w:rPr>
                <w:rFonts w:hint="eastAsia"/>
                <w:szCs w:val="21"/>
              </w:rPr>
              <w:t>10</w:t>
            </w:r>
          </w:p>
        </w:tc>
        <w:tc>
          <w:tcPr>
            <w:tcW w:w="939" w:type="pct"/>
            <w:vAlign w:val="center"/>
          </w:tcPr>
          <w:p w14:paraId="4F1DE634">
            <w:pPr>
              <w:jc w:val="center"/>
              <w:rPr>
                <w:rFonts w:hint="eastAsia"/>
                <w:szCs w:val="21"/>
              </w:rPr>
            </w:pPr>
            <w:r>
              <w:rPr>
                <w:rFonts w:hint="eastAsia"/>
                <w:szCs w:val="21"/>
              </w:rPr>
              <w:t>117.5</w:t>
            </w:r>
          </w:p>
        </w:tc>
      </w:tr>
      <w:tr w14:paraId="0AD1D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vAlign w:val="center"/>
          </w:tcPr>
          <w:p w14:paraId="02CA9F67">
            <w:pPr>
              <w:jc w:val="center"/>
              <w:rPr>
                <w:rFonts w:hint="eastAsia"/>
                <w:szCs w:val="21"/>
              </w:rPr>
            </w:pPr>
          </w:p>
        </w:tc>
        <w:tc>
          <w:tcPr>
            <w:tcW w:w="421" w:type="pct"/>
            <w:vMerge w:val="continue"/>
            <w:vAlign w:val="center"/>
          </w:tcPr>
          <w:p w14:paraId="0E8064E2">
            <w:pPr>
              <w:jc w:val="center"/>
              <w:rPr>
                <w:rFonts w:hint="eastAsia"/>
                <w:szCs w:val="21"/>
              </w:rPr>
            </w:pPr>
          </w:p>
        </w:tc>
        <w:tc>
          <w:tcPr>
            <w:tcW w:w="440" w:type="pct"/>
            <w:vMerge w:val="continue"/>
            <w:vAlign w:val="center"/>
          </w:tcPr>
          <w:p w14:paraId="17B95D8E">
            <w:pPr>
              <w:jc w:val="center"/>
              <w:rPr>
                <w:rFonts w:hint="eastAsia"/>
                <w:szCs w:val="21"/>
              </w:rPr>
            </w:pPr>
          </w:p>
        </w:tc>
        <w:tc>
          <w:tcPr>
            <w:tcW w:w="441" w:type="pct"/>
            <w:vAlign w:val="center"/>
          </w:tcPr>
          <w:p w14:paraId="6EAAEE57">
            <w:pPr>
              <w:jc w:val="center"/>
              <w:rPr>
                <w:rFonts w:hint="eastAsia"/>
                <w:szCs w:val="21"/>
              </w:rPr>
            </w:pPr>
            <w:r>
              <w:rPr>
                <w:rFonts w:hint="eastAsia"/>
                <w:szCs w:val="21"/>
              </w:rPr>
              <w:t>二甲苯</w:t>
            </w:r>
          </w:p>
        </w:tc>
        <w:tc>
          <w:tcPr>
            <w:tcW w:w="736" w:type="pct"/>
            <w:vAlign w:val="center"/>
          </w:tcPr>
          <w:p w14:paraId="2E86814F">
            <w:pPr>
              <w:jc w:val="center"/>
              <w:rPr>
                <w:rFonts w:hint="eastAsia"/>
                <w:szCs w:val="21"/>
              </w:rPr>
            </w:pPr>
            <w:r>
              <w:rPr>
                <w:rFonts w:ascii="Times New Roman" w:hAnsi="Times New Roman" w:cs="Times New Roman"/>
                <w:spacing w:val="-10"/>
                <w:szCs w:val="21"/>
              </w:rPr>
              <w:t>1330-20-7</w:t>
            </w:r>
          </w:p>
        </w:tc>
        <w:tc>
          <w:tcPr>
            <w:tcW w:w="1026" w:type="pct"/>
            <w:vAlign w:val="center"/>
          </w:tcPr>
          <w:p w14:paraId="791B775B">
            <w:pPr>
              <w:jc w:val="center"/>
              <w:rPr>
                <w:rFonts w:hint="eastAsia"/>
                <w:szCs w:val="21"/>
              </w:rPr>
            </w:pPr>
            <w:r>
              <w:rPr>
                <w:rFonts w:hint="eastAsia"/>
                <w:szCs w:val="21"/>
              </w:rPr>
              <w:t>447.04</w:t>
            </w:r>
          </w:p>
        </w:tc>
        <w:tc>
          <w:tcPr>
            <w:tcW w:w="739" w:type="pct"/>
            <w:vAlign w:val="center"/>
          </w:tcPr>
          <w:p w14:paraId="2DBEDF16">
            <w:pPr>
              <w:jc w:val="center"/>
              <w:rPr>
                <w:rFonts w:hint="eastAsia"/>
                <w:szCs w:val="21"/>
              </w:rPr>
            </w:pPr>
            <w:r>
              <w:rPr>
                <w:rFonts w:hint="eastAsia"/>
                <w:szCs w:val="21"/>
              </w:rPr>
              <w:t>10</w:t>
            </w:r>
          </w:p>
        </w:tc>
        <w:tc>
          <w:tcPr>
            <w:tcW w:w="939" w:type="pct"/>
            <w:vAlign w:val="center"/>
          </w:tcPr>
          <w:p w14:paraId="0E8120BE">
            <w:pPr>
              <w:jc w:val="center"/>
              <w:rPr>
                <w:rFonts w:hint="eastAsia"/>
                <w:szCs w:val="21"/>
              </w:rPr>
            </w:pPr>
            <w:r>
              <w:rPr>
                <w:rFonts w:hint="eastAsia"/>
                <w:szCs w:val="21"/>
              </w:rPr>
              <w:t>44.7</w:t>
            </w:r>
          </w:p>
        </w:tc>
      </w:tr>
      <w:tr w14:paraId="1064E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restart"/>
            <w:vAlign w:val="center"/>
          </w:tcPr>
          <w:p w14:paraId="0C042753">
            <w:pPr>
              <w:jc w:val="center"/>
              <w:rPr>
                <w:rFonts w:hint="eastAsia"/>
                <w:szCs w:val="21"/>
              </w:rPr>
            </w:pPr>
            <w:r>
              <w:rPr>
                <w:rFonts w:hint="eastAsia"/>
                <w:szCs w:val="21"/>
              </w:rPr>
              <w:t>一期项目</w:t>
            </w:r>
          </w:p>
        </w:tc>
        <w:tc>
          <w:tcPr>
            <w:tcW w:w="421" w:type="pct"/>
            <w:vAlign w:val="center"/>
          </w:tcPr>
          <w:p w14:paraId="62F0964F">
            <w:pPr>
              <w:jc w:val="center"/>
              <w:rPr>
                <w:rFonts w:hint="eastAsia"/>
                <w:szCs w:val="21"/>
              </w:rPr>
            </w:pPr>
            <w:r>
              <w:rPr>
                <w:rFonts w:hint="eastAsia"/>
                <w:szCs w:val="21"/>
              </w:rPr>
              <w:t>10</w:t>
            </w:r>
          </w:p>
        </w:tc>
        <w:tc>
          <w:tcPr>
            <w:tcW w:w="881" w:type="pct"/>
            <w:gridSpan w:val="2"/>
            <w:vAlign w:val="center"/>
          </w:tcPr>
          <w:p w14:paraId="42C33EF3">
            <w:pPr>
              <w:jc w:val="center"/>
              <w:rPr>
                <w:rFonts w:hint="eastAsia"/>
                <w:szCs w:val="21"/>
              </w:rPr>
            </w:pPr>
            <w:r>
              <w:t>非芳烃</w:t>
            </w:r>
          </w:p>
        </w:tc>
        <w:tc>
          <w:tcPr>
            <w:tcW w:w="736" w:type="pct"/>
            <w:vAlign w:val="center"/>
          </w:tcPr>
          <w:p w14:paraId="5752D07C">
            <w:pPr>
              <w:jc w:val="center"/>
              <w:rPr>
                <w:rFonts w:hint="eastAsia"/>
                <w:szCs w:val="21"/>
              </w:rPr>
            </w:pPr>
            <w:r>
              <w:rPr>
                <w:rFonts w:hint="eastAsia"/>
                <w:szCs w:val="21"/>
              </w:rPr>
              <w:t>-</w:t>
            </w:r>
          </w:p>
        </w:tc>
        <w:tc>
          <w:tcPr>
            <w:tcW w:w="1026" w:type="pct"/>
            <w:vAlign w:val="center"/>
          </w:tcPr>
          <w:p w14:paraId="1F150794">
            <w:pPr>
              <w:jc w:val="center"/>
              <w:rPr>
                <w:rFonts w:hint="eastAsia"/>
                <w:szCs w:val="21"/>
              </w:rPr>
            </w:pPr>
            <w:r>
              <w:t>1147.5</w:t>
            </w:r>
          </w:p>
        </w:tc>
        <w:tc>
          <w:tcPr>
            <w:tcW w:w="739" w:type="pct"/>
            <w:vAlign w:val="center"/>
          </w:tcPr>
          <w:p w14:paraId="04D08D24">
            <w:pPr>
              <w:jc w:val="center"/>
              <w:rPr>
                <w:rFonts w:hint="eastAsia"/>
                <w:szCs w:val="21"/>
              </w:rPr>
            </w:pPr>
            <w:r>
              <w:t>2500</w:t>
            </w:r>
          </w:p>
        </w:tc>
        <w:tc>
          <w:tcPr>
            <w:tcW w:w="939" w:type="pct"/>
            <w:vAlign w:val="center"/>
          </w:tcPr>
          <w:p w14:paraId="4FC33F6C">
            <w:pPr>
              <w:jc w:val="center"/>
              <w:rPr>
                <w:rFonts w:hint="eastAsia"/>
                <w:szCs w:val="21"/>
              </w:rPr>
            </w:pPr>
            <w:r>
              <w:t>0.46</w:t>
            </w:r>
          </w:p>
        </w:tc>
      </w:tr>
      <w:tr w14:paraId="693DA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tcPr>
          <w:p w14:paraId="487D7D0A">
            <w:pPr>
              <w:jc w:val="center"/>
              <w:rPr>
                <w:rFonts w:hint="eastAsia"/>
                <w:szCs w:val="21"/>
              </w:rPr>
            </w:pPr>
          </w:p>
        </w:tc>
        <w:tc>
          <w:tcPr>
            <w:tcW w:w="421" w:type="pct"/>
            <w:vAlign w:val="center"/>
          </w:tcPr>
          <w:p w14:paraId="09C751D4">
            <w:pPr>
              <w:jc w:val="center"/>
              <w:rPr>
                <w:rFonts w:hint="eastAsia"/>
                <w:szCs w:val="21"/>
              </w:rPr>
            </w:pPr>
            <w:r>
              <w:rPr>
                <w:rFonts w:hint="eastAsia"/>
                <w:szCs w:val="21"/>
              </w:rPr>
              <w:t>11</w:t>
            </w:r>
          </w:p>
        </w:tc>
        <w:tc>
          <w:tcPr>
            <w:tcW w:w="881" w:type="pct"/>
            <w:gridSpan w:val="2"/>
            <w:vAlign w:val="center"/>
          </w:tcPr>
          <w:p w14:paraId="3E9AF24E">
            <w:pPr>
              <w:jc w:val="center"/>
              <w:rPr>
                <w:rFonts w:hint="eastAsia"/>
                <w:szCs w:val="21"/>
              </w:rPr>
            </w:pPr>
            <w:r>
              <w:t>甲苯</w:t>
            </w:r>
          </w:p>
        </w:tc>
        <w:tc>
          <w:tcPr>
            <w:tcW w:w="736" w:type="pct"/>
            <w:vAlign w:val="center"/>
          </w:tcPr>
          <w:p w14:paraId="594E6E54">
            <w:pPr>
              <w:jc w:val="center"/>
              <w:rPr>
                <w:rFonts w:hint="eastAsia"/>
                <w:szCs w:val="21"/>
              </w:rPr>
            </w:pPr>
            <w:r>
              <w:rPr>
                <w:rFonts w:hint="eastAsia"/>
                <w:szCs w:val="21"/>
              </w:rPr>
              <w:t>108-88-3</w:t>
            </w:r>
          </w:p>
        </w:tc>
        <w:tc>
          <w:tcPr>
            <w:tcW w:w="1026" w:type="pct"/>
            <w:vAlign w:val="center"/>
          </w:tcPr>
          <w:p w14:paraId="30EB7E1C">
            <w:pPr>
              <w:jc w:val="center"/>
              <w:rPr>
                <w:rFonts w:hint="eastAsia"/>
                <w:szCs w:val="21"/>
              </w:rPr>
            </w:pPr>
            <w:r>
              <w:t>1480.7</w:t>
            </w:r>
          </w:p>
        </w:tc>
        <w:tc>
          <w:tcPr>
            <w:tcW w:w="739" w:type="pct"/>
            <w:vAlign w:val="center"/>
          </w:tcPr>
          <w:p w14:paraId="5551B9BC">
            <w:pPr>
              <w:jc w:val="center"/>
              <w:rPr>
                <w:rFonts w:hint="eastAsia"/>
                <w:szCs w:val="21"/>
              </w:rPr>
            </w:pPr>
            <w:r>
              <w:t>10</w:t>
            </w:r>
          </w:p>
        </w:tc>
        <w:tc>
          <w:tcPr>
            <w:tcW w:w="939" w:type="pct"/>
            <w:vAlign w:val="center"/>
          </w:tcPr>
          <w:p w14:paraId="3B4F38AA">
            <w:pPr>
              <w:jc w:val="center"/>
              <w:rPr>
                <w:rFonts w:hint="eastAsia"/>
                <w:szCs w:val="21"/>
              </w:rPr>
            </w:pPr>
            <w:r>
              <w:t>148.07</w:t>
            </w:r>
          </w:p>
        </w:tc>
      </w:tr>
      <w:tr w14:paraId="4396B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tcPr>
          <w:p w14:paraId="61EB7E2E">
            <w:pPr>
              <w:jc w:val="center"/>
              <w:rPr>
                <w:rFonts w:hint="eastAsia"/>
                <w:szCs w:val="21"/>
              </w:rPr>
            </w:pPr>
          </w:p>
        </w:tc>
        <w:tc>
          <w:tcPr>
            <w:tcW w:w="421" w:type="pct"/>
            <w:vAlign w:val="center"/>
          </w:tcPr>
          <w:p w14:paraId="7CBC2BF6">
            <w:pPr>
              <w:jc w:val="center"/>
              <w:rPr>
                <w:rFonts w:hint="eastAsia"/>
                <w:szCs w:val="21"/>
              </w:rPr>
            </w:pPr>
            <w:r>
              <w:rPr>
                <w:rFonts w:hint="eastAsia"/>
                <w:szCs w:val="21"/>
              </w:rPr>
              <w:t>12</w:t>
            </w:r>
          </w:p>
        </w:tc>
        <w:tc>
          <w:tcPr>
            <w:tcW w:w="881" w:type="pct"/>
            <w:gridSpan w:val="2"/>
            <w:vAlign w:val="center"/>
          </w:tcPr>
          <w:p w14:paraId="59EF6497">
            <w:pPr>
              <w:jc w:val="center"/>
              <w:rPr>
                <w:rFonts w:hint="eastAsia"/>
                <w:szCs w:val="21"/>
              </w:rPr>
            </w:pPr>
            <w:r>
              <w:t>二甲苯</w:t>
            </w:r>
          </w:p>
        </w:tc>
        <w:tc>
          <w:tcPr>
            <w:tcW w:w="736" w:type="pct"/>
            <w:vAlign w:val="center"/>
          </w:tcPr>
          <w:p w14:paraId="4FF2E82B">
            <w:pPr>
              <w:jc w:val="center"/>
              <w:rPr>
                <w:rFonts w:hint="eastAsia"/>
                <w:szCs w:val="21"/>
              </w:rPr>
            </w:pPr>
            <w:r>
              <w:rPr>
                <w:rFonts w:hint="eastAsia"/>
                <w:szCs w:val="21"/>
              </w:rPr>
              <w:t>1330-20-7</w:t>
            </w:r>
          </w:p>
        </w:tc>
        <w:tc>
          <w:tcPr>
            <w:tcW w:w="1026" w:type="pct"/>
            <w:vAlign w:val="center"/>
          </w:tcPr>
          <w:p w14:paraId="34C1A85E">
            <w:pPr>
              <w:jc w:val="center"/>
              <w:rPr>
                <w:rFonts w:hint="eastAsia"/>
                <w:szCs w:val="21"/>
              </w:rPr>
            </w:pPr>
            <w:r>
              <w:t>1470.5</w:t>
            </w:r>
          </w:p>
        </w:tc>
        <w:tc>
          <w:tcPr>
            <w:tcW w:w="739" w:type="pct"/>
            <w:vAlign w:val="center"/>
          </w:tcPr>
          <w:p w14:paraId="0464E376">
            <w:pPr>
              <w:jc w:val="center"/>
              <w:rPr>
                <w:rFonts w:hint="eastAsia"/>
                <w:szCs w:val="21"/>
              </w:rPr>
            </w:pPr>
            <w:r>
              <w:t>10</w:t>
            </w:r>
          </w:p>
        </w:tc>
        <w:tc>
          <w:tcPr>
            <w:tcW w:w="939" w:type="pct"/>
            <w:vAlign w:val="center"/>
          </w:tcPr>
          <w:p w14:paraId="2D76DA05">
            <w:pPr>
              <w:jc w:val="center"/>
              <w:rPr>
                <w:rFonts w:hint="eastAsia"/>
                <w:szCs w:val="21"/>
              </w:rPr>
            </w:pPr>
            <w:r>
              <w:t>147.05</w:t>
            </w:r>
          </w:p>
        </w:tc>
      </w:tr>
      <w:tr w14:paraId="6007C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tcPr>
          <w:p w14:paraId="23AC7603">
            <w:pPr>
              <w:jc w:val="center"/>
              <w:rPr>
                <w:rFonts w:hint="eastAsia"/>
                <w:szCs w:val="21"/>
              </w:rPr>
            </w:pPr>
          </w:p>
        </w:tc>
        <w:tc>
          <w:tcPr>
            <w:tcW w:w="421" w:type="pct"/>
            <w:vAlign w:val="center"/>
          </w:tcPr>
          <w:p w14:paraId="07BCE3FD">
            <w:pPr>
              <w:jc w:val="center"/>
              <w:rPr>
                <w:rFonts w:hint="eastAsia"/>
                <w:szCs w:val="21"/>
              </w:rPr>
            </w:pPr>
            <w:r>
              <w:rPr>
                <w:rFonts w:hint="eastAsia"/>
                <w:szCs w:val="21"/>
              </w:rPr>
              <w:t>13</w:t>
            </w:r>
          </w:p>
        </w:tc>
        <w:tc>
          <w:tcPr>
            <w:tcW w:w="881" w:type="pct"/>
            <w:gridSpan w:val="2"/>
            <w:vAlign w:val="center"/>
          </w:tcPr>
          <w:p w14:paraId="74830C24">
            <w:pPr>
              <w:jc w:val="center"/>
              <w:rPr>
                <w:rFonts w:hint="eastAsia"/>
                <w:szCs w:val="21"/>
              </w:rPr>
            </w:pPr>
            <w:r>
              <w:rPr>
                <w:rFonts w:eastAsia="等线"/>
              </w:rPr>
              <w:t>1#</w:t>
            </w:r>
            <w:r>
              <w:t>高沸点芳烃溶剂</w:t>
            </w:r>
          </w:p>
        </w:tc>
        <w:tc>
          <w:tcPr>
            <w:tcW w:w="736" w:type="pct"/>
            <w:vAlign w:val="center"/>
          </w:tcPr>
          <w:p w14:paraId="6275B9DC">
            <w:pPr>
              <w:jc w:val="center"/>
              <w:rPr>
                <w:rFonts w:hint="eastAsia"/>
                <w:szCs w:val="21"/>
              </w:rPr>
            </w:pPr>
            <w:r>
              <w:rPr>
                <w:rFonts w:hint="eastAsia"/>
                <w:szCs w:val="21"/>
              </w:rPr>
              <w:t>-</w:t>
            </w:r>
          </w:p>
        </w:tc>
        <w:tc>
          <w:tcPr>
            <w:tcW w:w="1026" w:type="pct"/>
            <w:vAlign w:val="center"/>
          </w:tcPr>
          <w:p w14:paraId="596825A1">
            <w:pPr>
              <w:jc w:val="center"/>
              <w:rPr>
                <w:rFonts w:hint="eastAsia"/>
                <w:szCs w:val="21"/>
              </w:rPr>
            </w:pPr>
            <w:r>
              <w:t>1479</w:t>
            </w:r>
          </w:p>
        </w:tc>
        <w:tc>
          <w:tcPr>
            <w:tcW w:w="739" w:type="pct"/>
            <w:vAlign w:val="center"/>
          </w:tcPr>
          <w:p w14:paraId="0B78833C">
            <w:pPr>
              <w:jc w:val="center"/>
              <w:rPr>
                <w:rFonts w:hint="eastAsia"/>
                <w:szCs w:val="21"/>
              </w:rPr>
            </w:pPr>
            <w:r>
              <w:t>2500</w:t>
            </w:r>
          </w:p>
        </w:tc>
        <w:tc>
          <w:tcPr>
            <w:tcW w:w="939" w:type="pct"/>
            <w:vAlign w:val="center"/>
          </w:tcPr>
          <w:p w14:paraId="294F3DEF">
            <w:pPr>
              <w:jc w:val="center"/>
              <w:rPr>
                <w:rFonts w:hint="eastAsia"/>
                <w:szCs w:val="21"/>
              </w:rPr>
            </w:pPr>
            <w:r>
              <w:t>0.59</w:t>
            </w:r>
          </w:p>
        </w:tc>
      </w:tr>
      <w:tr w14:paraId="46246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tcPr>
          <w:p w14:paraId="44476700">
            <w:pPr>
              <w:jc w:val="center"/>
              <w:rPr>
                <w:rFonts w:hint="eastAsia"/>
                <w:szCs w:val="21"/>
              </w:rPr>
            </w:pPr>
          </w:p>
        </w:tc>
        <w:tc>
          <w:tcPr>
            <w:tcW w:w="421" w:type="pct"/>
            <w:vAlign w:val="center"/>
          </w:tcPr>
          <w:p w14:paraId="25B4E4ED">
            <w:pPr>
              <w:jc w:val="center"/>
              <w:rPr>
                <w:rFonts w:hint="eastAsia"/>
                <w:szCs w:val="21"/>
              </w:rPr>
            </w:pPr>
            <w:r>
              <w:rPr>
                <w:rFonts w:hint="eastAsia"/>
                <w:szCs w:val="21"/>
              </w:rPr>
              <w:t>14</w:t>
            </w:r>
          </w:p>
        </w:tc>
        <w:tc>
          <w:tcPr>
            <w:tcW w:w="881" w:type="pct"/>
            <w:gridSpan w:val="2"/>
            <w:vAlign w:val="center"/>
          </w:tcPr>
          <w:p w14:paraId="27BF18FD">
            <w:pPr>
              <w:jc w:val="center"/>
              <w:rPr>
                <w:rFonts w:hint="eastAsia"/>
                <w:szCs w:val="21"/>
              </w:rPr>
            </w:pPr>
            <w:r>
              <w:t>甲醇</w:t>
            </w:r>
          </w:p>
        </w:tc>
        <w:tc>
          <w:tcPr>
            <w:tcW w:w="736" w:type="pct"/>
            <w:vAlign w:val="center"/>
          </w:tcPr>
          <w:p w14:paraId="692E60EC">
            <w:pPr>
              <w:jc w:val="center"/>
              <w:rPr>
                <w:rFonts w:hint="eastAsia"/>
                <w:szCs w:val="21"/>
              </w:rPr>
            </w:pPr>
            <w:r>
              <w:rPr>
                <w:rFonts w:hint="eastAsia"/>
                <w:szCs w:val="21"/>
              </w:rPr>
              <w:t>67-56-1</w:t>
            </w:r>
          </w:p>
        </w:tc>
        <w:tc>
          <w:tcPr>
            <w:tcW w:w="1026" w:type="pct"/>
            <w:vAlign w:val="center"/>
          </w:tcPr>
          <w:p w14:paraId="334934B9">
            <w:pPr>
              <w:jc w:val="center"/>
              <w:rPr>
                <w:rFonts w:hint="eastAsia"/>
                <w:szCs w:val="21"/>
              </w:rPr>
            </w:pPr>
            <w:r>
              <w:t>2686</w:t>
            </w:r>
          </w:p>
        </w:tc>
        <w:tc>
          <w:tcPr>
            <w:tcW w:w="739" w:type="pct"/>
            <w:vAlign w:val="center"/>
          </w:tcPr>
          <w:p w14:paraId="1A7861C5">
            <w:pPr>
              <w:jc w:val="center"/>
              <w:rPr>
                <w:rFonts w:hint="eastAsia"/>
                <w:szCs w:val="21"/>
              </w:rPr>
            </w:pPr>
            <w:r>
              <w:t>10</w:t>
            </w:r>
          </w:p>
        </w:tc>
        <w:tc>
          <w:tcPr>
            <w:tcW w:w="939" w:type="pct"/>
            <w:vAlign w:val="center"/>
          </w:tcPr>
          <w:p w14:paraId="174B7DC3">
            <w:pPr>
              <w:jc w:val="center"/>
              <w:rPr>
                <w:rFonts w:hint="eastAsia"/>
                <w:szCs w:val="21"/>
              </w:rPr>
            </w:pPr>
            <w:r>
              <w:t>268.6</w:t>
            </w:r>
          </w:p>
        </w:tc>
      </w:tr>
      <w:tr w14:paraId="4F7A75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tcPr>
          <w:p w14:paraId="02C7022E">
            <w:pPr>
              <w:jc w:val="center"/>
              <w:rPr>
                <w:rFonts w:hint="eastAsia"/>
                <w:szCs w:val="21"/>
              </w:rPr>
            </w:pPr>
          </w:p>
        </w:tc>
        <w:tc>
          <w:tcPr>
            <w:tcW w:w="421" w:type="pct"/>
            <w:vAlign w:val="center"/>
          </w:tcPr>
          <w:p w14:paraId="7DC3F53F">
            <w:pPr>
              <w:jc w:val="center"/>
              <w:rPr>
                <w:rFonts w:hint="eastAsia"/>
                <w:szCs w:val="21"/>
              </w:rPr>
            </w:pPr>
            <w:r>
              <w:rPr>
                <w:rFonts w:hint="eastAsia"/>
                <w:szCs w:val="21"/>
              </w:rPr>
              <w:t>15</w:t>
            </w:r>
          </w:p>
        </w:tc>
        <w:tc>
          <w:tcPr>
            <w:tcW w:w="881" w:type="pct"/>
            <w:gridSpan w:val="2"/>
            <w:vAlign w:val="center"/>
          </w:tcPr>
          <w:p w14:paraId="61A466B3">
            <w:pPr>
              <w:jc w:val="center"/>
              <w:rPr>
                <w:rFonts w:hint="eastAsia"/>
                <w:szCs w:val="21"/>
              </w:rPr>
            </w:pPr>
            <w:r>
              <w:t>重苯</w:t>
            </w:r>
          </w:p>
        </w:tc>
        <w:tc>
          <w:tcPr>
            <w:tcW w:w="736" w:type="pct"/>
            <w:vAlign w:val="center"/>
          </w:tcPr>
          <w:p w14:paraId="7B04C1C2">
            <w:pPr>
              <w:jc w:val="center"/>
              <w:rPr>
                <w:rFonts w:hint="eastAsia"/>
                <w:szCs w:val="21"/>
              </w:rPr>
            </w:pPr>
            <w:r>
              <w:rPr>
                <w:rFonts w:hint="eastAsia"/>
                <w:szCs w:val="21"/>
              </w:rPr>
              <w:t>-</w:t>
            </w:r>
          </w:p>
        </w:tc>
        <w:tc>
          <w:tcPr>
            <w:tcW w:w="1026" w:type="pct"/>
            <w:vAlign w:val="center"/>
          </w:tcPr>
          <w:p w14:paraId="008A1C6D">
            <w:pPr>
              <w:jc w:val="center"/>
              <w:rPr>
                <w:rFonts w:hint="eastAsia"/>
                <w:szCs w:val="21"/>
              </w:rPr>
            </w:pPr>
            <w:r>
              <w:t>5151</w:t>
            </w:r>
          </w:p>
        </w:tc>
        <w:tc>
          <w:tcPr>
            <w:tcW w:w="739" w:type="pct"/>
            <w:vAlign w:val="center"/>
          </w:tcPr>
          <w:p w14:paraId="4D713945">
            <w:pPr>
              <w:jc w:val="center"/>
              <w:rPr>
                <w:rFonts w:hint="eastAsia"/>
                <w:szCs w:val="21"/>
              </w:rPr>
            </w:pPr>
            <w:r>
              <w:t>2500</w:t>
            </w:r>
          </w:p>
        </w:tc>
        <w:tc>
          <w:tcPr>
            <w:tcW w:w="939" w:type="pct"/>
            <w:vAlign w:val="center"/>
          </w:tcPr>
          <w:p w14:paraId="0BAEE456">
            <w:pPr>
              <w:jc w:val="center"/>
              <w:rPr>
                <w:rFonts w:hint="eastAsia"/>
                <w:szCs w:val="21"/>
              </w:rPr>
            </w:pPr>
            <w:r>
              <w:t>2.06</w:t>
            </w:r>
          </w:p>
        </w:tc>
      </w:tr>
      <w:tr w14:paraId="3B6C9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tcPr>
          <w:p w14:paraId="706BFBE7">
            <w:pPr>
              <w:jc w:val="center"/>
              <w:rPr>
                <w:rFonts w:hint="eastAsia"/>
                <w:szCs w:val="21"/>
              </w:rPr>
            </w:pPr>
          </w:p>
        </w:tc>
        <w:tc>
          <w:tcPr>
            <w:tcW w:w="421" w:type="pct"/>
            <w:vAlign w:val="center"/>
          </w:tcPr>
          <w:p w14:paraId="27EC748B">
            <w:pPr>
              <w:jc w:val="center"/>
              <w:rPr>
                <w:rFonts w:hint="eastAsia"/>
                <w:szCs w:val="21"/>
              </w:rPr>
            </w:pPr>
            <w:r>
              <w:rPr>
                <w:rFonts w:hint="eastAsia"/>
                <w:szCs w:val="21"/>
              </w:rPr>
              <w:t>16</w:t>
            </w:r>
          </w:p>
        </w:tc>
        <w:tc>
          <w:tcPr>
            <w:tcW w:w="881" w:type="pct"/>
            <w:gridSpan w:val="2"/>
            <w:vAlign w:val="center"/>
          </w:tcPr>
          <w:p w14:paraId="353FAE25">
            <w:pPr>
              <w:jc w:val="center"/>
              <w:rPr>
                <w:rFonts w:hint="eastAsia"/>
                <w:szCs w:val="21"/>
              </w:rPr>
            </w:pPr>
            <w:r>
              <w:rPr>
                <w:rFonts w:eastAsia="等线"/>
              </w:rPr>
              <w:t>2#</w:t>
            </w:r>
            <w:r>
              <w:t>高沸点芳烃溶剂</w:t>
            </w:r>
          </w:p>
        </w:tc>
        <w:tc>
          <w:tcPr>
            <w:tcW w:w="736" w:type="pct"/>
            <w:vAlign w:val="center"/>
          </w:tcPr>
          <w:p w14:paraId="67089D60">
            <w:pPr>
              <w:jc w:val="center"/>
              <w:rPr>
                <w:rFonts w:hint="eastAsia"/>
                <w:szCs w:val="21"/>
              </w:rPr>
            </w:pPr>
            <w:r>
              <w:rPr>
                <w:rFonts w:hint="eastAsia"/>
                <w:szCs w:val="21"/>
              </w:rPr>
              <w:t>-</w:t>
            </w:r>
          </w:p>
        </w:tc>
        <w:tc>
          <w:tcPr>
            <w:tcW w:w="1026" w:type="pct"/>
            <w:vAlign w:val="center"/>
          </w:tcPr>
          <w:p w14:paraId="508A6735">
            <w:pPr>
              <w:jc w:val="center"/>
              <w:rPr>
                <w:rFonts w:hint="eastAsia"/>
                <w:szCs w:val="21"/>
              </w:rPr>
            </w:pPr>
            <w:r>
              <w:t>1615</w:t>
            </w:r>
          </w:p>
        </w:tc>
        <w:tc>
          <w:tcPr>
            <w:tcW w:w="739" w:type="pct"/>
            <w:vAlign w:val="center"/>
          </w:tcPr>
          <w:p w14:paraId="68A63557">
            <w:pPr>
              <w:jc w:val="center"/>
              <w:rPr>
                <w:rFonts w:hint="eastAsia"/>
                <w:szCs w:val="21"/>
              </w:rPr>
            </w:pPr>
            <w:r>
              <w:t>2500</w:t>
            </w:r>
          </w:p>
        </w:tc>
        <w:tc>
          <w:tcPr>
            <w:tcW w:w="939" w:type="pct"/>
            <w:vAlign w:val="center"/>
          </w:tcPr>
          <w:p w14:paraId="4B5949AF">
            <w:pPr>
              <w:jc w:val="center"/>
              <w:rPr>
                <w:rFonts w:hint="eastAsia"/>
                <w:szCs w:val="21"/>
              </w:rPr>
            </w:pPr>
            <w:r>
              <w:t>0.65</w:t>
            </w:r>
          </w:p>
        </w:tc>
      </w:tr>
      <w:tr w14:paraId="4DD70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tcPr>
          <w:p w14:paraId="4AFDBD38">
            <w:pPr>
              <w:jc w:val="center"/>
              <w:rPr>
                <w:rFonts w:hint="eastAsia"/>
                <w:szCs w:val="21"/>
              </w:rPr>
            </w:pPr>
          </w:p>
        </w:tc>
        <w:tc>
          <w:tcPr>
            <w:tcW w:w="421" w:type="pct"/>
            <w:vAlign w:val="center"/>
          </w:tcPr>
          <w:p w14:paraId="507BE80A">
            <w:pPr>
              <w:jc w:val="center"/>
              <w:rPr>
                <w:rFonts w:hint="eastAsia"/>
                <w:szCs w:val="21"/>
              </w:rPr>
            </w:pPr>
            <w:r>
              <w:rPr>
                <w:rFonts w:hint="eastAsia"/>
                <w:szCs w:val="21"/>
              </w:rPr>
              <w:t>17</w:t>
            </w:r>
          </w:p>
        </w:tc>
        <w:tc>
          <w:tcPr>
            <w:tcW w:w="881" w:type="pct"/>
            <w:gridSpan w:val="2"/>
            <w:vAlign w:val="center"/>
          </w:tcPr>
          <w:p w14:paraId="3C81B69A">
            <w:pPr>
              <w:jc w:val="center"/>
              <w:rPr>
                <w:rFonts w:hint="eastAsia"/>
                <w:szCs w:val="21"/>
              </w:rPr>
            </w:pPr>
            <w:r>
              <w:t>加氢尾油</w:t>
            </w:r>
          </w:p>
        </w:tc>
        <w:tc>
          <w:tcPr>
            <w:tcW w:w="736" w:type="pct"/>
            <w:vAlign w:val="center"/>
          </w:tcPr>
          <w:p w14:paraId="57470C28">
            <w:pPr>
              <w:jc w:val="center"/>
              <w:rPr>
                <w:rFonts w:hint="eastAsia"/>
                <w:szCs w:val="21"/>
              </w:rPr>
            </w:pPr>
            <w:r>
              <w:rPr>
                <w:rFonts w:hint="eastAsia"/>
                <w:szCs w:val="21"/>
              </w:rPr>
              <w:t>-</w:t>
            </w:r>
          </w:p>
        </w:tc>
        <w:tc>
          <w:tcPr>
            <w:tcW w:w="1026" w:type="pct"/>
            <w:vAlign w:val="center"/>
          </w:tcPr>
          <w:p w14:paraId="5BAA4F0B">
            <w:pPr>
              <w:jc w:val="center"/>
              <w:rPr>
                <w:rFonts w:hint="eastAsia"/>
                <w:szCs w:val="21"/>
              </w:rPr>
            </w:pPr>
            <w:r>
              <w:t>1598</w:t>
            </w:r>
          </w:p>
        </w:tc>
        <w:tc>
          <w:tcPr>
            <w:tcW w:w="739" w:type="pct"/>
            <w:vAlign w:val="center"/>
          </w:tcPr>
          <w:p w14:paraId="2FA74425">
            <w:pPr>
              <w:jc w:val="center"/>
              <w:rPr>
                <w:rFonts w:hint="eastAsia"/>
                <w:szCs w:val="21"/>
              </w:rPr>
            </w:pPr>
            <w:r>
              <w:t>2500</w:t>
            </w:r>
          </w:p>
        </w:tc>
        <w:tc>
          <w:tcPr>
            <w:tcW w:w="939" w:type="pct"/>
            <w:vAlign w:val="center"/>
          </w:tcPr>
          <w:p w14:paraId="3EEE0F8A">
            <w:pPr>
              <w:jc w:val="center"/>
              <w:rPr>
                <w:rFonts w:hint="eastAsia"/>
                <w:szCs w:val="21"/>
              </w:rPr>
            </w:pPr>
            <w:r>
              <w:t>0.64</w:t>
            </w:r>
          </w:p>
        </w:tc>
      </w:tr>
      <w:tr w14:paraId="09F8B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vMerge w:val="continue"/>
          </w:tcPr>
          <w:p w14:paraId="50DBD217">
            <w:pPr>
              <w:jc w:val="center"/>
              <w:rPr>
                <w:rFonts w:hint="eastAsia"/>
                <w:szCs w:val="21"/>
              </w:rPr>
            </w:pPr>
          </w:p>
        </w:tc>
        <w:tc>
          <w:tcPr>
            <w:tcW w:w="421" w:type="pct"/>
            <w:vAlign w:val="center"/>
          </w:tcPr>
          <w:p w14:paraId="4C66C89E">
            <w:pPr>
              <w:jc w:val="center"/>
              <w:rPr>
                <w:rFonts w:hint="eastAsia"/>
                <w:szCs w:val="21"/>
              </w:rPr>
            </w:pPr>
            <w:r>
              <w:rPr>
                <w:rFonts w:hint="eastAsia"/>
                <w:szCs w:val="21"/>
              </w:rPr>
              <w:t>18</w:t>
            </w:r>
          </w:p>
        </w:tc>
        <w:tc>
          <w:tcPr>
            <w:tcW w:w="881" w:type="pct"/>
            <w:gridSpan w:val="2"/>
            <w:vAlign w:val="center"/>
          </w:tcPr>
          <w:p w14:paraId="1E2B3FA6">
            <w:pPr>
              <w:jc w:val="center"/>
              <w:rPr>
                <w:rFonts w:hint="eastAsia"/>
                <w:szCs w:val="21"/>
              </w:rPr>
            </w:pPr>
            <w:r>
              <w:t>污油</w:t>
            </w:r>
          </w:p>
        </w:tc>
        <w:tc>
          <w:tcPr>
            <w:tcW w:w="736" w:type="pct"/>
            <w:vAlign w:val="center"/>
          </w:tcPr>
          <w:p w14:paraId="7C358C82">
            <w:pPr>
              <w:jc w:val="center"/>
              <w:rPr>
                <w:rFonts w:hint="eastAsia"/>
                <w:szCs w:val="21"/>
              </w:rPr>
            </w:pPr>
            <w:r>
              <w:rPr>
                <w:rFonts w:hint="eastAsia"/>
                <w:szCs w:val="21"/>
              </w:rPr>
              <w:t>-</w:t>
            </w:r>
          </w:p>
        </w:tc>
        <w:tc>
          <w:tcPr>
            <w:tcW w:w="1026" w:type="pct"/>
            <w:vAlign w:val="center"/>
          </w:tcPr>
          <w:p w14:paraId="2D5C42D3">
            <w:pPr>
              <w:jc w:val="center"/>
              <w:rPr>
                <w:rFonts w:hint="eastAsia"/>
                <w:szCs w:val="21"/>
              </w:rPr>
            </w:pPr>
            <w:r>
              <w:t>1530</w:t>
            </w:r>
          </w:p>
        </w:tc>
        <w:tc>
          <w:tcPr>
            <w:tcW w:w="739" w:type="pct"/>
            <w:vAlign w:val="center"/>
          </w:tcPr>
          <w:p w14:paraId="477C6C32">
            <w:pPr>
              <w:jc w:val="center"/>
              <w:rPr>
                <w:rFonts w:hint="eastAsia"/>
                <w:szCs w:val="21"/>
              </w:rPr>
            </w:pPr>
            <w:r>
              <w:t>2500</w:t>
            </w:r>
          </w:p>
        </w:tc>
        <w:tc>
          <w:tcPr>
            <w:tcW w:w="939" w:type="pct"/>
            <w:vAlign w:val="center"/>
          </w:tcPr>
          <w:p w14:paraId="0B4FA850">
            <w:pPr>
              <w:jc w:val="center"/>
              <w:rPr>
                <w:rFonts w:hint="eastAsia"/>
                <w:szCs w:val="21"/>
              </w:rPr>
            </w:pPr>
            <w:r>
              <w:t>0.61</w:t>
            </w:r>
          </w:p>
        </w:tc>
      </w:tr>
      <w:tr w14:paraId="1DEAF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58" w:type="pct"/>
          </w:tcPr>
          <w:p w14:paraId="53427E4D">
            <w:pPr>
              <w:jc w:val="center"/>
              <w:rPr>
                <w:rFonts w:hint="eastAsia"/>
                <w:szCs w:val="21"/>
              </w:rPr>
            </w:pPr>
          </w:p>
        </w:tc>
        <w:tc>
          <w:tcPr>
            <w:tcW w:w="3802" w:type="pct"/>
            <w:gridSpan w:val="6"/>
            <w:vAlign w:val="center"/>
          </w:tcPr>
          <w:p w14:paraId="39AF1719">
            <w:pPr>
              <w:jc w:val="center"/>
              <w:rPr>
                <w:rFonts w:hint="eastAsia"/>
                <w:szCs w:val="21"/>
              </w:rPr>
            </w:pPr>
            <w:r>
              <w:rPr>
                <w:szCs w:val="21"/>
              </w:rPr>
              <w:t>项目Q值Σ</w:t>
            </w:r>
          </w:p>
        </w:tc>
        <w:tc>
          <w:tcPr>
            <w:tcW w:w="939" w:type="pct"/>
            <w:vAlign w:val="center"/>
          </w:tcPr>
          <w:p w14:paraId="0D15F1D4">
            <w:pPr>
              <w:jc w:val="center"/>
              <w:rPr>
                <w:rFonts w:hint="eastAsia"/>
                <w:szCs w:val="21"/>
              </w:rPr>
            </w:pPr>
            <w:r>
              <w:rPr>
                <w:rFonts w:hint="eastAsia"/>
                <w:szCs w:val="21"/>
              </w:rPr>
              <w:t>899.821</w:t>
            </w:r>
          </w:p>
        </w:tc>
      </w:tr>
    </w:tbl>
    <w:p w14:paraId="5A86B83B">
      <w:pPr>
        <w:pStyle w:val="72"/>
        <w:rPr>
          <w:snapToGrid w:val="0"/>
        </w:rPr>
      </w:pPr>
    </w:p>
    <w:p w14:paraId="7D569987">
      <w:pPr>
        <w:adjustRightInd w:val="0"/>
        <w:snapToGrid w:val="0"/>
        <w:spacing w:line="360" w:lineRule="auto"/>
        <w:ind w:firstLine="440" w:firstLineChars="200"/>
        <w:rPr>
          <w:rFonts w:hint="eastAsia"/>
          <w:bCs/>
          <w:spacing w:val="-10"/>
        </w:rPr>
      </w:pPr>
      <w:r>
        <w:rPr>
          <w:bCs/>
          <w:spacing w:val="-10"/>
        </w:rPr>
        <w:t>本项目危险物质数量与临界量的比值Q值为</w:t>
      </w:r>
      <w:r>
        <w:rPr>
          <w:rFonts w:hint="eastAsia"/>
          <w:bCs/>
          <w:spacing w:val="-10"/>
        </w:rPr>
        <w:t>899.821</w:t>
      </w:r>
      <w:r>
        <w:rPr>
          <w:bCs/>
          <w:spacing w:val="-10"/>
        </w:rPr>
        <w:t>，属于Q</w:t>
      </w:r>
      <w:r>
        <w:rPr>
          <w:rFonts w:hint="eastAsia"/>
          <w:bCs/>
          <w:spacing w:val="-10"/>
        </w:rPr>
        <w:t>≥100</w:t>
      </w:r>
      <w:r>
        <w:rPr>
          <w:bCs/>
          <w:spacing w:val="-10"/>
        </w:rPr>
        <w:t>。</w:t>
      </w:r>
    </w:p>
    <w:p w14:paraId="7E4CD809">
      <w:pPr>
        <w:adjustRightInd w:val="0"/>
        <w:snapToGrid w:val="0"/>
        <w:spacing w:line="360" w:lineRule="auto"/>
        <w:ind w:firstLine="440" w:firstLineChars="200"/>
        <w:rPr>
          <w:rFonts w:hint="eastAsia"/>
          <w:bCs/>
          <w:spacing w:val="-10"/>
        </w:rPr>
      </w:pPr>
      <w:r>
        <w:rPr>
          <w:rFonts w:hint="eastAsia"/>
          <w:bCs/>
          <w:spacing w:val="-10"/>
        </w:rPr>
        <w:t>②</w:t>
      </w:r>
      <w:r>
        <w:rPr>
          <w:bCs/>
          <w:spacing w:val="-10"/>
        </w:rPr>
        <w:t>行业及生产工艺（M）</w:t>
      </w:r>
    </w:p>
    <w:p w14:paraId="6508C52F">
      <w:pPr>
        <w:adjustRightInd w:val="0"/>
        <w:snapToGrid w:val="0"/>
        <w:spacing w:line="360" w:lineRule="auto"/>
        <w:ind w:firstLine="440" w:firstLineChars="200"/>
        <w:rPr>
          <w:rFonts w:hint="eastAsia"/>
          <w:bCs/>
          <w:spacing w:val="-10"/>
        </w:rPr>
      </w:pPr>
      <w:r>
        <w:rPr>
          <w:bCs/>
          <w:spacing w:val="-10"/>
        </w:rPr>
        <w:t>分析项目所属行业及生产工艺特点，具有多套工艺单元的项目，对每套生产工艺分别评分并求和。将M划分为（1）M＞20；（2）10＜M≤20；（3）5＜M≤10；（4）M=5，分别以M1、M2、M3和M4表示。</w:t>
      </w:r>
      <w:r>
        <w:rPr>
          <w:rFonts w:hint="eastAsia"/>
          <w:bCs/>
          <w:spacing w:val="-10"/>
        </w:rPr>
        <w:t>具体行业及生产工艺分值见下表。</w:t>
      </w:r>
    </w:p>
    <w:p w14:paraId="1C8175EA">
      <w:pPr>
        <w:adjustRightInd w:val="0"/>
        <w:snapToGrid w:val="0"/>
        <w:jc w:val="center"/>
        <w:rPr>
          <w:rFonts w:hint="eastAsia"/>
          <w:bCs/>
          <w:spacing w:val="-10"/>
        </w:rPr>
      </w:pPr>
      <w:r>
        <w:rPr>
          <w:rFonts w:hint="eastAsia"/>
          <w:b/>
          <w:bCs/>
          <w:spacing w:val="-10"/>
        </w:rPr>
        <w:t>表6-11</w:t>
      </w:r>
      <w:r>
        <w:rPr>
          <w:b/>
          <w:bCs/>
          <w:spacing w:val="-10"/>
        </w:rPr>
        <w:t xml:space="preserve"> </w:t>
      </w:r>
      <w:r>
        <w:rPr>
          <w:rFonts w:hint="eastAsia"/>
          <w:b/>
          <w:bCs/>
          <w:spacing w:val="-10"/>
        </w:rPr>
        <w:t>行业及生产工艺（M）</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6379"/>
        <w:gridCol w:w="1099"/>
      </w:tblGrid>
      <w:tr w14:paraId="1EB6B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42" w:type="dxa"/>
          </w:tcPr>
          <w:p w14:paraId="2D9563AE">
            <w:pPr>
              <w:adjustRightInd w:val="0"/>
              <w:snapToGrid w:val="0"/>
              <w:jc w:val="center"/>
              <w:rPr>
                <w:rFonts w:hint="eastAsia"/>
                <w:bCs/>
                <w:spacing w:val="-10"/>
                <w:szCs w:val="21"/>
              </w:rPr>
            </w:pPr>
            <w:r>
              <w:rPr>
                <w:bCs/>
                <w:spacing w:val="-10"/>
                <w:szCs w:val="21"/>
              </w:rPr>
              <w:t>行业</w:t>
            </w:r>
          </w:p>
        </w:tc>
        <w:tc>
          <w:tcPr>
            <w:tcW w:w="6379" w:type="dxa"/>
          </w:tcPr>
          <w:p w14:paraId="571DE399">
            <w:pPr>
              <w:adjustRightInd w:val="0"/>
              <w:snapToGrid w:val="0"/>
              <w:jc w:val="center"/>
              <w:rPr>
                <w:rFonts w:hint="eastAsia"/>
                <w:bCs/>
                <w:spacing w:val="-10"/>
                <w:szCs w:val="21"/>
              </w:rPr>
            </w:pPr>
            <w:r>
              <w:rPr>
                <w:bCs/>
                <w:spacing w:val="-10"/>
                <w:szCs w:val="21"/>
              </w:rPr>
              <w:t>评估依据</w:t>
            </w:r>
          </w:p>
        </w:tc>
        <w:tc>
          <w:tcPr>
            <w:tcW w:w="1099" w:type="dxa"/>
          </w:tcPr>
          <w:p w14:paraId="30B1592C">
            <w:pPr>
              <w:adjustRightInd w:val="0"/>
              <w:snapToGrid w:val="0"/>
              <w:jc w:val="center"/>
              <w:rPr>
                <w:rFonts w:hint="eastAsia"/>
                <w:bCs/>
                <w:spacing w:val="-10"/>
                <w:szCs w:val="21"/>
              </w:rPr>
            </w:pPr>
            <w:r>
              <w:rPr>
                <w:bCs/>
                <w:spacing w:val="-10"/>
                <w:szCs w:val="21"/>
              </w:rPr>
              <w:t>分值</w:t>
            </w:r>
          </w:p>
        </w:tc>
      </w:tr>
      <w:tr w14:paraId="6B4D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42" w:type="dxa"/>
            <w:vMerge w:val="restart"/>
          </w:tcPr>
          <w:p w14:paraId="62D9F6A3">
            <w:pPr>
              <w:adjustRightInd w:val="0"/>
              <w:snapToGrid w:val="0"/>
              <w:jc w:val="center"/>
              <w:rPr>
                <w:rFonts w:hint="eastAsia"/>
                <w:bCs/>
                <w:spacing w:val="-10"/>
                <w:szCs w:val="21"/>
              </w:rPr>
            </w:pPr>
            <w:r>
              <w:rPr>
                <w:bCs/>
                <w:spacing w:val="-10"/>
                <w:szCs w:val="21"/>
              </w:rPr>
              <w:t>石化、化工、医药、轻工、化纤、有色冶炼等</w:t>
            </w:r>
          </w:p>
        </w:tc>
        <w:tc>
          <w:tcPr>
            <w:tcW w:w="6379" w:type="dxa"/>
          </w:tcPr>
          <w:p w14:paraId="5ED7AC18">
            <w:pPr>
              <w:adjustRightInd w:val="0"/>
              <w:snapToGrid w:val="0"/>
              <w:jc w:val="center"/>
              <w:rPr>
                <w:rFonts w:hint="eastAsia"/>
                <w:bCs/>
                <w:spacing w:val="-10"/>
                <w:szCs w:val="21"/>
              </w:rPr>
            </w:pPr>
            <w:r>
              <w:rPr>
                <w:bCs/>
                <w:spacing w:val="-10"/>
                <w:szCs w:val="21"/>
              </w:rPr>
              <w:t>涉及光气及光气化工艺、电解工艺（氯碱）、氯化工艺、硝化工艺、合成氨工艺、裂解（裂化）工艺、氟化工艺、加氢工艺、重氮化工艺、氧化工艺、过氧化工艺、胺基化工艺、磺化工艺、聚合工艺、烷基化工艺、新型煤化工工艺、电石生产工艺、偶氮化工艺</w:t>
            </w:r>
          </w:p>
        </w:tc>
        <w:tc>
          <w:tcPr>
            <w:tcW w:w="1099" w:type="dxa"/>
          </w:tcPr>
          <w:p w14:paraId="12F20F9B">
            <w:pPr>
              <w:adjustRightInd w:val="0"/>
              <w:snapToGrid w:val="0"/>
              <w:jc w:val="center"/>
              <w:rPr>
                <w:rFonts w:hint="eastAsia"/>
                <w:bCs/>
                <w:spacing w:val="-10"/>
                <w:szCs w:val="21"/>
              </w:rPr>
            </w:pPr>
            <w:r>
              <w:rPr>
                <w:bCs/>
                <w:spacing w:val="-10"/>
                <w:szCs w:val="21"/>
              </w:rPr>
              <w:t>10/套</w:t>
            </w:r>
          </w:p>
        </w:tc>
      </w:tr>
      <w:tr w14:paraId="1B6EE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42" w:type="dxa"/>
            <w:vMerge w:val="continue"/>
          </w:tcPr>
          <w:p w14:paraId="11E5D7F0">
            <w:pPr>
              <w:adjustRightInd w:val="0"/>
              <w:snapToGrid w:val="0"/>
              <w:jc w:val="center"/>
              <w:rPr>
                <w:rFonts w:hint="eastAsia"/>
                <w:bCs/>
                <w:spacing w:val="-10"/>
                <w:szCs w:val="21"/>
              </w:rPr>
            </w:pPr>
          </w:p>
        </w:tc>
        <w:tc>
          <w:tcPr>
            <w:tcW w:w="6379" w:type="dxa"/>
          </w:tcPr>
          <w:p w14:paraId="3999C5F7">
            <w:pPr>
              <w:adjustRightInd w:val="0"/>
              <w:snapToGrid w:val="0"/>
              <w:jc w:val="center"/>
              <w:rPr>
                <w:rFonts w:hint="eastAsia"/>
                <w:bCs/>
                <w:spacing w:val="-10"/>
                <w:szCs w:val="21"/>
              </w:rPr>
            </w:pPr>
            <w:r>
              <w:rPr>
                <w:bCs/>
                <w:spacing w:val="-10"/>
                <w:szCs w:val="21"/>
              </w:rPr>
              <w:t>无机酸制酸工艺、焦化工艺</w:t>
            </w:r>
          </w:p>
        </w:tc>
        <w:tc>
          <w:tcPr>
            <w:tcW w:w="1099" w:type="dxa"/>
          </w:tcPr>
          <w:p w14:paraId="5B4C5BE9">
            <w:pPr>
              <w:adjustRightInd w:val="0"/>
              <w:snapToGrid w:val="0"/>
              <w:jc w:val="center"/>
              <w:rPr>
                <w:rFonts w:hint="eastAsia"/>
                <w:bCs/>
                <w:spacing w:val="-10"/>
                <w:szCs w:val="21"/>
              </w:rPr>
            </w:pPr>
            <w:r>
              <w:rPr>
                <w:bCs/>
                <w:spacing w:val="-10"/>
                <w:szCs w:val="21"/>
              </w:rPr>
              <w:t>5/套</w:t>
            </w:r>
          </w:p>
        </w:tc>
      </w:tr>
      <w:tr w14:paraId="52167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42" w:type="dxa"/>
            <w:vMerge w:val="continue"/>
          </w:tcPr>
          <w:p w14:paraId="08EA28BC">
            <w:pPr>
              <w:adjustRightInd w:val="0"/>
              <w:snapToGrid w:val="0"/>
              <w:jc w:val="center"/>
              <w:rPr>
                <w:rFonts w:hint="eastAsia"/>
                <w:bCs/>
                <w:spacing w:val="-10"/>
                <w:szCs w:val="21"/>
              </w:rPr>
            </w:pPr>
          </w:p>
        </w:tc>
        <w:tc>
          <w:tcPr>
            <w:tcW w:w="6379" w:type="dxa"/>
          </w:tcPr>
          <w:p w14:paraId="1A2971F7">
            <w:pPr>
              <w:adjustRightInd w:val="0"/>
              <w:snapToGrid w:val="0"/>
              <w:jc w:val="center"/>
              <w:rPr>
                <w:rFonts w:hint="eastAsia"/>
                <w:bCs/>
                <w:spacing w:val="-10"/>
                <w:szCs w:val="21"/>
              </w:rPr>
            </w:pPr>
            <w:r>
              <w:rPr>
                <w:bCs/>
                <w:spacing w:val="-10"/>
                <w:szCs w:val="21"/>
              </w:rPr>
              <w:t>其他高温高压，且涉及危险物质的工艺过程</w:t>
            </w:r>
            <w:r>
              <w:rPr>
                <w:bCs/>
                <w:spacing w:val="-10"/>
                <w:szCs w:val="21"/>
                <w:vertAlign w:val="superscript"/>
              </w:rPr>
              <w:t>a</w:t>
            </w:r>
            <w:r>
              <w:rPr>
                <w:bCs/>
                <w:spacing w:val="-10"/>
                <w:szCs w:val="21"/>
              </w:rPr>
              <w:t>、危险物质贮存罐区</w:t>
            </w:r>
          </w:p>
        </w:tc>
        <w:tc>
          <w:tcPr>
            <w:tcW w:w="1099" w:type="dxa"/>
          </w:tcPr>
          <w:p w14:paraId="4305D703">
            <w:pPr>
              <w:adjustRightInd w:val="0"/>
              <w:snapToGrid w:val="0"/>
              <w:jc w:val="center"/>
              <w:rPr>
                <w:rFonts w:hint="eastAsia"/>
                <w:bCs/>
                <w:spacing w:val="-10"/>
                <w:szCs w:val="21"/>
              </w:rPr>
            </w:pPr>
            <w:r>
              <w:rPr>
                <w:bCs/>
                <w:spacing w:val="-10"/>
                <w:szCs w:val="21"/>
              </w:rPr>
              <w:t>5/套（罐区）</w:t>
            </w:r>
          </w:p>
        </w:tc>
      </w:tr>
      <w:tr w14:paraId="7313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42" w:type="dxa"/>
          </w:tcPr>
          <w:p w14:paraId="42CB8E0B">
            <w:pPr>
              <w:adjustRightInd w:val="0"/>
              <w:snapToGrid w:val="0"/>
              <w:jc w:val="center"/>
              <w:rPr>
                <w:rFonts w:hint="eastAsia"/>
                <w:bCs/>
                <w:spacing w:val="-10"/>
                <w:szCs w:val="21"/>
              </w:rPr>
            </w:pPr>
            <w:r>
              <w:rPr>
                <w:bCs/>
                <w:spacing w:val="-10"/>
                <w:szCs w:val="21"/>
              </w:rPr>
              <w:t>管道、港口/码头等</w:t>
            </w:r>
          </w:p>
        </w:tc>
        <w:tc>
          <w:tcPr>
            <w:tcW w:w="6379" w:type="dxa"/>
          </w:tcPr>
          <w:p w14:paraId="16151B88">
            <w:pPr>
              <w:adjustRightInd w:val="0"/>
              <w:snapToGrid w:val="0"/>
              <w:jc w:val="center"/>
              <w:rPr>
                <w:rFonts w:hint="eastAsia"/>
                <w:bCs/>
                <w:spacing w:val="-10"/>
                <w:szCs w:val="21"/>
              </w:rPr>
            </w:pPr>
            <w:r>
              <w:rPr>
                <w:bCs/>
                <w:spacing w:val="-10"/>
                <w:szCs w:val="21"/>
              </w:rPr>
              <w:t>涉及危险物质管道运输项目、港口/码头等</w:t>
            </w:r>
          </w:p>
        </w:tc>
        <w:tc>
          <w:tcPr>
            <w:tcW w:w="1099" w:type="dxa"/>
          </w:tcPr>
          <w:p w14:paraId="42CDFA96">
            <w:pPr>
              <w:adjustRightInd w:val="0"/>
              <w:snapToGrid w:val="0"/>
              <w:jc w:val="center"/>
              <w:rPr>
                <w:rFonts w:hint="eastAsia"/>
                <w:bCs/>
                <w:spacing w:val="-10"/>
                <w:szCs w:val="21"/>
              </w:rPr>
            </w:pPr>
            <w:r>
              <w:rPr>
                <w:bCs/>
                <w:spacing w:val="-10"/>
                <w:szCs w:val="21"/>
              </w:rPr>
              <w:t>10</w:t>
            </w:r>
          </w:p>
        </w:tc>
      </w:tr>
      <w:tr w14:paraId="5FF7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42" w:type="dxa"/>
          </w:tcPr>
          <w:p w14:paraId="3FAFA831">
            <w:pPr>
              <w:adjustRightInd w:val="0"/>
              <w:snapToGrid w:val="0"/>
              <w:jc w:val="center"/>
              <w:rPr>
                <w:rFonts w:hint="eastAsia"/>
                <w:bCs/>
                <w:spacing w:val="-10"/>
                <w:szCs w:val="21"/>
              </w:rPr>
            </w:pPr>
            <w:r>
              <w:rPr>
                <w:bCs/>
                <w:spacing w:val="-10"/>
                <w:szCs w:val="21"/>
              </w:rPr>
              <w:t>石油天然气</w:t>
            </w:r>
          </w:p>
        </w:tc>
        <w:tc>
          <w:tcPr>
            <w:tcW w:w="6379" w:type="dxa"/>
          </w:tcPr>
          <w:p w14:paraId="50D42C74">
            <w:pPr>
              <w:adjustRightInd w:val="0"/>
              <w:snapToGrid w:val="0"/>
              <w:jc w:val="center"/>
              <w:rPr>
                <w:rFonts w:hint="eastAsia"/>
                <w:bCs/>
                <w:spacing w:val="-10"/>
                <w:szCs w:val="21"/>
              </w:rPr>
            </w:pPr>
            <w:r>
              <w:rPr>
                <w:bCs/>
                <w:spacing w:val="-10"/>
                <w:szCs w:val="21"/>
              </w:rPr>
              <w:t>石油、天然气、页岩气开采（含净化），气库（不含加气站的气库），油库（不含加气站的油库）、油气管线</w:t>
            </w:r>
            <w:r>
              <w:rPr>
                <w:bCs/>
                <w:spacing w:val="-10"/>
                <w:szCs w:val="21"/>
                <w:vertAlign w:val="superscript"/>
              </w:rPr>
              <w:t>b</w:t>
            </w:r>
            <w:r>
              <w:rPr>
                <w:bCs/>
                <w:spacing w:val="-10"/>
                <w:szCs w:val="21"/>
              </w:rPr>
              <w:t>（不含城镇燃气管线）</w:t>
            </w:r>
          </w:p>
        </w:tc>
        <w:tc>
          <w:tcPr>
            <w:tcW w:w="1099" w:type="dxa"/>
          </w:tcPr>
          <w:p w14:paraId="76BA3102">
            <w:pPr>
              <w:adjustRightInd w:val="0"/>
              <w:snapToGrid w:val="0"/>
              <w:jc w:val="center"/>
              <w:rPr>
                <w:rFonts w:hint="eastAsia"/>
                <w:bCs/>
                <w:spacing w:val="-10"/>
                <w:szCs w:val="21"/>
              </w:rPr>
            </w:pPr>
            <w:r>
              <w:rPr>
                <w:bCs/>
                <w:spacing w:val="-10"/>
                <w:szCs w:val="21"/>
              </w:rPr>
              <w:t>10</w:t>
            </w:r>
          </w:p>
        </w:tc>
      </w:tr>
      <w:tr w14:paraId="069E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42" w:type="dxa"/>
          </w:tcPr>
          <w:p w14:paraId="250F5831">
            <w:pPr>
              <w:adjustRightInd w:val="0"/>
              <w:snapToGrid w:val="0"/>
              <w:jc w:val="center"/>
              <w:rPr>
                <w:rFonts w:hint="eastAsia"/>
                <w:bCs/>
                <w:spacing w:val="-10"/>
                <w:szCs w:val="21"/>
              </w:rPr>
            </w:pPr>
            <w:r>
              <w:rPr>
                <w:bCs/>
                <w:spacing w:val="-10"/>
                <w:szCs w:val="21"/>
              </w:rPr>
              <w:t>其它</w:t>
            </w:r>
          </w:p>
        </w:tc>
        <w:tc>
          <w:tcPr>
            <w:tcW w:w="6379" w:type="dxa"/>
          </w:tcPr>
          <w:p w14:paraId="58B72884">
            <w:pPr>
              <w:adjustRightInd w:val="0"/>
              <w:snapToGrid w:val="0"/>
              <w:jc w:val="center"/>
              <w:rPr>
                <w:rFonts w:hint="eastAsia"/>
                <w:bCs/>
                <w:spacing w:val="-10"/>
                <w:szCs w:val="21"/>
              </w:rPr>
            </w:pPr>
            <w:r>
              <w:rPr>
                <w:bCs/>
                <w:spacing w:val="-10"/>
                <w:szCs w:val="21"/>
              </w:rPr>
              <w:t>涉及危险物质使用、贮存的项目</w:t>
            </w:r>
          </w:p>
        </w:tc>
        <w:tc>
          <w:tcPr>
            <w:tcW w:w="1099" w:type="dxa"/>
          </w:tcPr>
          <w:p w14:paraId="059A2C32">
            <w:pPr>
              <w:adjustRightInd w:val="0"/>
              <w:snapToGrid w:val="0"/>
              <w:jc w:val="center"/>
              <w:rPr>
                <w:rFonts w:hint="eastAsia"/>
                <w:bCs/>
                <w:spacing w:val="-10"/>
                <w:szCs w:val="21"/>
              </w:rPr>
            </w:pPr>
            <w:r>
              <w:rPr>
                <w:bCs/>
                <w:spacing w:val="-10"/>
                <w:szCs w:val="21"/>
              </w:rPr>
              <w:t>5</w:t>
            </w:r>
          </w:p>
        </w:tc>
      </w:tr>
      <w:tr w14:paraId="34FC0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20" w:type="dxa"/>
            <w:gridSpan w:val="3"/>
          </w:tcPr>
          <w:p w14:paraId="7AFC78C2">
            <w:pPr>
              <w:adjustRightInd w:val="0"/>
              <w:snapToGrid w:val="0"/>
              <w:jc w:val="center"/>
              <w:rPr>
                <w:rFonts w:hint="eastAsia"/>
                <w:bCs/>
                <w:spacing w:val="-10"/>
                <w:szCs w:val="21"/>
              </w:rPr>
            </w:pPr>
            <w:r>
              <w:rPr>
                <w:bCs/>
                <w:spacing w:val="-10"/>
                <w:szCs w:val="21"/>
                <w:vertAlign w:val="superscript"/>
              </w:rPr>
              <w:t>a</w:t>
            </w:r>
            <w:r>
              <w:rPr>
                <w:bCs/>
                <w:spacing w:val="-10"/>
                <w:szCs w:val="21"/>
              </w:rPr>
              <w:t>高温指工艺温度≥300℃，高压指压力容器的设计压力（P）≥10MPa；</w:t>
            </w:r>
          </w:p>
          <w:p w14:paraId="42B1AB0E">
            <w:pPr>
              <w:adjustRightInd w:val="0"/>
              <w:snapToGrid w:val="0"/>
              <w:jc w:val="center"/>
              <w:rPr>
                <w:rFonts w:hint="eastAsia"/>
                <w:bCs/>
                <w:spacing w:val="-10"/>
                <w:szCs w:val="21"/>
              </w:rPr>
            </w:pPr>
            <w:r>
              <w:rPr>
                <w:bCs/>
                <w:spacing w:val="-10"/>
                <w:szCs w:val="21"/>
                <w:vertAlign w:val="superscript"/>
              </w:rPr>
              <w:t>b</w:t>
            </w:r>
            <w:r>
              <w:rPr>
                <w:bCs/>
                <w:spacing w:val="-10"/>
                <w:szCs w:val="21"/>
              </w:rPr>
              <w:t>长输管道运输项目应按站场、管线分段进行评价。</w:t>
            </w:r>
          </w:p>
        </w:tc>
      </w:tr>
    </w:tbl>
    <w:p w14:paraId="438816F2">
      <w:pPr>
        <w:pStyle w:val="72"/>
        <w:rPr>
          <w:snapToGrid w:val="0"/>
        </w:rPr>
      </w:pPr>
    </w:p>
    <w:p w14:paraId="56E51203">
      <w:pPr>
        <w:adjustRightInd w:val="0"/>
        <w:snapToGrid w:val="0"/>
        <w:spacing w:line="360" w:lineRule="auto"/>
        <w:ind w:firstLine="440" w:firstLineChars="200"/>
        <w:rPr>
          <w:rFonts w:hint="eastAsia"/>
          <w:bCs/>
          <w:spacing w:val="-10"/>
        </w:rPr>
      </w:pPr>
      <w:bookmarkStart w:id="23" w:name="_Hlk151804781"/>
      <w:r>
        <w:rPr>
          <w:bCs/>
          <w:spacing w:val="-10"/>
        </w:rPr>
        <w:t>本项目生产工艺为调和，不涉及化学反应工艺，即本项目属于 “</w:t>
      </w:r>
      <w:r>
        <w:rPr>
          <w:rFonts w:hint="eastAsia"/>
          <w:bCs/>
          <w:spacing w:val="-10"/>
        </w:rPr>
        <w:t>石化化工行业</w:t>
      </w:r>
      <w:r>
        <w:rPr>
          <w:bCs/>
          <w:spacing w:val="-10"/>
        </w:rPr>
        <w:t>”危险物质使用贮存</w:t>
      </w:r>
      <w:r>
        <w:rPr>
          <w:rFonts w:hint="eastAsia"/>
          <w:bCs/>
          <w:spacing w:val="-10"/>
        </w:rPr>
        <w:t>罐区</w:t>
      </w:r>
      <w:r>
        <w:rPr>
          <w:bCs/>
          <w:spacing w:val="-10"/>
        </w:rPr>
        <w:t>的项目</w:t>
      </w:r>
      <w:r>
        <w:rPr>
          <w:rFonts w:hint="eastAsia"/>
          <w:bCs/>
          <w:spacing w:val="-10"/>
        </w:rPr>
        <w:t>，本项目</w:t>
      </w:r>
      <w:r>
        <w:rPr>
          <w:bCs/>
          <w:spacing w:val="-10"/>
        </w:rPr>
        <w:t>共有</w:t>
      </w:r>
      <w:r>
        <w:rPr>
          <w:rFonts w:hint="eastAsia"/>
          <w:bCs/>
          <w:spacing w:val="-10"/>
        </w:rPr>
        <w:t>2</w:t>
      </w:r>
      <w:r>
        <w:rPr>
          <w:bCs/>
          <w:spacing w:val="-10"/>
        </w:rPr>
        <w:t>套罐区，故M=</w:t>
      </w:r>
      <w:r>
        <w:rPr>
          <w:rFonts w:hint="eastAsia"/>
          <w:bCs/>
          <w:spacing w:val="-10"/>
        </w:rPr>
        <w:t>10</w:t>
      </w:r>
      <w:r>
        <w:rPr>
          <w:bCs/>
          <w:spacing w:val="-10"/>
        </w:rPr>
        <w:t>，本项目工艺危险性为M</w:t>
      </w:r>
      <w:r>
        <w:rPr>
          <w:rFonts w:hint="eastAsia"/>
          <w:bCs/>
          <w:spacing w:val="-10"/>
        </w:rPr>
        <w:t>3</w:t>
      </w:r>
      <w:r>
        <w:rPr>
          <w:bCs/>
          <w:spacing w:val="-10"/>
        </w:rPr>
        <w:t>。</w:t>
      </w:r>
      <w:bookmarkEnd w:id="23"/>
    </w:p>
    <w:p w14:paraId="2CF0DD99">
      <w:pPr>
        <w:adjustRightInd w:val="0"/>
        <w:snapToGrid w:val="0"/>
        <w:spacing w:line="360" w:lineRule="auto"/>
        <w:ind w:firstLine="440" w:firstLineChars="200"/>
        <w:rPr>
          <w:rFonts w:hint="eastAsia"/>
          <w:bCs/>
          <w:spacing w:val="-10"/>
        </w:rPr>
      </w:pPr>
      <w:r>
        <w:rPr>
          <w:rFonts w:hint="eastAsia"/>
          <w:bCs/>
          <w:spacing w:val="-10"/>
        </w:rPr>
        <w:t>③</w:t>
      </w:r>
      <w:r>
        <w:rPr>
          <w:bCs/>
          <w:spacing w:val="-10"/>
        </w:rPr>
        <w:t>危险物质及工艺系统危险性（P）</w:t>
      </w:r>
    </w:p>
    <w:p w14:paraId="2F720EA0">
      <w:pPr>
        <w:adjustRightInd w:val="0"/>
        <w:snapToGrid w:val="0"/>
        <w:spacing w:line="360" w:lineRule="auto"/>
        <w:ind w:firstLine="440" w:firstLineChars="200"/>
        <w:rPr>
          <w:rFonts w:hint="eastAsia"/>
          <w:bCs/>
          <w:spacing w:val="-10"/>
        </w:rPr>
      </w:pPr>
      <w:r>
        <w:rPr>
          <w:bCs/>
          <w:spacing w:val="-10"/>
        </w:rPr>
        <w:t>建设项目的危险物质及工艺系统危险性等级（P）的判断见下表确，分别以P1、P2、P3、P4表示。</w:t>
      </w:r>
    </w:p>
    <w:p w14:paraId="45A7D403">
      <w:pPr>
        <w:adjustRightInd w:val="0"/>
        <w:snapToGrid w:val="0"/>
        <w:jc w:val="center"/>
        <w:rPr>
          <w:rFonts w:hint="eastAsia"/>
          <w:b/>
          <w:bCs/>
          <w:spacing w:val="-10"/>
          <w:szCs w:val="21"/>
        </w:rPr>
      </w:pPr>
      <w:r>
        <w:rPr>
          <w:b/>
          <w:bCs/>
          <w:spacing w:val="-10"/>
        </w:rPr>
        <w:t>表6-</w:t>
      </w:r>
      <w:r>
        <w:rPr>
          <w:rFonts w:hint="eastAsia"/>
          <w:b/>
          <w:bCs/>
          <w:spacing w:val="-10"/>
        </w:rPr>
        <w:t>12</w:t>
      </w:r>
      <w:r>
        <w:rPr>
          <w:b/>
          <w:bCs/>
          <w:spacing w:val="-10"/>
        </w:rPr>
        <w:t>危险物质及工艺系统危险性等级判断（P）</w:t>
      </w:r>
    </w:p>
    <w:tbl>
      <w:tblPr>
        <w:tblStyle w:val="1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2363"/>
        <w:gridCol w:w="1614"/>
        <w:gridCol w:w="1614"/>
        <w:gridCol w:w="1614"/>
        <w:gridCol w:w="1627"/>
      </w:tblGrid>
      <w:tr w14:paraId="057AF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37" w:type="pct"/>
            <w:vMerge w:val="restart"/>
            <w:shd w:val="clear" w:color="auto" w:fill="FFFFFF"/>
            <w:vAlign w:val="center"/>
          </w:tcPr>
          <w:p w14:paraId="527D404B">
            <w:pPr>
              <w:adjustRightInd w:val="0"/>
              <w:snapToGrid w:val="0"/>
              <w:jc w:val="center"/>
              <w:rPr>
                <w:rFonts w:hint="eastAsia"/>
                <w:bCs/>
                <w:spacing w:val="-10"/>
                <w:szCs w:val="21"/>
              </w:rPr>
            </w:pPr>
            <w:r>
              <w:rPr>
                <w:bCs/>
                <w:spacing w:val="-10"/>
                <w:szCs w:val="21"/>
              </w:rPr>
              <w:t>危险物质数量与临界量比值（Q）</w:t>
            </w:r>
          </w:p>
        </w:tc>
        <w:tc>
          <w:tcPr>
            <w:tcW w:w="3663" w:type="pct"/>
            <w:gridSpan w:val="4"/>
            <w:shd w:val="clear" w:color="auto" w:fill="FFFFFF"/>
            <w:vAlign w:val="center"/>
          </w:tcPr>
          <w:p w14:paraId="2A1868D8">
            <w:pPr>
              <w:adjustRightInd w:val="0"/>
              <w:snapToGrid w:val="0"/>
              <w:jc w:val="center"/>
              <w:rPr>
                <w:rFonts w:hint="eastAsia"/>
                <w:bCs/>
                <w:spacing w:val="-10"/>
                <w:szCs w:val="21"/>
              </w:rPr>
            </w:pPr>
            <w:r>
              <w:rPr>
                <w:bCs/>
                <w:spacing w:val="-10"/>
                <w:szCs w:val="21"/>
              </w:rPr>
              <w:t>行业及生产工艺（M）</w:t>
            </w:r>
          </w:p>
        </w:tc>
      </w:tr>
      <w:tr w14:paraId="5F52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37" w:type="pct"/>
            <w:vMerge w:val="continue"/>
            <w:shd w:val="clear" w:color="auto" w:fill="FFFFFF"/>
            <w:vAlign w:val="center"/>
          </w:tcPr>
          <w:p w14:paraId="59D6333C">
            <w:pPr>
              <w:adjustRightInd w:val="0"/>
              <w:snapToGrid w:val="0"/>
              <w:jc w:val="center"/>
              <w:rPr>
                <w:rFonts w:hint="eastAsia"/>
                <w:bCs/>
                <w:spacing w:val="-10"/>
                <w:szCs w:val="21"/>
              </w:rPr>
            </w:pPr>
          </w:p>
        </w:tc>
        <w:tc>
          <w:tcPr>
            <w:tcW w:w="914" w:type="pct"/>
            <w:shd w:val="clear" w:color="auto" w:fill="FFFFFF"/>
            <w:vAlign w:val="center"/>
          </w:tcPr>
          <w:p w14:paraId="09785F17">
            <w:pPr>
              <w:adjustRightInd w:val="0"/>
              <w:snapToGrid w:val="0"/>
              <w:jc w:val="center"/>
              <w:rPr>
                <w:rFonts w:hint="eastAsia"/>
                <w:bCs/>
                <w:spacing w:val="-10"/>
                <w:szCs w:val="21"/>
              </w:rPr>
            </w:pPr>
            <w:r>
              <w:rPr>
                <w:bCs/>
                <w:spacing w:val="-10"/>
                <w:szCs w:val="21"/>
              </w:rPr>
              <w:t>M1</w:t>
            </w:r>
          </w:p>
        </w:tc>
        <w:tc>
          <w:tcPr>
            <w:tcW w:w="914" w:type="pct"/>
            <w:shd w:val="clear" w:color="auto" w:fill="FFFFFF"/>
            <w:vAlign w:val="center"/>
          </w:tcPr>
          <w:p w14:paraId="69E4A41C">
            <w:pPr>
              <w:adjustRightInd w:val="0"/>
              <w:snapToGrid w:val="0"/>
              <w:jc w:val="center"/>
              <w:rPr>
                <w:rFonts w:hint="eastAsia"/>
                <w:bCs/>
                <w:spacing w:val="-10"/>
                <w:szCs w:val="21"/>
              </w:rPr>
            </w:pPr>
            <w:r>
              <w:rPr>
                <w:bCs/>
                <w:spacing w:val="-10"/>
                <w:szCs w:val="21"/>
              </w:rPr>
              <w:t>M2</w:t>
            </w:r>
          </w:p>
        </w:tc>
        <w:tc>
          <w:tcPr>
            <w:tcW w:w="914" w:type="pct"/>
            <w:shd w:val="clear" w:color="auto" w:fill="FFFFFF"/>
            <w:vAlign w:val="center"/>
          </w:tcPr>
          <w:p w14:paraId="0378AD34">
            <w:pPr>
              <w:adjustRightInd w:val="0"/>
              <w:snapToGrid w:val="0"/>
              <w:jc w:val="center"/>
              <w:rPr>
                <w:rFonts w:hint="eastAsia"/>
                <w:bCs/>
                <w:spacing w:val="-10"/>
                <w:szCs w:val="21"/>
              </w:rPr>
            </w:pPr>
            <w:r>
              <w:rPr>
                <w:bCs/>
                <w:spacing w:val="-10"/>
                <w:szCs w:val="21"/>
              </w:rPr>
              <w:t>M3</w:t>
            </w:r>
          </w:p>
        </w:tc>
        <w:tc>
          <w:tcPr>
            <w:tcW w:w="920" w:type="pct"/>
            <w:shd w:val="clear" w:color="auto" w:fill="FFFFFF"/>
            <w:vAlign w:val="center"/>
          </w:tcPr>
          <w:p w14:paraId="47994E00">
            <w:pPr>
              <w:adjustRightInd w:val="0"/>
              <w:snapToGrid w:val="0"/>
              <w:jc w:val="center"/>
              <w:rPr>
                <w:rFonts w:hint="eastAsia"/>
                <w:bCs/>
                <w:spacing w:val="-10"/>
                <w:szCs w:val="21"/>
              </w:rPr>
            </w:pPr>
            <w:r>
              <w:rPr>
                <w:bCs/>
                <w:spacing w:val="-10"/>
                <w:szCs w:val="21"/>
              </w:rPr>
              <w:t>M4</w:t>
            </w:r>
          </w:p>
        </w:tc>
      </w:tr>
      <w:tr w14:paraId="2524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37" w:type="pct"/>
            <w:shd w:val="clear" w:color="auto" w:fill="FFFFFF"/>
            <w:vAlign w:val="center"/>
          </w:tcPr>
          <w:p w14:paraId="6F7AD758">
            <w:pPr>
              <w:adjustRightInd w:val="0"/>
              <w:snapToGrid w:val="0"/>
              <w:jc w:val="center"/>
              <w:rPr>
                <w:rFonts w:hint="eastAsia"/>
                <w:bCs/>
                <w:spacing w:val="-10"/>
                <w:szCs w:val="21"/>
              </w:rPr>
            </w:pPr>
            <w:r>
              <w:rPr>
                <w:bCs/>
                <w:spacing w:val="-10"/>
                <w:szCs w:val="21"/>
              </w:rPr>
              <w:t>Q≥100</w:t>
            </w:r>
          </w:p>
        </w:tc>
        <w:tc>
          <w:tcPr>
            <w:tcW w:w="914" w:type="pct"/>
            <w:shd w:val="clear" w:color="auto" w:fill="FFFFFF"/>
            <w:vAlign w:val="center"/>
          </w:tcPr>
          <w:p w14:paraId="56A43717">
            <w:pPr>
              <w:adjustRightInd w:val="0"/>
              <w:snapToGrid w:val="0"/>
              <w:jc w:val="center"/>
              <w:rPr>
                <w:rFonts w:hint="eastAsia"/>
                <w:bCs/>
                <w:spacing w:val="-10"/>
                <w:szCs w:val="21"/>
              </w:rPr>
            </w:pPr>
            <w:r>
              <w:rPr>
                <w:bCs/>
                <w:spacing w:val="-10"/>
                <w:szCs w:val="21"/>
              </w:rPr>
              <w:t>P1</w:t>
            </w:r>
          </w:p>
        </w:tc>
        <w:tc>
          <w:tcPr>
            <w:tcW w:w="914" w:type="pct"/>
            <w:shd w:val="clear" w:color="auto" w:fill="FFFFFF"/>
            <w:vAlign w:val="center"/>
          </w:tcPr>
          <w:p w14:paraId="74E24B63">
            <w:pPr>
              <w:adjustRightInd w:val="0"/>
              <w:snapToGrid w:val="0"/>
              <w:jc w:val="center"/>
              <w:rPr>
                <w:rFonts w:hint="eastAsia"/>
                <w:bCs/>
                <w:spacing w:val="-10"/>
                <w:szCs w:val="21"/>
              </w:rPr>
            </w:pPr>
            <w:r>
              <w:rPr>
                <w:bCs/>
                <w:spacing w:val="-10"/>
                <w:szCs w:val="21"/>
              </w:rPr>
              <w:t>P1</w:t>
            </w:r>
          </w:p>
        </w:tc>
        <w:tc>
          <w:tcPr>
            <w:tcW w:w="914" w:type="pct"/>
            <w:shd w:val="clear" w:color="auto" w:fill="FFFFFF"/>
            <w:vAlign w:val="center"/>
          </w:tcPr>
          <w:p w14:paraId="28731398">
            <w:pPr>
              <w:adjustRightInd w:val="0"/>
              <w:snapToGrid w:val="0"/>
              <w:jc w:val="center"/>
              <w:rPr>
                <w:rFonts w:hint="eastAsia"/>
                <w:b/>
                <w:spacing w:val="-10"/>
                <w:szCs w:val="21"/>
              </w:rPr>
            </w:pPr>
            <w:r>
              <w:rPr>
                <w:b/>
                <w:spacing w:val="-10"/>
                <w:szCs w:val="21"/>
              </w:rPr>
              <w:t>P2</w:t>
            </w:r>
          </w:p>
        </w:tc>
        <w:tc>
          <w:tcPr>
            <w:tcW w:w="920" w:type="pct"/>
            <w:shd w:val="clear" w:color="auto" w:fill="FFFFFF"/>
            <w:vAlign w:val="center"/>
          </w:tcPr>
          <w:p w14:paraId="61C38728">
            <w:pPr>
              <w:adjustRightInd w:val="0"/>
              <w:snapToGrid w:val="0"/>
              <w:jc w:val="center"/>
              <w:rPr>
                <w:rFonts w:hint="eastAsia"/>
                <w:bCs/>
                <w:spacing w:val="-10"/>
                <w:szCs w:val="21"/>
              </w:rPr>
            </w:pPr>
            <w:r>
              <w:rPr>
                <w:bCs/>
                <w:spacing w:val="-10"/>
                <w:szCs w:val="21"/>
              </w:rPr>
              <w:t>P3</w:t>
            </w:r>
          </w:p>
        </w:tc>
      </w:tr>
      <w:tr w14:paraId="1FBA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37" w:type="pct"/>
            <w:shd w:val="clear" w:color="auto" w:fill="FFFFFF"/>
            <w:vAlign w:val="center"/>
          </w:tcPr>
          <w:p w14:paraId="16B17CF7">
            <w:pPr>
              <w:adjustRightInd w:val="0"/>
              <w:snapToGrid w:val="0"/>
              <w:jc w:val="center"/>
              <w:rPr>
                <w:rFonts w:hint="eastAsia"/>
                <w:bCs/>
                <w:spacing w:val="-10"/>
                <w:szCs w:val="21"/>
              </w:rPr>
            </w:pPr>
            <w:r>
              <w:rPr>
                <w:bCs/>
                <w:spacing w:val="-10"/>
                <w:szCs w:val="21"/>
              </w:rPr>
              <w:t>10≤Q＜100</w:t>
            </w:r>
          </w:p>
        </w:tc>
        <w:tc>
          <w:tcPr>
            <w:tcW w:w="914" w:type="pct"/>
            <w:shd w:val="clear" w:color="auto" w:fill="FFFFFF"/>
            <w:vAlign w:val="center"/>
          </w:tcPr>
          <w:p w14:paraId="3213D976">
            <w:pPr>
              <w:adjustRightInd w:val="0"/>
              <w:snapToGrid w:val="0"/>
              <w:jc w:val="center"/>
              <w:rPr>
                <w:rFonts w:hint="eastAsia"/>
                <w:bCs/>
                <w:spacing w:val="-10"/>
                <w:szCs w:val="21"/>
              </w:rPr>
            </w:pPr>
            <w:r>
              <w:rPr>
                <w:bCs/>
                <w:spacing w:val="-10"/>
                <w:szCs w:val="21"/>
              </w:rPr>
              <w:t>P1</w:t>
            </w:r>
          </w:p>
        </w:tc>
        <w:tc>
          <w:tcPr>
            <w:tcW w:w="914" w:type="pct"/>
            <w:shd w:val="clear" w:color="auto" w:fill="FFFFFF"/>
            <w:vAlign w:val="center"/>
          </w:tcPr>
          <w:p w14:paraId="3E8A5384">
            <w:pPr>
              <w:adjustRightInd w:val="0"/>
              <w:snapToGrid w:val="0"/>
              <w:jc w:val="center"/>
              <w:rPr>
                <w:rFonts w:hint="eastAsia"/>
                <w:bCs/>
                <w:spacing w:val="-10"/>
                <w:szCs w:val="21"/>
              </w:rPr>
            </w:pPr>
            <w:r>
              <w:rPr>
                <w:bCs/>
                <w:spacing w:val="-10"/>
                <w:szCs w:val="21"/>
              </w:rPr>
              <w:t>P2</w:t>
            </w:r>
          </w:p>
        </w:tc>
        <w:tc>
          <w:tcPr>
            <w:tcW w:w="914" w:type="pct"/>
            <w:shd w:val="clear" w:color="auto" w:fill="FFFFFF"/>
            <w:vAlign w:val="center"/>
          </w:tcPr>
          <w:p w14:paraId="5BB2CC03">
            <w:pPr>
              <w:adjustRightInd w:val="0"/>
              <w:snapToGrid w:val="0"/>
              <w:jc w:val="center"/>
              <w:rPr>
                <w:rFonts w:hint="eastAsia"/>
                <w:spacing w:val="-10"/>
                <w:szCs w:val="21"/>
              </w:rPr>
            </w:pPr>
            <w:r>
              <w:rPr>
                <w:spacing w:val="-10"/>
                <w:szCs w:val="21"/>
              </w:rPr>
              <w:t>P3</w:t>
            </w:r>
          </w:p>
        </w:tc>
        <w:tc>
          <w:tcPr>
            <w:tcW w:w="920" w:type="pct"/>
            <w:shd w:val="clear" w:color="auto" w:fill="FFFFFF"/>
            <w:vAlign w:val="center"/>
          </w:tcPr>
          <w:p w14:paraId="75497FDB">
            <w:pPr>
              <w:adjustRightInd w:val="0"/>
              <w:snapToGrid w:val="0"/>
              <w:jc w:val="center"/>
              <w:rPr>
                <w:rFonts w:hint="eastAsia"/>
                <w:bCs/>
                <w:spacing w:val="-10"/>
                <w:szCs w:val="21"/>
              </w:rPr>
            </w:pPr>
            <w:r>
              <w:rPr>
                <w:bCs/>
                <w:spacing w:val="-10"/>
                <w:szCs w:val="21"/>
              </w:rPr>
              <w:t>P4</w:t>
            </w:r>
          </w:p>
        </w:tc>
      </w:tr>
      <w:tr w14:paraId="6E13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37" w:type="pct"/>
            <w:shd w:val="clear" w:color="auto" w:fill="FFFFFF"/>
            <w:vAlign w:val="center"/>
          </w:tcPr>
          <w:p w14:paraId="5EAC3848">
            <w:pPr>
              <w:adjustRightInd w:val="0"/>
              <w:snapToGrid w:val="0"/>
              <w:jc w:val="center"/>
              <w:rPr>
                <w:rFonts w:hint="eastAsia"/>
                <w:bCs/>
                <w:spacing w:val="-10"/>
                <w:szCs w:val="21"/>
              </w:rPr>
            </w:pPr>
            <w:r>
              <w:rPr>
                <w:bCs/>
                <w:spacing w:val="-10"/>
                <w:szCs w:val="21"/>
              </w:rPr>
              <w:t>1≤Q＜10</w:t>
            </w:r>
          </w:p>
        </w:tc>
        <w:tc>
          <w:tcPr>
            <w:tcW w:w="914" w:type="pct"/>
            <w:shd w:val="clear" w:color="auto" w:fill="FFFFFF"/>
            <w:vAlign w:val="center"/>
          </w:tcPr>
          <w:p w14:paraId="0FF8164C">
            <w:pPr>
              <w:adjustRightInd w:val="0"/>
              <w:snapToGrid w:val="0"/>
              <w:jc w:val="center"/>
              <w:rPr>
                <w:rFonts w:hint="eastAsia"/>
                <w:bCs/>
                <w:spacing w:val="-10"/>
                <w:szCs w:val="21"/>
              </w:rPr>
            </w:pPr>
            <w:r>
              <w:rPr>
                <w:bCs/>
                <w:spacing w:val="-10"/>
                <w:szCs w:val="21"/>
              </w:rPr>
              <w:t>P2</w:t>
            </w:r>
          </w:p>
        </w:tc>
        <w:tc>
          <w:tcPr>
            <w:tcW w:w="914" w:type="pct"/>
            <w:shd w:val="clear" w:color="auto" w:fill="FFFFFF"/>
            <w:vAlign w:val="center"/>
          </w:tcPr>
          <w:p w14:paraId="3B7C29EA">
            <w:pPr>
              <w:adjustRightInd w:val="0"/>
              <w:snapToGrid w:val="0"/>
              <w:jc w:val="center"/>
              <w:rPr>
                <w:rFonts w:hint="eastAsia"/>
                <w:bCs/>
                <w:spacing w:val="-10"/>
                <w:szCs w:val="21"/>
              </w:rPr>
            </w:pPr>
            <w:r>
              <w:rPr>
                <w:bCs/>
                <w:spacing w:val="-10"/>
                <w:szCs w:val="21"/>
              </w:rPr>
              <w:t>P3</w:t>
            </w:r>
          </w:p>
        </w:tc>
        <w:tc>
          <w:tcPr>
            <w:tcW w:w="914" w:type="pct"/>
            <w:shd w:val="clear" w:color="auto" w:fill="FFFFFF"/>
            <w:vAlign w:val="center"/>
          </w:tcPr>
          <w:p w14:paraId="2560DAB7">
            <w:pPr>
              <w:adjustRightInd w:val="0"/>
              <w:snapToGrid w:val="0"/>
              <w:jc w:val="center"/>
              <w:rPr>
                <w:rFonts w:hint="eastAsia"/>
                <w:bCs/>
                <w:spacing w:val="-10"/>
                <w:szCs w:val="21"/>
              </w:rPr>
            </w:pPr>
            <w:r>
              <w:rPr>
                <w:bCs/>
                <w:spacing w:val="-10"/>
                <w:szCs w:val="21"/>
              </w:rPr>
              <w:t>P4</w:t>
            </w:r>
          </w:p>
        </w:tc>
        <w:tc>
          <w:tcPr>
            <w:tcW w:w="920" w:type="pct"/>
            <w:shd w:val="clear" w:color="auto" w:fill="FFFFFF"/>
            <w:vAlign w:val="center"/>
          </w:tcPr>
          <w:p w14:paraId="0FB356C1">
            <w:pPr>
              <w:adjustRightInd w:val="0"/>
              <w:snapToGrid w:val="0"/>
              <w:jc w:val="center"/>
              <w:rPr>
                <w:rFonts w:hint="eastAsia"/>
                <w:bCs/>
                <w:spacing w:val="-10"/>
                <w:szCs w:val="21"/>
              </w:rPr>
            </w:pPr>
            <w:r>
              <w:rPr>
                <w:bCs/>
                <w:spacing w:val="-10"/>
                <w:szCs w:val="21"/>
              </w:rPr>
              <w:t>P4</w:t>
            </w:r>
          </w:p>
        </w:tc>
      </w:tr>
    </w:tbl>
    <w:p w14:paraId="0D87403E">
      <w:pPr>
        <w:pStyle w:val="72"/>
        <w:rPr>
          <w:snapToGrid w:val="0"/>
        </w:rPr>
      </w:pPr>
    </w:p>
    <w:p w14:paraId="18B84A71">
      <w:pPr>
        <w:adjustRightInd w:val="0"/>
        <w:snapToGrid w:val="0"/>
        <w:ind w:firstLine="440" w:firstLineChars="200"/>
        <w:rPr>
          <w:rFonts w:hint="eastAsia"/>
          <w:bCs/>
          <w:spacing w:val="-10"/>
        </w:rPr>
      </w:pPr>
      <w:r>
        <w:rPr>
          <w:bCs/>
          <w:spacing w:val="-10"/>
        </w:rPr>
        <w:t>本项目Q</w:t>
      </w:r>
      <w:r>
        <w:rPr>
          <w:rFonts w:hint="eastAsia"/>
          <w:bCs/>
          <w:spacing w:val="-10"/>
        </w:rPr>
        <w:t>≥100</w:t>
      </w:r>
      <w:r>
        <w:rPr>
          <w:bCs/>
          <w:spacing w:val="-10"/>
        </w:rPr>
        <w:t>，工艺危险性为M</w:t>
      </w:r>
      <w:r>
        <w:rPr>
          <w:rFonts w:hint="eastAsia"/>
          <w:bCs/>
          <w:spacing w:val="-10"/>
        </w:rPr>
        <w:t>3</w:t>
      </w:r>
      <w:r>
        <w:rPr>
          <w:bCs/>
          <w:spacing w:val="-10"/>
        </w:rPr>
        <w:t>，危险物质及工艺系统危险性确定为P</w:t>
      </w:r>
      <w:r>
        <w:rPr>
          <w:rFonts w:hint="eastAsia"/>
          <w:bCs/>
          <w:spacing w:val="-10"/>
        </w:rPr>
        <w:t>2</w:t>
      </w:r>
      <w:r>
        <w:rPr>
          <w:bCs/>
          <w:spacing w:val="-10"/>
        </w:rPr>
        <w:t>。</w:t>
      </w:r>
    </w:p>
    <w:p w14:paraId="710C8233">
      <w:pPr>
        <w:adjustRightInd w:val="0"/>
        <w:snapToGrid w:val="0"/>
        <w:spacing w:line="360" w:lineRule="auto"/>
        <w:rPr>
          <w:rFonts w:hint="eastAsia"/>
          <w:b/>
          <w:spacing w:val="-10"/>
        </w:rPr>
      </w:pPr>
      <w:r>
        <w:rPr>
          <w:b/>
          <w:spacing w:val="-10"/>
        </w:rPr>
        <w:t>4.2 E的分级确定</w:t>
      </w:r>
    </w:p>
    <w:p w14:paraId="46B73DB1">
      <w:pPr>
        <w:adjustRightInd w:val="0"/>
        <w:snapToGrid w:val="0"/>
        <w:spacing w:line="360" w:lineRule="auto"/>
        <w:ind w:firstLine="440" w:firstLineChars="200"/>
        <w:rPr>
          <w:rFonts w:hint="eastAsia"/>
          <w:bCs/>
          <w:spacing w:val="-10"/>
        </w:rPr>
      </w:pPr>
      <w:r>
        <w:rPr>
          <w:rFonts w:hint="eastAsia"/>
          <w:bCs/>
          <w:spacing w:val="-10"/>
        </w:rPr>
        <w:t>（1）大气环境</w:t>
      </w:r>
    </w:p>
    <w:p w14:paraId="7EC69114">
      <w:pPr>
        <w:adjustRightInd w:val="0"/>
        <w:snapToGrid w:val="0"/>
        <w:spacing w:line="360" w:lineRule="auto"/>
        <w:ind w:firstLine="440" w:firstLineChars="200"/>
        <w:rPr>
          <w:rFonts w:hint="eastAsia"/>
          <w:bCs/>
          <w:spacing w:val="-10"/>
        </w:rPr>
      </w:pPr>
      <w:r>
        <w:rPr>
          <w:rFonts w:hint="eastAsia"/>
          <w:bCs/>
          <w:spacing w:val="-10"/>
        </w:rPr>
        <w:t>根据《建设项目环境风险评价技术导则》（HJ169-2018）附录D：项目所在区域大气环境敏感程度是依据环境敏感目标环境敏感性及人口密度划分环境风险受体的敏感性来确定。大气环境敏感程度共分为三种类型：E1为环境高度敏感区，E2为环境中度敏感区，E3为环境低度敏感区。</w:t>
      </w:r>
    </w:p>
    <w:p w14:paraId="22B8AE0B">
      <w:pPr>
        <w:adjustRightInd w:val="0"/>
        <w:snapToGrid w:val="0"/>
        <w:spacing w:line="360" w:lineRule="auto"/>
        <w:ind w:firstLine="440" w:firstLineChars="200"/>
        <w:rPr>
          <w:rFonts w:hint="eastAsia"/>
          <w:bCs/>
          <w:spacing w:val="-10"/>
        </w:rPr>
      </w:pPr>
      <w:r>
        <w:rPr>
          <w:rFonts w:hint="eastAsia"/>
          <w:bCs/>
          <w:spacing w:val="-10"/>
        </w:rPr>
        <w:t>区域大气环境敏感程度判定一览表，见表6-12。本项目</w:t>
      </w:r>
      <w:r>
        <w:rPr>
          <w:bCs/>
          <w:spacing w:val="-10"/>
        </w:rPr>
        <w:t>周边500m范围内人口总数小于500人</w:t>
      </w:r>
      <w:r>
        <w:rPr>
          <w:rFonts w:hint="eastAsia"/>
          <w:bCs/>
          <w:spacing w:val="-10"/>
        </w:rPr>
        <w:t>，因此本项目</w:t>
      </w:r>
      <w:r>
        <w:rPr>
          <w:bCs/>
          <w:spacing w:val="-10"/>
        </w:rPr>
        <w:t>大气环境敏感性分级为</w:t>
      </w:r>
      <w:r>
        <w:rPr>
          <w:rFonts w:hint="eastAsia"/>
          <w:bCs/>
          <w:spacing w:val="-10"/>
        </w:rPr>
        <w:t>E3。</w:t>
      </w:r>
    </w:p>
    <w:p w14:paraId="21F9A68D">
      <w:pPr>
        <w:adjustRightInd w:val="0"/>
        <w:snapToGrid w:val="0"/>
        <w:jc w:val="center"/>
        <w:rPr>
          <w:rFonts w:hint="eastAsia"/>
          <w:b/>
          <w:bCs/>
          <w:spacing w:val="-10"/>
        </w:rPr>
      </w:pPr>
      <w:r>
        <w:rPr>
          <w:rFonts w:hint="eastAsia"/>
          <w:b/>
          <w:bCs/>
          <w:spacing w:val="-10"/>
        </w:rPr>
        <w:t>表6-13</w:t>
      </w:r>
      <w:r>
        <w:rPr>
          <w:b/>
          <w:bCs/>
          <w:spacing w:val="-10"/>
        </w:rPr>
        <w:t xml:space="preserve"> </w:t>
      </w:r>
      <w:r>
        <w:rPr>
          <w:rFonts w:hint="eastAsia"/>
          <w:b/>
          <w:bCs/>
          <w:spacing w:val="-10"/>
        </w:rPr>
        <w:t xml:space="preserve"> 区域大气环境敏感程度判定一览表</w:t>
      </w:r>
    </w:p>
    <w:tbl>
      <w:tblPr>
        <w:tblStyle w:val="16"/>
        <w:tblW w:w="374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559"/>
        <w:gridCol w:w="6046"/>
      </w:tblGrid>
      <w:tr w14:paraId="5CAF0F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23" w:type="pct"/>
            <w:vAlign w:val="center"/>
          </w:tcPr>
          <w:p w14:paraId="01773ECD">
            <w:pPr>
              <w:pStyle w:val="76"/>
              <w:spacing w:line="240" w:lineRule="auto"/>
              <w:rPr>
                <w:rFonts w:cs="Times New Roman"/>
                <w:sz w:val="21"/>
                <w:szCs w:val="21"/>
              </w:rPr>
            </w:pPr>
            <w:r>
              <w:rPr>
                <w:rFonts w:cs="Times New Roman"/>
                <w:sz w:val="21"/>
                <w:szCs w:val="21"/>
              </w:rPr>
              <w:t>分级</w:t>
            </w:r>
          </w:p>
        </w:tc>
        <w:tc>
          <w:tcPr>
            <w:tcW w:w="4577" w:type="pct"/>
            <w:vAlign w:val="center"/>
          </w:tcPr>
          <w:p w14:paraId="56B0EE33">
            <w:pPr>
              <w:pStyle w:val="76"/>
              <w:spacing w:line="240" w:lineRule="auto"/>
              <w:rPr>
                <w:rFonts w:cs="Times New Roman"/>
                <w:sz w:val="21"/>
                <w:szCs w:val="21"/>
              </w:rPr>
            </w:pPr>
            <w:r>
              <w:rPr>
                <w:rFonts w:cs="Times New Roman"/>
                <w:sz w:val="21"/>
                <w:szCs w:val="21"/>
              </w:rPr>
              <w:t>大气环境敏感性</w:t>
            </w:r>
          </w:p>
        </w:tc>
      </w:tr>
      <w:tr w14:paraId="34ADD3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23" w:type="pct"/>
            <w:vAlign w:val="center"/>
          </w:tcPr>
          <w:p w14:paraId="42EF4899">
            <w:pPr>
              <w:pStyle w:val="76"/>
              <w:spacing w:line="240" w:lineRule="auto"/>
              <w:rPr>
                <w:rFonts w:cs="Times New Roman"/>
                <w:sz w:val="21"/>
                <w:szCs w:val="21"/>
              </w:rPr>
            </w:pPr>
            <w:r>
              <w:rPr>
                <w:rFonts w:cs="Times New Roman"/>
                <w:sz w:val="21"/>
                <w:szCs w:val="21"/>
              </w:rPr>
              <w:t>E1</w:t>
            </w:r>
          </w:p>
        </w:tc>
        <w:tc>
          <w:tcPr>
            <w:tcW w:w="4577" w:type="pct"/>
            <w:vAlign w:val="center"/>
          </w:tcPr>
          <w:p w14:paraId="70C0EF6B">
            <w:pPr>
              <w:pStyle w:val="76"/>
              <w:spacing w:line="240" w:lineRule="auto"/>
              <w:rPr>
                <w:rFonts w:cs="Times New Roman"/>
                <w:sz w:val="21"/>
                <w:szCs w:val="21"/>
              </w:rPr>
            </w:pPr>
            <w:r>
              <w:rPr>
                <w:rFonts w:cs="Times New Roman"/>
                <w:sz w:val="21"/>
                <w:szCs w:val="21"/>
              </w:rPr>
              <w:t>周边5km范围内居住区、医疗卫生、文化教育、科研、行政办公等机构人口总数大于5万人，或其他需要特殊保护区域；或周边500m范围内人口总数大于1000人；油气、化学品输送管线管段周边200 m范围内，每千米管段人口数大于200人</w:t>
            </w:r>
          </w:p>
        </w:tc>
      </w:tr>
      <w:tr w14:paraId="6E390D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23" w:type="pct"/>
            <w:vAlign w:val="center"/>
          </w:tcPr>
          <w:p w14:paraId="0BA744D3">
            <w:pPr>
              <w:pStyle w:val="76"/>
              <w:spacing w:line="240" w:lineRule="auto"/>
              <w:rPr>
                <w:rFonts w:cs="Times New Roman"/>
                <w:sz w:val="21"/>
                <w:szCs w:val="21"/>
              </w:rPr>
            </w:pPr>
            <w:r>
              <w:rPr>
                <w:rFonts w:cs="Times New Roman"/>
                <w:sz w:val="21"/>
                <w:szCs w:val="21"/>
              </w:rPr>
              <w:t>E2</w:t>
            </w:r>
          </w:p>
        </w:tc>
        <w:tc>
          <w:tcPr>
            <w:tcW w:w="4577" w:type="pct"/>
            <w:vAlign w:val="center"/>
          </w:tcPr>
          <w:p w14:paraId="2B080874">
            <w:pPr>
              <w:pStyle w:val="76"/>
              <w:spacing w:line="240" w:lineRule="auto"/>
              <w:rPr>
                <w:rFonts w:cs="Times New Roman"/>
                <w:sz w:val="21"/>
                <w:szCs w:val="21"/>
              </w:rPr>
            </w:pPr>
            <w:r>
              <w:rPr>
                <w:rFonts w:cs="Times New Roman"/>
                <w:sz w:val="21"/>
                <w:szCs w:val="21"/>
              </w:rPr>
              <w:t>周边5km范围内居住区、医疗卫生、文化教育、科研、行政办公等机构人口总数大于1万人，小于5万人；或周边500m范围内人口总数大于500人，小于1000人；油气、化学品输送管线管段周边200m范围内，每千米管段人口数大于100人，小于200人</w:t>
            </w:r>
          </w:p>
        </w:tc>
      </w:tr>
      <w:tr w14:paraId="3672AB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23" w:type="pct"/>
            <w:vAlign w:val="center"/>
          </w:tcPr>
          <w:p w14:paraId="1DCD8C66">
            <w:pPr>
              <w:pStyle w:val="76"/>
              <w:spacing w:line="240" w:lineRule="auto"/>
              <w:rPr>
                <w:rFonts w:cs="Times New Roman"/>
                <w:sz w:val="21"/>
                <w:szCs w:val="21"/>
              </w:rPr>
            </w:pPr>
            <w:r>
              <w:rPr>
                <w:rFonts w:cs="Times New Roman"/>
                <w:sz w:val="21"/>
                <w:szCs w:val="21"/>
              </w:rPr>
              <w:t>E3</w:t>
            </w:r>
          </w:p>
        </w:tc>
        <w:tc>
          <w:tcPr>
            <w:tcW w:w="4577" w:type="pct"/>
            <w:vAlign w:val="center"/>
          </w:tcPr>
          <w:p w14:paraId="718FD887">
            <w:pPr>
              <w:pStyle w:val="76"/>
              <w:spacing w:line="240" w:lineRule="auto"/>
              <w:rPr>
                <w:rFonts w:cs="Times New Roman"/>
                <w:sz w:val="21"/>
                <w:szCs w:val="21"/>
              </w:rPr>
            </w:pPr>
            <w:r>
              <w:rPr>
                <w:rFonts w:cs="Times New Roman"/>
                <w:sz w:val="21"/>
                <w:szCs w:val="21"/>
              </w:rPr>
              <w:t>周边5km范围内居住区、医疗卫生、文化教育、科研、行政办公等机构人口总数小于1万人；或周边500m范围内人口总数小于500人；油气、化学品输送管线管段周边200m范围内，每千米管段人口数小于100人</w:t>
            </w:r>
          </w:p>
        </w:tc>
      </w:tr>
    </w:tbl>
    <w:p w14:paraId="6819F7CE">
      <w:pPr>
        <w:adjustRightInd w:val="0"/>
        <w:snapToGrid w:val="0"/>
        <w:spacing w:line="360" w:lineRule="auto"/>
        <w:ind w:firstLine="440" w:firstLineChars="200"/>
        <w:rPr>
          <w:rFonts w:hint="eastAsia"/>
          <w:bCs/>
          <w:spacing w:val="-10"/>
        </w:rPr>
      </w:pPr>
      <w:r>
        <w:rPr>
          <w:rFonts w:hint="eastAsia"/>
          <w:bCs/>
          <w:spacing w:val="-10"/>
        </w:rPr>
        <w:t>（2）地表水环境</w:t>
      </w:r>
    </w:p>
    <w:p w14:paraId="474475FF">
      <w:pPr>
        <w:adjustRightInd w:val="0"/>
        <w:snapToGrid w:val="0"/>
        <w:spacing w:line="360" w:lineRule="auto"/>
        <w:ind w:firstLine="440" w:firstLineChars="200"/>
        <w:rPr>
          <w:rFonts w:hint="eastAsia"/>
          <w:bCs/>
          <w:spacing w:val="-10"/>
        </w:rPr>
      </w:pPr>
      <w:r>
        <w:rPr>
          <w:rFonts w:hint="eastAsia"/>
          <w:bCs/>
          <w:spacing w:val="-10"/>
        </w:rPr>
        <w:t>区域地表水环境敏感程度分级原则见表6-14。地表水环境敏感目标分级判定、地表水功能敏感性分区判定分别见表6-15和表6-16。</w:t>
      </w:r>
    </w:p>
    <w:p w14:paraId="286FA183">
      <w:pPr>
        <w:adjustRightInd w:val="0"/>
        <w:snapToGrid w:val="0"/>
        <w:jc w:val="center"/>
        <w:rPr>
          <w:rFonts w:hint="eastAsia"/>
          <w:b/>
          <w:bCs/>
          <w:spacing w:val="-10"/>
        </w:rPr>
      </w:pPr>
      <w:r>
        <w:rPr>
          <w:rFonts w:hint="eastAsia"/>
          <w:b/>
          <w:bCs/>
          <w:spacing w:val="-10"/>
        </w:rPr>
        <w:t>表6-14</w:t>
      </w:r>
      <w:r>
        <w:rPr>
          <w:b/>
          <w:bCs/>
          <w:spacing w:val="-10"/>
        </w:rPr>
        <w:t xml:space="preserve">  </w:t>
      </w:r>
      <w:r>
        <w:rPr>
          <w:rFonts w:hint="eastAsia"/>
          <w:b/>
          <w:bCs/>
          <w:spacing w:val="-10"/>
        </w:rPr>
        <w:t>地表水环境敏感程度分级原则一览表</w:t>
      </w:r>
    </w:p>
    <w:tbl>
      <w:tblPr>
        <w:tblStyle w:val="16"/>
        <w:tblW w:w="500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2018"/>
        <w:gridCol w:w="2388"/>
        <w:gridCol w:w="2204"/>
        <w:gridCol w:w="2204"/>
      </w:tblGrid>
      <w:tr w14:paraId="2B5B6E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951" w:type="dxa"/>
            <w:vMerge w:val="restart"/>
            <w:vAlign w:val="center"/>
          </w:tcPr>
          <w:p w14:paraId="5D93EB51">
            <w:pPr>
              <w:pStyle w:val="76"/>
              <w:spacing w:line="240" w:lineRule="auto"/>
              <w:rPr>
                <w:sz w:val="21"/>
                <w:szCs w:val="21"/>
              </w:rPr>
            </w:pPr>
            <w:r>
              <w:rPr>
                <w:rFonts w:hint="eastAsia"/>
                <w:sz w:val="21"/>
                <w:szCs w:val="21"/>
              </w:rPr>
              <w:t>环境敏感目标</w:t>
            </w:r>
          </w:p>
        </w:tc>
        <w:tc>
          <w:tcPr>
            <w:tcW w:w="6571" w:type="dxa"/>
            <w:gridSpan w:val="3"/>
            <w:vAlign w:val="center"/>
          </w:tcPr>
          <w:p w14:paraId="0EB75C45">
            <w:pPr>
              <w:pStyle w:val="76"/>
              <w:spacing w:line="240" w:lineRule="auto"/>
              <w:rPr>
                <w:sz w:val="21"/>
                <w:szCs w:val="21"/>
              </w:rPr>
            </w:pPr>
            <w:r>
              <w:rPr>
                <w:rFonts w:hint="eastAsia"/>
                <w:sz w:val="21"/>
                <w:szCs w:val="21"/>
              </w:rPr>
              <w:t>地表水功能敏感性</w:t>
            </w:r>
          </w:p>
        </w:tc>
      </w:tr>
      <w:tr w14:paraId="36064B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vMerge w:val="continue"/>
            <w:vAlign w:val="center"/>
          </w:tcPr>
          <w:p w14:paraId="6DA63243">
            <w:pPr>
              <w:pStyle w:val="76"/>
              <w:spacing w:line="240" w:lineRule="auto"/>
              <w:rPr>
                <w:rFonts w:hint="eastAsia" w:ascii="宋体" w:hAnsi="宋体" w:cs="Tahoma"/>
                <w:sz w:val="21"/>
                <w:szCs w:val="21"/>
              </w:rPr>
            </w:pPr>
          </w:p>
        </w:tc>
        <w:tc>
          <w:tcPr>
            <w:tcW w:w="2309" w:type="dxa"/>
            <w:vAlign w:val="center"/>
          </w:tcPr>
          <w:p w14:paraId="1BE328EE">
            <w:pPr>
              <w:pStyle w:val="76"/>
              <w:spacing w:line="240" w:lineRule="auto"/>
              <w:rPr>
                <w:sz w:val="21"/>
                <w:szCs w:val="21"/>
              </w:rPr>
            </w:pPr>
            <w:r>
              <w:rPr>
                <w:rFonts w:hint="eastAsia"/>
                <w:sz w:val="21"/>
                <w:szCs w:val="21"/>
              </w:rPr>
              <w:t>F1</w:t>
            </w:r>
          </w:p>
        </w:tc>
        <w:tc>
          <w:tcPr>
            <w:tcW w:w="2131" w:type="dxa"/>
            <w:vAlign w:val="center"/>
          </w:tcPr>
          <w:p w14:paraId="74A5FE36">
            <w:pPr>
              <w:pStyle w:val="76"/>
              <w:spacing w:line="240" w:lineRule="auto"/>
              <w:rPr>
                <w:sz w:val="21"/>
                <w:szCs w:val="21"/>
              </w:rPr>
            </w:pPr>
            <w:r>
              <w:rPr>
                <w:rFonts w:hint="eastAsia"/>
                <w:sz w:val="21"/>
                <w:szCs w:val="21"/>
              </w:rPr>
              <w:t>F2</w:t>
            </w:r>
          </w:p>
        </w:tc>
        <w:tc>
          <w:tcPr>
            <w:tcW w:w="2131" w:type="dxa"/>
            <w:vAlign w:val="center"/>
          </w:tcPr>
          <w:p w14:paraId="1F164FF6">
            <w:pPr>
              <w:pStyle w:val="76"/>
              <w:spacing w:line="240" w:lineRule="auto"/>
              <w:rPr>
                <w:sz w:val="21"/>
                <w:szCs w:val="21"/>
              </w:rPr>
            </w:pPr>
            <w:r>
              <w:rPr>
                <w:rFonts w:hint="eastAsia"/>
                <w:sz w:val="21"/>
                <w:szCs w:val="21"/>
              </w:rPr>
              <w:t>F3</w:t>
            </w:r>
          </w:p>
        </w:tc>
      </w:tr>
      <w:tr w14:paraId="16247A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951" w:type="dxa"/>
            <w:vAlign w:val="center"/>
          </w:tcPr>
          <w:p w14:paraId="2A797ABA">
            <w:pPr>
              <w:pStyle w:val="76"/>
              <w:spacing w:line="240" w:lineRule="auto"/>
              <w:rPr>
                <w:sz w:val="21"/>
                <w:szCs w:val="21"/>
              </w:rPr>
            </w:pPr>
            <w:r>
              <w:rPr>
                <w:rFonts w:hint="eastAsia"/>
                <w:sz w:val="21"/>
                <w:szCs w:val="21"/>
              </w:rPr>
              <w:t>S1</w:t>
            </w:r>
          </w:p>
        </w:tc>
        <w:tc>
          <w:tcPr>
            <w:tcW w:w="2309" w:type="dxa"/>
            <w:vAlign w:val="center"/>
          </w:tcPr>
          <w:p w14:paraId="1165FEF9">
            <w:pPr>
              <w:pStyle w:val="76"/>
              <w:spacing w:line="240" w:lineRule="auto"/>
              <w:rPr>
                <w:sz w:val="21"/>
                <w:szCs w:val="21"/>
              </w:rPr>
            </w:pPr>
            <w:r>
              <w:rPr>
                <w:rFonts w:hint="eastAsia"/>
                <w:sz w:val="21"/>
                <w:szCs w:val="21"/>
              </w:rPr>
              <w:t>E1</w:t>
            </w:r>
          </w:p>
        </w:tc>
        <w:tc>
          <w:tcPr>
            <w:tcW w:w="2131" w:type="dxa"/>
            <w:vAlign w:val="center"/>
          </w:tcPr>
          <w:p w14:paraId="10F3624A">
            <w:pPr>
              <w:pStyle w:val="76"/>
              <w:spacing w:line="240" w:lineRule="auto"/>
              <w:rPr>
                <w:sz w:val="21"/>
                <w:szCs w:val="21"/>
              </w:rPr>
            </w:pPr>
            <w:r>
              <w:rPr>
                <w:rFonts w:hint="eastAsia"/>
                <w:sz w:val="21"/>
                <w:szCs w:val="21"/>
              </w:rPr>
              <w:t>E1</w:t>
            </w:r>
          </w:p>
        </w:tc>
        <w:tc>
          <w:tcPr>
            <w:tcW w:w="2131" w:type="dxa"/>
            <w:vAlign w:val="center"/>
          </w:tcPr>
          <w:p w14:paraId="640E5D77">
            <w:pPr>
              <w:pStyle w:val="76"/>
              <w:spacing w:line="240" w:lineRule="auto"/>
              <w:rPr>
                <w:sz w:val="21"/>
                <w:szCs w:val="21"/>
              </w:rPr>
            </w:pPr>
            <w:r>
              <w:rPr>
                <w:rFonts w:hint="eastAsia"/>
                <w:sz w:val="21"/>
                <w:szCs w:val="21"/>
              </w:rPr>
              <w:t>E2</w:t>
            </w:r>
          </w:p>
        </w:tc>
      </w:tr>
      <w:tr w14:paraId="5B1C87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951" w:type="dxa"/>
            <w:vAlign w:val="center"/>
          </w:tcPr>
          <w:p w14:paraId="108F372C">
            <w:pPr>
              <w:pStyle w:val="76"/>
              <w:spacing w:line="240" w:lineRule="auto"/>
              <w:rPr>
                <w:sz w:val="21"/>
                <w:szCs w:val="21"/>
              </w:rPr>
            </w:pPr>
            <w:r>
              <w:rPr>
                <w:rFonts w:hint="eastAsia"/>
                <w:sz w:val="21"/>
                <w:szCs w:val="21"/>
              </w:rPr>
              <w:t>S2</w:t>
            </w:r>
          </w:p>
        </w:tc>
        <w:tc>
          <w:tcPr>
            <w:tcW w:w="2309" w:type="dxa"/>
            <w:vAlign w:val="center"/>
          </w:tcPr>
          <w:p w14:paraId="61443EBE">
            <w:pPr>
              <w:pStyle w:val="76"/>
              <w:spacing w:line="240" w:lineRule="auto"/>
              <w:rPr>
                <w:sz w:val="21"/>
                <w:szCs w:val="21"/>
              </w:rPr>
            </w:pPr>
            <w:r>
              <w:rPr>
                <w:rFonts w:hint="eastAsia"/>
                <w:sz w:val="21"/>
                <w:szCs w:val="21"/>
              </w:rPr>
              <w:t>E1</w:t>
            </w:r>
          </w:p>
        </w:tc>
        <w:tc>
          <w:tcPr>
            <w:tcW w:w="2131" w:type="dxa"/>
            <w:vAlign w:val="center"/>
          </w:tcPr>
          <w:p w14:paraId="1227DBDD">
            <w:pPr>
              <w:pStyle w:val="76"/>
              <w:spacing w:line="240" w:lineRule="auto"/>
              <w:rPr>
                <w:sz w:val="21"/>
                <w:szCs w:val="21"/>
              </w:rPr>
            </w:pPr>
            <w:r>
              <w:rPr>
                <w:rFonts w:hint="eastAsia"/>
                <w:sz w:val="21"/>
                <w:szCs w:val="21"/>
              </w:rPr>
              <w:t>E2</w:t>
            </w:r>
          </w:p>
        </w:tc>
        <w:tc>
          <w:tcPr>
            <w:tcW w:w="2131" w:type="dxa"/>
            <w:vAlign w:val="center"/>
          </w:tcPr>
          <w:p w14:paraId="1E2A62C9">
            <w:pPr>
              <w:pStyle w:val="76"/>
              <w:spacing w:line="240" w:lineRule="auto"/>
              <w:rPr>
                <w:sz w:val="21"/>
                <w:szCs w:val="21"/>
              </w:rPr>
            </w:pPr>
            <w:r>
              <w:rPr>
                <w:rFonts w:hint="eastAsia"/>
                <w:sz w:val="21"/>
                <w:szCs w:val="21"/>
              </w:rPr>
              <w:t>E3</w:t>
            </w:r>
          </w:p>
        </w:tc>
      </w:tr>
      <w:tr w14:paraId="1F5A99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951" w:type="dxa"/>
            <w:vAlign w:val="center"/>
          </w:tcPr>
          <w:p w14:paraId="7074A806">
            <w:pPr>
              <w:pStyle w:val="76"/>
              <w:spacing w:line="240" w:lineRule="auto"/>
              <w:rPr>
                <w:sz w:val="21"/>
                <w:szCs w:val="21"/>
              </w:rPr>
            </w:pPr>
            <w:r>
              <w:rPr>
                <w:rFonts w:hint="eastAsia"/>
                <w:sz w:val="21"/>
                <w:szCs w:val="21"/>
              </w:rPr>
              <w:t>S3</w:t>
            </w:r>
          </w:p>
        </w:tc>
        <w:tc>
          <w:tcPr>
            <w:tcW w:w="2309" w:type="dxa"/>
            <w:vAlign w:val="center"/>
          </w:tcPr>
          <w:p w14:paraId="465EECE2">
            <w:pPr>
              <w:pStyle w:val="76"/>
              <w:spacing w:line="240" w:lineRule="auto"/>
              <w:rPr>
                <w:sz w:val="21"/>
                <w:szCs w:val="21"/>
              </w:rPr>
            </w:pPr>
            <w:r>
              <w:rPr>
                <w:rFonts w:hint="eastAsia"/>
                <w:sz w:val="21"/>
                <w:szCs w:val="21"/>
              </w:rPr>
              <w:t>E2</w:t>
            </w:r>
          </w:p>
        </w:tc>
        <w:tc>
          <w:tcPr>
            <w:tcW w:w="2131" w:type="dxa"/>
            <w:vAlign w:val="center"/>
          </w:tcPr>
          <w:p w14:paraId="42B279EF">
            <w:pPr>
              <w:pStyle w:val="76"/>
              <w:spacing w:line="240" w:lineRule="auto"/>
              <w:rPr>
                <w:sz w:val="21"/>
                <w:szCs w:val="21"/>
              </w:rPr>
            </w:pPr>
            <w:r>
              <w:rPr>
                <w:rFonts w:hint="eastAsia"/>
                <w:sz w:val="21"/>
                <w:szCs w:val="21"/>
              </w:rPr>
              <w:t>E2</w:t>
            </w:r>
          </w:p>
        </w:tc>
        <w:tc>
          <w:tcPr>
            <w:tcW w:w="2131" w:type="dxa"/>
            <w:shd w:val="clear" w:color="auto" w:fill="AEAAAA" w:themeFill="background2" w:themeFillShade="BF"/>
            <w:vAlign w:val="center"/>
          </w:tcPr>
          <w:p w14:paraId="53FCABE0">
            <w:pPr>
              <w:pStyle w:val="76"/>
              <w:spacing w:line="240" w:lineRule="auto"/>
              <w:rPr>
                <w:sz w:val="21"/>
                <w:szCs w:val="21"/>
              </w:rPr>
            </w:pPr>
            <w:r>
              <w:rPr>
                <w:rFonts w:hint="eastAsia"/>
                <w:sz w:val="21"/>
                <w:szCs w:val="21"/>
              </w:rPr>
              <w:t>E3</w:t>
            </w:r>
          </w:p>
        </w:tc>
      </w:tr>
    </w:tbl>
    <w:p w14:paraId="71B9D787">
      <w:pPr>
        <w:adjustRightInd w:val="0"/>
        <w:snapToGrid w:val="0"/>
        <w:jc w:val="center"/>
        <w:rPr>
          <w:rFonts w:hint="eastAsia"/>
          <w:b/>
          <w:bCs/>
          <w:spacing w:val="-10"/>
        </w:rPr>
      </w:pPr>
      <w:r>
        <w:rPr>
          <w:rFonts w:hint="eastAsia"/>
          <w:b/>
          <w:bCs/>
          <w:spacing w:val="-10"/>
        </w:rPr>
        <w:t>表6-15</w:t>
      </w:r>
      <w:r>
        <w:rPr>
          <w:b/>
          <w:bCs/>
          <w:spacing w:val="-10"/>
        </w:rPr>
        <w:t xml:space="preserve">  </w:t>
      </w:r>
      <w:r>
        <w:rPr>
          <w:rFonts w:hint="eastAsia"/>
          <w:b/>
          <w:bCs/>
          <w:spacing w:val="-10"/>
        </w:rPr>
        <w:t>地表水环境敏感目标分级判定一览表</w:t>
      </w:r>
    </w:p>
    <w:tbl>
      <w:tblPr>
        <w:tblStyle w:val="16"/>
        <w:tblW w:w="500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6" w:type="dxa"/>
          <w:bottom w:w="0" w:type="dxa"/>
          <w:right w:w="6" w:type="dxa"/>
        </w:tblCellMar>
      </w:tblPr>
      <w:tblGrid>
        <w:gridCol w:w="606"/>
        <w:gridCol w:w="4946"/>
        <w:gridCol w:w="3262"/>
      </w:tblGrid>
      <w:tr w14:paraId="59078E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 w:type="dxa"/>
            <w:bottom w:w="0" w:type="dxa"/>
            <w:right w:w="6" w:type="dxa"/>
          </w:tblCellMar>
        </w:tblPrEx>
        <w:trPr>
          <w:trHeight w:val="397" w:hRule="atLeast"/>
          <w:jc w:val="center"/>
        </w:trPr>
        <w:tc>
          <w:tcPr>
            <w:tcW w:w="573" w:type="dxa"/>
            <w:tcBorders>
              <w:top w:val="single" w:color="000000" w:sz="12" w:space="0"/>
              <w:bottom w:val="single" w:color="000000" w:sz="4" w:space="0"/>
            </w:tcBorders>
            <w:vAlign w:val="center"/>
          </w:tcPr>
          <w:p w14:paraId="018E3AFA">
            <w:pPr>
              <w:jc w:val="center"/>
              <w:rPr>
                <w:rFonts w:hint="eastAsia"/>
              </w:rPr>
            </w:pPr>
            <w:r>
              <w:rPr>
                <w:rFonts w:hint="eastAsia"/>
              </w:rPr>
              <w:t>分级</w:t>
            </w:r>
          </w:p>
        </w:tc>
        <w:tc>
          <w:tcPr>
            <w:tcW w:w="4678" w:type="dxa"/>
            <w:tcBorders>
              <w:top w:val="single" w:color="000000" w:sz="12" w:space="0"/>
              <w:bottom w:val="single" w:color="000000" w:sz="4" w:space="0"/>
            </w:tcBorders>
            <w:vAlign w:val="center"/>
          </w:tcPr>
          <w:p w14:paraId="48792FB5">
            <w:pPr>
              <w:jc w:val="center"/>
              <w:rPr>
                <w:rFonts w:hint="eastAsia"/>
              </w:rPr>
            </w:pPr>
            <w:r>
              <w:rPr>
                <w:rFonts w:hint="eastAsia"/>
              </w:rPr>
              <w:t>地表水环境敏感目标</w:t>
            </w:r>
          </w:p>
        </w:tc>
        <w:tc>
          <w:tcPr>
            <w:tcW w:w="3085" w:type="dxa"/>
            <w:tcBorders>
              <w:top w:val="single" w:color="000000" w:sz="12" w:space="0"/>
              <w:bottom w:val="single" w:color="000000" w:sz="4" w:space="0"/>
            </w:tcBorders>
          </w:tcPr>
          <w:p w14:paraId="6C281702">
            <w:pPr>
              <w:jc w:val="center"/>
              <w:rPr>
                <w:rFonts w:hint="eastAsia"/>
              </w:rPr>
            </w:pPr>
            <w:r>
              <w:rPr>
                <w:rFonts w:hint="eastAsia"/>
              </w:rPr>
              <w:t>项目判定情况</w:t>
            </w:r>
          </w:p>
        </w:tc>
      </w:tr>
      <w:tr w14:paraId="5B3EE9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 w:type="dxa"/>
            <w:bottom w:w="0" w:type="dxa"/>
            <w:right w:w="6" w:type="dxa"/>
          </w:tblCellMar>
        </w:tblPrEx>
        <w:trPr>
          <w:trHeight w:val="397" w:hRule="atLeast"/>
          <w:jc w:val="center"/>
        </w:trPr>
        <w:tc>
          <w:tcPr>
            <w:tcW w:w="573" w:type="dxa"/>
            <w:tcBorders>
              <w:top w:val="single" w:color="000000" w:sz="4" w:space="0"/>
              <w:bottom w:val="single" w:color="000000" w:sz="4" w:space="0"/>
            </w:tcBorders>
            <w:vAlign w:val="center"/>
          </w:tcPr>
          <w:p w14:paraId="11EDF363">
            <w:pPr>
              <w:jc w:val="center"/>
              <w:rPr>
                <w:rFonts w:hint="eastAsia"/>
              </w:rPr>
            </w:pPr>
            <w:r>
              <w:rPr>
                <w:rFonts w:hint="eastAsia"/>
              </w:rPr>
              <w:t>S1</w:t>
            </w:r>
          </w:p>
        </w:tc>
        <w:tc>
          <w:tcPr>
            <w:tcW w:w="4678" w:type="dxa"/>
            <w:tcBorders>
              <w:top w:val="single" w:color="000000" w:sz="4" w:space="0"/>
              <w:bottom w:val="single" w:color="000000" w:sz="4" w:space="0"/>
            </w:tcBorders>
            <w:vAlign w:val="center"/>
          </w:tcPr>
          <w:p w14:paraId="709ECFC3">
            <w:pPr>
              <w:jc w:val="center"/>
              <w:rPr>
                <w:rFonts w:hint="eastAsia"/>
              </w:rPr>
            </w:pPr>
            <w:r>
              <w:rPr>
                <w:rFonts w:hint="eastAsia"/>
              </w:rPr>
              <w:t>发生事故时，危险物质泄漏到内陆水体的排放点下游（顺水流向）10km范围内、近岸海域一个潮周期水质点可能达到的最大水平距离的两倍范围内，有如下一类或多类环境风险受体：集中式地表水饮用水水源保护区（包括一级保护区、二级保护区及准保护区）；农村及分散式饮用水水源保护区；自然保护区；重要湿地；珍稀濒危野生动植物天然集中分布区；重要水生生物的自然产卵场及索饵场、越冬场和洄游通道；世界文化和自然遗产地；红树林、珊瑚礁等滨海湿地生态系统；珍稀、濒危海洋生物的天然集中分布区；海洋特别保护区；海上自然保护区；盐场保护区；海水浴场；海洋自然历史遗迹；风景名胜区；或其他特殊重要保护区域</w:t>
            </w:r>
          </w:p>
        </w:tc>
        <w:tc>
          <w:tcPr>
            <w:tcW w:w="3085" w:type="dxa"/>
            <w:vMerge w:val="restart"/>
            <w:tcBorders>
              <w:top w:val="single" w:color="000000" w:sz="4" w:space="0"/>
              <w:bottom w:val="single" w:color="000000" w:sz="4" w:space="0"/>
            </w:tcBorders>
          </w:tcPr>
          <w:p w14:paraId="179571E4">
            <w:pPr>
              <w:jc w:val="center"/>
              <w:rPr>
                <w:rFonts w:hint="eastAsia"/>
              </w:rPr>
            </w:pPr>
            <w:r>
              <w:rPr>
                <w:rFonts w:hint="eastAsia"/>
              </w:rPr>
              <w:t>项目</w:t>
            </w:r>
            <w:r>
              <w:t>东南侧11.5km处的二工河</w:t>
            </w:r>
            <w:r>
              <w:rPr>
                <w:rFonts w:hint="eastAsia"/>
              </w:rPr>
              <w:t>。危险物质泄漏到内陆水体的排放点下游不涉及集中式地表水饮用水水源保护区（包括一级保护区、二级保护区及准保护区）；农村及分散式饮用水水源保护区；自然保护区；重要湿地；珍稀濒危野生动植物天然集中分布区；重要水生生物的自然产卵场及索饵场、越冬场和洄游通道；世界文化和自然遗产地；红树林、珊瑚礁等滨海湿地生态系统；珍稀、濒危海洋生物的天然集中分布区；海洋特别保护区；海上自然保护区；盐场保护区；海水浴场；海洋自然历史遗迹；风景名胜区；或其他特殊重要保护区域。也不涉及水产养殖区；天然渔场；森林公园；地质公园；海滨风景游览区；具有重要经济价值的海洋生物生存区域</w:t>
            </w:r>
          </w:p>
        </w:tc>
      </w:tr>
      <w:tr w14:paraId="3E4C49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 w:type="dxa"/>
            <w:bottom w:w="0" w:type="dxa"/>
            <w:right w:w="6" w:type="dxa"/>
          </w:tblCellMar>
        </w:tblPrEx>
        <w:trPr>
          <w:trHeight w:val="397" w:hRule="atLeast"/>
          <w:jc w:val="center"/>
        </w:trPr>
        <w:tc>
          <w:tcPr>
            <w:tcW w:w="573" w:type="dxa"/>
            <w:tcBorders>
              <w:top w:val="single" w:color="000000" w:sz="4" w:space="0"/>
              <w:bottom w:val="single" w:color="000000" w:sz="4" w:space="0"/>
            </w:tcBorders>
            <w:vAlign w:val="center"/>
          </w:tcPr>
          <w:p w14:paraId="1796A3DB">
            <w:pPr>
              <w:jc w:val="center"/>
              <w:rPr>
                <w:rFonts w:hint="eastAsia"/>
              </w:rPr>
            </w:pPr>
            <w:r>
              <w:rPr>
                <w:rFonts w:hint="eastAsia"/>
              </w:rPr>
              <w:t>S2</w:t>
            </w:r>
          </w:p>
        </w:tc>
        <w:tc>
          <w:tcPr>
            <w:tcW w:w="4678" w:type="dxa"/>
            <w:tcBorders>
              <w:top w:val="single" w:color="000000" w:sz="4" w:space="0"/>
              <w:bottom w:val="single" w:color="000000" w:sz="4" w:space="0"/>
            </w:tcBorders>
            <w:vAlign w:val="center"/>
          </w:tcPr>
          <w:p w14:paraId="0918C986">
            <w:pPr>
              <w:jc w:val="center"/>
              <w:rPr>
                <w:rFonts w:hint="eastAsia"/>
              </w:rPr>
            </w:pPr>
            <w:r>
              <w:rPr>
                <w:rFonts w:hint="eastAsia"/>
              </w:rPr>
              <w:t>发生事故时，危险物质泄漏到内陆水体的排放点下游（顺水流向）10 km范围内、近岸海域一个潮周期水质点可能达到的最大水平距离的两倍范围内，有如下一类或多类环境风险受体的：水产养殖区；天然渔场；森林公园；地质公园；海滨风景游览区；具有重要经济价值的海洋生物生存区域</w:t>
            </w:r>
          </w:p>
        </w:tc>
        <w:tc>
          <w:tcPr>
            <w:tcW w:w="3085" w:type="dxa"/>
            <w:vMerge w:val="continue"/>
            <w:tcBorders>
              <w:top w:val="single" w:color="000000" w:sz="4" w:space="0"/>
              <w:bottom w:val="single" w:color="000000" w:sz="4" w:space="0"/>
            </w:tcBorders>
            <w:vAlign w:val="center"/>
          </w:tcPr>
          <w:p w14:paraId="16F7DFAA">
            <w:pPr>
              <w:jc w:val="center"/>
              <w:rPr>
                <w:rFonts w:hint="eastAsia"/>
              </w:rPr>
            </w:pPr>
          </w:p>
        </w:tc>
      </w:tr>
      <w:tr w14:paraId="0F48D0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 w:type="dxa"/>
            <w:bottom w:w="0" w:type="dxa"/>
            <w:right w:w="6" w:type="dxa"/>
          </w:tblCellMar>
        </w:tblPrEx>
        <w:trPr>
          <w:trHeight w:val="397" w:hRule="atLeast"/>
          <w:jc w:val="center"/>
        </w:trPr>
        <w:tc>
          <w:tcPr>
            <w:tcW w:w="573" w:type="dxa"/>
            <w:tcBorders>
              <w:top w:val="single" w:color="000000" w:sz="4" w:space="0"/>
              <w:bottom w:val="single" w:color="000000" w:sz="4" w:space="0"/>
            </w:tcBorders>
            <w:vAlign w:val="center"/>
          </w:tcPr>
          <w:p w14:paraId="0FA35447">
            <w:pPr>
              <w:jc w:val="center"/>
              <w:rPr>
                <w:rFonts w:hint="eastAsia"/>
              </w:rPr>
            </w:pPr>
            <w:r>
              <w:rPr>
                <w:rFonts w:hint="eastAsia"/>
              </w:rPr>
              <w:t>S3</w:t>
            </w:r>
          </w:p>
        </w:tc>
        <w:tc>
          <w:tcPr>
            <w:tcW w:w="4678" w:type="dxa"/>
            <w:tcBorders>
              <w:top w:val="single" w:color="000000" w:sz="4" w:space="0"/>
              <w:bottom w:val="single" w:color="000000" w:sz="4" w:space="0"/>
            </w:tcBorders>
            <w:vAlign w:val="center"/>
          </w:tcPr>
          <w:p w14:paraId="07E4DF78">
            <w:pPr>
              <w:jc w:val="center"/>
              <w:rPr>
                <w:rFonts w:hint="eastAsia"/>
              </w:rPr>
            </w:pPr>
            <w:r>
              <w:rPr>
                <w:rFonts w:hint="eastAsia"/>
              </w:rPr>
              <w:t>排放点下游（顺水流向）10 km范围、近岸海域一个潮周期水质点可能达到的最大水平距离的两倍范围内无上述类型1和类型2包括的敏感保护目标</w:t>
            </w:r>
          </w:p>
        </w:tc>
        <w:tc>
          <w:tcPr>
            <w:tcW w:w="3085" w:type="dxa"/>
            <w:vMerge w:val="continue"/>
            <w:tcBorders>
              <w:top w:val="single" w:color="000000" w:sz="4" w:space="0"/>
              <w:bottom w:val="single" w:color="000000" w:sz="4" w:space="0"/>
            </w:tcBorders>
            <w:vAlign w:val="center"/>
          </w:tcPr>
          <w:p w14:paraId="725DB07E">
            <w:pPr>
              <w:jc w:val="center"/>
              <w:rPr>
                <w:rFonts w:hint="eastAsia"/>
              </w:rPr>
            </w:pPr>
          </w:p>
        </w:tc>
      </w:tr>
      <w:tr w14:paraId="0FCCAC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 w:type="dxa"/>
            <w:bottom w:w="0" w:type="dxa"/>
            <w:right w:w="6" w:type="dxa"/>
          </w:tblCellMar>
        </w:tblPrEx>
        <w:trPr>
          <w:trHeight w:val="397" w:hRule="atLeast"/>
          <w:jc w:val="center"/>
        </w:trPr>
        <w:tc>
          <w:tcPr>
            <w:tcW w:w="5251" w:type="dxa"/>
            <w:gridSpan w:val="2"/>
            <w:tcBorders>
              <w:top w:val="single" w:color="000000" w:sz="4" w:space="0"/>
              <w:bottom w:val="single" w:color="000000" w:sz="12" w:space="0"/>
            </w:tcBorders>
            <w:vAlign w:val="center"/>
          </w:tcPr>
          <w:p w14:paraId="7783F760">
            <w:pPr>
              <w:jc w:val="center"/>
              <w:rPr>
                <w:rFonts w:hint="eastAsia"/>
              </w:rPr>
            </w:pPr>
            <w:r>
              <w:rPr>
                <w:rFonts w:hint="eastAsia"/>
              </w:rPr>
              <w:t>地表水环境敏感目标判定</w:t>
            </w:r>
          </w:p>
        </w:tc>
        <w:tc>
          <w:tcPr>
            <w:tcW w:w="3085" w:type="dxa"/>
            <w:tcBorders>
              <w:top w:val="single" w:color="000000" w:sz="4" w:space="0"/>
              <w:bottom w:val="single" w:color="000000" w:sz="12" w:space="0"/>
            </w:tcBorders>
          </w:tcPr>
          <w:p w14:paraId="1CB61191">
            <w:pPr>
              <w:jc w:val="center"/>
              <w:rPr>
                <w:rFonts w:hint="eastAsia"/>
              </w:rPr>
            </w:pPr>
            <w:r>
              <w:rPr>
                <w:rFonts w:hint="eastAsia"/>
              </w:rPr>
              <w:t>S3</w:t>
            </w:r>
          </w:p>
        </w:tc>
      </w:tr>
    </w:tbl>
    <w:p w14:paraId="3A03DAD6">
      <w:pPr>
        <w:adjustRightInd w:val="0"/>
        <w:snapToGrid w:val="0"/>
        <w:jc w:val="center"/>
        <w:rPr>
          <w:rFonts w:hint="eastAsia"/>
          <w:b/>
          <w:szCs w:val="28"/>
        </w:rPr>
      </w:pPr>
      <w:r>
        <w:rPr>
          <w:rFonts w:hint="eastAsia"/>
          <w:b/>
          <w:bCs/>
          <w:spacing w:val="-10"/>
        </w:rPr>
        <w:t>表6-16</w:t>
      </w:r>
      <w:r>
        <w:rPr>
          <w:b/>
          <w:bCs/>
          <w:spacing w:val="-10"/>
        </w:rPr>
        <w:t xml:space="preserve">  地表水环境敏感程度判定一览</w:t>
      </w:r>
      <w:r>
        <w:rPr>
          <w:rFonts w:hint="eastAsia"/>
          <w:b/>
          <w:bCs/>
          <w:spacing w:val="-10"/>
        </w:rPr>
        <w:t>表</w:t>
      </w:r>
    </w:p>
    <w:tbl>
      <w:tblPr>
        <w:tblStyle w:val="1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6" w:type="dxa"/>
          <w:bottom w:w="0" w:type="dxa"/>
          <w:right w:w="6" w:type="dxa"/>
        </w:tblCellMar>
      </w:tblPr>
      <w:tblGrid>
        <w:gridCol w:w="508"/>
        <w:gridCol w:w="6273"/>
        <w:gridCol w:w="2053"/>
      </w:tblGrid>
      <w:tr w14:paraId="37E6D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6" w:type="dxa"/>
            <w:bottom w:w="0" w:type="dxa"/>
            <w:right w:w="6" w:type="dxa"/>
          </w:tblCellMar>
        </w:tblPrEx>
        <w:trPr>
          <w:trHeight w:val="397" w:hRule="atLeast"/>
          <w:jc w:val="center"/>
        </w:trPr>
        <w:tc>
          <w:tcPr>
            <w:tcW w:w="479" w:type="dxa"/>
            <w:tcBorders>
              <w:top w:val="single" w:color="000000" w:sz="12" w:space="0"/>
              <w:left w:val="single" w:color="000000" w:sz="12" w:space="0"/>
              <w:bottom w:val="single" w:color="000000" w:sz="4" w:space="0"/>
              <w:right w:val="single" w:color="000000" w:sz="4" w:space="0"/>
            </w:tcBorders>
            <w:vAlign w:val="center"/>
          </w:tcPr>
          <w:p w14:paraId="40EF2021">
            <w:pPr>
              <w:jc w:val="center"/>
              <w:rPr>
                <w:rFonts w:hint="eastAsia"/>
              </w:rPr>
            </w:pPr>
            <w:r>
              <w:rPr>
                <w:rFonts w:hint="eastAsia"/>
              </w:rPr>
              <w:t>分级</w:t>
            </w:r>
          </w:p>
        </w:tc>
        <w:tc>
          <w:tcPr>
            <w:tcW w:w="5920" w:type="dxa"/>
            <w:tcBorders>
              <w:top w:val="single" w:color="000000" w:sz="12" w:space="0"/>
              <w:left w:val="single" w:color="000000" w:sz="4" w:space="0"/>
              <w:bottom w:val="single" w:color="000000" w:sz="4" w:space="0"/>
              <w:right w:val="single" w:color="000000" w:sz="4" w:space="0"/>
            </w:tcBorders>
            <w:vAlign w:val="center"/>
          </w:tcPr>
          <w:p w14:paraId="30B06A68">
            <w:pPr>
              <w:jc w:val="center"/>
              <w:rPr>
                <w:rFonts w:hint="eastAsia"/>
              </w:rPr>
            </w:pPr>
            <w:r>
              <w:rPr>
                <w:rFonts w:hint="eastAsia"/>
              </w:rPr>
              <w:t>地表水环境敏感性</w:t>
            </w:r>
          </w:p>
        </w:tc>
        <w:tc>
          <w:tcPr>
            <w:tcW w:w="1937" w:type="dxa"/>
            <w:tcBorders>
              <w:top w:val="single" w:color="000000" w:sz="12" w:space="0"/>
              <w:left w:val="single" w:color="000000" w:sz="4" w:space="0"/>
              <w:bottom w:val="single" w:color="000000" w:sz="4" w:space="0"/>
              <w:right w:val="single" w:color="000000" w:sz="12" w:space="0"/>
            </w:tcBorders>
            <w:vAlign w:val="center"/>
          </w:tcPr>
          <w:p w14:paraId="7AEED824">
            <w:pPr>
              <w:jc w:val="center"/>
              <w:rPr>
                <w:rFonts w:hint="eastAsia"/>
              </w:rPr>
            </w:pPr>
            <w:r>
              <w:rPr>
                <w:rFonts w:hint="eastAsia"/>
              </w:rPr>
              <w:t>项目判定情况</w:t>
            </w:r>
          </w:p>
        </w:tc>
      </w:tr>
      <w:tr w14:paraId="1DDC2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6" w:type="dxa"/>
            <w:bottom w:w="0" w:type="dxa"/>
            <w:right w:w="6" w:type="dxa"/>
          </w:tblCellMar>
        </w:tblPrEx>
        <w:trPr>
          <w:trHeight w:val="397" w:hRule="atLeast"/>
          <w:jc w:val="center"/>
        </w:trPr>
        <w:tc>
          <w:tcPr>
            <w:tcW w:w="479" w:type="dxa"/>
            <w:tcBorders>
              <w:top w:val="single" w:color="000000" w:sz="4" w:space="0"/>
              <w:left w:val="single" w:color="000000" w:sz="12" w:space="0"/>
              <w:bottom w:val="single" w:color="000000" w:sz="4" w:space="0"/>
              <w:right w:val="single" w:color="000000" w:sz="4" w:space="0"/>
            </w:tcBorders>
            <w:vAlign w:val="center"/>
          </w:tcPr>
          <w:p w14:paraId="2EEF030A">
            <w:pPr>
              <w:jc w:val="center"/>
              <w:rPr>
                <w:rFonts w:hint="eastAsia"/>
              </w:rPr>
            </w:pPr>
            <w:r>
              <w:rPr>
                <w:rFonts w:hint="eastAsia"/>
              </w:rPr>
              <w:t>F1</w:t>
            </w:r>
          </w:p>
        </w:tc>
        <w:tc>
          <w:tcPr>
            <w:tcW w:w="5920" w:type="dxa"/>
            <w:tcBorders>
              <w:top w:val="single" w:color="000000" w:sz="4" w:space="0"/>
              <w:left w:val="single" w:color="000000" w:sz="4" w:space="0"/>
              <w:bottom w:val="single" w:color="000000" w:sz="4" w:space="0"/>
              <w:right w:val="single" w:color="000000" w:sz="4" w:space="0"/>
            </w:tcBorders>
            <w:vAlign w:val="center"/>
          </w:tcPr>
          <w:p w14:paraId="22546682">
            <w:pPr>
              <w:jc w:val="center"/>
              <w:rPr>
                <w:rFonts w:hint="eastAsia"/>
              </w:rPr>
            </w:pPr>
            <w:r>
              <w:rPr>
                <w:rFonts w:hint="eastAsia"/>
              </w:rPr>
              <w:t>排放点进入地表水水域环境功能为Ⅱ类及以上，或海水水质分类第一类； 或以发生事故时，危险物质泄漏到水体的排放点算起，排放进入受纳河流最大流速时，24 h流经范围内涉跨国界的</w:t>
            </w:r>
          </w:p>
        </w:tc>
        <w:tc>
          <w:tcPr>
            <w:tcW w:w="1937" w:type="dxa"/>
            <w:vMerge w:val="restart"/>
            <w:tcBorders>
              <w:top w:val="single" w:color="000000" w:sz="4" w:space="0"/>
              <w:left w:val="single" w:color="000000" w:sz="4" w:space="0"/>
              <w:bottom w:val="single" w:color="000000" w:sz="4" w:space="0"/>
              <w:right w:val="single" w:color="000000" w:sz="12" w:space="0"/>
            </w:tcBorders>
            <w:vAlign w:val="center"/>
          </w:tcPr>
          <w:p w14:paraId="1AED54D5">
            <w:pPr>
              <w:jc w:val="center"/>
              <w:rPr>
                <w:rFonts w:hint="eastAsia"/>
              </w:rPr>
            </w:pPr>
            <w:r>
              <w:rPr>
                <w:rFonts w:hint="eastAsia"/>
              </w:rPr>
              <w:t>项目位于</w:t>
            </w:r>
            <w:r>
              <w:t>北</w:t>
            </w:r>
            <w:r>
              <w:rPr>
                <w:rFonts w:hint="eastAsia"/>
              </w:rPr>
              <w:t>庭</w:t>
            </w:r>
            <w:r>
              <w:t>工业园</w:t>
            </w:r>
            <w:r>
              <w:rPr>
                <w:rFonts w:hint="eastAsia"/>
              </w:rPr>
              <w:t>，项目</w:t>
            </w:r>
            <w:r>
              <w:t>东南侧11.5km处的二工河</w:t>
            </w:r>
          </w:p>
        </w:tc>
      </w:tr>
      <w:tr w14:paraId="57EDE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6" w:type="dxa"/>
            <w:bottom w:w="0" w:type="dxa"/>
            <w:right w:w="6" w:type="dxa"/>
          </w:tblCellMar>
        </w:tblPrEx>
        <w:trPr>
          <w:trHeight w:val="397" w:hRule="atLeast"/>
          <w:jc w:val="center"/>
        </w:trPr>
        <w:tc>
          <w:tcPr>
            <w:tcW w:w="479" w:type="dxa"/>
            <w:tcBorders>
              <w:top w:val="single" w:color="000000" w:sz="4" w:space="0"/>
              <w:left w:val="single" w:color="000000" w:sz="12" w:space="0"/>
              <w:bottom w:val="single" w:color="000000" w:sz="4" w:space="0"/>
              <w:right w:val="single" w:color="000000" w:sz="4" w:space="0"/>
            </w:tcBorders>
            <w:vAlign w:val="center"/>
          </w:tcPr>
          <w:p w14:paraId="22C74AFF">
            <w:pPr>
              <w:jc w:val="center"/>
              <w:rPr>
                <w:rFonts w:hint="eastAsia"/>
              </w:rPr>
            </w:pPr>
            <w:r>
              <w:rPr>
                <w:rFonts w:hint="eastAsia"/>
              </w:rPr>
              <w:t>F2</w:t>
            </w:r>
          </w:p>
        </w:tc>
        <w:tc>
          <w:tcPr>
            <w:tcW w:w="5920" w:type="dxa"/>
            <w:tcBorders>
              <w:top w:val="single" w:color="000000" w:sz="4" w:space="0"/>
              <w:left w:val="single" w:color="000000" w:sz="4" w:space="0"/>
              <w:bottom w:val="single" w:color="000000" w:sz="4" w:space="0"/>
              <w:right w:val="single" w:color="000000" w:sz="4" w:space="0"/>
            </w:tcBorders>
            <w:vAlign w:val="center"/>
          </w:tcPr>
          <w:p w14:paraId="5294EC68">
            <w:pPr>
              <w:jc w:val="center"/>
              <w:rPr>
                <w:rFonts w:hint="eastAsia"/>
              </w:rPr>
            </w:pPr>
            <w:r>
              <w:rPr>
                <w:rFonts w:hint="eastAsia"/>
              </w:rPr>
              <w:t>排放点进入地表水水域环境功能为Ⅲ类，或海水水质分类第二类；</w:t>
            </w:r>
          </w:p>
          <w:p w14:paraId="363E2E78">
            <w:pPr>
              <w:jc w:val="center"/>
              <w:rPr>
                <w:rFonts w:hint="eastAsia"/>
              </w:rPr>
            </w:pPr>
            <w:r>
              <w:rPr>
                <w:rFonts w:hint="eastAsia"/>
              </w:rPr>
              <w:t>或以发生事故时，危险物质泄漏到水体的排放点算起，排放进入受纳河流最大流速时，24 h 流经范围内涉跨省界的</w:t>
            </w:r>
          </w:p>
        </w:tc>
        <w:tc>
          <w:tcPr>
            <w:tcW w:w="1937" w:type="dxa"/>
            <w:vMerge w:val="continue"/>
            <w:tcBorders>
              <w:top w:val="single" w:color="000000" w:sz="4" w:space="0"/>
              <w:left w:val="single" w:color="000000" w:sz="4" w:space="0"/>
              <w:bottom w:val="single" w:color="000000" w:sz="4" w:space="0"/>
              <w:right w:val="single" w:color="000000" w:sz="12" w:space="0"/>
            </w:tcBorders>
            <w:vAlign w:val="center"/>
          </w:tcPr>
          <w:p w14:paraId="0A897F86">
            <w:pPr>
              <w:jc w:val="center"/>
              <w:rPr>
                <w:rFonts w:hint="eastAsia"/>
              </w:rPr>
            </w:pPr>
          </w:p>
        </w:tc>
      </w:tr>
      <w:tr w14:paraId="1E060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6" w:type="dxa"/>
            <w:bottom w:w="0" w:type="dxa"/>
            <w:right w:w="6" w:type="dxa"/>
          </w:tblCellMar>
        </w:tblPrEx>
        <w:trPr>
          <w:trHeight w:val="397" w:hRule="atLeast"/>
          <w:jc w:val="center"/>
        </w:trPr>
        <w:tc>
          <w:tcPr>
            <w:tcW w:w="479" w:type="dxa"/>
            <w:tcBorders>
              <w:top w:val="single" w:color="000000" w:sz="4" w:space="0"/>
              <w:left w:val="single" w:color="000000" w:sz="12" w:space="0"/>
              <w:bottom w:val="single" w:color="000000" w:sz="4" w:space="0"/>
              <w:right w:val="single" w:color="000000" w:sz="4" w:space="0"/>
            </w:tcBorders>
            <w:vAlign w:val="center"/>
          </w:tcPr>
          <w:p w14:paraId="5CD93569">
            <w:pPr>
              <w:jc w:val="center"/>
              <w:rPr>
                <w:rFonts w:hint="eastAsia"/>
              </w:rPr>
            </w:pPr>
            <w:r>
              <w:rPr>
                <w:rFonts w:hint="eastAsia"/>
              </w:rPr>
              <w:t>F3</w:t>
            </w:r>
          </w:p>
        </w:tc>
        <w:tc>
          <w:tcPr>
            <w:tcW w:w="5920" w:type="dxa"/>
            <w:tcBorders>
              <w:top w:val="single" w:color="000000" w:sz="4" w:space="0"/>
              <w:left w:val="single" w:color="000000" w:sz="4" w:space="0"/>
              <w:bottom w:val="single" w:color="000000" w:sz="4" w:space="0"/>
              <w:right w:val="single" w:color="000000" w:sz="4" w:space="0"/>
            </w:tcBorders>
            <w:vAlign w:val="center"/>
          </w:tcPr>
          <w:p w14:paraId="13E2DC88">
            <w:pPr>
              <w:jc w:val="center"/>
              <w:rPr>
                <w:rFonts w:hint="eastAsia"/>
              </w:rPr>
            </w:pPr>
            <w:r>
              <w:rPr>
                <w:rFonts w:hint="eastAsia"/>
              </w:rPr>
              <w:t>上述地区之外的其他地区</w:t>
            </w:r>
          </w:p>
        </w:tc>
        <w:tc>
          <w:tcPr>
            <w:tcW w:w="1937" w:type="dxa"/>
            <w:vMerge w:val="continue"/>
            <w:tcBorders>
              <w:top w:val="single" w:color="000000" w:sz="4" w:space="0"/>
              <w:left w:val="single" w:color="000000" w:sz="4" w:space="0"/>
              <w:bottom w:val="single" w:color="000000" w:sz="4" w:space="0"/>
              <w:right w:val="single" w:color="000000" w:sz="12" w:space="0"/>
            </w:tcBorders>
            <w:vAlign w:val="center"/>
          </w:tcPr>
          <w:p w14:paraId="013309A7">
            <w:pPr>
              <w:jc w:val="center"/>
              <w:rPr>
                <w:rFonts w:hint="eastAsia"/>
              </w:rPr>
            </w:pPr>
          </w:p>
        </w:tc>
      </w:tr>
      <w:tr w14:paraId="66CE9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6" w:type="dxa"/>
            <w:bottom w:w="0" w:type="dxa"/>
            <w:right w:w="6" w:type="dxa"/>
          </w:tblCellMar>
        </w:tblPrEx>
        <w:trPr>
          <w:trHeight w:val="397" w:hRule="atLeast"/>
          <w:jc w:val="center"/>
        </w:trPr>
        <w:tc>
          <w:tcPr>
            <w:tcW w:w="6399" w:type="dxa"/>
            <w:gridSpan w:val="2"/>
            <w:tcBorders>
              <w:top w:val="single" w:color="000000" w:sz="4" w:space="0"/>
              <w:left w:val="single" w:color="000000" w:sz="12" w:space="0"/>
              <w:bottom w:val="single" w:color="000000" w:sz="12" w:space="0"/>
              <w:right w:val="single" w:color="000000" w:sz="4" w:space="0"/>
            </w:tcBorders>
            <w:vAlign w:val="center"/>
          </w:tcPr>
          <w:p w14:paraId="67537D87">
            <w:pPr>
              <w:jc w:val="center"/>
              <w:rPr>
                <w:rFonts w:hint="eastAsia"/>
              </w:rPr>
            </w:pPr>
            <w:r>
              <w:rPr>
                <w:rFonts w:hint="eastAsia"/>
              </w:rPr>
              <w:t>区域地表水环境敏感性判定</w:t>
            </w:r>
          </w:p>
        </w:tc>
        <w:tc>
          <w:tcPr>
            <w:tcW w:w="1937" w:type="dxa"/>
            <w:tcBorders>
              <w:top w:val="single" w:color="000000" w:sz="4" w:space="0"/>
              <w:left w:val="single" w:color="000000" w:sz="4" w:space="0"/>
              <w:bottom w:val="single" w:color="000000" w:sz="12" w:space="0"/>
              <w:right w:val="single" w:color="000000" w:sz="12" w:space="0"/>
            </w:tcBorders>
            <w:vAlign w:val="center"/>
          </w:tcPr>
          <w:p w14:paraId="0903833E">
            <w:pPr>
              <w:jc w:val="center"/>
              <w:rPr>
                <w:rFonts w:hint="eastAsia"/>
              </w:rPr>
            </w:pPr>
            <w:r>
              <w:rPr>
                <w:rFonts w:hint="eastAsia"/>
              </w:rPr>
              <w:t>F3</w:t>
            </w:r>
          </w:p>
        </w:tc>
      </w:tr>
    </w:tbl>
    <w:p w14:paraId="1FCC4070">
      <w:pPr>
        <w:adjustRightInd w:val="0"/>
        <w:snapToGrid w:val="0"/>
        <w:spacing w:line="360" w:lineRule="auto"/>
        <w:ind w:firstLine="440" w:firstLineChars="200"/>
        <w:rPr>
          <w:rFonts w:hint="eastAsia"/>
          <w:bCs/>
          <w:spacing w:val="-10"/>
        </w:rPr>
      </w:pPr>
      <w:r>
        <w:rPr>
          <w:rFonts w:hint="eastAsia"/>
          <w:bCs/>
          <w:spacing w:val="-10"/>
        </w:rPr>
        <w:t>据表6-7判定依据，项目所在区域的地表水环境敏感程度分级为“</w:t>
      </w:r>
      <w:r>
        <w:rPr>
          <w:bCs/>
          <w:spacing w:val="-10"/>
        </w:rPr>
        <w:t>E3</w:t>
      </w:r>
      <w:r>
        <w:rPr>
          <w:rFonts w:hint="eastAsia"/>
          <w:bCs/>
          <w:spacing w:val="-10"/>
        </w:rPr>
        <w:t>”。</w:t>
      </w:r>
    </w:p>
    <w:p w14:paraId="79D0DC74">
      <w:pPr>
        <w:adjustRightInd w:val="0"/>
        <w:snapToGrid w:val="0"/>
        <w:spacing w:line="360" w:lineRule="auto"/>
        <w:ind w:firstLine="440" w:firstLineChars="200"/>
        <w:rPr>
          <w:rFonts w:hint="eastAsia"/>
          <w:bCs/>
          <w:spacing w:val="-10"/>
        </w:rPr>
      </w:pPr>
      <w:r>
        <w:rPr>
          <w:rFonts w:hint="eastAsia"/>
          <w:bCs/>
          <w:spacing w:val="-10"/>
        </w:rPr>
        <w:t>（3）地下水环境</w:t>
      </w:r>
    </w:p>
    <w:p w14:paraId="5CA65130">
      <w:pPr>
        <w:adjustRightInd w:val="0"/>
        <w:snapToGrid w:val="0"/>
        <w:spacing w:line="360" w:lineRule="auto"/>
        <w:ind w:firstLine="440" w:firstLineChars="200"/>
        <w:rPr>
          <w:rFonts w:hint="eastAsia"/>
          <w:bCs/>
          <w:spacing w:val="-10"/>
        </w:rPr>
      </w:pPr>
      <w:r>
        <w:rPr>
          <w:rFonts w:hint="eastAsia"/>
          <w:bCs/>
          <w:spacing w:val="-10"/>
        </w:rPr>
        <w:t>根据《建设项目环境风险评价技术导则》（HJ169-2018）附录D的规定：项目所在区域地下水环境敏感程度依据地下水功能敏感性与包气带防污性能来确定。区域地下水环境敏感程度共分为三种类型，E1为环境高度敏感区，E2为环境中度敏感区，E3为环境低度敏感区，其分级原则，见表6-17。其中区域地下水功能敏感性分区和区域包气带防污性能分级，分别见表6-18和表6-19。当同一建设项目涉及两个G分区或D分级及以上时，取相对值。</w:t>
      </w:r>
    </w:p>
    <w:p w14:paraId="738592CC">
      <w:pPr>
        <w:adjustRightInd w:val="0"/>
        <w:snapToGrid w:val="0"/>
        <w:jc w:val="center"/>
        <w:rPr>
          <w:rFonts w:hint="eastAsia"/>
          <w:b/>
          <w:szCs w:val="28"/>
        </w:rPr>
      </w:pPr>
      <w:r>
        <w:rPr>
          <w:rFonts w:hint="eastAsia"/>
          <w:b/>
          <w:bCs/>
          <w:spacing w:val="-10"/>
        </w:rPr>
        <w:t>表6-17</w:t>
      </w:r>
      <w:r>
        <w:rPr>
          <w:b/>
          <w:bCs/>
          <w:spacing w:val="-10"/>
        </w:rPr>
        <w:t xml:space="preserve"> </w:t>
      </w:r>
      <w:r>
        <w:rPr>
          <w:rFonts w:hint="eastAsia"/>
          <w:b/>
          <w:bCs/>
          <w:spacing w:val="-10"/>
        </w:rPr>
        <w:t xml:space="preserve"> 地下水环境敏感程度分级</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2"/>
        <w:gridCol w:w="2394"/>
        <w:gridCol w:w="2209"/>
        <w:gridCol w:w="2209"/>
      </w:tblGrid>
      <w:tr w14:paraId="63CB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45" w:type="pct"/>
            <w:vMerge w:val="restart"/>
            <w:tcBorders>
              <w:top w:val="single" w:color="auto" w:sz="12" w:space="0"/>
              <w:left w:val="single" w:color="auto" w:sz="12" w:space="0"/>
            </w:tcBorders>
            <w:vAlign w:val="center"/>
          </w:tcPr>
          <w:p w14:paraId="665D9FAE">
            <w:pPr>
              <w:jc w:val="center"/>
              <w:rPr>
                <w:rFonts w:hint="eastAsia"/>
                <w:lang w:eastAsia="en-US"/>
              </w:rPr>
            </w:pPr>
            <w:r>
              <w:rPr>
                <w:lang w:eastAsia="en-US"/>
              </w:rPr>
              <w:t>包气带防污性能</w:t>
            </w:r>
          </w:p>
        </w:tc>
        <w:tc>
          <w:tcPr>
            <w:tcW w:w="3855" w:type="pct"/>
            <w:gridSpan w:val="3"/>
            <w:tcBorders>
              <w:top w:val="single" w:color="auto" w:sz="12" w:space="0"/>
              <w:right w:val="single" w:color="auto" w:sz="12" w:space="0"/>
            </w:tcBorders>
            <w:vAlign w:val="center"/>
          </w:tcPr>
          <w:p w14:paraId="30C3D4EA">
            <w:pPr>
              <w:jc w:val="center"/>
              <w:rPr>
                <w:rFonts w:hint="eastAsia"/>
                <w:lang w:eastAsia="en-US"/>
              </w:rPr>
            </w:pPr>
            <w:r>
              <w:rPr>
                <w:lang w:eastAsia="en-US"/>
              </w:rPr>
              <w:t>地下水功能敏感性</w:t>
            </w:r>
          </w:p>
        </w:tc>
      </w:tr>
      <w:tr w14:paraId="4C9C1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45" w:type="pct"/>
            <w:vMerge w:val="continue"/>
            <w:tcBorders>
              <w:left w:val="single" w:color="auto" w:sz="12" w:space="0"/>
            </w:tcBorders>
            <w:vAlign w:val="center"/>
          </w:tcPr>
          <w:p w14:paraId="2279E24A">
            <w:pPr>
              <w:jc w:val="center"/>
              <w:rPr>
                <w:rFonts w:hint="eastAsia"/>
                <w:lang w:eastAsia="en-US"/>
              </w:rPr>
            </w:pPr>
          </w:p>
        </w:tc>
        <w:tc>
          <w:tcPr>
            <w:tcW w:w="1355" w:type="pct"/>
            <w:vAlign w:val="center"/>
          </w:tcPr>
          <w:p w14:paraId="38EAF79E">
            <w:pPr>
              <w:jc w:val="center"/>
              <w:rPr>
                <w:rFonts w:hint="eastAsia"/>
                <w:lang w:eastAsia="en-US"/>
              </w:rPr>
            </w:pPr>
            <w:r>
              <w:rPr>
                <w:lang w:eastAsia="en-US"/>
              </w:rPr>
              <w:t>G1</w:t>
            </w:r>
          </w:p>
        </w:tc>
        <w:tc>
          <w:tcPr>
            <w:tcW w:w="1250" w:type="pct"/>
            <w:vAlign w:val="center"/>
          </w:tcPr>
          <w:p w14:paraId="292A2DDC">
            <w:pPr>
              <w:jc w:val="center"/>
              <w:rPr>
                <w:rFonts w:hint="eastAsia"/>
                <w:lang w:eastAsia="en-US"/>
              </w:rPr>
            </w:pPr>
            <w:r>
              <w:rPr>
                <w:lang w:eastAsia="en-US"/>
              </w:rPr>
              <w:t>G2</w:t>
            </w:r>
          </w:p>
        </w:tc>
        <w:tc>
          <w:tcPr>
            <w:tcW w:w="1250" w:type="pct"/>
            <w:tcBorders>
              <w:right w:val="single" w:color="auto" w:sz="12" w:space="0"/>
            </w:tcBorders>
            <w:vAlign w:val="center"/>
          </w:tcPr>
          <w:p w14:paraId="522E1302">
            <w:pPr>
              <w:jc w:val="center"/>
              <w:rPr>
                <w:rFonts w:hint="eastAsia"/>
                <w:lang w:eastAsia="en-US"/>
              </w:rPr>
            </w:pPr>
            <w:r>
              <w:rPr>
                <w:lang w:eastAsia="en-US"/>
              </w:rPr>
              <w:t>G3</w:t>
            </w:r>
          </w:p>
        </w:tc>
      </w:tr>
      <w:tr w14:paraId="67B0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45" w:type="pct"/>
            <w:tcBorders>
              <w:left w:val="single" w:color="auto" w:sz="12" w:space="0"/>
            </w:tcBorders>
            <w:vAlign w:val="center"/>
          </w:tcPr>
          <w:p w14:paraId="1AF1F7A4">
            <w:pPr>
              <w:jc w:val="center"/>
              <w:rPr>
                <w:rFonts w:hint="eastAsia"/>
                <w:lang w:eastAsia="en-US"/>
              </w:rPr>
            </w:pPr>
            <w:r>
              <w:rPr>
                <w:lang w:eastAsia="en-US"/>
              </w:rPr>
              <w:t>D1</w:t>
            </w:r>
          </w:p>
        </w:tc>
        <w:tc>
          <w:tcPr>
            <w:tcW w:w="1355" w:type="pct"/>
            <w:vAlign w:val="center"/>
          </w:tcPr>
          <w:p w14:paraId="4FB61922">
            <w:pPr>
              <w:jc w:val="center"/>
              <w:rPr>
                <w:rFonts w:hint="eastAsia"/>
                <w:lang w:eastAsia="en-US"/>
              </w:rPr>
            </w:pPr>
            <w:r>
              <w:rPr>
                <w:lang w:eastAsia="en-US"/>
              </w:rPr>
              <w:t>E1</w:t>
            </w:r>
          </w:p>
        </w:tc>
        <w:tc>
          <w:tcPr>
            <w:tcW w:w="1250" w:type="pct"/>
            <w:vAlign w:val="center"/>
          </w:tcPr>
          <w:p w14:paraId="17EEFCEE">
            <w:pPr>
              <w:jc w:val="center"/>
              <w:rPr>
                <w:rFonts w:hint="eastAsia"/>
                <w:lang w:eastAsia="en-US"/>
              </w:rPr>
            </w:pPr>
            <w:r>
              <w:rPr>
                <w:lang w:eastAsia="en-US"/>
              </w:rPr>
              <w:t>E1</w:t>
            </w:r>
          </w:p>
        </w:tc>
        <w:tc>
          <w:tcPr>
            <w:tcW w:w="1250" w:type="pct"/>
            <w:tcBorders>
              <w:right w:val="single" w:color="auto" w:sz="12" w:space="0"/>
            </w:tcBorders>
            <w:shd w:val="clear" w:color="auto" w:fill="C4BC96"/>
            <w:vAlign w:val="center"/>
          </w:tcPr>
          <w:p w14:paraId="4669E631">
            <w:pPr>
              <w:jc w:val="center"/>
              <w:rPr>
                <w:rFonts w:hint="eastAsia"/>
                <w:lang w:eastAsia="en-US"/>
              </w:rPr>
            </w:pPr>
            <w:r>
              <w:rPr>
                <w:lang w:eastAsia="en-US"/>
              </w:rPr>
              <w:t>E2</w:t>
            </w:r>
          </w:p>
        </w:tc>
      </w:tr>
      <w:tr w14:paraId="5B98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45" w:type="pct"/>
            <w:tcBorders>
              <w:left w:val="single" w:color="auto" w:sz="12" w:space="0"/>
            </w:tcBorders>
            <w:vAlign w:val="center"/>
          </w:tcPr>
          <w:p w14:paraId="0102BBC8">
            <w:pPr>
              <w:jc w:val="center"/>
              <w:rPr>
                <w:rFonts w:hint="eastAsia"/>
                <w:lang w:eastAsia="en-US"/>
              </w:rPr>
            </w:pPr>
            <w:r>
              <w:rPr>
                <w:lang w:eastAsia="en-US"/>
              </w:rPr>
              <w:t>D2</w:t>
            </w:r>
          </w:p>
        </w:tc>
        <w:tc>
          <w:tcPr>
            <w:tcW w:w="1355" w:type="pct"/>
            <w:vAlign w:val="center"/>
          </w:tcPr>
          <w:p w14:paraId="60EAA326">
            <w:pPr>
              <w:jc w:val="center"/>
              <w:rPr>
                <w:rFonts w:hint="eastAsia"/>
                <w:lang w:eastAsia="en-US"/>
              </w:rPr>
            </w:pPr>
            <w:r>
              <w:rPr>
                <w:lang w:eastAsia="en-US"/>
              </w:rPr>
              <w:t>E1</w:t>
            </w:r>
          </w:p>
        </w:tc>
        <w:tc>
          <w:tcPr>
            <w:tcW w:w="1250" w:type="pct"/>
            <w:vAlign w:val="center"/>
          </w:tcPr>
          <w:p w14:paraId="2481CB30">
            <w:pPr>
              <w:jc w:val="center"/>
              <w:rPr>
                <w:rFonts w:hint="eastAsia"/>
                <w:lang w:eastAsia="en-US"/>
              </w:rPr>
            </w:pPr>
            <w:r>
              <w:rPr>
                <w:lang w:eastAsia="en-US"/>
              </w:rPr>
              <w:t>E2</w:t>
            </w:r>
          </w:p>
        </w:tc>
        <w:tc>
          <w:tcPr>
            <w:tcW w:w="1250" w:type="pct"/>
            <w:tcBorders>
              <w:right w:val="single" w:color="auto" w:sz="12" w:space="0"/>
            </w:tcBorders>
            <w:vAlign w:val="center"/>
          </w:tcPr>
          <w:p w14:paraId="225CC256">
            <w:pPr>
              <w:jc w:val="center"/>
              <w:rPr>
                <w:rFonts w:hint="eastAsia"/>
                <w:lang w:eastAsia="en-US"/>
              </w:rPr>
            </w:pPr>
            <w:r>
              <w:rPr>
                <w:lang w:eastAsia="en-US"/>
              </w:rPr>
              <w:t>E3</w:t>
            </w:r>
          </w:p>
        </w:tc>
      </w:tr>
      <w:tr w14:paraId="7C14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45" w:type="pct"/>
            <w:tcBorders>
              <w:left w:val="single" w:color="auto" w:sz="12" w:space="0"/>
              <w:bottom w:val="single" w:color="auto" w:sz="12" w:space="0"/>
            </w:tcBorders>
            <w:vAlign w:val="center"/>
          </w:tcPr>
          <w:p w14:paraId="76D6F135">
            <w:pPr>
              <w:jc w:val="center"/>
              <w:rPr>
                <w:rFonts w:hint="eastAsia"/>
                <w:lang w:eastAsia="en-US"/>
              </w:rPr>
            </w:pPr>
            <w:r>
              <w:rPr>
                <w:lang w:eastAsia="en-US"/>
              </w:rPr>
              <w:t>D3</w:t>
            </w:r>
          </w:p>
        </w:tc>
        <w:tc>
          <w:tcPr>
            <w:tcW w:w="1355" w:type="pct"/>
            <w:tcBorders>
              <w:bottom w:val="single" w:color="auto" w:sz="12" w:space="0"/>
            </w:tcBorders>
            <w:vAlign w:val="center"/>
          </w:tcPr>
          <w:p w14:paraId="2EF0717F">
            <w:pPr>
              <w:jc w:val="center"/>
              <w:rPr>
                <w:rFonts w:hint="eastAsia"/>
                <w:lang w:eastAsia="en-US"/>
              </w:rPr>
            </w:pPr>
            <w:r>
              <w:rPr>
                <w:lang w:eastAsia="en-US"/>
              </w:rPr>
              <w:t>E2</w:t>
            </w:r>
          </w:p>
        </w:tc>
        <w:tc>
          <w:tcPr>
            <w:tcW w:w="1250" w:type="pct"/>
            <w:tcBorders>
              <w:bottom w:val="single" w:color="auto" w:sz="12" w:space="0"/>
            </w:tcBorders>
            <w:vAlign w:val="center"/>
          </w:tcPr>
          <w:p w14:paraId="593ED6B3">
            <w:pPr>
              <w:jc w:val="center"/>
              <w:rPr>
                <w:rFonts w:hint="eastAsia"/>
                <w:lang w:eastAsia="en-US"/>
              </w:rPr>
            </w:pPr>
            <w:r>
              <w:rPr>
                <w:lang w:eastAsia="en-US"/>
              </w:rPr>
              <w:t>E3</w:t>
            </w:r>
          </w:p>
        </w:tc>
        <w:tc>
          <w:tcPr>
            <w:tcW w:w="1250" w:type="pct"/>
            <w:tcBorders>
              <w:bottom w:val="single" w:color="auto" w:sz="12" w:space="0"/>
              <w:right w:val="single" w:color="auto" w:sz="12" w:space="0"/>
            </w:tcBorders>
            <w:vAlign w:val="center"/>
          </w:tcPr>
          <w:p w14:paraId="5ABF6864">
            <w:pPr>
              <w:jc w:val="center"/>
              <w:rPr>
                <w:rFonts w:hint="eastAsia"/>
                <w:lang w:eastAsia="en-US"/>
              </w:rPr>
            </w:pPr>
            <w:r>
              <w:rPr>
                <w:lang w:eastAsia="en-US"/>
              </w:rPr>
              <w:t>E3</w:t>
            </w:r>
          </w:p>
        </w:tc>
      </w:tr>
    </w:tbl>
    <w:p w14:paraId="4293B4C9">
      <w:pPr>
        <w:adjustRightInd w:val="0"/>
        <w:snapToGrid w:val="0"/>
        <w:jc w:val="center"/>
        <w:rPr>
          <w:rFonts w:hint="eastAsia"/>
          <w:b/>
          <w:szCs w:val="28"/>
        </w:rPr>
      </w:pPr>
      <w:r>
        <w:rPr>
          <w:rFonts w:hint="eastAsia"/>
          <w:b/>
          <w:bCs/>
          <w:spacing w:val="-10"/>
        </w:rPr>
        <w:t>表6-18</w:t>
      </w:r>
      <w:r>
        <w:rPr>
          <w:b/>
          <w:bCs/>
          <w:spacing w:val="-10"/>
        </w:rPr>
        <w:t xml:space="preserve"> </w:t>
      </w:r>
      <w:r>
        <w:rPr>
          <w:rFonts w:hint="eastAsia"/>
          <w:b/>
          <w:bCs/>
          <w:spacing w:val="-10"/>
        </w:rPr>
        <w:t xml:space="preserve"> 区域地下水功能敏感性分区</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4"/>
        <w:gridCol w:w="4652"/>
        <w:gridCol w:w="2988"/>
      </w:tblGrid>
      <w:tr w14:paraId="1F02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6" w:type="pct"/>
            <w:tcBorders>
              <w:top w:val="single" w:color="auto" w:sz="12" w:space="0"/>
              <w:left w:val="single" w:color="auto" w:sz="12" w:space="0"/>
            </w:tcBorders>
            <w:vAlign w:val="center"/>
          </w:tcPr>
          <w:p w14:paraId="378B6B3F">
            <w:pPr>
              <w:jc w:val="center"/>
              <w:rPr>
                <w:rFonts w:hint="eastAsia"/>
              </w:rPr>
            </w:pPr>
            <w:r>
              <w:t>分级</w:t>
            </w:r>
          </w:p>
        </w:tc>
        <w:tc>
          <w:tcPr>
            <w:tcW w:w="2633" w:type="pct"/>
            <w:tcBorders>
              <w:top w:val="single" w:color="auto" w:sz="12" w:space="0"/>
            </w:tcBorders>
            <w:vAlign w:val="center"/>
          </w:tcPr>
          <w:p w14:paraId="7A9E1CC3">
            <w:pPr>
              <w:jc w:val="center"/>
              <w:rPr>
                <w:rFonts w:hint="eastAsia"/>
              </w:rPr>
            </w:pPr>
            <w:r>
              <w:t>地下水环境敏感特征</w:t>
            </w:r>
          </w:p>
        </w:tc>
        <w:tc>
          <w:tcPr>
            <w:tcW w:w="1691" w:type="pct"/>
            <w:tcBorders>
              <w:top w:val="single" w:color="auto" w:sz="12" w:space="0"/>
              <w:right w:val="single" w:color="auto" w:sz="12" w:space="0"/>
            </w:tcBorders>
            <w:vAlign w:val="center"/>
          </w:tcPr>
          <w:p w14:paraId="1EC24C9E">
            <w:pPr>
              <w:jc w:val="center"/>
              <w:rPr>
                <w:rFonts w:hint="eastAsia"/>
              </w:rPr>
            </w:pPr>
            <w:r>
              <w:t>项目所在区域判定情况</w:t>
            </w:r>
          </w:p>
        </w:tc>
      </w:tr>
      <w:tr w14:paraId="66693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6" w:type="pct"/>
            <w:tcBorders>
              <w:left w:val="single" w:color="auto" w:sz="12" w:space="0"/>
            </w:tcBorders>
            <w:vAlign w:val="center"/>
          </w:tcPr>
          <w:p w14:paraId="2D9C0907">
            <w:pPr>
              <w:jc w:val="center"/>
              <w:rPr>
                <w:rFonts w:hint="eastAsia"/>
              </w:rPr>
            </w:pPr>
            <w:r>
              <w:t>敏感G1</w:t>
            </w:r>
          </w:p>
        </w:tc>
        <w:tc>
          <w:tcPr>
            <w:tcW w:w="2633" w:type="pct"/>
            <w:vAlign w:val="center"/>
          </w:tcPr>
          <w:p w14:paraId="5613149A">
            <w:pPr>
              <w:jc w:val="center"/>
              <w:rPr>
                <w:rFonts w:hint="eastAsia"/>
              </w:rPr>
            </w:pPr>
            <w:r>
              <w:t>集中式饮用水水源（包括已建成的在用、备用、应急水源，在建和规划的饮用水水源）准保护区；除集中式饮用水水源以外的国家或地方政府设定的与地下水环境相关的其他保护区，如热水、矿泉水、温泉等特殊地下水资源保护区</w:t>
            </w:r>
          </w:p>
        </w:tc>
        <w:tc>
          <w:tcPr>
            <w:tcW w:w="1691" w:type="pct"/>
            <w:vMerge w:val="restart"/>
            <w:tcBorders>
              <w:right w:val="single" w:color="auto" w:sz="12" w:space="0"/>
            </w:tcBorders>
            <w:vAlign w:val="center"/>
          </w:tcPr>
          <w:p w14:paraId="350A4797">
            <w:pPr>
              <w:jc w:val="center"/>
              <w:rPr>
                <w:rFonts w:hint="eastAsia"/>
              </w:rPr>
            </w:pPr>
            <w:r>
              <w:rPr>
                <w:rFonts w:hint="eastAsia"/>
              </w:rPr>
              <w:t>项目所在区域既不属于集中式地下水饮用水水源准保护区和准保护区以外的补给径流区，也不属于除集中式饮用水水源以外的国家或地方政府设定的与地下水环境相关的其他保护区，如热水、矿泉水、温泉等特殊地下水资源保护区和其他保护区的补给径流区；同时也不属于未划定准保护区的集中式饮用水水源、分散式饮用水水源地</w:t>
            </w:r>
          </w:p>
        </w:tc>
      </w:tr>
      <w:tr w14:paraId="203A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6" w:type="pct"/>
            <w:tcBorders>
              <w:left w:val="single" w:color="auto" w:sz="12" w:space="0"/>
            </w:tcBorders>
            <w:vAlign w:val="center"/>
          </w:tcPr>
          <w:p w14:paraId="6D9866DF">
            <w:pPr>
              <w:jc w:val="center"/>
              <w:rPr>
                <w:rFonts w:hint="eastAsia"/>
              </w:rPr>
            </w:pPr>
            <w:r>
              <w:t>较敏感G2</w:t>
            </w:r>
          </w:p>
        </w:tc>
        <w:tc>
          <w:tcPr>
            <w:tcW w:w="2633" w:type="pct"/>
            <w:vAlign w:val="center"/>
          </w:tcPr>
          <w:p w14:paraId="0AAF6789">
            <w:pPr>
              <w:jc w:val="center"/>
              <w:rPr>
                <w:rFonts w:hint="eastAsia"/>
              </w:rPr>
            </w:pPr>
            <w:r>
              <w:t>集中式饮用水水源（包括已建成的在用、备用、应急水源，在建和规划的饮用水水源）准保护区以外的补给径流区；未划定准保护区的集中式饮用水水源，其保护区以外的补给径流区；分散式饮用水水源地；特殊地下水资源（如热水、矿泉水、温泉等）保护区以外的分布区等其他未列入上述敏感分级的环境敏感区</w:t>
            </w:r>
            <w:r>
              <w:rPr>
                <w:rFonts w:hint="eastAsia"/>
              </w:rPr>
              <w:t>a</w:t>
            </w:r>
          </w:p>
        </w:tc>
        <w:tc>
          <w:tcPr>
            <w:tcW w:w="1691" w:type="pct"/>
            <w:vMerge w:val="continue"/>
            <w:tcBorders>
              <w:right w:val="single" w:color="auto" w:sz="12" w:space="0"/>
            </w:tcBorders>
            <w:vAlign w:val="center"/>
          </w:tcPr>
          <w:p w14:paraId="0623A341">
            <w:pPr>
              <w:jc w:val="center"/>
              <w:rPr>
                <w:rFonts w:hint="eastAsia"/>
              </w:rPr>
            </w:pPr>
          </w:p>
        </w:tc>
      </w:tr>
      <w:tr w14:paraId="684AC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6" w:type="pct"/>
            <w:tcBorders>
              <w:left w:val="single" w:color="auto" w:sz="12" w:space="0"/>
            </w:tcBorders>
            <w:vAlign w:val="center"/>
          </w:tcPr>
          <w:p w14:paraId="028F0BB7">
            <w:pPr>
              <w:jc w:val="center"/>
              <w:rPr>
                <w:rFonts w:hint="eastAsia"/>
              </w:rPr>
            </w:pPr>
            <w:r>
              <w:t>不敏感G3</w:t>
            </w:r>
          </w:p>
        </w:tc>
        <w:tc>
          <w:tcPr>
            <w:tcW w:w="2633" w:type="pct"/>
            <w:vAlign w:val="center"/>
          </w:tcPr>
          <w:p w14:paraId="44C12AB8">
            <w:pPr>
              <w:jc w:val="center"/>
              <w:rPr>
                <w:rFonts w:hint="eastAsia"/>
              </w:rPr>
            </w:pPr>
            <w:r>
              <w:t>上述地区之外的其他地区</w:t>
            </w:r>
          </w:p>
        </w:tc>
        <w:tc>
          <w:tcPr>
            <w:tcW w:w="1691" w:type="pct"/>
            <w:vMerge w:val="continue"/>
            <w:tcBorders>
              <w:right w:val="single" w:color="auto" w:sz="12" w:space="0"/>
            </w:tcBorders>
            <w:vAlign w:val="center"/>
          </w:tcPr>
          <w:p w14:paraId="4190BA60">
            <w:pPr>
              <w:jc w:val="center"/>
              <w:rPr>
                <w:rFonts w:hint="eastAsia"/>
              </w:rPr>
            </w:pPr>
          </w:p>
        </w:tc>
      </w:tr>
      <w:tr w14:paraId="71A2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09" w:type="pct"/>
            <w:gridSpan w:val="2"/>
            <w:tcBorders>
              <w:left w:val="single" w:color="auto" w:sz="12" w:space="0"/>
            </w:tcBorders>
            <w:vAlign w:val="center"/>
          </w:tcPr>
          <w:p w14:paraId="1750E685">
            <w:pPr>
              <w:jc w:val="center"/>
              <w:rPr>
                <w:rFonts w:hint="eastAsia"/>
              </w:rPr>
            </w:pPr>
            <w:r>
              <w:rPr>
                <w:rFonts w:hint="eastAsia"/>
              </w:rPr>
              <w:t>a“</w:t>
            </w:r>
            <w:r>
              <w:t>环境敏感区</w:t>
            </w:r>
            <w:r>
              <w:rPr>
                <w:rFonts w:hint="eastAsia"/>
              </w:rPr>
              <w:t>”</w:t>
            </w:r>
            <w:r>
              <w:t>是指《建设项目环境影响评价分类管理名录》中所界定的涉及地下水的环境敏感区</w:t>
            </w:r>
          </w:p>
        </w:tc>
        <w:tc>
          <w:tcPr>
            <w:tcW w:w="1691" w:type="pct"/>
            <w:vMerge w:val="continue"/>
            <w:tcBorders>
              <w:right w:val="single" w:color="auto" w:sz="12" w:space="0"/>
            </w:tcBorders>
            <w:vAlign w:val="center"/>
          </w:tcPr>
          <w:p w14:paraId="15A83916">
            <w:pPr>
              <w:jc w:val="center"/>
              <w:rPr>
                <w:rFonts w:hint="eastAsia"/>
              </w:rPr>
            </w:pPr>
          </w:p>
        </w:tc>
      </w:tr>
      <w:tr w14:paraId="16A93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09" w:type="pct"/>
            <w:gridSpan w:val="2"/>
            <w:tcBorders>
              <w:left w:val="single" w:color="auto" w:sz="12" w:space="0"/>
              <w:bottom w:val="single" w:color="auto" w:sz="12" w:space="0"/>
            </w:tcBorders>
            <w:vAlign w:val="center"/>
          </w:tcPr>
          <w:p w14:paraId="0BBB3CB5">
            <w:pPr>
              <w:jc w:val="center"/>
              <w:rPr>
                <w:rFonts w:hint="eastAsia"/>
              </w:rPr>
            </w:pPr>
            <w:r>
              <w:t>区域</w:t>
            </w:r>
            <w:r>
              <w:rPr>
                <w:rFonts w:hint="eastAsia"/>
              </w:rPr>
              <w:t>地下水</w:t>
            </w:r>
            <w:r>
              <w:t>环境敏感</w:t>
            </w:r>
            <w:r>
              <w:rPr>
                <w:rFonts w:hint="eastAsia"/>
              </w:rPr>
              <w:t>性分区</w:t>
            </w:r>
            <w:r>
              <w:t>判定</w:t>
            </w:r>
          </w:p>
        </w:tc>
        <w:tc>
          <w:tcPr>
            <w:tcW w:w="1691" w:type="pct"/>
            <w:tcBorders>
              <w:bottom w:val="single" w:color="auto" w:sz="12" w:space="0"/>
              <w:right w:val="single" w:color="auto" w:sz="12" w:space="0"/>
            </w:tcBorders>
            <w:vAlign w:val="center"/>
          </w:tcPr>
          <w:p w14:paraId="29149BC9">
            <w:pPr>
              <w:jc w:val="center"/>
              <w:rPr>
                <w:rFonts w:hint="eastAsia"/>
              </w:rPr>
            </w:pPr>
            <w:r>
              <w:rPr>
                <w:rFonts w:hint="eastAsia"/>
              </w:rPr>
              <w:t>G3</w:t>
            </w:r>
          </w:p>
        </w:tc>
      </w:tr>
    </w:tbl>
    <w:p w14:paraId="73F21A3A">
      <w:pPr>
        <w:adjustRightInd w:val="0"/>
        <w:snapToGrid w:val="0"/>
        <w:jc w:val="center"/>
        <w:rPr>
          <w:rFonts w:hint="eastAsia"/>
          <w:b/>
          <w:szCs w:val="28"/>
        </w:rPr>
      </w:pPr>
      <w:r>
        <w:rPr>
          <w:rFonts w:hint="eastAsia"/>
          <w:b/>
          <w:bCs/>
          <w:spacing w:val="-10"/>
        </w:rPr>
        <w:t>表6-19</w:t>
      </w:r>
      <w:r>
        <w:rPr>
          <w:b/>
          <w:bCs/>
          <w:spacing w:val="-10"/>
        </w:rPr>
        <w:t xml:space="preserve"> </w:t>
      </w:r>
      <w:r>
        <w:rPr>
          <w:rFonts w:hint="eastAsia"/>
          <w:b/>
          <w:bCs/>
          <w:spacing w:val="-10"/>
        </w:rPr>
        <w:t xml:space="preserve"> 区域包气带防污性能分级原则一览表</w:t>
      </w:r>
    </w:p>
    <w:tbl>
      <w:tblPr>
        <w:tblStyle w:val="1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51"/>
        <w:gridCol w:w="6015"/>
        <w:gridCol w:w="2248"/>
      </w:tblGrid>
      <w:tr w14:paraId="6CAFD1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 w:type="pct"/>
            <w:vAlign w:val="center"/>
          </w:tcPr>
          <w:p w14:paraId="29E5066D">
            <w:pPr>
              <w:jc w:val="center"/>
              <w:rPr>
                <w:rFonts w:hint="eastAsia"/>
              </w:rPr>
            </w:pPr>
            <w:r>
              <w:t>分级</w:t>
            </w:r>
          </w:p>
        </w:tc>
        <w:tc>
          <w:tcPr>
            <w:tcW w:w="3411" w:type="pct"/>
            <w:vAlign w:val="center"/>
          </w:tcPr>
          <w:p w14:paraId="5234580B">
            <w:pPr>
              <w:jc w:val="center"/>
              <w:rPr>
                <w:rFonts w:hint="eastAsia"/>
              </w:rPr>
            </w:pPr>
            <w:r>
              <w:t>包气带岩土的渗透性能</w:t>
            </w:r>
          </w:p>
        </w:tc>
        <w:tc>
          <w:tcPr>
            <w:tcW w:w="1275" w:type="pct"/>
            <w:vAlign w:val="center"/>
          </w:tcPr>
          <w:p w14:paraId="3D226CAC">
            <w:pPr>
              <w:jc w:val="center"/>
              <w:rPr>
                <w:rFonts w:hint="eastAsia"/>
              </w:rPr>
            </w:pPr>
            <w:r>
              <w:t>项目所在区域判定情况</w:t>
            </w:r>
          </w:p>
        </w:tc>
      </w:tr>
      <w:tr w14:paraId="6C351D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 w:type="pct"/>
            <w:vAlign w:val="center"/>
          </w:tcPr>
          <w:p w14:paraId="300C0031">
            <w:pPr>
              <w:jc w:val="center"/>
              <w:rPr>
                <w:rFonts w:hint="eastAsia"/>
              </w:rPr>
            </w:pPr>
            <w:r>
              <w:t>D3</w:t>
            </w:r>
          </w:p>
        </w:tc>
        <w:tc>
          <w:tcPr>
            <w:tcW w:w="3411" w:type="pct"/>
            <w:vAlign w:val="center"/>
          </w:tcPr>
          <w:p w14:paraId="57701491">
            <w:pPr>
              <w:jc w:val="center"/>
              <w:rPr>
                <w:rFonts w:hint="eastAsia"/>
              </w:rPr>
            </w:pPr>
            <w:r>
              <w:t>Mb≥1.0m，K≤1.0×10</w:t>
            </w:r>
            <w:r>
              <w:rPr>
                <w:vertAlign w:val="superscript"/>
              </w:rPr>
              <w:t>-6</w:t>
            </w:r>
            <w:r>
              <w:t>cm/s，且分布连续、稳定</w:t>
            </w:r>
          </w:p>
        </w:tc>
        <w:tc>
          <w:tcPr>
            <w:tcW w:w="1275" w:type="pct"/>
            <w:vMerge w:val="restart"/>
            <w:vAlign w:val="center"/>
          </w:tcPr>
          <w:p w14:paraId="01D1E46F">
            <w:pPr>
              <w:jc w:val="center"/>
              <w:rPr>
                <w:rFonts w:hint="eastAsia"/>
              </w:rPr>
            </w:pPr>
            <w:r>
              <w:t>Mb</w:t>
            </w:r>
            <w:r>
              <w:rPr>
                <w:rFonts w:hint="eastAsia"/>
              </w:rPr>
              <w:t>≥</w:t>
            </w:r>
            <w:r>
              <w:t>1.0m</w:t>
            </w:r>
            <w:r>
              <w:rPr>
                <w:rFonts w:hint="eastAsia"/>
              </w:rPr>
              <w:t>且分布连续、稳定渗透系数约为</w:t>
            </w:r>
            <w:r>
              <w:t>K=</w:t>
            </w:r>
            <w:r>
              <w:rPr>
                <w:rFonts w:hint="eastAsia"/>
              </w:rPr>
              <w:t>0.012</w:t>
            </w:r>
            <w:r>
              <w:t>cm/s</w:t>
            </w:r>
          </w:p>
        </w:tc>
      </w:tr>
      <w:tr w14:paraId="6F844F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 w:type="pct"/>
            <w:vAlign w:val="center"/>
          </w:tcPr>
          <w:p w14:paraId="4CA8C522">
            <w:pPr>
              <w:jc w:val="center"/>
              <w:rPr>
                <w:rFonts w:hint="eastAsia"/>
              </w:rPr>
            </w:pPr>
            <w:r>
              <w:t>D2</w:t>
            </w:r>
          </w:p>
        </w:tc>
        <w:tc>
          <w:tcPr>
            <w:tcW w:w="3411" w:type="pct"/>
            <w:vAlign w:val="center"/>
          </w:tcPr>
          <w:p w14:paraId="019F7D80">
            <w:pPr>
              <w:jc w:val="center"/>
              <w:rPr>
                <w:rFonts w:hint="eastAsia"/>
              </w:rPr>
            </w:pPr>
            <w:r>
              <w:t>0.5m≤Mb&lt;1.0m，K≤1.0×10</w:t>
            </w:r>
            <w:r>
              <w:rPr>
                <w:vertAlign w:val="superscript"/>
              </w:rPr>
              <w:t>-6</w:t>
            </w:r>
            <w:r>
              <w:t>cm/s，且分布连续、稳定</w:t>
            </w:r>
          </w:p>
          <w:p w14:paraId="5E9E4A4D">
            <w:pPr>
              <w:jc w:val="center"/>
              <w:rPr>
                <w:rFonts w:hint="eastAsia"/>
              </w:rPr>
            </w:pPr>
            <w:r>
              <w:t>Mb≥1.0m，1.0×10</w:t>
            </w:r>
            <w:r>
              <w:rPr>
                <w:vertAlign w:val="superscript"/>
              </w:rPr>
              <w:t>-6</w:t>
            </w:r>
            <w:r>
              <w:t>cm/s＜K≤1.0×10</w:t>
            </w:r>
            <w:r>
              <w:rPr>
                <w:vertAlign w:val="superscript"/>
              </w:rPr>
              <w:t>-4</w:t>
            </w:r>
            <w:r>
              <w:t>cm/s，且分布连续、稳定</w:t>
            </w:r>
          </w:p>
        </w:tc>
        <w:tc>
          <w:tcPr>
            <w:tcW w:w="1275" w:type="pct"/>
            <w:vMerge w:val="continue"/>
            <w:vAlign w:val="center"/>
          </w:tcPr>
          <w:p w14:paraId="79954BA7">
            <w:pPr>
              <w:jc w:val="center"/>
              <w:rPr>
                <w:rFonts w:hint="eastAsia"/>
              </w:rPr>
            </w:pPr>
          </w:p>
        </w:tc>
      </w:tr>
      <w:tr w14:paraId="460E2A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3" w:type="pct"/>
            <w:vAlign w:val="center"/>
          </w:tcPr>
          <w:p w14:paraId="41EEFCF2">
            <w:pPr>
              <w:jc w:val="center"/>
              <w:rPr>
                <w:rFonts w:hint="eastAsia"/>
              </w:rPr>
            </w:pPr>
            <w:r>
              <w:t>D1</w:t>
            </w:r>
          </w:p>
        </w:tc>
        <w:tc>
          <w:tcPr>
            <w:tcW w:w="3411" w:type="pct"/>
            <w:vAlign w:val="center"/>
          </w:tcPr>
          <w:p w14:paraId="086AB1B3">
            <w:pPr>
              <w:jc w:val="center"/>
              <w:rPr>
                <w:rFonts w:hint="eastAsia"/>
              </w:rPr>
            </w:pPr>
            <w:r>
              <w:t>岩（土）层不满足上述</w:t>
            </w:r>
            <w:r>
              <w:rPr>
                <w:rFonts w:hint="eastAsia"/>
              </w:rPr>
              <w:t>“</w:t>
            </w:r>
            <w:r>
              <w:t>D2</w:t>
            </w:r>
            <w:r>
              <w:rPr>
                <w:rFonts w:hint="eastAsia"/>
              </w:rPr>
              <w:t>”</w:t>
            </w:r>
            <w:r>
              <w:t>和</w:t>
            </w:r>
            <w:r>
              <w:rPr>
                <w:rFonts w:hint="eastAsia"/>
              </w:rPr>
              <w:t>“</w:t>
            </w:r>
            <w:r>
              <w:t>D3</w:t>
            </w:r>
            <w:r>
              <w:rPr>
                <w:rFonts w:hint="eastAsia"/>
              </w:rPr>
              <w:t>”</w:t>
            </w:r>
            <w:r>
              <w:t>条件</w:t>
            </w:r>
          </w:p>
        </w:tc>
        <w:tc>
          <w:tcPr>
            <w:tcW w:w="1275" w:type="pct"/>
            <w:vMerge w:val="continue"/>
            <w:vAlign w:val="center"/>
          </w:tcPr>
          <w:p w14:paraId="002FD515">
            <w:pPr>
              <w:jc w:val="center"/>
              <w:rPr>
                <w:rFonts w:hint="eastAsia"/>
              </w:rPr>
            </w:pPr>
          </w:p>
        </w:tc>
      </w:tr>
      <w:tr w14:paraId="5B7273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25" w:type="pct"/>
            <w:gridSpan w:val="2"/>
            <w:vAlign w:val="center"/>
          </w:tcPr>
          <w:p w14:paraId="288D89DE">
            <w:pPr>
              <w:jc w:val="center"/>
              <w:rPr>
                <w:rFonts w:hint="eastAsia"/>
              </w:rPr>
            </w:pPr>
            <w:r>
              <w:t>Mb：岩土层单层厚度。K：渗透系数。</w:t>
            </w:r>
          </w:p>
        </w:tc>
        <w:tc>
          <w:tcPr>
            <w:tcW w:w="1275" w:type="pct"/>
            <w:vMerge w:val="continue"/>
            <w:vAlign w:val="center"/>
          </w:tcPr>
          <w:p w14:paraId="58EEC7C3">
            <w:pPr>
              <w:jc w:val="center"/>
              <w:rPr>
                <w:rFonts w:hint="eastAsia"/>
              </w:rPr>
            </w:pPr>
          </w:p>
        </w:tc>
      </w:tr>
      <w:tr w14:paraId="2A8C0C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25" w:type="pct"/>
            <w:gridSpan w:val="2"/>
            <w:vAlign w:val="center"/>
          </w:tcPr>
          <w:p w14:paraId="50D66779">
            <w:pPr>
              <w:jc w:val="center"/>
              <w:rPr>
                <w:rFonts w:hint="eastAsia"/>
              </w:rPr>
            </w:pPr>
            <w:r>
              <w:t>区域</w:t>
            </w:r>
            <w:r>
              <w:rPr>
                <w:rFonts w:hint="eastAsia"/>
              </w:rPr>
              <w:t>包气带防污性能</w:t>
            </w:r>
            <w:r>
              <w:t>判定</w:t>
            </w:r>
          </w:p>
        </w:tc>
        <w:tc>
          <w:tcPr>
            <w:tcW w:w="1275" w:type="pct"/>
            <w:vAlign w:val="center"/>
          </w:tcPr>
          <w:p w14:paraId="4C4C6A04">
            <w:pPr>
              <w:jc w:val="center"/>
              <w:rPr>
                <w:rFonts w:hint="eastAsia"/>
              </w:rPr>
            </w:pPr>
            <w:r>
              <w:t>D1</w:t>
            </w:r>
          </w:p>
        </w:tc>
      </w:tr>
    </w:tbl>
    <w:p w14:paraId="59BDA858">
      <w:pPr>
        <w:adjustRightInd w:val="0"/>
        <w:snapToGrid w:val="0"/>
        <w:spacing w:line="360" w:lineRule="auto"/>
        <w:ind w:firstLine="440" w:firstLineChars="200"/>
        <w:rPr>
          <w:rFonts w:hint="eastAsia"/>
          <w:bCs/>
          <w:spacing w:val="-10"/>
        </w:rPr>
      </w:pPr>
      <w:r>
        <w:rPr>
          <w:rFonts w:hint="eastAsia"/>
          <w:bCs/>
          <w:spacing w:val="-10"/>
        </w:rPr>
        <w:t>综上，项目所在区域的地下水环境敏感程度分级为“E</w:t>
      </w:r>
      <w:r>
        <w:rPr>
          <w:bCs/>
          <w:spacing w:val="-10"/>
        </w:rPr>
        <w:t>2</w:t>
      </w:r>
      <w:r>
        <w:rPr>
          <w:rFonts w:hint="eastAsia"/>
          <w:bCs/>
          <w:spacing w:val="-10"/>
        </w:rPr>
        <w:t>”</w:t>
      </w:r>
      <w:r>
        <w:rPr>
          <w:rFonts w:hint="eastAsia"/>
        </w:rPr>
        <w:t>。</w:t>
      </w:r>
    </w:p>
    <w:p w14:paraId="00D779F7">
      <w:pPr>
        <w:adjustRightInd w:val="0"/>
        <w:snapToGrid w:val="0"/>
        <w:spacing w:line="360" w:lineRule="auto"/>
        <w:rPr>
          <w:rFonts w:hint="eastAsia"/>
          <w:b/>
          <w:spacing w:val="-10"/>
        </w:rPr>
      </w:pPr>
      <w:r>
        <w:rPr>
          <w:b/>
          <w:spacing w:val="-10"/>
        </w:rPr>
        <w:t>4.3环境风险潜势划分</w:t>
      </w:r>
    </w:p>
    <w:p w14:paraId="656EAD07">
      <w:pPr>
        <w:adjustRightInd w:val="0"/>
        <w:snapToGrid w:val="0"/>
        <w:spacing w:line="360" w:lineRule="auto"/>
        <w:ind w:firstLine="440" w:firstLineChars="200"/>
        <w:rPr>
          <w:rFonts w:hint="eastAsia"/>
          <w:bCs/>
          <w:spacing w:val="-10"/>
        </w:rPr>
      </w:pPr>
      <w:r>
        <w:rPr>
          <w:bCs/>
          <w:spacing w:val="-10"/>
        </w:rPr>
        <w:t>根据《建设项目环境风险评价技术导则》（HJ169-2018），建设项目环境风险潜势划分为Ⅰ、Ⅱ、Ⅲ、Ⅳ/Ⅳ</w:t>
      </w:r>
      <w:r>
        <w:rPr>
          <w:bCs/>
          <w:spacing w:val="-10"/>
          <w:vertAlign w:val="superscript"/>
        </w:rPr>
        <w:t>+</w:t>
      </w:r>
      <w:r>
        <w:rPr>
          <w:bCs/>
          <w:spacing w:val="-10"/>
        </w:rPr>
        <w:t>级。</w:t>
      </w:r>
    </w:p>
    <w:p w14:paraId="61F0DD81">
      <w:pPr>
        <w:adjustRightInd w:val="0"/>
        <w:snapToGrid w:val="0"/>
        <w:spacing w:line="360" w:lineRule="auto"/>
        <w:ind w:firstLine="440" w:firstLineChars="200"/>
        <w:rPr>
          <w:rFonts w:hint="eastAsia"/>
          <w:bCs/>
          <w:spacing w:val="-10"/>
        </w:rPr>
      </w:pPr>
      <w:r>
        <w:rPr>
          <w:rFonts w:hint="eastAsia"/>
          <w:bCs/>
          <w:spacing w:val="-10"/>
        </w:rPr>
        <w:t>经上述分析得知，本项目物质和工艺系统的危险性为高度危害“</w:t>
      </w:r>
      <w:r>
        <w:rPr>
          <w:bCs/>
          <w:spacing w:val="-10"/>
        </w:rPr>
        <w:t>P</w:t>
      </w:r>
      <w:r>
        <w:rPr>
          <w:rFonts w:hint="eastAsia"/>
          <w:bCs/>
          <w:spacing w:val="-10"/>
        </w:rPr>
        <w:t>2”，所在区域大气环境敏感程度为环境低度</w:t>
      </w:r>
      <w:r>
        <w:rPr>
          <w:bCs/>
          <w:spacing w:val="-10"/>
        </w:rPr>
        <w:t>敏感区</w:t>
      </w:r>
      <w:r>
        <w:rPr>
          <w:rFonts w:hint="eastAsia"/>
          <w:bCs/>
          <w:spacing w:val="-10"/>
        </w:rPr>
        <w:t>“E3”，所在区域地表水环境敏感程度为环境低度</w:t>
      </w:r>
      <w:r>
        <w:rPr>
          <w:bCs/>
          <w:spacing w:val="-10"/>
        </w:rPr>
        <w:t>敏感区</w:t>
      </w:r>
      <w:r>
        <w:rPr>
          <w:rFonts w:hint="eastAsia"/>
          <w:bCs/>
          <w:spacing w:val="-10"/>
        </w:rPr>
        <w:t>“E3”，所在区域的地下水环境敏感程度为环境</w:t>
      </w:r>
      <w:r>
        <w:rPr>
          <w:bCs/>
          <w:spacing w:val="-10"/>
        </w:rPr>
        <w:t>中</w:t>
      </w:r>
      <w:r>
        <w:rPr>
          <w:rFonts w:hint="eastAsia"/>
          <w:bCs/>
          <w:spacing w:val="-10"/>
        </w:rPr>
        <w:t>度</w:t>
      </w:r>
      <w:r>
        <w:rPr>
          <w:bCs/>
          <w:spacing w:val="-10"/>
        </w:rPr>
        <w:t>敏感区</w:t>
      </w:r>
      <w:r>
        <w:rPr>
          <w:rFonts w:hint="eastAsia"/>
          <w:bCs/>
          <w:spacing w:val="-10"/>
        </w:rPr>
        <w:t>“E</w:t>
      </w:r>
      <w:r>
        <w:rPr>
          <w:bCs/>
          <w:spacing w:val="-10"/>
        </w:rPr>
        <w:t>2</w:t>
      </w:r>
      <w:r>
        <w:rPr>
          <w:rFonts w:hint="eastAsia"/>
          <w:bCs/>
          <w:spacing w:val="-10"/>
        </w:rPr>
        <w:t>”，</w:t>
      </w:r>
      <w:r>
        <w:rPr>
          <w:spacing w:val="-10"/>
        </w:rPr>
        <w:t>项目环境风险潜势划分依据</w:t>
      </w:r>
      <w:r>
        <w:rPr>
          <w:rFonts w:hint="eastAsia"/>
          <w:bCs/>
          <w:spacing w:val="-10"/>
        </w:rPr>
        <w:t>见表</w:t>
      </w:r>
      <w:r>
        <w:rPr>
          <w:bCs/>
          <w:spacing w:val="-10"/>
        </w:rPr>
        <w:t>6-</w:t>
      </w:r>
      <w:r>
        <w:rPr>
          <w:rFonts w:hint="eastAsia"/>
          <w:bCs/>
          <w:spacing w:val="-10"/>
        </w:rPr>
        <w:t>20</w:t>
      </w:r>
      <w:r>
        <w:rPr>
          <w:bCs/>
          <w:spacing w:val="-10"/>
        </w:rPr>
        <w:t>。</w:t>
      </w:r>
    </w:p>
    <w:p w14:paraId="706E7BBF">
      <w:pPr>
        <w:adjustRightInd w:val="0"/>
        <w:snapToGrid w:val="0"/>
        <w:jc w:val="center"/>
        <w:rPr>
          <w:rFonts w:hint="eastAsia"/>
          <w:b/>
          <w:bCs/>
          <w:spacing w:val="-10"/>
        </w:rPr>
      </w:pPr>
      <w:r>
        <w:rPr>
          <w:b/>
          <w:bCs/>
          <w:spacing w:val="-10"/>
        </w:rPr>
        <w:t>表6-</w:t>
      </w:r>
      <w:r>
        <w:rPr>
          <w:rFonts w:hint="eastAsia"/>
          <w:b/>
          <w:bCs/>
          <w:spacing w:val="-10"/>
        </w:rPr>
        <w:t xml:space="preserve">20  </w:t>
      </w:r>
      <w:r>
        <w:rPr>
          <w:b/>
          <w:bCs/>
          <w:spacing w:val="-10"/>
        </w:rPr>
        <w:t>项目环境风险潜势划分依据一览表</w:t>
      </w:r>
    </w:p>
    <w:tbl>
      <w:tblPr>
        <w:tblStyle w:val="16"/>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05"/>
        <w:gridCol w:w="1453"/>
        <w:gridCol w:w="1632"/>
        <w:gridCol w:w="1586"/>
        <w:gridCol w:w="1554"/>
      </w:tblGrid>
      <w:tr w14:paraId="214F1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trPr>
        <w:tc>
          <w:tcPr>
            <w:tcW w:w="1475" w:type="pct"/>
            <w:vMerge w:val="restart"/>
            <w:vAlign w:val="center"/>
          </w:tcPr>
          <w:p w14:paraId="598E3F14">
            <w:pPr>
              <w:adjustRightInd w:val="0"/>
              <w:snapToGrid w:val="0"/>
              <w:rPr>
                <w:rFonts w:hint="eastAsia"/>
                <w:bCs/>
                <w:spacing w:val="-10"/>
                <w:szCs w:val="21"/>
              </w:rPr>
            </w:pPr>
            <w:r>
              <w:rPr>
                <w:bCs/>
                <w:spacing w:val="-10"/>
                <w:szCs w:val="21"/>
              </w:rPr>
              <w:t>环境敏感程度</w:t>
            </w:r>
          </w:p>
        </w:tc>
        <w:tc>
          <w:tcPr>
            <w:tcW w:w="3525" w:type="pct"/>
            <w:gridSpan w:val="4"/>
            <w:vAlign w:val="center"/>
          </w:tcPr>
          <w:p w14:paraId="4116C34C">
            <w:pPr>
              <w:adjustRightInd w:val="0"/>
              <w:snapToGrid w:val="0"/>
              <w:rPr>
                <w:rFonts w:hint="eastAsia"/>
                <w:bCs/>
                <w:spacing w:val="-10"/>
                <w:szCs w:val="21"/>
              </w:rPr>
            </w:pPr>
            <w:r>
              <w:rPr>
                <w:bCs/>
                <w:spacing w:val="-10"/>
                <w:szCs w:val="21"/>
              </w:rPr>
              <w:t>危险物质及工艺系统危险性P</w:t>
            </w:r>
          </w:p>
        </w:tc>
      </w:tr>
      <w:tr w14:paraId="35D3D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trPr>
        <w:tc>
          <w:tcPr>
            <w:tcW w:w="1475" w:type="pct"/>
            <w:vMerge w:val="continue"/>
            <w:vAlign w:val="center"/>
          </w:tcPr>
          <w:p w14:paraId="731AE293">
            <w:pPr>
              <w:adjustRightInd w:val="0"/>
              <w:snapToGrid w:val="0"/>
              <w:rPr>
                <w:rFonts w:hint="eastAsia"/>
                <w:bCs/>
                <w:spacing w:val="-10"/>
                <w:szCs w:val="21"/>
              </w:rPr>
            </w:pPr>
          </w:p>
        </w:tc>
        <w:tc>
          <w:tcPr>
            <w:tcW w:w="823" w:type="pct"/>
            <w:vAlign w:val="center"/>
          </w:tcPr>
          <w:p w14:paraId="69731397">
            <w:pPr>
              <w:adjustRightInd w:val="0"/>
              <w:snapToGrid w:val="0"/>
              <w:rPr>
                <w:rFonts w:hint="eastAsia"/>
                <w:bCs/>
                <w:spacing w:val="-10"/>
                <w:szCs w:val="21"/>
              </w:rPr>
            </w:pPr>
            <w:r>
              <w:rPr>
                <w:bCs/>
                <w:spacing w:val="-10"/>
                <w:szCs w:val="21"/>
              </w:rPr>
              <w:t>极高危害（P1）</w:t>
            </w:r>
          </w:p>
        </w:tc>
        <w:tc>
          <w:tcPr>
            <w:tcW w:w="924" w:type="pct"/>
            <w:vAlign w:val="center"/>
          </w:tcPr>
          <w:p w14:paraId="7EC38129">
            <w:pPr>
              <w:adjustRightInd w:val="0"/>
              <w:snapToGrid w:val="0"/>
              <w:rPr>
                <w:rFonts w:hint="eastAsia"/>
                <w:bCs/>
                <w:spacing w:val="-10"/>
                <w:szCs w:val="21"/>
              </w:rPr>
            </w:pPr>
            <w:r>
              <w:rPr>
                <w:bCs/>
                <w:spacing w:val="-10"/>
                <w:szCs w:val="21"/>
              </w:rPr>
              <w:t>高度危害（P2）</w:t>
            </w:r>
          </w:p>
        </w:tc>
        <w:tc>
          <w:tcPr>
            <w:tcW w:w="898" w:type="pct"/>
            <w:vAlign w:val="center"/>
          </w:tcPr>
          <w:p w14:paraId="2D3F0505">
            <w:pPr>
              <w:adjustRightInd w:val="0"/>
              <w:snapToGrid w:val="0"/>
              <w:rPr>
                <w:rFonts w:hint="eastAsia"/>
                <w:bCs/>
                <w:spacing w:val="-10"/>
                <w:szCs w:val="21"/>
              </w:rPr>
            </w:pPr>
            <w:r>
              <w:rPr>
                <w:bCs/>
                <w:spacing w:val="-10"/>
                <w:szCs w:val="21"/>
              </w:rPr>
              <w:t>中度危害（P3）</w:t>
            </w:r>
          </w:p>
        </w:tc>
        <w:tc>
          <w:tcPr>
            <w:tcW w:w="880" w:type="pct"/>
            <w:vAlign w:val="center"/>
          </w:tcPr>
          <w:p w14:paraId="65B065DC">
            <w:pPr>
              <w:adjustRightInd w:val="0"/>
              <w:snapToGrid w:val="0"/>
              <w:rPr>
                <w:rFonts w:hint="eastAsia"/>
                <w:bCs/>
                <w:spacing w:val="-10"/>
                <w:szCs w:val="21"/>
              </w:rPr>
            </w:pPr>
            <w:r>
              <w:rPr>
                <w:bCs/>
                <w:spacing w:val="-10"/>
                <w:szCs w:val="21"/>
              </w:rPr>
              <w:t>轻度危害</w:t>
            </w:r>
          </w:p>
          <w:p w14:paraId="3B4088FB">
            <w:pPr>
              <w:adjustRightInd w:val="0"/>
              <w:snapToGrid w:val="0"/>
              <w:rPr>
                <w:rFonts w:hint="eastAsia"/>
                <w:bCs/>
                <w:spacing w:val="-10"/>
                <w:szCs w:val="21"/>
              </w:rPr>
            </w:pPr>
            <w:r>
              <w:rPr>
                <w:bCs/>
                <w:spacing w:val="-10"/>
                <w:szCs w:val="21"/>
              </w:rPr>
              <w:t>（P4）</w:t>
            </w:r>
          </w:p>
        </w:tc>
      </w:tr>
      <w:tr w14:paraId="112A2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trPr>
        <w:tc>
          <w:tcPr>
            <w:tcW w:w="1475" w:type="pct"/>
            <w:vAlign w:val="center"/>
          </w:tcPr>
          <w:p w14:paraId="1B5683E8">
            <w:pPr>
              <w:adjustRightInd w:val="0"/>
              <w:snapToGrid w:val="0"/>
              <w:rPr>
                <w:rFonts w:hint="eastAsia"/>
                <w:bCs/>
                <w:spacing w:val="-10"/>
                <w:szCs w:val="21"/>
              </w:rPr>
            </w:pPr>
            <w:r>
              <w:rPr>
                <w:bCs/>
                <w:spacing w:val="-10"/>
                <w:szCs w:val="21"/>
              </w:rPr>
              <w:t>环境高敏感度区（E1）</w:t>
            </w:r>
          </w:p>
        </w:tc>
        <w:tc>
          <w:tcPr>
            <w:tcW w:w="823" w:type="pct"/>
            <w:vAlign w:val="center"/>
          </w:tcPr>
          <w:p w14:paraId="610F223D">
            <w:pPr>
              <w:adjustRightInd w:val="0"/>
              <w:snapToGrid w:val="0"/>
              <w:rPr>
                <w:rFonts w:hint="eastAsia"/>
                <w:bCs/>
                <w:spacing w:val="-10"/>
                <w:szCs w:val="21"/>
              </w:rPr>
            </w:pPr>
            <w:r>
              <w:rPr>
                <w:bCs/>
                <w:spacing w:val="-10"/>
                <w:szCs w:val="21"/>
              </w:rPr>
              <w:t>IV</w:t>
            </w:r>
            <w:r>
              <w:rPr>
                <w:bCs/>
                <w:spacing w:val="-10"/>
                <w:szCs w:val="21"/>
                <w:vertAlign w:val="superscript"/>
              </w:rPr>
              <w:t>+</w:t>
            </w:r>
          </w:p>
        </w:tc>
        <w:tc>
          <w:tcPr>
            <w:tcW w:w="924" w:type="pct"/>
            <w:vAlign w:val="center"/>
          </w:tcPr>
          <w:p w14:paraId="1CA15887">
            <w:pPr>
              <w:adjustRightInd w:val="0"/>
              <w:snapToGrid w:val="0"/>
              <w:rPr>
                <w:rFonts w:hint="eastAsia"/>
                <w:bCs/>
                <w:spacing w:val="-10"/>
                <w:szCs w:val="21"/>
              </w:rPr>
            </w:pPr>
            <w:r>
              <w:rPr>
                <w:bCs/>
                <w:spacing w:val="-10"/>
                <w:szCs w:val="21"/>
              </w:rPr>
              <w:t>IV</w:t>
            </w:r>
          </w:p>
        </w:tc>
        <w:tc>
          <w:tcPr>
            <w:tcW w:w="898" w:type="pct"/>
            <w:vAlign w:val="center"/>
          </w:tcPr>
          <w:p w14:paraId="74CDE8C3">
            <w:pPr>
              <w:adjustRightInd w:val="0"/>
              <w:snapToGrid w:val="0"/>
              <w:rPr>
                <w:rFonts w:hint="eastAsia"/>
                <w:bCs/>
                <w:spacing w:val="-10"/>
                <w:szCs w:val="21"/>
              </w:rPr>
            </w:pPr>
            <w:r>
              <w:rPr>
                <w:bCs/>
                <w:spacing w:val="-10"/>
                <w:szCs w:val="21"/>
              </w:rPr>
              <w:t>III</w:t>
            </w:r>
          </w:p>
        </w:tc>
        <w:tc>
          <w:tcPr>
            <w:tcW w:w="880" w:type="pct"/>
            <w:vAlign w:val="center"/>
          </w:tcPr>
          <w:p w14:paraId="1A678A1C">
            <w:pPr>
              <w:adjustRightInd w:val="0"/>
              <w:snapToGrid w:val="0"/>
              <w:rPr>
                <w:rFonts w:hint="eastAsia"/>
                <w:bCs/>
                <w:spacing w:val="-10"/>
                <w:szCs w:val="21"/>
              </w:rPr>
            </w:pPr>
            <w:r>
              <w:rPr>
                <w:bCs/>
                <w:spacing w:val="-10"/>
                <w:szCs w:val="21"/>
              </w:rPr>
              <w:t>III</w:t>
            </w:r>
          </w:p>
        </w:tc>
      </w:tr>
      <w:tr w14:paraId="3828E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trPr>
        <w:tc>
          <w:tcPr>
            <w:tcW w:w="1475" w:type="pct"/>
            <w:vAlign w:val="center"/>
          </w:tcPr>
          <w:p w14:paraId="18DB0A49">
            <w:pPr>
              <w:adjustRightInd w:val="0"/>
              <w:snapToGrid w:val="0"/>
              <w:rPr>
                <w:rFonts w:hint="eastAsia"/>
                <w:bCs/>
                <w:spacing w:val="-10"/>
                <w:szCs w:val="21"/>
              </w:rPr>
            </w:pPr>
            <w:r>
              <w:rPr>
                <w:bCs/>
                <w:spacing w:val="-10"/>
                <w:szCs w:val="21"/>
              </w:rPr>
              <w:t>环境中敏感度区（E2）</w:t>
            </w:r>
          </w:p>
        </w:tc>
        <w:tc>
          <w:tcPr>
            <w:tcW w:w="823" w:type="pct"/>
            <w:vAlign w:val="center"/>
          </w:tcPr>
          <w:p w14:paraId="2626415A">
            <w:pPr>
              <w:adjustRightInd w:val="0"/>
              <w:snapToGrid w:val="0"/>
              <w:rPr>
                <w:rFonts w:hint="eastAsia"/>
                <w:bCs/>
                <w:spacing w:val="-10"/>
                <w:szCs w:val="21"/>
              </w:rPr>
            </w:pPr>
            <w:r>
              <w:rPr>
                <w:bCs/>
                <w:spacing w:val="-10"/>
                <w:szCs w:val="21"/>
              </w:rPr>
              <w:t>IV</w:t>
            </w:r>
          </w:p>
        </w:tc>
        <w:tc>
          <w:tcPr>
            <w:tcW w:w="924" w:type="pct"/>
            <w:vAlign w:val="center"/>
          </w:tcPr>
          <w:p w14:paraId="24A5E154">
            <w:pPr>
              <w:adjustRightInd w:val="0"/>
              <w:snapToGrid w:val="0"/>
              <w:rPr>
                <w:rFonts w:hint="eastAsia"/>
                <w:bCs/>
                <w:spacing w:val="-10"/>
                <w:szCs w:val="21"/>
              </w:rPr>
            </w:pPr>
            <w:r>
              <w:rPr>
                <w:bCs/>
                <w:spacing w:val="-10"/>
                <w:szCs w:val="21"/>
              </w:rPr>
              <w:t>III</w:t>
            </w:r>
          </w:p>
        </w:tc>
        <w:tc>
          <w:tcPr>
            <w:tcW w:w="898" w:type="pct"/>
            <w:vAlign w:val="center"/>
          </w:tcPr>
          <w:p w14:paraId="0AC21FDF">
            <w:pPr>
              <w:adjustRightInd w:val="0"/>
              <w:snapToGrid w:val="0"/>
              <w:rPr>
                <w:rFonts w:hint="eastAsia"/>
                <w:bCs/>
                <w:spacing w:val="-10"/>
                <w:szCs w:val="21"/>
              </w:rPr>
            </w:pPr>
            <w:r>
              <w:rPr>
                <w:bCs/>
                <w:spacing w:val="-10"/>
                <w:szCs w:val="21"/>
              </w:rPr>
              <w:t>III</w:t>
            </w:r>
          </w:p>
        </w:tc>
        <w:tc>
          <w:tcPr>
            <w:tcW w:w="880" w:type="pct"/>
            <w:vAlign w:val="center"/>
          </w:tcPr>
          <w:p w14:paraId="544D6502">
            <w:pPr>
              <w:adjustRightInd w:val="0"/>
              <w:snapToGrid w:val="0"/>
              <w:rPr>
                <w:rFonts w:hint="eastAsia"/>
                <w:bCs/>
                <w:spacing w:val="-10"/>
                <w:szCs w:val="21"/>
              </w:rPr>
            </w:pPr>
            <w:r>
              <w:rPr>
                <w:bCs/>
                <w:spacing w:val="-10"/>
                <w:szCs w:val="21"/>
              </w:rPr>
              <w:t>II</w:t>
            </w:r>
          </w:p>
        </w:tc>
      </w:tr>
      <w:tr w14:paraId="30C25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trPr>
        <w:tc>
          <w:tcPr>
            <w:tcW w:w="1475" w:type="pct"/>
            <w:vAlign w:val="center"/>
          </w:tcPr>
          <w:p w14:paraId="13BFD1E2">
            <w:pPr>
              <w:adjustRightInd w:val="0"/>
              <w:snapToGrid w:val="0"/>
              <w:rPr>
                <w:rFonts w:hint="eastAsia"/>
                <w:bCs/>
                <w:spacing w:val="-10"/>
                <w:szCs w:val="21"/>
              </w:rPr>
            </w:pPr>
            <w:r>
              <w:rPr>
                <w:bCs/>
                <w:spacing w:val="-10"/>
                <w:szCs w:val="21"/>
              </w:rPr>
              <w:t>环境低敏感度区（E3）</w:t>
            </w:r>
          </w:p>
        </w:tc>
        <w:tc>
          <w:tcPr>
            <w:tcW w:w="823" w:type="pct"/>
            <w:vAlign w:val="center"/>
          </w:tcPr>
          <w:p w14:paraId="40E38492">
            <w:pPr>
              <w:adjustRightInd w:val="0"/>
              <w:snapToGrid w:val="0"/>
              <w:rPr>
                <w:rFonts w:hint="eastAsia"/>
                <w:bCs/>
                <w:spacing w:val="-10"/>
                <w:szCs w:val="21"/>
              </w:rPr>
            </w:pPr>
            <w:r>
              <w:rPr>
                <w:bCs/>
                <w:spacing w:val="-10"/>
                <w:szCs w:val="21"/>
              </w:rPr>
              <w:t>III</w:t>
            </w:r>
          </w:p>
        </w:tc>
        <w:tc>
          <w:tcPr>
            <w:tcW w:w="924" w:type="pct"/>
            <w:vAlign w:val="center"/>
          </w:tcPr>
          <w:p w14:paraId="7361BB17">
            <w:pPr>
              <w:adjustRightInd w:val="0"/>
              <w:snapToGrid w:val="0"/>
              <w:rPr>
                <w:rFonts w:hint="eastAsia"/>
                <w:bCs/>
                <w:spacing w:val="-10"/>
                <w:szCs w:val="21"/>
              </w:rPr>
            </w:pPr>
            <w:r>
              <w:rPr>
                <w:bCs/>
                <w:spacing w:val="-10"/>
                <w:szCs w:val="21"/>
              </w:rPr>
              <w:t>III</w:t>
            </w:r>
          </w:p>
        </w:tc>
        <w:tc>
          <w:tcPr>
            <w:tcW w:w="898" w:type="pct"/>
            <w:vAlign w:val="center"/>
          </w:tcPr>
          <w:p w14:paraId="07534A55">
            <w:pPr>
              <w:adjustRightInd w:val="0"/>
              <w:snapToGrid w:val="0"/>
              <w:rPr>
                <w:rFonts w:hint="eastAsia"/>
                <w:bCs/>
                <w:spacing w:val="-10"/>
                <w:szCs w:val="21"/>
              </w:rPr>
            </w:pPr>
            <w:r>
              <w:rPr>
                <w:bCs/>
                <w:spacing w:val="-10"/>
                <w:szCs w:val="21"/>
              </w:rPr>
              <w:t>II</w:t>
            </w:r>
          </w:p>
        </w:tc>
        <w:tc>
          <w:tcPr>
            <w:tcW w:w="880" w:type="pct"/>
            <w:vAlign w:val="center"/>
          </w:tcPr>
          <w:p w14:paraId="215764CA">
            <w:pPr>
              <w:adjustRightInd w:val="0"/>
              <w:snapToGrid w:val="0"/>
              <w:rPr>
                <w:rFonts w:hint="eastAsia"/>
                <w:bCs/>
                <w:spacing w:val="-10"/>
                <w:szCs w:val="21"/>
              </w:rPr>
            </w:pPr>
            <w:r>
              <w:rPr>
                <w:bCs/>
                <w:spacing w:val="-10"/>
                <w:szCs w:val="21"/>
              </w:rPr>
              <w:t>I</w:t>
            </w:r>
          </w:p>
        </w:tc>
      </w:tr>
      <w:tr w14:paraId="058F0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trPr>
        <w:tc>
          <w:tcPr>
            <w:tcW w:w="5000" w:type="pct"/>
            <w:gridSpan w:val="5"/>
            <w:vAlign w:val="center"/>
          </w:tcPr>
          <w:p w14:paraId="2BC0266E">
            <w:pPr>
              <w:adjustRightInd w:val="0"/>
              <w:snapToGrid w:val="0"/>
              <w:rPr>
                <w:rFonts w:hint="eastAsia"/>
                <w:bCs/>
                <w:spacing w:val="-10"/>
                <w:szCs w:val="21"/>
              </w:rPr>
            </w:pPr>
            <w:r>
              <w:rPr>
                <w:bCs/>
                <w:spacing w:val="-10"/>
                <w:szCs w:val="21"/>
              </w:rPr>
              <w:t>注：IV</w:t>
            </w:r>
            <w:r>
              <w:rPr>
                <w:bCs/>
                <w:spacing w:val="-10"/>
                <w:szCs w:val="21"/>
                <w:vertAlign w:val="superscript"/>
              </w:rPr>
              <w:t>+</w:t>
            </w:r>
            <w:r>
              <w:rPr>
                <w:bCs/>
                <w:spacing w:val="-10"/>
                <w:szCs w:val="21"/>
              </w:rPr>
              <w:t>为极高环境风险</w:t>
            </w:r>
          </w:p>
        </w:tc>
      </w:tr>
    </w:tbl>
    <w:p w14:paraId="5A301CC3">
      <w:pPr>
        <w:pStyle w:val="72"/>
        <w:rPr>
          <w:snapToGrid w:val="0"/>
        </w:rPr>
      </w:pPr>
    </w:p>
    <w:p w14:paraId="02CC523D">
      <w:pPr>
        <w:adjustRightInd w:val="0"/>
        <w:snapToGrid w:val="0"/>
        <w:ind w:firstLine="440" w:firstLineChars="200"/>
        <w:rPr>
          <w:rFonts w:hint="eastAsia"/>
          <w:bCs/>
          <w:spacing w:val="-10"/>
        </w:rPr>
      </w:pPr>
      <w:r>
        <w:rPr>
          <w:bCs/>
          <w:spacing w:val="-10"/>
        </w:rPr>
        <w:t>（1）大气环境</w:t>
      </w:r>
    </w:p>
    <w:p w14:paraId="235A4100">
      <w:pPr>
        <w:adjustRightInd w:val="0"/>
        <w:snapToGrid w:val="0"/>
        <w:ind w:firstLine="440" w:firstLineChars="200"/>
        <w:rPr>
          <w:rFonts w:hint="eastAsia"/>
          <w:bCs/>
          <w:spacing w:val="-10"/>
        </w:rPr>
      </w:pPr>
      <w:r>
        <w:rPr>
          <w:bCs/>
          <w:spacing w:val="-10"/>
        </w:rPr>
        <w:t>本项目危险物质及工艺系统危险性为P2，大气环境敏感性为E3，环境风险潜势确定为Ⅲ级。</w:t>
      </w:r>
    </w:p>
    <w:p w14:paraId="75A6D092">
      <w:pPr>
        <w:adjustRightInd w:val="0"/>
        <w:snapToGrid w:val="0"/>
        <w:ind w:firstLine="440" w:firstLineChars="200"/>
        <w:rPr>
          <w:rFonts w:hint="eastAsia"/>
          <w:bCs/>
          <w:spacing w:val="-10"/>
        </w:rPr>
      </w:pPr>
      <w:r>
        <w:rPr>
          <w:bCs/>
          <w:spacing w:val="-10"/>
        </w:rPr>
        <w:t>（</w:t>
      </w:r>
      <w:r>
        <w:rPr>
          <w:rFonts w:hint="eastAsia"/>
          <w:bCs/>
          <w:spacing w:val="-10"/>
        </w:rPr>
        <w:t>2</w:t>
      </w:r>
      <w:r>
        <w:rPr>
          <w:bCs/>
          <w:spacing w:val="-10"/>
        </w:rPr>
        <w:t>）</w:t>
      </w:r>
      <w:r>
        <w:rPr>
          <w:rFonts w:hint="eastAsia"/>
          <w:bCs/>
          <w:spacing w:val="-10"/>
        </w:rPr>
        <w:t>地表水环境</w:t>
      </w:r>
    </w:p>
    <w:p w14:paraId="62739D95">
      <w:pPr>
        <w:adjustRightInd w:val="0"/>
        <w:snapToGrid w:val="0"/>
        <w:ind w:firstLine="440" w:firstLineChars="200"/>
        <w:rPr>
          <w:rFonts w:hint="eastAsia"/>
          <w:bCs/>
          <w:spacing w:val="-10"/>
        </w:rPr>
      </w:pPr>
      <w:r>
        <w:rPr>
          <w:bCs/>
          <w:spacing w:val="-10"/>
        </w:rPr>
        <w:t>本项目危险物质及工艺系统危险性为P2，</w:t>
      </w:r>
      <w:r>
        <w:rPr>
          <w:rFonts w:hint="eastAsia"/>
          <w:bCs/>
          <w:spacing w:val="-10"/>
        </w:rPr>
        <w:t>地表水</w:t>
      </w:r>
      <w:r>
        <w:rPr>
          <w:bCs/>
          <w:spacing w:val="-10"/>
        </w:rPr>
        <w:t>环境敏感性为E3，环境风险潜势确定为Ⅲ级。</w:t>
      </w:r>
    </w:p>
    <w:p w14:paraId="587C683A">
      <w:pPr>
        <w:adjustRightInd w:val="0"/>
        <w:snapToGrid w:val="0"/>
        <w:ind w:firstLine="440" w:firstLineChars="200"/>
        <w:rPr>
          <w:rFonts w:hint="eastAsia"/>
          <w:bCs/>
          <w:spacing w:val="-10"/>
        </w:rPr>
      </w:pPr>
      <w:r>
        <w:rPr>
          <w:rFonts w:hint="eastAsia"/>
          <w:bCs/>
          <w:spacing w:val="-10"/>
        </w:rPr>
        <w:t>（3）</w:t>
      </w:r>
      <w:r>
        <w:rPr>
          <w:bCs/>
          <w:spacing w:val="-10"/>
        </w:rPr>
        <w:t>地下水环境</w:t>
      </w:r>
    </w:p>
    <w:p w14:paraId="37B760FF">
      <w:pPr>
        <w:adjustRightInd w:val="0"/>
        <w:snapToGrid w:val="0"/>
        <w:ind w:firstLine="440" w:firstLineChars="200"/>
        <w:rPr>
          <w:rFonts w:hint="eastAsia"/>
          <w:bCs/>
          <w:spacing w:val="-10"/>
        </w:rPr>
      </w:pPr>
      <w:r>
        <w:rPr>
          <w:bCs/>
          <w:spacing w:val="-10"/>
        </w:rPr>
        <w:t>本项目危险物质及工艺系统危险性为P2，地下水环境敏感性为E2，环境风险潜势确定为Ⅲ级。</w:t>
      </w:r>
    </w:p>
    <w:p w14:paraId="33A92DCB">
      <w:pPr>
        <w:adjustRightInd w:val="0"/>
        <w:snapToGrid w:val="0"/>
        <w:ind w:firstLine="440" w:firstLineChars="200"/>
        <w:rPr>
          <w:rFonts w:hint="eastAsia"/>
          <w:bCs/>
          <w:spacing w:val="-10"/>
        </w:rPr>
      </w:pPr>
    </w:p>
    <w:p w14:paraId="2E47DF14">
      <w:pPr>
        <w:adjustRightInd w:val="0"/>
        <w:snapToGrid w:val="0"/>
        <w:spacing w:line="360" w:lineRule="auto"/>
        <w:rPr>
          <w:rFonts w:hint="eastAsia"/>
          <w:b/>
          <w:bCs/>
          <w:spacing w:val="-10"/>
        </w:rPr>
      </w:pPr>
      <w:r>
        <w:rPr>
          <w:b/>
          <w:bCs/>
          <w:spacing w:val="-10"/>
        </w:rPr>
        <w:t>5</w:t>
      </w:r>
      <w:r>
        <w:rPr>
          <w:rFonts w:hint="eastAsia"/>
          <w:b/>
          <w:bCs/>
          <w:spacing w:val="-10"/>
        </w:rPr>
        <w:t xml:space="preserve"> </w:t>
      </w:r>
      <w:bookmarkStart w:id="24" w:name="_Toc209811151"/>
      <w:r>
        <w:rPr>
          <w:b/>
          <w:bCs/>
          <w:spacing w:val="-10"/>
        </w:rPr>
        <w:t>评价等级及评价范围</w:t>
      </w:r>
      <w:bookmarkEnd w:id="24"/>
    </w:p>
    <w:p w14:paraId="1645BD16">
      <w:pPr>
        <w:adjustRightInd w:val="0"/>
        <w:snapToGrid w:val="0"/>
        <w:spacing w:line="360" w:lineRule="auto"/>
        <w:rPr>
          <w:rFonts w:hint="eastAsia"/>
          <w:b/>
          <w:bCs/>
          <w:spacing w:val="-10"/>
        </w:rPr>
      </w:pPr>
      <w:r>
        <w:rPr>
          <w:rFonts w:hint="eastAsia"/>
          <w:b/>
          <w:bCs/>
          <w:spacing w:val="-10"/>
        </w:rPr>
        <w:t>5.1</w:t>
      </w:r>
      <w:r>
        <w:rPr>
          <w:b/>
          <w:bCs/>
          <w:spacing w:val="-10"/>
        </w:rPr>
        <w:t>环境风险评价工作等级</w:t>
      </w:r>
    </w:p>
    <w:p w14:paraId="51876E42">
      <w:pPr>
        <w:adjustRightInd w:val="0"/>
        <w:snapToGrid w:val="0"/>
        <w:spacing w:line="360" w:lineRule="auto"/>
        <w:ind w:firstLine="440" w:firstLineChars="200"/>
        <w:rPr>
          <w:rFonts w:hint="eastAsia"/>
          <w:bCs/>
          <w:spacing w:val="-10"/>
        </w:rPr>
      </w:pPr>
      <w:r>
        <w:rPr>
          <w:bCs/>
          <w:spacing w:val="-10"/>
        </w:rPr>
        <w:t>根据《建设项目环境风险评价技术导则》（H169-2018）规定：“环境风险评价工作是依据建设项目涉及的物质及工艺系统危险性和所在地的环境敏感性确定环境风险潜势进行分级，环境影响评价工作等级划分为一级、二级、三级”，工作等级划分见表6-</w:t>
      </w:r>
      <w:r>
        <w:rPr>
          <w:rFonts w:hint="eastAsia"/>
          <w:bCs/>
          <w:spacing w:val="-10"/>
        </w:rPr>
        <w:t>21</w:t>
      </w:r>
      <w:r>
        <w:rPr>
          <w:bCs/>
          <w:spacing w:val="-10"/>
        </w:rPr>
        <w:t>。</w:t>
      </w:r>
    </w:p>
    <w:p w14:paraId="539DC845">
      <w:pPr>
        <w:adjustRightInd w:val="0"/>
        <w:snapToGrid w:val="0"/>
        <w:jc w:val="center"/>
        <w:rPr>
          <w:rFonts w:hint="eastAsia"/>
          <w:b/>
          <w:bCs/>
          <w:spacing w:val="-10"/>
        </w:rPr>
      </w:pPr>
      <w:r>
        <w:rPr>
          <w:b/>
          <w:bCs/>
          <w:spacing w:val="-10"/>
        </w:rPr>
        <w:t>表6-</w:t>
      </w:r>
      <w:r>
        <w:rPr>
          <w:rFonts w:hint="eastAsia"/>
          <w:b/>
          <w:bCs/>
          <w:spacing w:val="-10"/>
        </w:rPr>
        <w:t xml:space="preserve">21  </w:t>
      </w:r>
      <w:r>
        <w:rPr>
          <w:b/>
          <w:bCs/>
          <w:spacing w:val="-10"/>
        </w:rPr>
        <w:t>评价工作等级划分</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5"/>
        <w:gridCol w:w="1867"/>
        <w:gridCol w:w="970"/>
        <w:gridCol w:w="970"/>
        <w:gridCol w:w="2098"/>
      </w:tblGrid>
      <w:tr w14:paraId="31095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7" w:type="pct"/>
            <w:vAlign w:val="center"/>
          </w:tcPr>
          <w:p w14:paraId="6718E74A">
            <w:pPr>
              <w:adjustRightInd w:val="0"/>
              <w:snapToGrid w:val="0"/>
              <w:jc w:val="center"/>
              <w:rPr>
                <w:rFonts w:hint="eastAsia"/>
                <w:bCs/>
                <w:spacing w:val="-10"/>
                <w:szCs w:val="21"/>
              </w:rPr>
            </w:pPr>
            <w:r>
              <w:rPr>
                <w:bCs/>
                <w:spacing w:val="-10"/>
                <w:szCs w:val="21"/>
              </w:rPr>
              <w:t>环境风险潜势</w:t>
            </w:r>
          </w:p>
        </w:tc>
        <w:tc>
          <w:tcPr>
            <w:tcW w:w="1057" w:type="pct"/>
            <w:vAlign w:val="center"/>
          </w:tcPr>
          <w:p w14:paraId="416DF51F">
            <w:pPr>
              <w:adjustRightInd w:val="0"/>
              <w:snapToGrid w:val="0"/>
              <w:jc w:val="center"/>
              <w:rPr>
                <w:rFonts w:hint="eastAsia"/>
                <w:bCs/>
                <w:spacing w:val="-10"/>
                <w:szCs w:val="21"/>
              </w:rPr>
            </w:pPr>
            <w:r>
              <w:rPr>
                <w:bCs/>
                <w:spacing w:val="-10"/>
                <w:szCs w:val="21"/>
              </w:rPr>
              <w:t>Ⅳ、Ⅳ</w:t>
            </w:r>
            <w:r>
              <w:rPr>
                <w:bCs/>
                <w:spacing w:val="-10"/>
                <w:szCs w:val="21"/>
                <w:vertAlign w:val="superscript"/>
              </w:rPr>
              <w:t>+</w:t>
            </w:r>
          </w:p>
        </w:tc>
        <w:tc>
          <w:tcPr>
            <w:tcW w:w="549" w:type="pct"/>
            <w:vAlign w:val="center"/>
          </w:tcPr>
          <w:p w14:paraId="32618E0A">
            <w:pPr>
              <w:adjustRightInd w:val="0"/>
              <w:snapToGrid w:val="0"/>
              <w:jc w:val="center"/>
              <w:rPr>
                <w:rFonts w:hint="eastAsia"/>
                <w:bCs/>
                <w:spacing w:val="-10"/>
                <w:szCs w:val="21"/>
              </w:rPr>
            </w:pPr>
            <w:r>
              <w:rPr>
                <w:bCs/>
                <w:spacing w:val="-10"/>
                <w:szCs w:val="21"/>
              </w:rPr>
              <w:t>Ⅲ</w:t>
            </w:r>
          </w:p>
        </w:tc>
        <w:tc>
          <w:tcPr>
            <w:tcW w:w="549" w:type="pct"/>
          </w:tcPr>
          <w:p w14:paraId="6392DF10">
            <w:pPr>
              <w:adjustRightInd w:val="0"/>
              <w:snapToGrid w:val="0"/>
              <w:jc w:val="center"/>
              <w:rPr>
                <w:rFonts w:hint="eastAsia"/>
                <w:bCs/>
                <w:spacing w:val="-10"/>
                <w:szCs w:val="21"/>
              </w:rPr>
            </w:pPr>
            <w:r>
              <w:rPr>
                <w:bCs/>
                <w:spacing w:val="-10"/>
                <w:szCs w:val="21"/>
              </w:rPr>
              <w:t>Ⅱ</w:t>
            </w:r>
          </w:p>
        </w:tc>
        <w:tc>
          <w:tcPr>
            <w:tcW w:w="1189" w:type="pct"/>
          </w:tcPr>
          <w:p w14:paraId="148442F4">
            <w:pPr>
              <w:adjustRightInd w:val="0"/>
              <w:snapToGrid w:val="0"/>
              <w:jc w:val="center"/>
              <w:rPr>
                <w:rFonts w:hint="eastAsia"/>
                <w:bCs/>
                <w:spacing w:val="-10"/>
                <w:szCs w:val="21"/>
              </w:rPr>
            </w:pPr>
            <w:r>
              <w:rPr>
                <w:bCs/>
                <w:spacing w:val="-10"/>
                <w:szCs w:val="21"/>
              </w:rPr>
              <w:t>Ⅰ</w:t>
            </w:r>
          </w:p>
        </w:tc>
      </w:tr>
      <w:tr w14:paraId="1819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7" w:type="pct"/>
            <w:vAlign w:val="center"/>
          </w:tcPr>
          <w:p w14:paraId="4D94D48F">
            <w:pPr>
              <w:adjustRightInd w:val="0"/>
              <w:snapToGrid w:val="0"/>
              <w:jc w:val="center"/>
              <w:rPr>
                <w:rFonts w:hint="eastAsia"/>
                <w:bCs/>
                <w:spacing w:val="-10"/>
                <w:szCs w:val="21"/>
              </w:rPr>
            </w:pPr>
            <w:r>
              <w:rPr>
                <w:bCs/>
                <w:spacing w:val="-10"/>
                <w:szCs w:val="21"/>
              </w:rPr>
              <w:t>评价工作等级</w:t>
            </w:r>
          </w:p>
        </w:tc>
        <w:tc>
          <w:tcPr>
            <w:tcW w:w="1057" w:type="pct"/>
            <w:vAlign w:val="center"/>
          </w:tcPr>
          <w:p w14:paraId="61AB41AC">
            <w:pPr>
              <w:adjustRightInd w:val="0"/>
              <w:snapToGrid w:val="0"/>
              <w:jc w:val="center"/>
              <w:rPr>
                <w:rFonts w:hint="eastAsia"/>
                <w:bCs/>
                <w:spacing w:val="-10"/>
                <w:szCs w:val="21"/>
              </w:rPr>
            </w:pPr>
            <w:r>
              <w:rPr>
                <w:bCs/>
                <w:spacing w:val="-10"/>
                <w:szCs w:val="21"/>
              </w:rPr>
              <w:t>一</w:t>
            </w:r>
          </w:p>
        </w:tc>
        <w:tc>
          <w:tcPr>
            <w:tcW w:w="549" w:type="pct"/>
            <w:vAlign w:val="center"/>
          </w:tcPr>
          <w:p w14:paraId="02034785">
            <w:pPr>
              <w:adjustRightInd w:val="0"/>
              <w:snapToGrid w:val="0"/>
              <w:jc w:val="center"/>
              <w:rPr>
                <w:rFonts w:hint="eastAsia"/>
                <w:bCs/>
                <w:spacing w:val="-10"/>
                <w:szCs w:val="21"/>
              </w:rPr>
            </w:pPr>
            <w:r>
              <w:rPr>
                <w:bCs/>
                <w:spacing w:val="-10"/>
                <w:szCs w:val="21"/>
              </w:rPr>
              <w:t>二</w:t>
            </w:r>
          </w:p>
        </w:tc>
        <w:tc>
          <w:tcPr>
            <w:tcW w:w="549" w:type="pct"/>
          </w:tcPr>
          <w:p w14:paraId="52DB593C">
            <w:pPr>
              <w:adjustRightInd w:val="0"/>
              <w:snapToGrid w:val="0"/>
              <w:jc w:val="center"/>
              <w:rPr>
                <w:rFonts w:hint="eastAsia"/>
                <w:bCs/>
                <w:spacing w:val="-10"/>
                <w:szCs w:val="21"/>
              </w:rPr>
            </w:pPr>
            <w:r>
              <w:rPr>
                <w:bCs/>
                <w:spacing w:val="-10"/>
                <w:szCs w:val="21"/>
              </w:rPr>
              <w:t>三</w:t>
            </w:r>
          </w:p>
        </w:tc>
        <w:tc>
          <w:tcPr>
            <w:tcW w:w="1189" w:type="pct"/>
          </w:tcPr>
          <w:p w14:paraId="43FB3B2D">
            <w:pPr>
              <w:adjustRightInd w:val="0"/>
              <w:snapToGrid w:val="0"/>
              <w:jc w:val="center"/>
              <w:rPr>
                <w:rFonts w:hint="eastAsia"/>
                <w:bCs/>
                <w:spacing w:val="-10"/>
                <w:szCs w:val="21"/>
              </w:rPr>
            </w:pPr>
            <w:r>
              <w:rPr>
                <w:bCs/>
                <w:spacing w:val="-10"/>
                <w:szCs w:val="21"/>
              </w:rPr>
              <w:t>简单分析</w:t>
            </w:r>
          </w:p>
        </w:tc>
      </w:tr>
    </w:tbl>
    <w:p w14:paraId="376AA6F1">
      <w:pPr>
        <w:pStyle w:val="72"/>
        <w:rPr>
          <w:snapToGrid w:val="0"/>
        </w:rPr>
      </w:pPr>
    </w:p>
    <w:p w14:paraId="1193368F">
      <w:pPr>
        <w:adjustRightInd w:val="0"/>
        <w:snapToGrid w:val="0"/>
        <w:spacing w:line="360" w:lineRule="auto"/>
        <w:ind w:firstLine="440" w:firstLineChars="200"/>
        <w:rPr>
          <w:rFonts w:hint="eastAsia"/>
          <w:bCs/>
          <w:spacing w:val="-10"/>
        </w:rPr>
      </w:pPr>
      <w:r>
        <w:rPr>
          <w:bCs/>
          <w:spacing w:val="-10"/>
        </w:rPr>
        <w:t>本项目大气环境风险潜势为</w:t>
      </w:r>
      <w:r>
        <w:rPr>
          <w:rFonts w:hint="eastAsia"/>
          <w:bCs/>
          <w:spacing w:val="-10"/>
        </w:rPr>
        <w:t>Ⅲ</w:t>
      </w:r>
      <w:r>
        <w:rPr>
          <w:bCs/>
          <w:spacing w:val="-10"/>
        </w:rPr>
        <w:t>级，</w:t>
      </w:r>
      <w:r>
        <w:rPr>
          <w:rFonts w:hint="eastAsia"/>
          <w:bCs/>
          <w:spacing w:val="-10"/>
        </w:rPr>
        <w:t>地表</w:t>
      </w:r>
      <w:r>
        <w:rPr>
          <w:bCs/>
          <w:spacing w:val="-10"/>
        </w:rPr>
        <w:t>水环境风险潜势为</w:t>
      </w:r>
      <w:r>
        <w:rPr>
          <w:rFonts w:hint="eastAsia"/>
          <w:bCs/>
          <w:spacing w:val="-10"/>
        </w:rPr>
        <w:t>Ⅲ</w:t>
      </w:r>
      <w:r>
        <w:rPr>
          <w:bCs/>
          <w:spacing w:val="-10"/>
        </w:rPr>
        <w:t>级，地下水环境风险潜势为</w:t>
      </w:r>
      <w:r>
        <w:rPr>
          <w:rFonts w:hint="eastAsia"/>
          <w:bCs/>
          <w:spacing w:val="-10"/>
        </w:rPr>
        <w:t>Ⅲ</w:t>
      </w:r>
      <w:r>
        <w:rPr>
          <w:bCs/>
          <w:spacing w:val="-10"/>
        </w:rPr>
        <w:t>级。因此，本项目环境风险评价等级确定为</w:t>
      </w:r>
      <w:r>
        <w:rPr>
          <w:rFonts w:hint="eastAsia"/>
          <w:bCs/>
          <w:spacing w:val="-10"/>
        </w:rPr>
        <w:t>二级</w:t>
      </w:r>
      <w:r>
        <w:rPr>
          <w:bCs/>
          <w:spacing w:val="-10"/>
        </w:rPr>
        <w:t>。</w:t>
      </w:r>
    </w:p>
    <w:p w14:paraId="044CA0A6">
      <w:pPr>
        <w:adjustRightInd w:val="0"/>
        <w:snapToGrid w:val="0"/>
        <w:spacing w:line="360" w:lineRule="auto"/>
        <w:rPr>
          <w:rFonts w:hint="eastAsia"/>
          <w:b/>
          <w:spacing w:val="-10"/>
        </w:rPr>
      </w:pPr>
      <w:r>
        <w:rPr>
          <w:rFonts w:hint="eastAsia"/>
          <w:b/>
          <w:spacing w:val="-10"/>
        </w:rPr>
        <w:t>5.2</w:t>
      </w:r>
      <w:r>
        <w:rPr>
          <w:b/>
          <w:spacing w:val="-10"/>
        </w:rPr>
        <w:t>评价范围</w:t>
      </w:r>
    </w:p>
    <w:p w14:paraId="0ABBA2ED">
      <w:pPr>
        <w:adjustRightInd w:val="0"/>
        <w:snapToGrid w:val="0"/>
        <w:spacing w:line="360" w:lineRule="auto"/>
        <w:ind w:firstLine="440" w:firstLineChars="200"/>
        <w:rPr>
          <w:rFonts w:hint="eastAsia"/>
          <w:bCs/>
          <w:spacing w:val="-10"/>
        </w:rPr>
      </w:pPr>
      <w:r>
        <w:rPr>
          <w:bCs/>
          <w:spacing w:val="-10"/>
        </w:rPr>
        <w:t>根据《建设项目环境风险评价技术导则》（HJ169-2018）中评价范围的规定，项目的环境风险评价范围具体如下：</w:t>
      </w:r>
    </w:p>
    <w:p w14:paraId="5B660E6D">
      <w:pPr>
        <w:adjustRightInd w:val="0"/>
        <w:snapToGrid w:val="0"/>
        <w:spacing w:line="360" w:lineRule="auto"/>
        <w:ind w:firstLine="440" w:firstLineChars="200"/>
        <w:rPr>
          <w:rFonts w:hint="eastAsia"/>
          <w:bCs/>
          <w:spacing w:val="-10"/>
        </w:rPr>
      </w:pPr>
      <w:r>
        <w:rPr>
          <w:bCs/>
          <w:spacing w:val="-10"/>
        </w:rPr>
        <w:t>（1）大气环境风险评价范围</w:t>
      </w:r>
    </w:p>
    <w:p w14:paraId="75444B81">
      <w:pPr>
        <w:adjustRightInd w:val="0"/>
        <w:snapToGrid w:val="0"/>
        <w:spacing w:line="360" w:lineRule="auto"/>
        <w:ind w:firstLine="440" w:firstLineChars="200"/>
        <w:rPr>
          <w:rFonts w:ascii="Times New Roman" w:hAnsi="Times New Roman" w:cs="Times New Roman"/>
          <w:bCs/>
          <w:spacing w:val="-10"/>
        </w:rPr>
      </w:pPr>
      <w:r>
        <w:rPr>
          <w:rFonts w:ascii="Times New Roman" w:hAnsi="Times New Roman" w:cs="Times New Roman"/>
          <w:bCs/>
          <w:spacing w:val="-10"/>
        </w:rPr>
        <w:t>距离建设项目边界5.0km范围内。</w:t>
      </w:r>
    </w:p>
    <w:p w14:paraId="581180E2">
      <w:pPr>
        <w:adjustRightInd w:val="0"/>
        <w:snapToGrid w:val="0"/>
        <w:spacing w:line="360" w:lineRule="auto"/>
        <w:ind w:firstLine="440" w:firstLineChars="200"/>
        <w:rPr>
          <w:rFonts w:hint="eastAsia"/>
          <w:bCs/>
          <w:spacing w:val="-10"/>
        </w:rPr>
      </w:pPr>
      <w:r>
        <w:rPr>
          <w:bCs/>
          <w:spacing w:val="-10"/>
        </w:rPr>
        <w:t>（2）地表水环境风险评价范围</w:t>
      </w:r>
    </w:p>
    <w:p w14:paraId="328A4308">
      <w:pPr>
        <w:pStyle w:val="42"/>
        <w:ind w:firstLine="480"/>
        <w:rPr>
          <w:bCs/>
          <w:spacing w:val="-10"/>
        </w:rPr>
      </w:pPr>
      <w:r>
        <w:rPr>
          <w:rFonts w:hint="eastAsia"/>
          <w:color w:val="000000" w:themeColor="text1"/>
          <w14:textFill>
            <w14:solidFill>
              <w14:schemeClr w14:val="tx1"/>
            </w14:solidFill>
          </w14:textFill>
        </w:rPr>
        <w:t>根据《环境影响评价技术导则地表水环境》（</w:t>
      </w:r>
      <w:r>
        <w:rPr>
          <w:color w:val="000000" w:themeColor="text1"/>
          <w14:textFill>
            <w14:solidFill>
              <w14:schemeClr w14:val="tx1"/>
            </w14:solidFill>
          </w14:textFill>
        </w:rPr>
        <w:t>HJ2.3-2018</w:t>
      </w:r>
      <w:r>
        <w:rPr>
          <w:rFonts w:hint="eastAsia"/>
          <w:color w:val="000000" w:themeColor="text1"/>
          <w14:textFill>
            <w14:solidFill>
              <w14:schemeClr w14:val="tx1"/>
            </w14:solidFill>
          </w14:textFill>
        </w:rPr>
        <w:t>），本项目生产废水、生活污水等经厂内污水处理站处理后，送园区污水处理厂，按三级</w:t>
      </w:r>
      <w:r>
        <w:rPr>
          <w:color w:val="000000" w:themeColor="text1"/>
          <w14:textFill>
            <w14:solidFill>
              <w14:schemeClr w14:val="tx1"/>
            </w14:solidFill>
          </w14:textFill>
        </w:rPr>
        <w:t>B</w:t>
      </w:r>
      <w:r>
        <w:rPr>
          <w:rFonts w:hint="eastAsia"/>
          <w:color w:val="000000" w:themeColor="text1"/>
          <w14:textFill>
            <w14:solidFill>
              <w14:schemeClr w14:val="tx1"/>
            </w14:solidFill>
          </w14:textFill>
        </w:rPr>
        <w:t>评价。</w:t>
      </w:r>
    </w:p>
    <w:p w14:paraId="7D3A5714">
      <w:pPr>
        <w:adjustRightInd w:val="0"/>
        <w:snapToGrid w:val="0"/>
        <w:spacing w:line="360" w:lineRule="auto"/>
        <w:ind w:firstLine="440" w:firstLineChars="200"/>
        <w:rPr>
          <w:rFonts w:hint="eastAsia"/>
          <w:bCs/>
          <w:spacing w:val="-10"/>
        </w:rPr>
      </w:pPr>
      <w:r>
        <w:rPr>
          <w:bCs/>
          <w:spacing w:val="-10"/>
        </w:rPr>
        <w:t>（3）地下水环境风险评价范围</w:t>
      </w:r>
    </w:p>
    <w:p w14:paraId="422B9DEA">
      <w:pPr>
        <w:pStyle w:val="4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根据《环境影响评价技术导则地下水环境》（</w:t>
      </w:r>
      <w:r>
        <w:rPr>
          <w:color w:val="000000" w:themeColor="text1"/>
          <w14:textFill>
            <w14:solidFill>
              <w14:schemeClr w14:val="tx1"/>
            </w14:solidFill>
          </w14:textFill>
        </w:rPr>
        <w:t>HJ 610-2016</w:t>
      </w:r>
      <w:r>
        <w:rPr>
          <w:rFonts w:hint="eastAsia"/>
          <w:color w:val="000000" w:themeColor="text1"/>
          <w14:textFill>
            <w14:solidFill>
              <w14:schemeClr w14:val="tx1"/>
            </w14:solidFill>
          </w14:textFill>
        </w:rPr>
        <w:t>），本项目地下水环境风险评价范围按照查表法确定：厂界南侧上游</w:t>
      </w:r>
      <w:r>
        <w:rPr>
          <w:color w:val="000000" w:themeColor="text1"/>
          <w14:textFill>
            <w14:solidFill>
              <w14:schemeClr w14:val="tx1"/>
            </w14:solidFill>
          </w14:textFill>
        </w:rPr>
        <w:t>1km</w:t>
      </w:r>
      <w:r>
        <w:rPr>
          <w:rFonts w:hint="eastAsia"/>
          <w:color w:val="000000" w:themeColor="text1"/>
          <w14:textFill>
            <w14:solidFill>
              <w14:schemeClr w14:val="tx1"/>
            </w14:solidFill>
          </w14:textFill>
        </w:rPr>
        <w:t>，厂界北侧下游</w:t>
      </w:r>
      <w:r>
        <w:rPr>
          <w:color w:val="000000" w:themeColor="text1"/>
          <w14:textFill>
            <w14:solidFill>
              <w14:schemeClr w14:val="tx1"/>
            </w14:solidFill>
          </w14:textFill>
        </w:rPr>
        <w:t>3km</w:t>
      </w:r>
      <w:r>
        <w:rPr>
          <w:rFonts w:hint="eastAsia"/>
          <w:color w:val="000000" w:themeColor="text1"/>
          <w14:textFill>
            <w14:solidFill>
              <w14:schemeClr w14:val="tx1"/>
            </w14:solidFill>
          </w14:textFill>
        </w:rPr>
        <w:t>，侧向西侧、东侧各</w:t>
      </w:r>
      <w:r>
        <w:rPr>
          <w:color w:val="000000" w:themeColor="text1"/>
          <w14:textFill>
            <w14:solidFill>
              <w14:schemeClr w14:val="tx1"/>
            </w14:solidFill>
          </w14:textFill>
        </w:rPr>
        <w:t>1km</w:t>
      </w:r>
      <w:r>
        <w:rPr>
          <w:rFonts w:hint="eastAsia"/>
          <w:color w:val="000000" w:themeColor="text1"/>
          <w14:textFill>
            <w14:solidFill>
              <w14:schemeClr w14:val="tx1"/>
            </w14:solidFill>
          </w14:textFill>
        </w:rPr>
        <w:t>，面积约</w:t>
      </w:r>
      <w:r>
        <w:rPr>
          <w:color w:val="000000" w:themeColor="text1"/>
          <w14:textFill>
            <w14:solidFill>
              <w14:schemeClr w14:val="tx1"/>
            </w14:solidFill>
          </w14:textFill>
        </w:rPr>
        <w:t>8km</w:t>
      </w:r>
      <w:r>
        <w:rPr>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的矩形区域作为地下水环境评价范围。</w:t>
      </w:r>
    </w:p>
    <w:p w14:paraId="063A6E61">
      <w:pPr>
        <w:pStyle w:val="42"/>
        <w:ind w:firstLine="480"/>
        <w:jc w:val="center"/>
        <w:rPr>
          <w:color w:val="000000" w:themeColor="text1"/>
          <w14:textFill>
            <w14:solidFill>
              <w14:schemeClr w14:val="tx1"/>
            </w14:solidFill>
          </w14:textFill>
        </w:rPr>
      </w:pPr>
    </w:p>
    <w:p w14:paraId="131C01FF">
      <w:pPr>
        <w:pStyle w:val="42"/>
        <w:ind w:firstLine="482"/>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图6.1  评价范围与敏感目标分布图</w:t>
      </w:r>
    </w:p>
    <w:bookmarkEnd w:id="21"/>
    <w:bookmarkEnd w:id="22"/>
    <w:p w14:paraId="57A0B89B">
      <w:pPr>
        <w:adjustRightInd w:val="0"/>
        <w:snapToGrid w:val="0"/>
        <w:spacing w:line="360" w:lineRule="auto"/>
        <w:rPr>
          <w:rFonts w:hint="eastAsia"/>
          <w:b/>
          <w:bCs/>
          <w:spacing w:val="-10"/>
        </w:rPr>
      </w:pPr>
      <w:r>
        <w:rPr>
          <w:b/>
          <w:bCs/>
          <w:spacing w:val="-10"/>
        </w:rPr>
        <w:t>6</w:t>
      </w:r>
      <w:r>
        <w:rPr>
          <w:rFonts w:hint="eastAsia"/>
          <w:b/>
          <w:bCs/>
          <w:spacing w:val="-10"/>
        </w:rPr>
        <w:t xml:space="preserve"> </w:t>
      </w:r>
      <w:r>
        <w:rPr>
          <w:b/>
          <w:bCs/>
          <w:spacing w:val="-10"/>
        </w:rPr>
        <w:t>环境风险识别</w:t>
      </w:r>
    </w:p>
    <w:p w14:paraId="4BD6F60A">
      <w:pPr>
        <w:adjustRightInd w:val="0"/>
        <w:snapToGrid w:val="0"/>
        <w:spacing w:line="360" w:lineRule="auto"/>
        <w:rPr>
          <w:rFonts w:hint="eastAsia"/>
          <w:b/>
          <w:spacing w:val="-10"/>
        </w:rPr>
      </w:pPr>
      <w:r>
        <w:rPr>
          <w:b/>
          <w:spacing w:val="-10"/>
        </w:rPr>
        <w:t>6.1物质风险识别</w:t>
      </w:r>
    </w:p>
    <w:p w14:paraId="05FD5533">
      <w:pPr>
        <w:adjustRightInd w:val="0"/>
        <w:snapToGrid w:val="0"/>
        <w:spacing w:line="360" w:lineRule="auto"/>
        <w:ind w:firstLine="440" w:firstLineChars="200"/>
        <w:rPr>
          <w:rFonts w:hint="eastAsia"/>
          <w:bCs/>
          <w:spacing w:val="-10"/>
        </w:rPr>
      </w:pPr>
      <w:r>
        <w:rPr>
          <w:rFonts w:hint="eastAsia"/>
          <w:bCs/>
          <w:spacing w:val="-10"/>
        </w:rPr>
        <w:t>本项目设计的原辅料及产品</w:t>
      </w:r>
      <w:r>
        <w:rPr>
          <w:bCs/>
          <w:spacing w:val="-10"/>
        </w:rPr>
        <w:t>包含MTBE、异辛烷、轻质石脑油、混合芳烃、轻质燃料油、煤基柴油，以及成品92#、95#车用汽油、车用柴油。所有物料均属于易燃液体类危险化学品，具备易燃、易挥发特性，部分组分兼具毒性，泄漏后易引发火灾、爆炸及次生污染风险。</w:t>
      </w:r>
    </w:p>
    <w:p w14:paraId="5888E31B">
      <w:pPr>
        <w:adjustRightInd w:val="0"/>
        <w:snapToGrid w:val="0"/>
        <w:spacing w:line="360" w:lineRule="auto"/>
        <w:ind w:firstLine="440" w:firstLineChars="200"/>
        <w:rPr>
          <w:rFonts w:hint="eastAsia"/>
          <w:bCs/>
          <w:spacing w:val="-10"/>
        </w:rPr>
      </w:pPr>
      <w:r>
        <w:rPr>
          <w:bCs/>
          <w:spacing w:val="-10"/>
        </w:rPr>
        <w:t>参照《建设项目环境风险评价技术导则》（HJ169-2018）《环境风险评价实用技术和方法》（胡二邦主编）《危险化学品安全技术全书》（第二版）《职业性接触毒物危害程度分级》（GBZ230-2010）《危险化学品目录（2015 版）》（2022年第8号修订）等技术规范中的相关要求，本评价对项目涉及</w:t>
      </w:r>
      <w:r>
        <w:rPr>
          <w:rFonts w:hint="eastAsia"/>
          <w:bCs/>
          <w:spacing w:val="-10"/>
        </w:rPr>
        <w:t>的</w:t>
      </w:r>
      <w:r>
        <w:rPr>
          <w:bCs/>
          <w:spacing w:val="-10"/>
        </w:rPr>
        <w:t>物料特性进行分析。</w:t>
      </w:r>
    </w:p>
    <w:p w14:paraId="167D706E">
      <w:pPr>
        <w:adjustRightInd w:val="0"/>
        <w:snapToGrid w:val="0"/>
        <w:spacing w:line="360" w:lineRule="auto"/>
        <w:ind w:firstLine="440" w:firstLineChars="200"/>
        <w:rPr>
          <w:rFonts w:hint="eastAsia"/>
          <w:bCs/>
          <w:spacing w:val="-10"/>
        </w:rPr>
      </w:pPr>
      <w:r>
        <w:rPr>
          <w:rFonts w:hint="eastAsia"/>
          <w:bCs/>
          <w:spacing w:val="-10"/>
        </w:rPr>
        <w:t>本项目</w:t>
      </w:r>
      <w:r>
        <w:rPr>
          <w:bCs/>
          <w:spacing w:val="-10"/>
        </w:rPr>
        <w:t>涉及的易燃易爆物质特性见表6-</w:t>
      </w:r>
      <w:r>
        <w:rPr>
          <w:rFonts w:hint="eastAsia"/>
          <w:bCs/>
          <w:spacing w:val="-10"/>
        </w:rPr>
        <w:t>22</w:t>
      </w:r>
      <w:r>
        <w:rPr>
          <w:bCs/>
          <w:spacing w:val="-10"/>
        </w:rPr>
        <w:t>。</w:t>
      </w:r>
    </w:p>
    <w:p w14:paraId="654EFBD5">
      <w:pPr>
        <w:adjustRightInd w:val="0"/>
        <w:snapToGrid w:val="0"/>
        <w:jc w:val="center"/>
        <w:rPr>
          <w:rFonts w:hint="eastAsia"/>
          <w:b/>
          <w:bCs/>
          <w:spacing w:val="-10"/>
        </w:rPr>
      </w:pPr>
      <w:r>
        <w:rPr>
          <w:b/>
          <w:bCs/>
          <w:spacing w:val="-10"/>
        </w:rPr>
        <w:t>表6-</w:t>
      </w:r>
      <w:r>
        <w:rPr>
          <w:rFonts w:hint="eastAsia"/>
          <w:b/>
          <w:bCs/>
          <w:spacing w:val="-10"/>
        </w:rPr>
        <w:t xml:space="preserve">22  </w:t>
      </w:r>
      <w:r>
        <w:rPr>
          <w:b/>
          <w:bCs/>
          <w:spacing w:val="-10"/>
        </w:rPr>
        <w:t>本项目涉及的易燃易爆物质特性一览表</w:t>
      </w:r>
    </w:p>
    <w:tbl>
      <w:tblPr>
        <w:tblStyle w:val="16"/>
        <w:tblW w:w="46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4"/>
        <w:gridCol w:w="899"/>
        <w:gridCol w:w="1014"/>
        <w:gridCol w:w="919"/>
        <w:gridCol w:w="1031"/>
        <w:gridCol w:w="965"/>
        <w:gridCol w:w="2401"/>
      </w:tblGrid>
      <w:tr w14:paraId="2E83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4" w:type="pct"/>
            <w:vAlign w:val="center"/>
          </w:tcPr>
          <w:p w14:paraId="22200C59">
            <w:pPr>
              <w:adjustRightInd w:val="0"/>
              <w:snapToGrid w:val="0"/>
              <w:jc w:val="center"/>
              <w:rPr>
                <w:rFonts w:hint="eastAsia"/>
                <w:bCs/>
                <w:spacing w:val="-10"/>
                <w:szCs w:val="21"/>
              </w:rPr>
            </w:pPr>
            <w:r>
              <w:rPr>
                <w:bCs/>
                <w:spacing w:val="-10"/>
                <w:szCs w:val="21"/>
              </w:rPr>
              <w:t>物质名称</w:t>
            </w:r>
          </w:p>
        </w:tc>
        <w:tc>
          <w:tcPr>
            <w:tcW w:w="546" w:type="pct"/>
            <w:vAlign w:val="center"/>
          </w:tcPr>
          <w:p w14:paraId="4286705F">
            <w:pPr>
              <w:adjustRightInd w:val="0"/>
              <w:snapToGrid w:val="0"/>
              <w:jc w:val="center"/>
              <w:rPr>
                <w:rFonts w:hint="eastAsia"/>
                <w:bCs/>
                <w:spacing w:val="-10"/>
                <w:szCs w:val="21"/>
              </w:rPr>
            </w:pPr>
            <w:r>
              <w:rPr>
                <w:bCs/>
                <w:spacing w:val="-10"/>
                <w:szCs w:val="21"/>
              </w:rPr>
              <w:t>熔点（℃）</w:t>
            </w:r>
          </w:p>
        </w:tc>
        <w:tc>
          <w:tcPr>
            <w:tcW w:w="616" w:type="pct"/>
            <w:vAlign w:val="center"/>
          </w:tcPr>
          <w:p w14:paraId="3A91D5A3">
            <w:pPr>
              <w:adjustRightInd w:val="0"/>
              <w:snapToGrid w:val="0"/>
              <w:jc w:val="center"/>
              <w:rPr>
                <w:rFonts w:hint="eastAsia"/>
                <w:bCs/>
                <w:spacing w:val="-10"/>
                <w:szCs w:val="21"/>
              </w:rPr>
            </w:pPr>
            <w:r>
              <w:rPr>
                <w:bCs/>
                <w:spacing w:val="-10"/>
                <w:szCs w:val="21"/>
              </w:rPr>
              <w:t>沸点（℃）</w:t>
            </w:r>
          </w:p>
        </w:tc>
        <w:tc>
          <w:tcPr>
            <w:tcW w:w="559" w:type="pct"/>
            <w:vAlign w:val="center"/>
          </w:tcPr>
          <w:p w14:paraId="07BDA1FD">
            <w:pPr>
              <w:adjustRightInd w:val="0"/>
              <w:snapToGrid w:val="0"/>
              <w:jc w:val="center"/>
              <w:rPr>
                <w:rFonts w:hint="eastAsia"/>
                <w:bCs/>
                <w:spacing w:val="-10"/>
                <w:szCs w:val="21"/>
              </w:rPr>
            </w:pPr>
            <w:r>
              <w:rPr>
                <w:bCs/>
                <w:spacing w:val="-10"/>
                <w:szCs w:val="21"/>
              </w:rPr>
              <w:t>闪点（℃）</w:t>
            </w:r>
          </w:p>
        </w:tc>
        <w:tc>
          <w:tcPr>
            <w:tcW w:w="627" w:type="pct"/>
            <w:vAlign w:val="center"/>
          </w:tcPr>
          <w:p w14:paraId="10FC1D3D">
            <w:pPr>
              <w:adjustRightInd w:val="0"/>
              <w:snapToGrid w:val="0"/>
              <w:jc w:val="center"/>
              <w:rPr>
                <w:rFonts w:hint="eastAsia"/>
                <w:bCs/>
                <w:spacing w:val="-10"/>
                <w:szCs w:val="21"/>
              </w:rPr>
            </w:pPr>
            <w:r>
              <w:rPr>
                <w:bCs/>
                <w:spacing w:val="-10"/>
                <w:szCs w:val="21"/>
              </w:rPr>
              <w:t>引燃点（℃）</w:t>
            </w:r>
          </w:p>
        </w:tc>
        <w:tc>
          <w:tcPr>
            <w:tcW w:w="587" w:type="pct"/>
            <w:vAlign w:val="center"/>
          </w:tcPr>
          <w:p w14:paraId="32FA54B9">
            <w:pPr>
              <w:adjustRightInd w:val="0"/>
              <w:snapToGrid w:val="0"/>
              <w:jc w:val="center"/>
              <w:rPr>
                <w:rFonts w:hint="eastAsia"/>
                <w:bCs/>
                <w:spacing w:val="-10"/>
                <w:szCs w:val="21"/>
              </w:rPr>
            </w:pPr>
            <w:r>
              <w:rPr>
                <w:bCs/>
                <w:spacing w:val="-10"/>
                <w:szCs w:val="21"/>
              </w:rPr>
              <w:t>爆炸极限%V</w:t>
            </w:r>
          </w:p>
        </w:tc>
        <w:tc>
          <w:tcPr>
            <w:tcW w:w="1460" w:type="pct"/>
            <w:vAlign w:val="center"/>
          </w:tcPr>
          <w:p w14:paraId="48911373">
            <w:pPr>
              <w:adjustRightInd w:val="0"/>
              <w:snapToGrid w:val="0"/>
              <w:jc w:val="center"/>
              <w:rPr>
                <w:rFonts w:hint="eastAsia"/>
                <w:bCs/>
                <w:spacing w:val="-10"/>
                <w:szCs w:val="21"/>
              </w:rPr>
            </w:pPr>
            <w:r>
              <w:rPr>
                <w:bCs/>
                <w:spacing w:val="-10"/>
                <w:szCs w:val="21"/>
              </w:rPr>
              <w:t>危险</w:t>
            </w:r>
            <w:r>
              <w:rPr>
                <w:rFonts w:hint="eastAsia"/>
                <w:bCs/>
                <w:spacing w:val="-10"/>
                <w:szCs w:val="21"/>
              </w:rPr>
              <w:t>性</w:t>
            </w:r>
            <w:r>
              <w:rPr>
                <w:bCs/>
                <w:spacing w:val="-10"/>
                <w:szCs w:val="21"/>
              </w:rPr>
              <w:t>类别</w:t>
            </w:r>
          </w:p>
        </w:tc>
      </w:tr>
      <w:tr w14:paraId="59BBA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4" w:type="pct"/>
            <w:vAlign w:val="center"/>
          </w:tcPr>
          <w:p w14:paraId="0B99051B">
            <w:pPr>
              <w:adjustRightInd w:val="0"/>
              <w:snapToGrid w:val="0"/>
              <w:jc w:val="center"/>
              <w:rPr>
                <w:rFonts w:hint="eastAsia"/>
                <w:bCs/>
                <w:spacing w:val="-10"/>
                <w:szCs w:val="21"/>
              </w:rPr>
            </w:pPr>
            <w:r>
              <w:rPr>
                <w:bCs/>
                <w:spacing w:val="-10"/>
                <w:szCs w:val="21"/>
              </w:rPr>
              <w:t>柴油</w:t>
            </w:r>
          </w:p>
        </w:tc>
        <w:tc>
          <w:tcPr>
            <w:tcW w:w="546" w:type="pct"/>
            <w:vAlign w:val="center"/>
          </w:tcPr>
          <w:p w14:paraId="08659D4A">
            <w:pPr>
              <w:adjustRightInd w:val="0"/>
              <w:snapToGrid w:val="0"/>
              <w:jc w:val="center"/>
              <w:rPr>
                <w:rFonts w:hint="eastAsia"/>
                <w:bCs/>
                <w:spacing w:val="-10"/>
                <w:szCs w:val="21"/>
              </w:rPr>
            </w:pPr>
            <w:r>
              <w:rPr>
                <w:bCs/>
                <w:spacing w:val="-10"/>
                <w:szCs w:val="21"/>
              </w:rPr>
              <w:t>＜-18</w:t>
            </w:r>
          </w:p>
        </w:tc>
        <w:tc>
          <w:tcPr>
            <w:tcW w:w="616" w:type="pct"/>
            <w:vAlign w:val="center"/>
          </w:tcPr>
          <w:p w14:paraId="3D4FCBC1">
            <w:pPr>
              <w:adjustRightInd w:val="0"/>
              <w:snapToGrid w:val="0"/>
              <w:jc w:val="center"/>
              <w:rPr>
                <w:rFonts w:hint="eastAsia"/>
                <w:bCs/>
                <w:spacing w:val="-10"/>
                <w:szCs w:val="21"/>
              </w:rPr>
            </w:pPr>
            <w:r>
              <w:rPr>
                <w:bCs/>
                <w:spacing w:val="-10"/>
                <w:szCs w:val="21"/>
              </w:rPr>
              <w:t>282-338</w:t>
            </w:r>
          </w:p>
        </w:tc>
        <w:tc>
          <w:tcPr>
            <w:tcW w:w="559" w:type="pct"/>
            <w:vAlign w:val="center"/>
          </w:tcPr>
          <w:p w14:paraId="39487F39">
            <w:pPr>
              <w:adjustRightInd w:val="0"/>
              <w:snapToGrid w:val="0"/>
              <w:jc w:val="center"/>
              <w:rPr>
                <w:rFonts w:hint="eastAsia"/>
                <w:bCs/>
                <w:spacing w:val="-10"/>
                <w:szCs w:val="21"/>
              </w:rPr>
            </w:pPr>
            <w:r>
              <w:rPr>
                <w:bCs/>
                <w:spacing w:val="-10"/>
                <w:szCs w:val="21"/>
              </w:rPr>
              <w:t>55</w:t>
            </w:r>
          </w:p>
        </w:tc>
        <w:tc>
          <w:tcPr>
            <w:tcW w:w="627" w:type="pct"/>
            <w:vAlign w:val="center"/>
          </w:tcPr>
          <w:p w14:paraId="2D45703F">
            <w:pPr>
              <w:adjustRightInd w:val="0"/>
              <w:snapToGrid w:val="0"/>
              <w:jc w:val="center"/>
              <w:rPr>
                <w:rFonts w:hint="eastAsia"/>
                <w:bCs/>
                <w:spacing w:val="-10"/>
                <w:szCs w:val="21"/>
              </w:rPr>
            </w:pPr>
            <w:r>
              <w:rPr>
                <w:bCs/>
                <w:spacing w:val="-10"/>
                <w:szCs w:val="21"/>
              </w:rPr>
              <w:t>257</w:t>
            </w:r>
          </w:p>
        </w:tc>
        <w:tc>
          <w:tcPr>
            <w:tcW w:w="587" w:type="pct"/>
            <w:vAlign w:val="center"/>
          </w:tcPr>
          <w:p w14:paraId="5BEFDFC0">
            <w:pPr>
              <w:adjustRightInd w:val="0"/>
              <w:snapToGrid w:val="0"/>
              <w:jc w:val="center"/>
              <w:rPr>
                <w:rFonts w:hint="eastAsia"/>
                <w:bCs/>
                <w:spacing w:val="-10"/>
                <w:szCs w:val="21"/>
              </w:rPr>
            </w:pPr>
            <w:r>
              <w:rPr>
                <w:bCs/>
                <w:spacing w:val="-10"/>
                <w:szCs w:val="21"/>
              </w:rPr>
              <w:t>0.6-7.5</w:t>
            </w:r>
          </w:p>
        </w:tc>
        <w:tc>
          <w:tcPr>
            <w:tcW w:w="1460" w:type="pct"/>
            <w:vAlign w:val="center"/>
          </w:tcPr>
          <w:p w14:paraId="1C67B1CD">
            <w:pPr>
              <w:adjustRightInd w:val="0"/>
              <w:snapToGrid w:val="0"/>
              <w:jc w:val="center"/>
              <w:rPr>
                <w:rFonts w:hint="eastAsia"/>
                <w:bCs/>
                <w:spacing w:val="-10"/>
                <w:szCs w:val="21"/>
              </w:rPr>
            </w:pPr>
            <w:r>
              <w:rPr>
                <w:bCs/>
                <w:spacing w:val="-10"/>
                <w:szCs w:val="21"/>
              </w:rPr>
              <w:t>易燃液体</w:t>
            </w:r>
            <w:r>
              <w:rPr>
                <w:rFonts w:hint="eastAsia"/>
                <w:bCs/>
                <w:spacing w:val="-10"/>
                <w:szCs w:val="21"/>
              </w:rPr>
              <w:t>，类别3</w:t>
            </w:r>
          </w:p>
        </w:tc>
      </w:tr>
      <w:tr w14:paraId="52DA3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4" w:type="pct"/>
            <w:vAlign w:val="center"/>
          </w:tcPr>
          <w:p w14:paraId="3EB94457">
            <w:pPr>
              <w:adjustRightInd w:val="0"/>
              <w:snapToGrid w:val="0"/>
              <w:jc w:val="center"/>
              <w:rPr>
                <w:rFonts w:hint="eastAsia"/>
                <w:bCs/>
                <w:spacing w:val="-10"/>
                <w:szCs w:val="21"/>
              </w:rPr>
            </w:pPr>
            <w:r>
              <w:rPr>
                <w:rFonts w:hint="eastAsia"/>
                <w:bCs/>
                <w:spacing w:val="-10"/>
                <w:szCs w:val="21"/>
              </w:rPr>
              <w:t>汽油</w:t>
            </w:r>
          </w:p>
        </w:tc>
        <w:tc>
          <w:tcPr>
            <w:tcW w:w="546" w:type="pct"/>
            <w:vAlign w:val="center"/>
          </w:tcPr>
          <w:p w14:paraId="647F872F">
            <w:pPr>
              <w:adjustRightInd w:val="0"/>
              <w:snapToGrid w:val="0"/>
              <w:jc w:val="center"/>
              <w:rPr>
                <w:rFonts w:hint="eastAsia"/>
                <w:bCs/>
                <w:spacing w:val="-10"/>
                <w:szCs w:val="21"/>
              </w:rPr>
            </w:pPr>
            <w:r>
              <w:rPr>
                <w:rFonts w:hint="eastAsia"/>
                <w:bCs/>
                <w:spacing w:val="-10"/>
                <w:szCs w:val="21"/>
              </w:rPr>
              <w:t>-95.4~-90.5</w:t>
            </w:r>
          </w:p>
        </w:tc>
        <w:tc>
          <w:tcPr>
            <w:tcW w:w="616" w:type="pct"/>
            <w:vAlign w:val="center"/>
          </w:tcPr>
          <w:p w14:paraId="0B71FE27">
            <w:pPr>
              <w:adjustRightInd w:val="0"/>
              <w:snapToGrid w:val="0"/>
              <w:jc w:val="center"/>
              <w:rPr>
                <w:rFonts w:hint="eastAsia"/>
                <w:bCs/>
                <w:spacing w:val="-10"/>
                <w:szCs w:val="21"/>
              </w:rPr>
            </w:pPr>
            <w:r>
              <w:rPr>
                <w:rFonts w:hint="eastAsia"/>
                <w:bCs/>
                <w:spacing w:val="-10"/>
                <w:szCs w:val="21"/>
              </w:rPr>
              <w:t>25~220</w:t>
            </w:r>
          </w:p>
        </w:tc>
        <w:tc>
          <w:tcPr>
            <w:tcW w:w="559" w:type="pct"/>
            <w:vAlign w:val="center"/>
          </w:tcPr>
          <w:p w14:paraId="2F2FDD1C">
            <w:pPr>
              <w:adjustRightInd w:val="0"/>
              <w:snapToGrid w:val="0"/>
              <w:jc w:val="center"/>
              <w:rPr>
                <w:rFonts w:hint="eastAsia"/>
                <w:bCs/>
                <w:spacing w:val="-10"/>
                <w:szCs w:val="21"/>
              </w:rPr>
            </w:pPr>
            <w:r>
              <w:rPr>
                <w:rFonts w:hint="eastAsia"/>
                <w:bCs/>
                <w:spacing w:val="-10"/>
                <w:szCs w:val="21"/>
              </w:rPr>
              <w:t>-58~10</w:t>
            </w:r>
          </w:p>
        </w:tc>
        <w:tc>
          <w:tcPr>
            <w:tcW w:w="627" w:type="pct"/>
            <w:vAlign w:val="center"/>
          </w:tcPr>
          <w:p w14:paraId="5A4244D3">
            <w:pPr>
              <w:adjustRightInd w:val="0"/>
              <w:snapToGrid w:val="0"/>
              <w:jc w:val="center"/>
              <w:rPr>
                <w:rFonts w:hint="eastAsia"/>
                <w:bCs/>
                <w:spacing w:val="-10"/>
                <w:szCs w:val="21"/>
              </w:rPr>
            </w:pPr>
            <w:r>
              <w:rPr>
                <w:rFonts w:hint="eastAsia"/>
                <w:bCs/>
                <w:spacing w:val="-10"/>
                <w:szCs w:val="21"/>
              </w:rPr>
              <w:t>415~530</w:t>
            </w:r>
          </w:p>
        </w:tc>
        <w:tc>
          <w:tcPr>
            <w:tcW w:w="587" w:type="pct"/>
            <w:vAlign w:val="center"/>
          </w:tcPr>
          <w:p w14:paraId="3B5741B2">
            <w:pPr>
              <w:adjustRightInd w:val="0"/>
              <w:snapToGrid w:val="0"/>
              <w:jc w:val="center"/>
              <w:rPr>
                <w:rFonts w:hint="eastAsia"/>
                <w:bCs/>
                <w:spacing w:val="-10"/>
                <w:szCs w:val="21"/>
              </w:rPr>
            </w:pPr>
            <w:r>
              <w:rPr>
                <w:rFonts w:hint="eastAsia"/>
                <w:bCs/>
                <w:spacing w:val="-10"/>
                <w:szCs w:val="21"/>
              </w:rPr>
              <w:t>1.3-6.0</w:t>
            </w:r>
          </w:p>
        </w:tc>
        <w:tc>
          <w:tcPr>
            <w:tcW w:w="1460" w:type="pct"/>
            <w:vAlign w:val="center"/>
          </w:tcPr>
          <w:p w14:paraId="1D802AD9">
            <w:pPr>
              <w:adjustRightInd w:val="0"/>
              <w:snapToGrid w:val="0"/>
              <w:jc w:val="center"/>
              <w:rPr>
                <w:rFonts w:hint="eastAsia"/>
                <w:bCs/>
                <w:spacing w:val="-10"/>
                <w:szCs w:val="21"/>
              </w:rPr>
            </w:pPr>
            <w:r>
              <w:rPr>
                <w:bCs/>
                <w:spacing w:val="-10"/>
                <w:szCs w:val="21"/>
              </w:rPr>
              <w:t>易燃液体</w:t>
            </w:r>
            <w:r>
              <w:rPr>
                <w:rFonts w:hint="eastAsia"/>
                <w:bCs/>
                <w:spacing w:val="-10"/>
                <w:szCs w:val="21"/>
              </w:rPr>
              <w:t>，类别3</w:t>
            </w:r>
          </w:p>
        </w:tc>
      </w:tr>
      <w:tr w14:paraId="06FF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4" w:type="pct"/>
            <w:vAlign w:val="center"/>
          </w:tcPr>
          <w:p w14:paraId="286E25AC">
            <w:pPr>
              <w:adjustRightInd w:val="0"/>
              <w:snapToGrid w:val="0"/>
              <w:jc w:val="center"/>
              <w:rPr>
                <w:rFonts w:hint="eastAsia"/>
                <w:bCs/>
                <w:spacing w:val="-10"/>
                <w:szCs w:val="21"/>
              </w:rPr>
            </w:pPr>
            <w:r>
              <w:rPr>
                <w:rFonts w:hint="eastAsia"/>
                <w:bCs/>
                <w:spacing w:val="-10"/>
                <w:szCs w:val="21"/>
              </w:rPr>
              <w:t>MTBE</w:t>
            </w:r>
          </w:p>
        </w:tc>
        <w:tc>
          <w:tcPr>
            <w:tcW w:w="546" w:type="pct"/>
            <w:vAlign w:val="center"/>
          </w:tcPr>
          <w:p w14:paraId="24A7FBD2">
            <w:pPr>
              <w:adjustRightInd w:val="0"/>
              <w:snapToGrid w:val="0"/>
              <w:jc w:val="center"/>
              <w:rPr>
                <w:rFonts w:hint="eastAsia"/>
                <w:bCs/>
                <w:spacing w:val="-10"/>
                <w:szCs w:val="21"/>
              </w:rPr>
            </w:pPr>
            <w:r>
              <w:rPr>
                <w:rFonts w:hint="eastAsia"/>
                <w:bCs/>
                <w:spacing w:val="-10"/>
                <w:szCs w:val="21"/>
              </w:rPr>
              <w:t>-109</w:t>
            </w:r>
          </w:p>
        </w:tc>
        <w:tc>
          <w:tcPr>
            <w:tcW w:w="616" w:type="pct"/>
            <w:vAlign w:val="center"/>
          </w:tcPr>
          <w:p w14:paraId="5B7473F0">
            <w:pPr>
              <w:adjustRightInd w:val="0"/>
              <w:snapToGrid w:val="0"/>
              <w:jc w:val="center"/>
              <w:rPr>
                <w:rFonts w:hint="eastAsia"/>
                <w:bCs/>
                <w:spacing w:val="-10"/>
                <w:szCs w:val="21"/>
              </w:rPr>
            </w:pPr>
            <w:r>
              <w:rPr>
                <w:rFonts w:hint="eastAsia"/>
                <w:bCs/>
                <w:spacing w:val="-10"/>
                <w:szCs w:val="21"/>
              </w:rPr>
              <w:t>53</w:t>
            </w:r>
          </w:p>
        </w:tc>
        <w:tc>
          <w:tcPr>
            <w:tcW w:w="559" w:type="pct"/>
            <w:vAlign w:val="center"/>
          </w:tcPr>
          <w:p w14:paraId="1D90B76D">
            <w:pPr>
              <w:adjustRightInd w:val="0"/>
              <w:snapToGrid w:val="0"/>
              <w:jc w:val="center"/>
              <w:rPr>
                <w:rFonts w:hint="eastAsia"/>
                <w:bCs/>
                <w:spacing w:val="-10"/>
                <w:szCs w:val="21"/>
              </w:rPr>
            </w:pPr>
            <w:r>
              <w:rPr>
                <w:rFonts w:hint="eastAsia"/>
                <w:bCs/>
                <w:spacing w:val="-10"/>
                <w:szCs w:val="21"/>
              </w:rPr>
              <w:t>-10</w:t>
            </w:r>
          </w:p>
        </w:tc>
        <w:tc>
          <w:tcPr>
            <w:tcW w:w="627" w:type="pct"/>
            <w:vAlign w:val="center"/>
          </w:tcPr>
          <w:p w14:paraId="53D98007">
            <w:pPr>
              <w:adjustRightInd w:val="0"/>
              <w:snapToGrid w:val="0"/>
              <w:jc w:val="center"/>
              <w:rPr>
                <w:rFonts w:hint="eastAsia"/>
                <w:bCs/>
                <w:spacing w:val="-10"/>
                <w:szCs w:val="21"/>
              </w:rPr>
            </w:pPr>
            <w:r>
              <w:rPr>
                <w:rFonts w:hint="eastAsia"/>
                <w:bCs/>
                <w:spacing w:val="-10"/>
                <w:szCs w:val="21"/>
              </w:rPr>
              <w:t>＞425</w:t>
            </w:r>
          </w:p>
        </w:tc>
        <w:tc>
          <w:tcPr>
            <w:tcW w:w="587" w:type="pct"/>
            <w:vAlign w:val="center"/>
          </w:tcPr>
          <w:p w14:paraId="5A11658E">
            <w:pPr>
              <w:adjustRightInd w:val="0"/>
              <w:snapToGrid w:val="0"/>
              <w:jc w:val="center"/>
              <w:rPr>
                <w:rFonts w:hint="eastAsia"/>
                <w:bCs/>
                <w:spacing w:val="-10"/>
                <w:szCs w:val="21"/>
              </w:rPr>
            </w:pPr>
            <w:r>
              <w:rPr>
                <w:rFonts w:hint="eastAsia"/>
                <w:bCs/>
                <w:spacing w:val="-10"/>
                <w:szCs w:val="21"/>
              </w:rPr>
              <w:t>1.6-15.1</w:t>
            </w:r>
          </w:p>
        </w:tc>
        <w:tc>
          <w:tcPr>
            <w:tcW w:w="1460" w:type="pct"/>
            <w:vAlign w:val="center"/>
          </w:tcPr>
          <w:p w14:paraId="47E155F4">
            <w:pPr>
              <w:adjustRightInd w:val="0"/>
              <w:snapToGrid w:val="0"/>
              <w:jc w:val="center"/>
              <w:rPr>
                <w:rFonts w:hint="eastAsia"/>
                <w:bCs/>
                <w:spacing w:val="-10"/>
                <w:szCs w:val="21"/>
              </w:rPr>
            </w:pPr>
            <w:r>
              <w:rPr>
                <w:rFonts w:hint="eastAsia"/>
                <w:bCs/>
                <w:spacing w:val="-10"/>
                <w:szCs w:val="21"/>
              </w:rPr>
              <w:t>易燃液体，类别2；</w:t>
            </w:r>
          </w:p>
          <w:p w14:paraId="6871F0B2">
            <w:pPr>
              <w:adjustRightInd w:val="0"/>
              <w:snapToGrid w:val="0"/>
              <w:jc w:val="center"/>
              <w:rPr>
                <w:rFonts w:hint="eastAsia"/>
                <w:bCs/>
                <w:spacing w:val="-10"/>
                <w:szCs w:val="21"/>
              </w:rPr>
            </w:pPr>
            <w:r>
              <w:rPr>
                <w:rFonts w:hint="eastAsia"/>
                <w:bCs/>
                <w:spacing w:val="-10"/>
                <w:szCs w:val="21"/>
              </w:rPr>
              <w:t>皮肤腐蚀/刺激，类别2</w:t>
            </w:r>
          </w:p>
        </w:tc>
      </w:tr>
      <w:tr w14:paraId="4544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4" w:type="pct"/>
            <w:vAlign w:val="center"/>
          </w:tcPr>
          <w:p w14:paraId="5135BE3A">
            <w:pPr>
              <w:adjustRightInd w:val="0"/>
              <w:snapToGrid w:val="0"/>
              <w:jc w:val="center"/>
              <w:rPr>
                <w:rFonts w:hint="eastAsia"/>
                <w:bCs/>
                <w:spacing w:val="-10"/>
                <w:szCs w:val="21"/>
              </w:rPr>
            </w:pPr>
            <w:r>
              <w:rPr>
                <w:rFonts w:hint="eastAsia"/>
                <w:bCs/>
                <w:spacing w:val="-10"/>
                <w:szCs w:val="21"/>
              </w:rPr>
              <w:t>异辛烷</w:t>
            </w:r>
          </w:p>
        </w:tc>
        <w:tc>
          <w:tcPr>
            <w:tcW w:w="546" w:type="pct"/>
            <w:vAlign w:val="center"/>
          </w:tcPr>
          <w:p w14:paraId="15CFA5D1">
            <w:pPr>
              <w:adjustRightInd w:val="0"/>
              <w:snapToGrid w:val="0"/>
              <w:jc w:val="center"/>
              <w:rPr>
                <w:rFonts w:hint="eastAsia"/>
                <w:bCs/>
                <w:spacing w:val="-10"/>
                <w:szCs w:val="21"/>
              </w:rPr>
            </w:pPr>
            <w:r>
              <w:rPr>
                <w:rFonts w:hint="eastAsia"/>
                <w:bCs/>
                <w:spacing w:val="-10"/>
                <w:szCs w:val="21"/>
              </w:rPr>
              <w:t>107.4</w:t>
            </w:r>
          </w:p>
        </w:tc>
        <w:tc>
          <w:tcPr>
            <w:tcW w:w="616" w:type="pct"/>
            <w:vAlign w:val="center"/>
          </w:tcPr>
          <w:p w14:paraId="5A19083C">
            <w:pPr>
              <w:adjustRightInd w:val="0"/>
              <w:snapToGrid w:val="0"/>
              <w:jc w:val="center"/>
              <w:rPr>
                <w:rFonts w:hint="eastAsia"/>
                <w:bCs/>
                <w:spacing w:val="-10"/>
                <w:szCs w:val="21"/>
              </w:rPr>
            </w:pPr>
            <w:r>
              <w:rPr>
                <w:rFonts w:hint="eastAsia"/>
                <w:bCs/>
                <w:spacing w:val="-10"/>
                <w:szCs w:val="21"/>
              </w:rPr>
              <w:t>99.2</w:t>
            </w:r>
          </w:p>
        </w:tc>
        <w:tc>
          <w:tcPr>
            <w:tcW w:w="559" w:type="pct"/>
            <w:vAlign w:val="center"/>
          </w:tcPr>
          <w:p w14:paraId="0D5DC050">
            <w:pPr>
              <w:adjustRightInd w:val="0"/>
              <w:snapToGrid w:val="0"/>
              <w:jc w:val="center"/>
              <w:rPr>
                <w:rFonts w:hint="eastAsia"/>
                <w:bCs/>
                <w:spacing w:val="-10"/>
                <w:szCs w:val="21"/>
              </w:rPr>
            </w:pPr>
            <w:r>
              <w:rPr>
                <w:rFonts w:hint="eastAsia"/>
                <w:bCs/>
                <w:spacing w:val="-10"/>
                <w:szCs w:val="21"/>
              </w:rPr>
              <w:t>-12</w:t>
            </w:r>
          </w:p>
        </w:tc>
        <w:tc>
          <w:tcPr>
            <w:tcW w:w="627" w:type="pct"/>
            <w:vAlign w:val="center"/>
          </w:tcPr>
          <w:p w14:paraId="60A780B9">
            <w:pPr>
              <w:adjustRightInd w:val="0"/>
              <w:snapToGrid w:val="0"/>
              <w:jc w:val="center"/>
              <w:rPr>
                <w:rFonts w:hint="eastAsia"/>
                <w:bCs/>
                <w:spacing w:val="-10"/>
                <w:szCs w:val="21"/>
              </w:rPr>
            </w:pPr>
            <w:r>
              <w:rPr>
                <w:rFonts w:hint="eastAsia"/>
                <w:bCs/>
                <w:spacing w:val="-10"/>
                <w:szCs w:val="21"/>
              </w:rPr>
              <w:t>/</w:t>
            </w:r>
          </w:p>
        </w:tc>
        <w:tc>
          <w:tcPr>
            <w:tcW w:w="587" w:type="pct"/>
            <w:vAlign w:val="center"/>
          </w:tcPr>
          <w:p w14:paraId="150213E0">
            <w:pPr>
              <w:adjustRightInd w:val="0"/>
              <w:snapToGrid w:val="0"/>
              <w:jc w:val="center"/>
              <w:rPr>
                <w:rFonts w:hint="eastAsia"/>
                <w:bCs/>
                <w:spacing w:val="-10"/>
                <w:szCs w:val="21"/>
              </w:rPr>
            </w:pPr>
            <w:r>
              <w:rPr>
                <w:rFonts w:hint="eastAsia"/>
                <w:bCs/>
                <w:spacing w:val="-10"/>
                <w:szCs w:val="21"/>
              </w:rPr>
              <w:t>1.0~6.0</w:t>
            </w:r>
          </w:p>
        </w:tc>
        <w:tc>
          <w:tcPr>
            <w:tcW w:w="1460" w:type="pct"/>
            <w:vAlign w:val="center"/>
          </w:tcPr>
          <w:p w14:paraId="3DF5CB79">
            <w:pPr>
              <w:adjustRightInd w:val="0"/>
              <w:snapToGrid w:val="0"/>
              <w:jc w:val="center"/>
              <w:rPr>
                <w:rFonts w:hint="eastAsia"/>
                <w:bCs/>
                <w:spacing w:val="-10"/>
                <w:szCs w:val="21"/>
              </w:rPr>
            </w:pPr>
            <w:r>
              <w:rPr>
                <w:rFonts w:hint="eastAsia"/>
                <w:bCs/>
                <w:spacing w:val="-10"/>
                <w:szCs w:val="21"/>
              </w:rPr>
              <w:t>易燃液体，类别2；</w:t>
            </w:r>
          </w:p>
          <w:p w14:paraId="02B7CFEC">
            <w:pPr>
              <w:adjustRightInd w:val="0"/>
              <w:snapToGrid w:val="0"/>
              <w:jc w:val="center"/>
              <w:rPr>
                <w:rFonts w:hint="eastAsia"/>
                <w:bCs/>
                <w:spacing w:val="-10"/>
                <w:szCs w:val="21"/>
              </w:rPr>
            </w:pPr>
            <w:r>
              <w:rPr>
                <w:rFonts w:hint="eastAsia"/>
                <w:bCs/>
                <w:spacing w:val="-10"/>
                <w:szCs w:val="21"/>
              </w:rPr>
              <w:t>皮肤腐蚀/刺激，类别2；</w:t>
            </w:r>
          </w:p>
          <w:p w14:paraId="7F9D60CB">
            <w:pPr>
              <w:adjustRightInd w:val="0"/>
              <w:snapToGrid w:val="0"/>
              <w:jc w:val="center"/>
              <w:rPr>
                <w:rFonts w:hint="eastAsia"/>
                <w:bCs/>
                <w:spacing w:val="-10"/>
                <w:szCs w:val="21"/>
              </w:rPr>
            </w:pPr>
            <w:r>
              <w:rPr>
                <w:rFonts w:hint="eastAsia"/>
                <w:bCs/>
                <w:spacing w:val="-10"/>
                <w:szCs w:val="21"/>
              </w:rPr>
              <w:t>特异性靶器官毒性-一次接触，类别3；</w:t>
            </w:r>
          </w:p>
          <w:p w14:paraId="476F3943">
            <w:pPr>
              <w:adjustRightInd w:val="0"/>
              <w:snapToGrid w:val="0"/>
              <w:jc w:val="center"/>
              <w:rPr>
                <w:rFonts w:hint="eastAsia"/>
                <w:bCs/>
                <w:spacing w:val="-10"/>
                <w:szCs w:val="21"/>
              </w:rPr>
            </w:pPr>
            <w:r>
              <w:rPr>
                <w:rFonts w:hint="eastAsia"/>
                <w:bCs/>
                <w:spacing w:val="-10"/>
                <w:szCs w:val="21"/>
              </w:rPr>
              <w:t>吸入危害，类别1；</w:t>
            </w:r>
          </w:p>
          <w:p w14:paraId="0BC1239D">
            <w:pPr>
              <w:adjustRightInd w:val="0"/>
              <w:snapToGrid w:val="0"/>
              <w:jc w:val="center"/>
              <w:rPr>
                <w:rFonts w:hint="eastAsia"/>
                <w:bCs/>
                <w:spacing w:val="-10"/>
                <w:szCs w:val="21"/>
              </w:rPr>
            </w:pPr>
            <w:r>
              <w:rPr>
                <w:rFonts w:hint="eastAsia"/>
                <w:bCs/>
                <w:spacing w:val="-10"/>
                <w:szCs w:val="21"/>
              </w:rPr>
              <w:t>危害水生环境-长期危害，类别1</w:t>
            </w:r>
          </w:p>
        </w:tc>
      </w:tr>
      <w:tr w14:paraId="1A0D9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4" w:type="pct"/>
            <w:vAlign w:val="center"/>
          </w:tcPr>
          <w:p w14:paraId="6D18F08D">
            <w:pPr>
              <w:adjustRightInd w:val="0"/>
              <w:snapToGrid w:val="0"/>
              <w:jc w:val="center"/>
              <w:rPr>
                <w:rFonts w:hint="eastAsia"/>
                <w:bCs/>
                <w:spacing w:val="-10"/>
                <w:szCs w:val="21"/>
              </w:rPr>
            </w:pPr>
            <w:r>
              <w:rPr>
                <w:rFonts w:hint="eastAsia"/>
                <w:bCs/>
                <w:spacing w:val="-10"/>
                <w:szCs w:val="21"/>
              </w:rPr>
              <w:t>混合芳烃（苯、甲苯、二甲苯）</w:t>
            </w:r>
          </w:p>
        </w:tc>
        <w:tc>
          <w:tcPr>
            <w:tcW w:w="546" w:type="pct"/>
            <w:vAlign w:val="center"/>
          </w:tcPr>
          <w:p w14:paraId="70D14715">
            <w:pPr>
              <w:adjustRightInd w:val="0"/>
              <w:snapToGrid w:val="0"/>
              <w:jc w:val="center"/>
              <w:rPr>
                <w:rFonts w:hint="eastAsia"/>
                <w:bCs/>
                <w:spacing w:val="-10"/>
                <w:szCs w:val="21"/>
              </w:rPr>
            </w:pPr>
            <w:r>
              <w:rPr>
                <w:rFonts w:hint="eastAsia"/>
                <w:bCs/>
                <w:spacing w:val="-10"/>
                <w:szCs w:val="21"/>
              </w:rPr>
              <w:t>/</w:t>
            </w:r>
          </w:p>
        </w:tc>
        <w:tc>
          <w:tcPr>
            <w:tcW w:w="616" w:type="pct"/>
            <w:vAlign w:val="center"/>
          </w:tcPr>
          <w:p w14:paraId="27A0E631">
            <w:pPr>
              <w:adjustRightInd w:val="0"/>
              <w:snapToGrid w:val="0"/>
              <w:jc w:val="center"/>
              <w:rPr>
                <w:rFonts w:hint="eastAsia"/>
                <w:bCs/>
                <w:spacing w:val="-10"/>
                <w:szCs w:val="21"/>
              </w:rPr>
            </w:pPr>
            <w:r>
              <w:rPr>
                <w:rFonts w:hint="eastAsia"/>
                <w:bCs/>
                <w:spacing w:val="-10"/>
                <w:szCs w:val="21"/>
              </w:rPr>
              <w:t>85~170</w:t>
            </w:r>
          </w:p>
        </w:tc>
        <w:tc>
          <w:tcPr>
            <w:tcW w:w="559" w:type="pct"/>
            <w:vAlign w:val="center"/>
          </w:tcPr>
          <w:p w14:paraId="62ABBF7D">
            <w:pPr>
              <w:adjustRightInd w:val="0"/>
              <w:snapToGrid w:val="0"/>
              <w:jc w:val="center"/>
              <w:rPr>
                <w:rFonts w:hint="eastAsia"/>
                <w:bCs/>
                <w:spacing w:val="-10"/>
                <w:szCs w:val="21"/>
              </w:rPr>
            </w:pPr>
            <w:r>
              <w:rPr>
                <w:rFonts w:hint="eastAsia"/>
                <w:bCs/>
                <w:spacing w:val="-10"/>
                <w:szCs w:val="21"/>
              </w:rPr>
              <w:t>18~23</w:t>
            </w:r>
          </w:p>
        </w:tc>
        <w:tc>
          <w:tcPr>
            <w:tcW w:w="627" w:type="pct"/>
            <w:vAlign w:val="center"/>
          </w:tcPr>
          <w:p w14:paraId="71DE0882">
            <w:pPr>
              <w:adjustRightInd w:val="0"/>
              <w:snapToGrid w:val="0"/>
              <w:jc w:val="center"/>
              <w:rPr>
                <w:rFonts w:hint="eastAsia"/>
                <w:bCs/>
                <w:spacing w:val="-10"/>
                <w:szCs w:val="21"/>
              </w:rPr>
            </w:pPr>
            <w:r>
              <w:rPr>
                <w:rFonts w:hint="eastAsia"/>
                <w:bCs/>
                <w:spacing w:val="-10"/>
                <w:szCs w:val="21"/>
              </w:rPr>
              <w:t>/</w:t>
            </w:r>
          </w:p>
        </w:tc>
        <w:tc>
          <w:tcPr>
            <w:tcW w:w="587" w:type="pct"/>
            <w:vAlign w:val="center"/>
          </w:tcPr>
          <w:p w14:paraId="6DF944DB">
            <w:pPr>
              <w:adjustRightInd w:val="0"/>
              <w:snapToGrid w:val="0"/>
              <w:jc w:val="center"/>
              <w:rPr>
                <w:rFonts w:hint="eastAsia"/>
                <w:bCs/>
                <w:spacing w:val="-10"/>
                <w:szCs w:val="21"/>
              </w:rPr>
            </w:pPr>
            <w:r>
              <w:rPr>
                <w:rFonts w:hint="eastAsia"/>
                <w:bCs/>
                <w:spacing w:val="-10"/>
                <w:szCs w:val="21"/>
              </w:rPr>
              <w:t>1.1-7.0</w:t>
            </w:r>
          </w:p>
        </w:tc>
        <w:tc>
          <w:tcPr>
            <w:tcW w:w="1460" w:type="pct"/>
            <w:vAlign w:val="center"/>
          </w:tcPr>
          <w:p w14:paraId="0ED3797A">
            <w:pPr>
              <w:adjustRightInd w:val="0"/>
              <w:snapToGrid w:val="0"/>
              <w:jc w:val="center"/>
              <w:rPr>
                <w:rFonts w:hint="eastAsia"/>
                <w:bCs/>
                <w:spacing w:val="-10"/>
                <w:szCs w:val="21"/>
              </w:rPr>
            </w:pPr>
            <w:r>
              <w:rPr>
                <w:rFonts w:hint="eastAsia"/>
                <w:bCs/>
                <w:spacing w:val="-10"/>
                <w:szCs w:val="21"/>
              </w:rPr>
              <w:t>易燃液体，类别3</w:t>
            </w:r>
          </w:p>
        </w:tc>
      </w:tr>
      <w:tr w14:paraId="1C23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4" w:type="pct"/>
            <w:vAlign w:val="center"/>
          </w:tcPr>
          <w:p w14:paraId="15EB390C">
            <w:pPr>
              <w:adjustRightInd w:val="0"/>
              <w:snapToGrid w:val="0"/>
              <w:jc w:val="center"/>
              <w:rPr>
                <w:rFonts w:hint="eastAsia"/>
                <w:bCs/>
                <w:spacing w:val="-10"/>
                <w:szCs w:val="21"/>
              </w:rPr>
            </w:pPr>
            <w:r>
              <w:rPr>
                <w:rFonts w:hint="eastAsia"/>
                <w:bCs/>
                <w:spacing w:val="-10"/>
                <w:szCs w:val="21"/>
              </w:rPr>
              <w:t>石脑油</w:t>
            </w:r>
          </w:p>
        </w:tc>
        <w:tc>
          <w:tcPr>
            <w:tcW w:w="546" w:type="pct"/>
            <w:vAlign w:val="center"/>
          </w:tcPr>
          <w:p w14:paraId="7BF84F95">
            <w:pPr>
              <w:adjustRightInd w:val="0"/>
              <w:snapToGrid w:val="0"/>
              <w:jc w:val="center"/>
              <w:rPr>
                <w:rFonts w:hint="eastAsia"/>
                <w:bCs/>
                <w:spacing w:val="-10"/>
                <w:szCs w:val="21"/>
              </w:rPr>
            </w:pPr>
            <w:r>
              <w:rPr>
                <w:rFonts w:hint="eastAsia"/>
                <w:bCs/>
                <w:spacing w:val="-10"/>
                <w:szCs w:val="21"/>
              </w:rPr>
              <w:t>/</w:t>
            </w:r>
          </w:p>
        </w:tc>
        <w:tc>
          <w:tcPr>
            <w:tcW w:w="616" w:type="pct"/>
            <w:vAlign w:val="center"/>
          </w:tcPr>
          <w:p w14:paraId="0011F940">
            <w:pPr>
              <w:adjustRightInd w:val="0"/>
              <w:snapToGrid w:val="0"/>
              <w:jc w:val="center"/>
              <w:rPr>
                <w:rFonts w:hint="eastAsia"/>
                <w:bCs/>
                <w:spacing w:val="-10"/>
                <w:szCs w:val="21"/>
              </w:rPr>
            </w:pPr>
            <w:r>
              <w:rPr>
                <w:rFonts w:hint="eastAsia"/>
                <w:bCs/>
                <w:spacing w:val="-10"/>
                <w:szCs w:val="21"/>
              </w:rPr>
              <w:t>20~160</w:t>
            </w:r>
          </w:p>
        </w:tc>
        <w:tc>
          <w:tcPr>
            <w:tcW w:w="559" w:type="pct"/>
            <w:vAlign w:val="center"/>
          </w:tcPr>
          <w:p w14:paraId="4C93B1F0">
            <w:pPr>
              <w:adjustRightInd w:val="0"/>
              <w:snapToGrid w:val="0"/>
              <w:jc w:val="center"/>
              <w:rPr>
                <w:rFonts w:hint="eastAsia"/>
                <w:bCs/>
                <w:spacing w:val="-10"/>
                <w:szCs w:val="21"/>
              </w:rPr>
            </w:pPr>
            <w:r>
              <w:rPr>
                <w:rFonts w:hint="eastAsia"/>
                <w:bCs/>
                <w:spacing w:val="-10"/>
                <w:szCs w:val="21"/>
              </w:rPr>
              <w:t>-2</w:t>
            </w:r>
          </w:p>
        </w:tc>
        <w:tc>
          <w:tcPr>
            <w:tcW w:w="627" w:type="pct"/>
            <w:vAlign w:val="center"/>
          </w:tcPr>
          <w:p w14:paraId="591E2C0A">
            <w:pPr>
              <w:adjustRightInd w:val="0"/>
              <w:snapToGrid w:val="0"/>
              <w:jc w:val="center"/>
              <w:rPr>
                <w:rFonts w:hint="eastAsia"/>
                <w:bCs/>
                <w:spacing w:val="-10"/>
                <w:szCs w:val="21"/>
              </w:rPr>
            </w:pPr>
            <w:r>
              <w:rPr>
                <w:rFonts w:hint="eastAsia"/>
                <w:bCs/>
                <w:spacing w:val="-10"/>
                <w:szCs w:val="21"/>
              </w:rPr>
              <w:t>350</w:t>
            </w:r>
          </w:p>
        </w:tc>
        <w:tc>
          <w:tcPr>
            <w:tcW w:w="587" w:type="pct"/>
            <w:vAlign w:val="center"/>
          </w:tcPr>
          <w:p w14:paraId="758C59AA">
            <w:pPr>
              <w:adjustRightInd w:val="0"/>
              <w:snapToGrid w:val="0"/>
              <w:jc w:val="center"/>
              <w:rPr>
                <w:rFonts w:hint="eastAsia"/>
                <w:bCs/>
                <w:spacing w:val="-10"/>
                <w:szCs w:val="21"/>
              </w:rPr>
            </w:pPr>
            <w:r>
              <w:rPr>
                <w:rFonts w:hint="eastAsia"/>
                <w:bCs/>
                <w:spacing w:val="-10"/>
                <w:szCs w:val="21"/>
              </w:rPr>
              <w:t>1.1~8.7</w:t>
            </w:r>
          </w:p>
        </w:tc>
        <w:tc>
          <w:tcPr>
            <w:tcW w:w="1460" w:type="pct"/>
            <w:vAlign w:val="center"/>
          </w:tcPr>
          <w:p w14:paraId="38742069">
            <w:pPr>
              <w:adjustRightInd w:val="0"/>
              <w:snapToGrid w:val="0"/>
              <w:jc w:val="center"/>
              <w:rPr>
                <w:rFonts w:hint="eastAsia"/>
                <w:bCs/>
                <w:spacing w:val="-10"/>
                <w:szCs w:val="21"/>
              </w:rPr>
            </w:pPr>
            <w:r>
              <w:rPr>
                <w:rFonts w:hint="eastAsia"/>
                <w:bCs/>
                <w:spacing w:val="-10"/>
                <w:szCs w:val="21"/>
              </w:rPr>
              <w:t>易燃液体，类别2；</w:t>
            </w:r>
          </w:p>
          <w:p w14:paraId="0001F95B">
            <w:pPr>
              <w:adjustRightInd w:val="0"/>
              <w:snapToGrid w:val="0"/>
              <w:jc w:val="center"/>
              <w:rPr>
                <w:rFonts w:hint="eastAsia"/>
                <w:bCs/>
                <w:spacing w:val="-10"/>
                <w:szCs w:val="21"/>
              </w:rPr>
            </w:pPr>
            <w:r>
              <w:rPr>
                <w:rFonts w:hint="eastAsia"/>
                <w:bCs/>
                <w:spacing w:val="-10"/>
                <w:szCs w:val="21"/>
              </w:rPr>
              <w:t>生殖细胞致突变，类别1B；</w:t>
            </w:r>
          </w:p>
          <w:p w14:paraId="76629FCF">
            <w:pPr>
              <w:adjustRightInd w:val="0"/>
              <w:snapToGrid w:val="0"/>
              <w:jc w:val="center"/>
              <w:rPr>
                <w:rFonts w:hint="eastAsia"/>
                <w:bCs/>
                <w:spacing w:val="-10"/>
                <w:szCs w:val="21"/>
              </w:rPr>
            </w:pPr>
            <w:r>
              <w:rPr>
                <w:rFonts w:hint="eastAsia"/>
                <w:bCs/>
                <w:spacing w:val="-10"/>
                <w:szCs w:val="21"/>
              </w:rPr>
              <w:t>吸入危害，类别1；</w:t>
            </w:r>
          </w:p>
          <w:p w14:paraId="7DA31825">
            <w:pPr>
              <w:adjustRightInd w:val="0"/>
              <w:snapToGrid w:val="0"/>
              <w:jc w:val="center"/>
              <w:rPr>
                <w:rFonts w:hint="eastAsia"/>
                <w:bCs/>
                <w:spacing w:val="-10"/>
                <w:szCs w:val="21"/>
              </w:rPr>
            </w:pPr>
            <w:r>
              <w:rPr>
                <w:rFonts w:hint="eastAsia"/>
                <w:bCs/>
                <w:spacing w:val="-10"/>
                <w:szCs w:val="21"/>
              </w:rPr>
              <w:t>危害水生环境-急性危害，类别2；</w:t>
            </w:r>
          </w:p>
          <w:p w14:paraId="2458CD63">
            <w:pPr>
              <w:adjustRightInd w:val="0"/>
              <w:snapToGrid w:val="0"/>
              <w:jc w:val="center"/>
              <w:rPr>
                <w:rFonts w:hint="eastAsia"/>
                <w:bCs/>
                <w:spacing w:val="-10"/>
                <w:szCs w:val="21"/>
              </w:rPr>
            </w:pPr>
            <w:r>
              <w:rPr>
                <w:rFonts w:hint="eastAsia"/>
                <w:bCs/>
                <w:spacing w:val="-10"/>
                <w:szCs w:val="21"/>
              </w:rPr>
              <w:t>危害水生环境-长期危害，类别2</w:t>
            </w:r>
          </w:p>
        </w:tc>
      </w:tr>
      <w:tr w14:paraId="7E6D4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4" w:type="pct"/>
            <w:vAlign w:val="center"/>
          </w:tcPr>
          <w:p w14:paraId="5ABF8426">
            <w:pPr>
              <w:adjustRightInd w:val="0"/>
              <w:snapToGrid w:val="0"/>
              <w:jc w:val="center"/>
              <w:rPr>
                <w:rFonts w:hint="eastAsia"/>
                <w:bCs/>
                <w:spacing w:val="-10"/>
                <w:szCs w:val="21"/>
              </w:rPr>
            </w:pPr>
            <w:r>
              <w:rPr>
                <w:rFonts w:hint="eastAsia"/>
                <w:bCs/>
                <w:spacing w:val="-10"/>
                <w:szCs w:val="21"/>
              </w:rPr>
              <w:t>轻质燃料油</w:t>
            </w:r>
          </w:p>
        </w:tc>
        <w:tc>
          <w:tcPr>
            <w:tcW w:w="546" w:type="pct"/>
            <w:vAlign w:val="center"/>
          </w:tcPr>
          <w:p w14:paraId="003D9454">
            <w:pPr>
              <w:adjustRightInd w:val="0"/>
              <w:snapToGrid w:val="0"/>
              <w:jc w:val="center"/>
              <w:rPr>
                <w:rFonts w:hint="eastAsia"/>
                <w:bCs/>
                <w:spacing w:val="-10"/>
                <w:szCs w:val="21"/>
              </w:rPr>
            </w:pPr>
            <w:r>
              <w:rPr>
                <w:rFonts w:hint="eastAsia"/>
                <w:bCs/>
                <w:spacing w:val="-10"/>
                <w:szCs w:val="21"/>
              </w:rPr>
              <w:t>/</w:t>
            </w:r>
          </w:p>
        </w:tc>
        <w:tc>
          <w:tcPr>
            <w:tcW w:w="616" w:type="pct"/>
            <w:vAlign w:val="center"/>
          </w:tcPr>
          <w:p w14:paraId="55700AEB">
            <w:pPr>
              <w:adjustRightInd w:val="0"/>
              <w:snapToGrid w:val="0"/>
              <w:jc w:val="center"/>
              <w:rPr>
                <w:rFonts w:hint="eastAsia"/>
                <w:bCs/>
                <w:spacing w:val="-10"/>
                <w:szCs w:val="21"/>
              </w:rPr>
            </w:pPr>
            <w:r>
              <w:rPr>
                <w:rFonts w:hint="eastAsia"/>
                <w:bCs/>
                <w:spacing w:val="-10"/>
                <w:szCs w:val="21"/>
              </w:rPr>
              <w:t>360~460</w:t>
            </w:r>
          </w:p>
        </w:tc>
        <w:tc>
          <w:tcPr>
            <w:tcW w:w="559" w:type="pct"/>
            <w:vAlign w:val="center"/>
          </w:tcPr>
          <w:p w14:paraId="465FC040">
            <w:pPr>
              <w:adjustRightInd w:val="0"/>
              <w:snapToGrid w:val="0"/>
              <w:jc w:val="center"/>
              <w:rPr>
                <w:rFonts w:hint="eastAsia"/>
                <w:bCs/>
                <w:spacing w:val="-10"/>
                <w:szCs w:val="21"/>
              </w:rPr>
            </w:pPr>
            <w:r>
              <w:rPr>
                <w:rFonts w:hint="eastAsia"/>
                <w:bCs/>
                <w:spacing w:val="-10"/>
                <w:szCs w:val="21"/>
              </w:rPr>
              <w:t>≥60</w:t>
            </w:r>
          </w:p>
        </w:tc>
        <w:tc>
          <w:tcPr>
            <w:tcW w:w="627" w:type="pct"/>
            <w:vAlign w:val="center"/>
          </w:tcPr>
          <w:p w14:paraId="625F282C">
            <w:pPr>
              <w:adjustRightInd w:val="0"/>
              <w:snapToGrid w:val="0"/>
              <w:jc w:val="center"/>
              <w:rPr>
                <w:rFonts w:hint="eastAsia"/>
                <w:bCs/>
                <w:spacing w:val="-10"/>
                <w:szCs w:val="21"/>
              </w:rPr>
            </w:pPr>
            <w:r>
              <w:rPr>
                <w:rFonts w:hint="eastAsia"/>
                <w:bCs/>
                <w:spacing w:val="-10"/>
                <w:szCs w:val="21"/>
              </w:rPr>
              <w:t>250</w:t>
            </w:r>
          </w:p>
        </w:tc>
        <w:tc>
          <w:tcPr>
            <w:tcW w:w="587" w:type="pct"/>
            <w:vAlign w:val="center"/>
          </w:tcPr>
          <w:p w14:paraId="7795006A">
            <w:pPr>
              <w:adjustRightInd w:val="0"/>
              <w:snapToGrid w:val="0"/>
              <w:jc w:val="center"/>
              <w:rPr>
                <w:rFonts w:hint="eastAsia"/>
                <w:bCs/>
                <w:spacing w:val="-10"/>
                <w:szCs w:val="21"/>
              </w:rPr>
            </w:pPr>
            <w:r>
              <w:rPr>
                <w:rFonts w:hint="eastAsia"/>
                <w:bCs/>
                <w:spacing w:val="-10"/>
                <w:szCs w:val="21"/>
              </w:rPr>
              <w:t>/</w:t>
            </w:r>
          </w:p>
        </w:tc>
        <w:tc>
          <w:tcPr>
            <w:tcW w:w="1460" w:type="pct"/>
            <w:vAlign w:val="center"/>
          </w:tcPr>
          <w:p w14:paraId="2A3DD9F2">
            <w:pPr>
              <w:adjustRightInd w:val="0"/>
              <w:snapToGrid w:val="0"/>
              <w:jc w:val="center"/>
              <w:rPr>
                <w:rFonts w:hint="eastAsia"/>
                <w:bCs/>
                <w:spacing w:val="-10"/>
                <w:szCs w:val="21"/>
              </w:rPr>
            </w:pPr>
            <w:r>
              <w:rPr>
                <w:rFonts w:hint="eastAsia"/>
                <w:bCs/>
                <w:spacing w:val="-10"/>
                <w:szCs w:val="21"/>
              </w:rPr>
              <w:t>易燃液体，类别3</w:t>
            </w:r>
          </w:p>
        </w:tc>
      </w:tr>
    </w:tbl>
    <w:p w14:paraId="0F31F9B7">
      <w:pPr>
        <w:adjustRightInd w:val="0"/>
        <w:snapToGrid w:val="0"/>
        <w:spacing w:line="360" w:lineRule="auto"/>
        <w:rPr>
          <w:rFonts w:hint="eastAsia"/>
          <w:b/>
          <w:spacing w:val="-10"/>
        </w:rPr>
      </w:pPr>
      <w:r>
        <w:rPr>
          <w:b/>
          <w:spacing w:val="-10"/>
        </w:rPr>
        <w:t>6.2</w:t>
      </w:r>
      <w:r>
        <w:rPr>
          <w:rFonts w:hint="eastAsia"/>
          <w:b/>
          <w:spacing w:val="-10"/>
        </w:rPr>
        <w:t>生产</w:t>
      </w:r>
      <w:r>
        <w:rPr>
          <w:b/>
          <w:spacing w:val="-10"/>
        </w:rPr>
        <w:t>系统危险性识别</w:t>
      </w:r>
    </w:p>
    <w:p w14:paraId="4809FD44">
      <w:pPr>
        <w:adjustRightInd w:val="0"/>
        <w:snapToGrid w:val="0"/>
        <w:spacing w:line="360" w:lineRule="auto"/>
        <w:rPr>
          <w:rFonts w:hint="eastAsia"/>
          <w:b/>
          <w:spacing w:val="-10"/>
        </w:rPr>
      </w:pPr>
      <w:r>
        <w:rPr>
          <w:rFonts w:hint="eastAsia"/>
          <w:b/>
          <w:spacing w:val="-10"/>
        </w:rPr>
        <w:t>6.2.1</w:t>
      </w:r>
      <w:r>
        <w:rPr>
          <w:b/>
          <w:spacing w:val="-10"/>
        </w:rPr>
        <w:t>危险单元划分</w:t>
      </w:r>
    </w:p>
    <w:p w14:paraId="483BA7E0">
      <w:pPr>
        <w:adjustRightInd w:val="0"/>
        <w:snapToGrid w:val="0"/>
        <w:spacing w:line="360" w:lineRule="auto"/>
        <w:ind w:firstLine="440" w:firstLineChars="200"/>
        <w:rPr>
          <w:rFonts w:hint="eastAsia"/>
          <w:bCs/>
          <w:spacing w:val="-10"/>
        </w:rPr>
      </w:pPr>
      <w:r>
        <w:rPr>
          <w:bCs/>
          <w:spacing w:val="-10"/>
        </w:rPr>
        <w:t>根据《建设项目环境风险评价技术导则》（HJ169-2018）</w:t>
      </w:r>
      <w:r>
        <w:rPr>
          <w:rFonts w:hint="eastAsia"/>
          <w:bCs/>
          <w:spacing w:val="-10"/>
        </w:rPr>
        <w:t>中的定义，</w:t>
      </w:r>
      <w:r>
        <w:rPr>
          <w:bCs/>
          <w:spacing w:val="-10"/>
        </w:rPr>
        <w:t>危险单元的定义是指由一个或多个风险源构成的具有相对独立功能的单元，事故状况下应可实现与其他功能单元的分割。根据以上定义本项目危险单元划分见下表。</w:t>
      </w:r>
    </w:p>
    <w:p w14:paraId="40816323">
      <w:pPr>
        <w:adjustRightInd w:val="0"/>
        <w:snapToGrid w:val="0"/>
        <w:ind w:firstLine="442" w:firstLineChars="200"/>
        <w:jc w:val="center"/>
        <w:rPr>
          <w:rFonts w:hint="eastAsia"/>
          <w:b/>
          <w:spacing w:val="-10"/>
        </w:rPr>
      </w:pPr>
      <w:r>
        <w:rPr>
          <w:rFonts w:hint="eastAsia"/>
          <w:b/>
          <w:spacing w:val="-10"/>
        </w:rPr>
        <w:t>表6-23  危险单元划分表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2"/>
        <w:gridCol w:w="1472"/>
        <w:gridCol w:w="2013"/>
        <w:gridCol w:w="1559"/>
        <w:gridCol w:w="1559"/>
      </w:tblGrid>
      <w:tr w14:paraId="1F3F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2" w:type="dxa"/>
          </w:tcPr>
          <w:p w14:paraId="0431E929">
            <w:pPr>
              <w:adjustRightInd w:val="0"/>
              <w:snapToGrid w:val="0"/>
              <w:rPr>
                <w:rFonts w:hint="eastAsia"/>
                <w:bCs/>
                <w:spacing w:val="-10"/>
              </w:rPr>
            </w:pPr>
            <w:r>
              <w:rPr>
                <w:rFonts w:hint="eastAsia"/>
                <w:bCs/>
                <w:spacing w:val="-10"/>
              </w:rPr>
              <w:t>单元名称</w:t>
            </w:r>
          </w:p>
        </w:tc>
        <w:tc>
          <w:tcPr>
            <w:tcW w:w="1472" w:type="dxa"/>
          </w:tcPr>
          <w:p w14:paraId="09CA810C">
            <w:pPr>
              <w:adjustRightInd w:val="0"/>
              <w:snapToGrid w:val="0"/>
              <w:rPr>
                <w:rFonts w:hint="eastAsia"/>
                <w:bCs/>
                <w:spacing w:val="-10"/>
              </w:rPr>
            </w:pPr>
            <w:r>
              <w:rPr>
                <w:rFonts w:hint="eastAsia"/>
                <w:bCs/>
                <w:spacing w:val="-10"/>
              </w:rPr>
              <w:t>单元功能</w:t>
            </w:r>
          </w:p>
        </w:tc>
        <w:tc>
          <w:tcPr>
            <w:tcW w:w="2013" w:type="dxa"/>
          </w:tcPr>
          <w:p w14:paraId="38C550D9">
            <w:pPr>
              <w:adjustRightInd w:val="0"/>
              <w:snapToGrid w:val="0"/>
              <w:rPr>
                <w:rFonts w:hint="eastAsia"/>
                <w:bCs/>
                <w:spacing w:val="-10"/>
              </w:rPr>
            </w:pPr>
            <w:r>
              <w:rPr>
                <w:rFonts w:hint="eastAsia"/>
                <w:bCs/>
                <w:spacing w:val="-10"/>
              </w:rPr>
              <w:t>主要危险物质</w:t>
            </w:r>
          </w:p>
        </w:tc>
        <w:tc>
          <w:tcPr>
            <w:tcW w:w="1559" w:type="dxa"/>
          </w:tcPr>
          <w:p w14:paraId="04BB641C">
            <w:pPr>
              <w:adjustRightInd w:val="0"/>
              <w:snapToGrid w:val="0"/>
              <w:rPr>
                <w:rFonts w:hint="eastAsia"/>
                <w:bCs/>
                <w:spacing w:val="-10"/>
              </w:rPr>
            </w:pPr>
            <w:r>
              <w:rPr>
                <w:rFonts w:hint="eastAsia"/>
                <w:bCs/>
                <w:spacing w:val="-10"/>
              </w:rPr>
              <w:t>潜在风险源</w:t>
            </w:r>
          </w:p>
        </w:tc>
        <w:tc>
          <w:tcPr>
            <w:tcW w:w="1559" w:type="dxa"/>
          </w:tcPr>
          <w:p w14:paraId="23FC4065">
            <w:pPr>
              <w:adjustRightInd w:val="0"/>
              <w:snapToGrid w:val="0"/>
              <w:rPr>
                <w:rFonts w:hint="eastAsia"/>
                <w:bCs/>
                <w:spacing w:val="-10"/>
              </w:rPr>
            </w:pPr>
            <w:r>
              <w:rPr>
                <w:rFonts w:hint="eastAsia"/>
                <w:bCs/>
                <w:spacing w:val="-10"/>
              </w:rPr>
              <w:t>环境风险类型</w:t>
            </w:r>
          </w:p>
        </w:tc>
      </w:tr>
      <w:tr w14:paraId="15ADD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2" w:type="dxa"/>
          </w:tcPr>
          <w:p w14:paraId="0BCA3E18">
            <w:pPr>
              <w:adjustRightInd w:val="0"/>
              <w:snapToGrid w:val="0"/>
              <w:rPr>
                <w:rFonts w:hint="eastAsia"/>
                <w:bCs/>
                <w:spacing w:val="-10"/>
              </w:rPr>
            </w:pPr>
            <w:r>
              <w:rPr>
                <w:rFonts w:hint="eastAsia"/>
                <w:bCs/>
                <w:spacing w:val="-10"/>
              </w:rPr>
              <w:t>2#罐组</w:t>
            </w:r>
          </w:p>
        </w:tc>
        <w:tc>
          <w:tcPr>
            <w:tcW w:w="1472" w:type="dxa"/>
          </w:tcPr>
          <w:p w14:paraId="68BCE06E">
            <w:pPr>
              <w:adjustRightInd w:val="0"/>
              <w:snapToGrid w:val="0"/>
              <w:rPr>
                <w:rFonts w:hint="eastAsia"/>
                <w:bCs/>
                <w:spacing w:val="-10"/>
              </w:rPr>
            </w:pPr>
            <w:r>
              <w:rPr>
                <w:rFonts w:hint="eastAsia"/>
                <w:bCs/>
                <w:spacing w:val="-10"/>
              </w:rPr>
              <w:t>调和、储存物料</w:t>
            </w:r>
          </w:p>
        </w:tc>
        <w:tc>
          <w:tcPr>
            <w:tcW w:w="2013" w:type="dxa"/>
          </w:tcPr>
          <w:p w14:paraId="30FAC144">
            <w:pPr>
              <w:adjustRightInd w:val="0"/>
              <w:snapToGrid w:val="0"/>
              <w:rPr>
                <w:rFonts w:hint="eastAsia"/>
                <w:bCs/>
                <w:spacing w:val="-10"/>
              </w:rPr>
            </w:pPr>
            <w:r>
              <w:rPr>
                <w:bCs/>
                <w:spacing w:val="-10"/>
              </w:rPr>
              <w:t>MTBE、异辛烷、轻质石脑油、混合芳烃</w:t>
            </w:r>
            <w:r>
              <w:rPr>
                <w:rFonts w:hint="eastAsia"/>
                <w:bCs/>
                <w:spacing w:val="-10"/>
                <w:lang w:eastAsia="zh-CN"/>
              </w:rPr>
              <w:t>以及</w:t>
            </w:r>
            <w:r>
              <w:rPr>
                <w:bCs/>
                <w:spacing w:val="-10"/>
              </w:rPr>
              <w:t>成品车用汽油</w:t>
            </w:r>
          </w:p>
        </w:tc>
        <w:tc>
          <w:tcPr>
            <w:tcW w:w="1559" w:type="dxa"/>
          </w:tcPr>
          <w:p w14:paraId="1ED5175C">
            <w:pPr>
              <w:adjustRightInd w:val="0"/>
              <w:snapToGrid w:val="0"/>
              <w:rPr>
                <w:rFonts w:hint="eastAsia"/>
                <w:bCs/>
                <w:spacing w:val="-10"/>
              </w:rPr>
            </w:pPr>
            <w:r>
              <w:rPr>
                <w:bCs/>
                <w:spacing w:val="-10"/>
              </w:rPr>
              <w:t>违规操作引起储罐、管道发生泄漏，甚至引起火灾爆炸等</w:t>
            </w:r>
          </w:p>
        </w:tc>
        <w:tc>
          <w:tcPr>
            <w:tcW w:w="1559" w:type="dxa"/>
          </w:tcPr>
          <w:p w14:paraId="6FEDED1A">
            <w:pPr>
              <w:adjustRightInd w:val="0"/>
              <w:snapToGrid w:val="0"/>
              <w:rPr>
                <w:rFonts w:hint="eastAsia"/>
                <w:bCs/>
                <w:spacing w:val="-10"/>
              </w:rPr>
            </w:pPr>
            <w:r>
              <w:rPr>
                <w:bCs/>
                <w:spacing w:val="-10"/>
              </w:rPr>
              <w:t>物料泄漏、火灾、爆炸</w:t>
            </w:r>
          </w:p>
        </w:tc>
      </w:tr>
      <w:tr w14:paraId="35829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2" w:type="dxa"/>
          </w:tcPr>
          <w:p w14:paraId="358DF76E">
            <w:pPr>
              <w:adjustRightInd w:val="0"/>
              <w:snapToGrid w:val="0"/>
              <w:rPr>
                <w:rFonts w:hint="eastAsia"/>
                <w:bCs/>
                <w:spacing w:val="-10"/>
              </w:rPr>
            </w:pPr>
            <w:r>
              <w:rPr>
                <w:rFonts w:hint="eastAsia"/>
                <w:bCs/>
                <w:spacing w:val="-10"/>
              </w:rPr>
              <w:t>3#罐组</w:t>
            </w:r>
          </w:p>
        </w:tc>
        <w:tc>
          <w:tcPr>
            <w:tcW w:w="1472" w:type="dxa"/>
          </w:tcPr>
          <w:p w14:paraId="225A19B8">
            <w:pPr>
              <w:adjustRightInd w:val="0"/>
              <w:snapToGrid w:val="0"/>
              <w:rPr>
                <w:rFonts w:hint="eastAsia"/>
                <w:bCs/>
                <w:spacing w:val="-10"/>
              </w:rPr>
            </w:pPr>
            <w:r>
              <w:rPr>
                <w:rFonts w:hint="eastAsia"/>
                <w:bCs/>
                <w:spacing w:val="-10"/>
              </w:rPr>
              <w:t>调和、储存物料</w:t>
            </w:r>
          </w:p>
        </w:tc>
        <w:tc>
          <w:tcPr>
            <w:tcW w:w="2013" w:type="dxa"/>
          </w:tcPr>
          <w:p w14:paraId="75996AC0">
            <w:pPr>
              <w:adjustRightInd w:val="0"/>
              <w:snapToGrid w:val="0"/>
              <w:rPr>
                <w:rFonts w:hint="eastAsia"/>
                <w:bCs/>
                <w:spacing w:val="-10"/>
              </w:rPr>
            </w:pPr>
            <w:r>
              <w:rPr>
                <w:bCs/>
                <w:spacing w:val="-10"/>
              </w:rPr>
              <w:t>轻质燃料油、煤基柴油、车用柴油</w:t>
            </w:r>
            <w:r>
              <w:rPr>
                <w:rFonts w:hint="eastAsia"/>
                <w:bCs/>
                <w:spacing w:val="-10"/>
              </w:rPr>
              <w:t>、不合格柴油</w:t>
            </w:r>
          </w:p>
        </w:tc>
        <w:tc>
          <w:tcPr>
            <w:tcW w:w="1559" w:type="dxa"/>
          </w:tcPr>
          <w:p w14:paraId="19A14FD3">
            <w:pPr>
              <w:adjustRightInd w:val="0"/>
              <w:snapToGrid w:val="0"/>
              <w:rPr>
                <w:rFonts w:hint="eastAsia"/>
                <w:bCs/>
                <w:spacing w:val="-10"/>
              </w:rPr>
            </w:pPr>
            <w:r>
              <w:rPr>
                <w:bCs/>
                <w:spacing w:val="-10"/>
              </w:rPr>
              <w:t>违规操作引起储罐、管道发生泄漏，甚至引起火灾爆炸等</w:t>
            </w:r>
          </w:p>
        </w:tc>
        <w:tc>
          <w:tcPr>
            <w:tcW w:w="1559" w:type="dxa"/>
          </w:tcPr>
          <w:p w14:paraId="5C7FFFBB">
            <w:pPr>
              <w:adjustRightInd w:val="0"/>
              <w:snapToGrid w:val="0"/>
              <w:rPr>
                <w:rFonts w:hint="eastAsia"/>
                <w:bCs/>
                <w:spacing w:val="-10"/>
              </w:rPr>
            </w:pPr>
            <w:r>
              <w:rPr>
                <w:bCs/>
                <w:spacing w:val="-10"/>
              </w:rPr>
              <w:t>物料泄漏、火灾、爆炸</w:t>
            </w:r>
          </w:p>
        </w:tc>
      </w:tr>
      <w:tr w14:paraId="30133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2" w:type="dxa"/>
          </w:tcPr>
          <w:p w14:paraId="366FAC59">
            <w:pPr>
              <w:adjustRightInd w:val="0"/>
              <w:snapToGrid w:val="0"/>
              <w:rPr>
                <w:rFonts w:hint="eastAsia"/>
                <w:bCs/>
                <w:spacing w:val="-10"/>
              </w:rPr>
            </w:pPr>
            <w:r>
              <w:rPr>
                <w:rFonts w:hint="eastAsia"/>
                <w:bCs/>
                <w:spacing w:val="-10"/>
              </w:rPr>
              <w:t>装卸区</w:t>
            </w:r>
          </w:p>
        </w:tc>
        <w:tc>
          <w:tcPr>
            <w:tcW w:w="1472" w:type="dxa"/>
          </w:tcPr>
          <w:p w14:paraId="75339AC9">
            <w:pPr>
              <w:adjustRightInd w:val="0"/>
              <w:snapToGrid w:val="0"/>
              <w:rPr>
                <w:rFonts w:hint="eastAsia"/>
                <w:bCs/>
                <w:spacing w:val="-10"/>
              </w:rPr>
            </w:pPr>
            <w:r>
              <w:rPr>
                <w:rFonts w:hint="eastAsia"/>
                <w:bCs/>
                <w:spacing w:val="-10"/>
              </w:rPr>
              <w:t>输送物料</w:t>
            </w:r>
          </w:p>
        </w:tc>
        <w:tc>
          <w:tcPr>
            <w:tcW w:w="2013" w:type="dxa"/>
          </w:tcPr>
          <w:p w14:paraId="57C603A9">
            <w:pPr>
              <w:adjustRightInd w:val="0"/>
              <w:snapToGrid w:val="0"/>
              <w:rPr>
                <w:rFonts w:hint="eastAsia"/>
                <w:bCs/>
                <w:spacing w:val="-10"/>
              </w:rPr>
            </w:pPr>
            <w:r>
              <w:rPr>
                <w:bCs/>
                <w:spacing w:val="-10"/>
              </w:rPr>
              <w:t>MTBE、异辛烷、轻质石脑油、混合芳烃、轻质燃料油、煤基柴油，以及成品车用汽油、车用柴油</w:t>
            </w:r>
          </w:p>
        </w:tc>
        <w:tc>
          <w:tcPr>
            <w:tcW w:w="1559" w:type="dxa"/>
          </w:tcPr>
          <w:p w14:paraId="628740EF">
            <w:pPr>
              <w:adjustRightInd w:val="0"/>
              <w:snapToGrid w:val="0"/>
              <w:rPr>
                <w:rFonts w:hint="eastAsia"/>
                <w:bCs/>
                <w:spacing w:val="-10"/>
              </w:rPr>
            </w:pPr>
            <w:r>
              <w:rPr>
                <w:bCs/>
                <w:spacing w:val="-10"/>
              </w:rPr>
              <w:t>违规操作引起储罐、管道发生泄漏，甚至引起火灾爆炸等</w:t>
            </w:r>
          </w:p>
        </w:tc>
        <w:tc>
          <w:tcPr>
            <w:tcW w:w="1559" w:type="dxa"/>
          </w:tcPr>
          <w:p w14:paraId="79D30928">
            <w:pPr>
              <w:adjustRightInd w:val="0"/>
              <w:snapToGrid w:val="0"/>
              <w:rPr>
                <w:rFonts w:hint="eastAsia"/>
                <w:bCs/>
                <w:spacing w:val="-10"/>
              </w:rPr>
            </w:pPr>
            <w:r>
              <w:rPr>
                <w:bCs/>
                <w:spacing w:val="-10"/>
              </w:rPr>
              <w:t>物料泄漏、火灾、爆炸</w:t>
            </w:r>
          </w:p>
        </w:tc>
      </w:tr>
    </w:tbl>
    <w:p w14:paraId="79DB0E2B">
      <w:pPr>
        <w:adjustRightInd w:val="0"/>
        <w:snapToGrid w:val="0"/>
        <w:ind w:firstLine="440" w:firstLineChars="200"/>
        <w:rPr>
          <w:rFonts w:hint="eastAsia"/>
          <w:bCs/>
          <w:spacing w:val="-10"/>
        </w:rPr>
      </w:pPr>
    </w:p>
    <w:p w14:paraId="3483CCA8">
      <w:pPr>
        <w:adjustRightInd w:val="0"/>
        <w:snapToGrid w:val="0"/>
        <w:spacing w:line="360" w:lineRule="auto"/>
        <w:rPr>
          <w:rFonts w:hint="eastAsia"/>
          <w:bCs/>
          <w:spacing w:val="-10"/>
        </w:rPr>
      </w:pPr>
      <w:r>
        <w:rPr>
          <w:rFonts w:hint="eastAsia"/>
          <w:b/>
          <w:spacing w:val="-10"/>
        </w:rPr>
        <w:t>6.2.2</w:t>
      </w:r>
      <w:r>
        <w:rPr>
          <w:b/>
          <w:spacing w:val="-10"/>
        </w:rPr>
        <w:t>生产系统风险识别</w:t>
      </w:r>
    </w:p>
    <w:p w14:paraId="7E5A3576">
      <w:pPr>
        <w:adjustRightInd w:val="0"/>
        <w:snapToGrid w:val="0"/>
        <w:spacing w:line="360" w:lineRule="auto"/>
        <w:ind w:firstLine="440" w:firstLineChars="200"/>
        <w:rPr>
          <w:rFonts w:hint="eastAsia"/>
          <w:bCs/>
          <w:spacing w:val="-10"/>
        </w:rPr>
      </w:pPr>
      <w:r>
        <w:rPr>
          <w:bCs/>
          <w:spacing w:val="-10"/>
        </w:rPr>
        <w:t>本项目</w:t>
      </w:r>
      <w:r>
        <w:rPr>
          <w:rFonts w:hint="eastAsia"/>
          <w:bCs/>
          <w:spacing w:val="-10"/>
        </w:rPr>
        <w:t>生产装置包括储罐</w:t>
      </w:r>
      <w:r>
        <w:rPr>
          <w:bCs/>
          <w:spacing w:val="-10"/>
        </w:rPr>
        <w:t>、</w:t>
      </w:r>
      <w:r>
        <w:rPr>
          <w:rFonts w:hint="eastAsia"/>
          <w:bCs/>
          <w:spacing w:val="-10"/>
        </w:rPr>
        <w:t>管道、装卸设施，环保设施</w:t>
      </w:r>
      <w:r>
        <w:rPr>
          <w:bCs/>
          <w:spacing w:val="-10"/>
        </w:rPr>
        <w:t>废气</w:t>
      </w:r>
      <w:r>
        <w:rPr>
          <w:rFonts w:hint="eastAsia"/>
          <w:bCs/>
          <w:spacing w:val="-10"/>
        </w:rPr>
        <w:t>主要为油气回收装置</w:t>
      </w:r>
      <w:r>
        <w:rPr>
          <w:bCs/>
          <w:spacing w:val="-10"/>
        </w:rPr>
        <w:t>。</w:t>
      </w:r>
    </w:p>
    <w:p w14:paraId="09572F85">
      <w:pPr>
        <w:adjustRightInd w:val="0"/>
        <w:snapToGrid w:val="0"/>
        <w:spacing w:line="360" w:lineRule="auto"/>
        <w:ind w:firstLine="440" w:firstLineChars="200"/>
        <w:rPr>
          <w:rFonts w:hint="eastAsia"/>
          <w:bCs/>
          <w:spacing w:val="-10"/>
        </w:rPr>
      </w:pPr>
      <w:r>
        <w:rPr>
          <w:rFonts w:hint="eastAsia"/>
          <w:bCs/>
          <w:spacing w:val="-10"/>
        </w:rPr>
        <w:t>（1）储罐</w:t>
      </w:r>
    </w:p>
    <w:p w14:paraId="068F7937">
      <w:pPr>
        <w:adjustRightInd w:val="0"/>
        <w:snapToGrid w:val="0"/>
        <w:spacing w:line="360" w:lineRule="auto"/>
        <w:ind w:firstLine="440" w:firstLineChars="200"/>
        <w:rPr>
          <w:rFonts w:hint="eastAsia"/>
          <w:bCs/>
          <w:spacing w:val="-10"/>
        </w:rPr>
      </w:pPr>
      <w:r>
        <w:rPr>
          <w:bCs/>
          <w:spacing w:val="-10"/>
        </w:rPr>
        <w:t>储罐在运行过程中，由于罐体破损、泵、阀门失灵或操作失导致物料泄漏，当泄漏的物料与空气混合物处于火灾爆炸极限范围内，遇到火源引发火灾爆炸事故。</w:t>
      </w:r>
    </w:p>
    <w:p w14:paraId="0AAD70DB">
      <w:pPr>
        <w:adjustRightInd w:val="0"/>
        <w:snapToGrid w:val="0"/>
        <w:spacing w:line="360" w:lineRule="auto"/>
        <w:ind w:firstLine="440" w:firstLineChars="200"/>
        <w:rPr>
          <w:rFonts w:hint="eastAsia"/>
          <w:bCs/>
          <w:spacing w:val="-10"/>
        </w:rPr>
      </w:pPr>
      <w:r>
        <w:rPr>
          <w:rFonts w:hint="eastAsia"/>
          <w:bCs/>
          <w:spacing w:val="-10"/>
        </w:rPr>
        <w:t>（2）管道</w:t>
      </w:r>
    </w:p>
    <w:p w14:paraId="3B8D97C5">
      <w:pPr>
        <w:adjustRightInd w:val="0"/>
        <w:snapToGrid w:val="0"/>
        <w:spacing w:line="360" w:lineRule="auto"/>
        <w:ind w:firstLine="440" w:firstLineChars="200"/>
        <w:rPr>
          <w:rFonts w:hint="eastAsia"/>
          <w:bCs/>
          <w:spacing w:val="-10"/>
        </w:rPr>
      </w:pPr>
      <w:r>
        <w:rPr>
          <w:bCs/>
          <w:spacing w:val="-10"/>
        </w:rPr>
        <w:t>管道在运行过程中，由于施工质量及材料问题、介质、压力、腐蚀等因素，可能造成管线连接部位泄漏，甚至发生管道破裂而引起火灾、爆炸事故。</w:t>
      </w:r>
    </w:p>
    <w:p w14:paraId="745E9202">
      <w:pPr>
        <w:adjustRightInd w:val="0"/>
        <w:snapToGrid w:val="0"/>
        <w:spacing w:line="360" w:lineRule="auto"/>
        <w:ind w:firstLine="440" w:firstLineChars="200"/>
        <w:rPr>
          <w:rFonts w:hint="eastAsia"/>
          <w:bCs/>
          <w:spacing w:val="-10"/>
        </w:rPr>
      </w:pPr>
      <w:r>
        <w:rPr>
          <w:rFonts w:hint="eastAsia"/>
          <w:bCs/>
          <w:spacing w:val="-10"/>
        </w:rPr>
        <w:t>（3）装卸设施</w:t>
      </w:r>
    </w:p>
    <w:p w14:paraId="58D08899">
      <w:pPr>
        <w:adjustRightInd w:val="0"/>
        <w:snapToGrid w:val="0"/>
        <w:spacing w:line="360" w:lineRule="auto"/>
        <w:ind w:firstLine="440" w:firstLineChars="200"/>
        <w:rPr>
          <w:rFonts w:hint="eastAsia"/>
          <w:bCs/>
          <w:spacing w:val="-10"/>
        </w:rPr>
      </w:pPr>
      <w:r>
        <w:rPr>
          <w:bCs/>
          <w:spacing w:val="-10"/>
        </w:rPr>
        <w:t>装车过程中，定量装车仪发生故障，造成罐车超量或溢出。装车过程中，物料流动产生静电，静电集聚导出不及时，导致火灾事故发生。卸车过程中，槽车呼吸阀堵塞导致槽车负压抽瘪，造成泄漏。</w:t>
      </w:r>
    </w:p>
    <w:p w14:paraId="16283792">
      <w:pPr>
        <w:adjustRightInd w:val="0"/>
        <w:snapToGrid w:val="0"/>
        <w:spacing w:line="360" w:lineRule="auto"/>
        <w:ind w:firstLine="440" w:firstLineChars="200"/>
        <w:rPr>
          <w:rFonts w:hint="eastAsia"/>
          <w:bCs/>
          <w:spacing w:val="-10"/>
        </w:rPr>
      </w:pPr>
      <w:r>
        <w:rPr>
          <w:rFonts w:hint="eastAsia"/>
          <w:bCs/>
          <w:spacing w:val="-10"/>
        </w:rPr>
        <w:t>（4）废气回收装置</w:t>
      </w:r>
    </w:p>
    <w:p w14:paraId="7D84084D">
      <w:pPr>
        <w:adjustRightInd w:val="0"/>
        <w:snapToGrid w:val="0"/>
        <w:spacing w:line="360" w:lineRule="auto"/>
        <w:ind w:firstLine="440" w:firstLineChars="200"/>
        <w:rPr>
          <w:rFonts w:hint="eastAsia"/>
          <w:bCs/>
          <w:spacing w:val="-10"/>
        </w:rPr>
      </w:pPr>
      <w:r>
        <w:rPr>
          <w:bCs/>
          <w:spacing w:val="-10"/>
        </w:rPr>
        <w:t>本项目生产过程中，废气输送管道断裂，废气处理设备故障导致处理效率降低等情况均有可能发生，导致生产废气未能有效处理，出现超标排放现象，造成大气环境污染。</w:t>
      </w:r>
    </w:p>
    <w:p w14:paraId="3E0A7722">
      <w:pPr>
        <w:adjustRightInd w:val="0"/>
        <w:snapToGrid w:val="0"/>
        <w:jc w:val="center"/>
        <w:rPr>
          <w:rFonts w:hint="eastAsia"/>
          <w:b/>
          <w:bCs/>
          <w:spacing w:val="-10"/>
        </w:rPr>
      </w:pPr>
    </w:p>
    <w:p w14:paraId="066D6B62">
      <w:pPr>
        <w:adjustRightInd w:val="0"/>
        <w:snapToGrid w:val="0"/>
        <w:jc w:val="center"/>
        <w:rPr>
          <w:rFonts w:hint="eastAsia"/>
          <w:snapToGrid w:val="0"/>
        </w:rPr>
      </w:pPr>
      <w:r>
        <w:rPr>
          <w:rFonts w:hint="eastAsia"/>
          <w:b/>
          <w:bCs/>
          <w:spacing w:val="-10"/>
        </w:rPr>
        <w:t>图6.2  危险单元分布图</w:t>
      </w:r>
    </w:p>
    <w:p w14:paraId="2EBD3AE3">
      <w:pPr>
        <w:adjustRightInd w:val="0"/>
        <w:snapToGrid w:val="0"/>
        <w:spacing w:line="360" w:lineRule="auto"/>
        <w:rPr>
          <w:rFonts w:hint="eastAsia"/>
          <w:b/>
          <w:spacing w:val="-10"/>
        </w:rPr>
      </w:pPr>
      <w:r>
        <w:rPr>
          <w:b/>
          <w:spacing w:val="-10"/>
        </w:rPr>
        <w:t>6.3</w:t>
      </w:r>
      <w:r>
        <w:rPr>
          <w:rFonts w:hint="eastAsia"/>
          <w:b/>
          <w:spacing w:val="-10"/>
        </w:rPr>
        <w:t>风险识别结果</w:t>
      </w:r>
    </w:p>
    <w:p w14:paraId="2C88D75B">
      <w:pPr>
        <w:adjustRightInd w:val="0"/>
        <w:snapToGrid w:val="0"/>
        <w:spacing w:line="360" w:lineRule="auto"/>
        <w:ind w:firstLine="440" w:firstLineChars="200"/>
        <w:rPr>
          <w:rFonts w:hint="eastAsia"/>
          <w:bCs/>
          <w:spacing w:val="-10"/>
        </w:rPr>
      </w:pPr>
      <w:r>
        <w:rPr>
          <w:bCs/>
          <w:spacing w:val="-10"/>
        </w:rPr>
        <w:t>综上所述，本项目环境风险识别情况详见下表。</w:t>
      </w:r>
    </w:p>
    <w:p w14:paraId="18BA7D13">
      <w:pPr>
        <w:adjustRightInd w:val="0"/>
        <w:snapToGrid w:val="0"/>
        <w:jc w:val="center"/>
        <w:rPr>
          <w:rFonts w:hint="eastAsia"/>
          <w:b/>
          <w:bCs/>
          <w:spacing w:val="-10"/>
        </w:rPr>
      </w:pPr>
      <w:r>
        <w:rPr>
          <w:b/>
          <w:bCs/>
          <w:spacing w:val="-10"/>
        </w:rPr>
        <w:t>表6-</w:t>
      </w:r>
      <w:r>
        <w:rPr>
          <w:rFonts w:hint="eastAsia"/>
          <w:b/>
          <w:bCs/>
          <w:spacing w:val="-10"/>
        </w:rPr>
        <w:t xml:space="preserve">24  </w:t>
      </w:r>
      <w:r>
        <w:rPr>
          <w:b/>
          <w:bCs/>
          <w:spacing w:val="-10"/>
        </w:rPr>
        <w:t>项目环境风险识别表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992"/>
        <w:gridCol w:w="1418"/>
        <w:gridCol w:w="1134"/>
        <w:gridCol w:w="1417"/>
        <w:gridCol w:w="1418"/>
        <w:gridCol w:w="1751"/>
      </w:tblGrid>
      <w:tr w14:paraId="64D63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4" w:type="dxa"/>
          </w:tcPr>
          <w:p w14:paraId="07C9FEBC">
            <w:pPr>
              <w:pStyle w:val="72"/>
              <w:ind w:firstLine="0"/>
              <w:rPr>
                <w:snapToGrid w:val="0"/>
                <w:sz w:val="21"/>
                <w:szCs w:val="21"/>
              </w:rPr>
            </w:pPr>
            <w:r>
              <w:rPr>
                <w:rFonts w:hint="eastAsia"/>
                <w:snapToGrid w:val="0"/>
                <w:sz w:val="21"/>
                <w:szCs w:val="21"/>
              </w:rPr>
              <w:t>序号</w:t>
            </w:r>
          </w:p>
        </w:tc>
        <w:tc>
          <w:tcPr>
            <w:tcW w:w="992" w:type="dxa"/>
          </w:tcPr>
          <w:p w14:paraId="6B3E2DDD">
            <w:pPr>
              <w:pStyle w:val="72"/>
              <w:ind w:firstLine="0"/>
              <w:rPr>
                <w:snapToGrid w:val="0"/>
                <w:sz w:val="21"/>
                <w:szCs w:val="21"/>
              </w:rPr>
            </w:pPr>
            <w:r>
              <w:rPr>
                <w:rFonts w:hint="eastAsia"/>
                <w:snapToGrid w:val="0"/>
                <w:sz w:val="21"/>
                <w:szCs w:val="21"/>
              </w:rPr>
              <w:t>危险单元</w:t>
            </w:r>
          </w:p>
        </w:tc>
        <w:tc>
          <w:tcPr>
            <w:tcW w:w="1418" w:type="dxa"/>
          </w:tcPr>
          <w:p w14:paraId="4B726C23">
            <w:pPr>
              <w:pStyle w:val="72"/>
              <w:ind w:firstLine="0"/>
              <w:rPr>
                <w:snapToGrid w:val="0"/>
                <w:sz w:val="21"/>
                <w:szCs w:val="21"/>
              </w:rPr>
            </w:pPr>
            <w:r>
              <w:rPr>
                <w:rFonts w:hint="eastAsia"/>
                <w:snapToGrid w:val="0"/>
                <w:sz w:val="21"/>
                <w:szCs w:val="21"/>
              </w:rPr>
              <w:t>风险源</w:t>
            </w:r>
          </w:p>
        </w:tc>
        <w:tc>
          <w:tcPr>
            <w:tcW w:w="1134" w:type="dxa"/>
          </w:tcPr>
          <w:p w14:paraId="7FAB4BB5">
            <w:pPr>
              <w:pStyle w:val="72"/>
              <w:ind w:firstLine="0"/>
              <w:rPr>
                <w:snapToGrid w:val="0"/>
                <w:sz w:val="21"/>
                <w:szCs w:val="21"/>
              </w:rPr>
            </w:pPr>
            <w:r>
              <w:rPr>
                <w:rFonts w:hint="eastAsia"/>
                <w:snapToGrid w:val="0"/>
                <w:sz w:val="21"/>
                <w:szCs w:val="21"/>
              </w:rPr>
              <w:t>主要危险物质</w:t>
            </w:r>
          </w:p>
        </w:tc>
        <w:tc>
          <w:tcPr>
            <w:tcW w:w="1417" w:type="dxa"/>
          </w:tcPr>
          <w:p w14:paraId="69846C84">
            <w:pPr>
              <w:pStyle w:val="72"/>
              <w:ind w:firstLine="0"/>
              <w:rPr>
                <w:snapToGrid w:val="0"/>
                <w:sz w:val="21"/>
                <w:szCs w:val="21"/>
              </w:rPr>
            </w:pPr>
            <w:r>
              <w:rPr>
                <w:rFonts w:hint="eastAsia"/>
                <w:snapToGrid w:val="0"/>
                <w:sz w:val="21"/>
                <w:szCs w:val="21"/>
              </w:rPr>
              <w:t>环境风险类型</w:t>
            </w:r>
          </w:p>
        </w:tc>
        <w:tc>
          <w:tcPr>
            <w:tcW w:w="1418" w:type="dxa"/>
          </w:tcPr>
          <w:p w14:paraId="1843F745">
            <w:pPr>
              <w:pStyle w:val="72"/>
              <w:ind w:firstLine="0"/>
              <w:rPr>
                <w:snapToGrid w:val="0"/>
                <w:sz w:val="21"/>
                <w:szCs w:val="21"/>
              </w:rPr>
            </w:pPr>
            <w:r>
              <w:rPr>
                <w:rFonts w:hint="eastAsia"/>
                <w:snapToGrid w:val="0"/>
                <w:sz w:val="21"/>
                <w:szCs w:val="21"/>
              </w:rPr>
              <w:t>环境影响途径</w:t>
            </w:r>
          </w:p>
        </w:tc>
        <w:tc>
          <w:tcPr>
            <w:tcW w:w="1751" w:type="dxa"/>
          </w:tcPr>
          <w:p w14:paraId="0271DA74">
            <w:pPr>
              <w:pStyle w:val="72"/>
              <w:ind w:firstLine="0"/>
              <w:rPr>
                <w:snapToGrid w:val="0"/>
                <w:sz w:val="21"/>
                <w:szCs w:val="21"/>
              </w:rPr>
            </w:pPr>
            <w:r>
              <w:rPr>
                <w:rFonts w:hint="eastAsia"/>
                <w:snapToGrid w:val="0"/>
                <w:sz w:val="21"/>
                <w:szCs w:val="21"/>
              </w:rPr>
              <w:t>可能受影响目标</w:t>
            </w:r>
          </w:p>
        </w:tc>
      </w:tr>
      <w:tr w14:paraId="339D9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0872AD83">
            <w:pPr>
              <w:pStyle w:val="72"/>
              <w:ind w:firstLine="0"/>
              <w:rPr>
                <w:snapToGrid w:val="0"/>
                <w:sz w:val="21"/>
                <w:szCs w:val="21"/>
              </w:rPr>
            </w:pPr>
            <w:r>
              <w:rPr>
                <w:rFonts w:hint="eastAsia"/>
                <w:snapToGrid w:val="0"/>
                <w:sz w:val="21"/>
                <w:szCs w:val="21"/>
              </w:rPr>
              <w:t>1</w:t>
            </w:r>
          </w:p>
        </w:tc>
        <w:tc>
          <w:tcPr>
            <w:tcW w:w="992" w:type="dxa"/>
            <w:vMerge w:val="restart"/>
          </w:tcPr>
          <w:p w14:paraId="32772EE4">
            <w:pPr>
              <w:pStyle w:val="72"/>
              <w:ind w:firstLine="0"/>
              <w:rPr>
                <w:snapToGrid w:val="0"/>
                <w:sz w:val="21"/>
                <w:szCs w:val="21"/>
              </w:rPr>
            </w:pPr>
            <w:r>
              <w:rPr>
                <w:rFonts w:hint="eastAsia"/>
                <w:snapToGrid w:val="0"/>
                <w:sz w:val="21"/>
                <w:szCs w:val="21"/>
              </w:rPr>
              <w:t>2#罐组</w:t>
            </w:r>
          </w:p>
        </w:tc>
        <w:tc>
          <w:tcPr>
            <w:tcW w:w="1418" w:type="dxa"/>
          </w:tcPr>
          <w:p w14:paraId="214EB26D">
            <w:pPr>
              <w:pStyle w:val="72"/>
              <w:ind w:firstLine="0"/>
              <w:rPr>
                <w:snapToGrid w:val="0"/>
                <w:sz w:val="21"/>
                <w:szCs w:val="21"/>
              </w:rPr>
            </w:pPr>
            <w:r>
              <w:rPr>
                <w:rFonts w:hint="eastAsia"/>
                <w:snapToGrid w:val="0"/>
                <w:sz w:val="21"/>
                <w:szCs w:val="21"/>
              </w:rPr>
              <w:t>汽油调和储罐</w:t>
            </w:r>
          </w:p>
        </w:tc>
        <w:tc>
          <w:tcPr>
            <w:tcW w:w="1134" w:type="dxa"/>
          </w:tcPr>
          <w:p w14:paraId="631FD204">
            <w:pPr>
              <w:pStyle w:val="72"/>
              <w:ind w:firstLine="0"/>
              <w:rPr>
                <w:snapToGrid w:val="0"/>
                <w:sz w:val="21"/>
                <w:szCs w:val="21"/>
              </w:rPr>
            </w:pPr>
            <w:r>
              <w:rPr>
                <w:rFonts w:hint="eastAsia"/>
                <w:snapToGrid w:val="0"/>
                <w:sz w:val="21"/>
                <w:szCs w:val="21"/>
              </w:rPr>
              <w:t>92#汽油</w:t>
            </w:r>
          </w:p>
        </w:tc>
        <w:tc>
          <w:tcPr>
            <w:tcW w:w="1417" w:type="dxa"/>
            <w:vMerge w:val="restart"/>
          </w:tcPr>
          <w:p w14:paraId="56C8DC29">
            <w:pPr>
              <w:pStyle w:val="72"/>
              <w:ind w:firstLine="0"/>
              <w:rPr>
                <w:snapToGrid w:val="0"/>
                <w:sz w:val="21"/>
                <w:szCs w:val="21"/>
              </w:rPr>
            </w:pPr>
            <w:r>
              <w:rPr>
                <w:rFonts w:hint="eastAsia"/>
                <w:snapToGrid w:val="0"/>
                <w:sz w:val="21"/>
                <w:szCs w:val="21"/>
              </w:rPr>
              <w:t>火灾、爆炸及泄露</w:t>
            </w:r>
          </w:p>
        </w:tc>
        <w:tc>
          <w:tcPr>
            <w:tcW w:w="1418" w:type="dxa"/>
            <w:vMerge w:val="restart"/>
          </w:tcPr>
          <w:p w14:paraId="72B302A2">
            <w:pPr>
              <w:pStyle w:val="72"/>
              <w:ind w:firstLine="0"/>
              <w:rPr>
                <w:snapToGrid w:val="0"/>
                <w:sz w:val="21"/>
                <w:szCs w:val="21"/>
              </w:rPr>
            </w:pPr>
            <w:r>
              <w:rPr>
                <w:snapToGrid w:val="0"/>
                <w:sz w:val="21"/>
                <w:szCs w:val="21"/>
              </w:rPr>
              <w:t>有毒有害物质泄漏或超标排放至环境</w:t>
            </w:r>
          </w:p>
        </w:tc>
        <w:tc>
          <w:tcPr>
            <w:tcW w:w="1751" w:type="dxa"/>
            <w:vMerge w:val="restart"/>
          </w:tcPr>
          <w:p w14:paraId="3793162D">
            <w:pPr>
              <w:pStyle w:val="72"/>
              <w:ind w:firstLine="0"/>
              <w:rPr>
                <w:snapToGrid w:val="0"/>
                <w:sz w:val="21"/>
                <w:szCs w:val="21"/>
              </w:rPr>
            </w:pPr>
            <w:r>
              <w:rPr>
                <w:snapToGrid w:val="0"/>
                <w:sz w:val="21"/>
                <w:szCs w:val="21"/>
              </w:rPr>
              <w:t>评价范围内的大气、地下水、土壤</w:t>
            </w:r>
          </w:p>
          <w:p w14:paraId="5878F6B6">
            <w:pPr>
              <w:pStyle w:val="72"/>
              <w:ind w:firstLine="0"/>
              <w:rPr>
                <w:snapToGrid w:val="0"/>
                <w:sz w:val="21"/>
                <w:szCs w:val="21"/>
              </w:rPr>
            </w:pPr>
          </w:p>
        </w:tc>
      </w:tr>
      <w:tr w14:paraId="751B2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401D81D3">
            <w:pPr>
              <w:pStyle w:val="72"/>
              <w:ind w:firstLine="0"/>
              <w:rPr>
                <w:snapToGrid w:val="0"/>
                <w:sz w:val="21"/>
                <w:szCs w:val="21"/>
              </w:rPr>
            </w:pPr>
            <w:r>
              <w:rPr>
                <w:rFonts w:hint="eastAsia"/>
                <w:snapToGrid w:val="0"/>
                <w:sz w:val="21"/>
                <w:szCs w:val="21"/>
              </w:rPr>
              <w:t>2</w:t>
            </w:r>
          </w:p>
        </w:tc>
        <w:tc>
          <w:tcPr>
            <w:tcW w:w="992" w:type="dxa"/>
            <w:vMerge w:val="continue"/>
          </w:tcPr>
          <w:p w14:paraId="470A5EC8">
            <w:pPr>
              <w:pStyle w:val="72"/>
              <w:ind w:firstLine="0"/>
              <w:rPr>
                <w:snapToGrid w:val="0"/>
                <w:sz w:val="21"/>
                <w:szCs w:val="21"/>
              </w:rPr>
            </w:pPr>
          </w:p>
        </w:tc>
        <w:tc>
          <w:tcPr>
            <w:tcW w:w="1418" w:type="dxa"/>
          </w:tcPr>
          <w:p w14:paraId="73E30468">
            <w:pPr>
              <w:pStyle w:val="72"/>
              <w:ind w:firstLine="0"/>
              <w:rPr>
                <w:snapToGrid w:val="0"/>
                <w:sz w:val="21"/>
                <w:szCs w:val="21"/>
              </w:rPr>
            </w:pPr>
            <w:r>
              <w:rPr>
                <w:rFonts w:hint="eastAsia"/>
                <w:snapToGrid w:val="0"/>
                <w:sz w:val="21"/>
                <w:szCs w:val="21"/>
              </w:rPr>
              <w:t>汽油调和储罐</w:t>
            </w:r>
          </w:p>
        </w:tc>
        <w:tc>
          <w:tcPr>
            <w:tcW w:w="1134" w:type="dxa"/>
          </w:tcPr>
          <w:p w14:paraId="672CFD3E">
            <w:pPr>
              <w:pStyle w:val="72"/>
              <w:ind w:firstLine="0"/>
              <w:rPr>
                <w:snapToGrid w:val="0"/>
                <w:sz w:val="21"/>
                <w:szCs w:val="21"/>
              </w:rPr>
            </w:pPr>
            <w:r>
              <w:rPr>
                <w:rFonts w:hint="eastAsia"/>
                <w:snapToGrid w:val="0"/>
                <w:sz w:val="21"/>
                <w:szCs w:val="21"/>
              </w:rPr>
              <w:t>95#汽油</w:t>
            </w:r>
          </w:p>
        </w:tc>
        <w:tc>
          <w:tcPr>
            <w:tcW w:w="1417" w:type="dxa"/>
            <w:vMerge w:val="continue"/>
          </w:tcPr>
          <w:p w14:paraId="43FC3047">
            <w:pPr>
              <w:pStyle w:val="72"/>
              <w:ind w:firstLine="0"/>
              <w:rPr>
                <w:snapToGrid w:val="0"/>
                <w:sz w:val="21"/>
                <w:szCs w:val="21"/>
              </w:rPr>
            </w:pPr>
          </w:p>
        </w:tc>
        <w:tc>
          <w:tcPr>
            <w:tcW w:w="1418" w:type="dxa"/>
            <w:vMerge w:val="continue"/>
          </w:tcPr>
          <w:p w14:paraId="3CD4FE31">
            <w:pPr>
              <w:pStyle w:val="72"/>
              <w:ind w:firstLine="0"/>
              <w:rPr>
                <w:snapToGrid w:val="0"/>
                <w:sz w:val="21"/>
                <w:szCs w:val="21"/>
              </w:rPr>
            </w:pPr>
          </w:p>
        </w:tc>
        <w:tc>
          <w:tcPr>
            <w:tcW w:w="1751" w:type="dxa"/>
            <w:vMerge w:val="continue"/>
          </w:tcPr>
          <w:p w14:paraId="522874F1">
            <w:pPr>
              <w:pStyle w:val="72"/>
              <w:ind w:firstLine="0"/>
              <w:rPr>
                <w:snapToGrid w:val="0"/>
                <w:sz w:val="21"/>
                <w:szCs w:val="21"/>
              </w:rPr>
            </w:pPr>
          </w:p>
        </w:tc>
      </w:tr>
      <w:tr w14:paraId="26221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D63AC94">
            <w:pPr>
              <w:pStyle w:val="72"/>
              <w:ind w:firstLine="0"/>
              <w:rPr>
                <w:snapToGrid w:val="0"/>
                <w:sz w:val="21"/>
                <w:szCs w:val="21"/>
              </w:rPr>
            </w:pPr>
            <w:r>
              <w:rPr>
                <w:rFonts w:hint="eastAsia"/>
                <w:snapToGrid w:val="0"/>
                <w:sz w:val="21"/>
                <w:szCs w:val="21"/>
              </w:rPr>
              <w:t>3</w:t>
            </w:r>
          </w:p>
        </w:tc>
        <w:tc>
          <w:tcPr>
            <w:tcW w:w="992" w:type="dxa"/>
            <w:vMerge w:val="continue"/>
          </w:tcPr>
          <w:p w14:paraId="63E06A94">
            <w:pPr>
              <w:pStyle w:val="72"/>
              <w:ind w:firstLine="0"/>
              <w:rPr>
                <w:snapToGrid w:val="0"/>
                <w:sz w:val="21"/>
                <w:szCs w:val="21"/>
              </w:rPr>
            </w:pPr>
          </w:p>
        </w:tc>
        <w:tc>
          <w:tcPr>
            <w:tcW w:w="1418" w:type="dxa"/>
          </w:tcPr>
          <w:p w14:paraId="33658E2D">
            <w:pPr>
              <w:pStyle w:val="72"/>
              <w:ind w:firstLine="0"/>
              <w:rPr>
                <w:snapToGrid w:val="0"/>
                <w:sz w:val="21"/>
                <w:szCs w:val="21"/>
              </w:rPr>
            </w:pPr>
            <w:r>
              <w:rPr>
                <w:rFonts w:hint="eastAsia"/>
                <w:snapToGrid w:val="0"/>
                <w:sz w:val="21"/>
                <w:szCs w:val="21"/>
              </w:rPr>
              <w:t>MTBE储罐</w:t>
            </w:r>
          </w:p>
        </w:tc>
        <w:tc>
          <w:tcPr>
            <w:tcW w:w="1134" w:type="dxa"/>
          </w:tcPr>
          <w:p w14:paraId="5A0C2917">
            <w:pPr>
              <w:pStyle w:val="72"/>
              <w:ind w:firstLine="0"/>
              <w:rPr>
                <w:snapToGrid w:val="0"/>
                <w:sz w:val="21"/>
                <w:szCs w:val="21"/>
              </w:rPr>
            </w:pPr>
            <w:r>
              <w:rPr>
                <w:rFonts w:hint="eastAsia"/>
                <w:snapToGrid w:val="0"/>
                <w:sz w:val="21"/>
                <w:szCs w:val="21"/>
              </w:rPr>
              <w:t>MTBE</w:t>
            </w:r>
          </w:p>
        </w:tc>
        <w:tc>
          <w:tcPr>
            <w:tcW w:w="1417" w:type="dxa"/>
            <w:vMerge w:val="continue"/>
          </w:tcPr>
          <w:p w14:paraId="1F9141E8">
            <w:pPr>
              <w:pStyle w:val="72"/>
              <w:ind w:firstLine="0"/>
              <w:rPr>
                <w:snapToGrid w:val="0"/>
                <w:sz w:val="21"/>
                <w:szCs w:val="21"/>
              </w:rPr>
            </w:pPr>
          </w:p>
        </w:tc>
        <w:tc>
          <w:tcPr>
            <w:tcW w:w="1418" w:type="dxa"/>
            <w:vMerge w:val="continue"/>
          </w:tcPr>
          <w:p w14:paraId="229A2000">
            <w:pPr>
              <w:pStyle w:val="72"/>
              <w:ind w:firstLine="0"/>
              <w:rPr>
                <w:snapToGrid w:val="0"/>
                <w:sz w:val="21"/>
                <w:szCs w:val="21"/>
              </w:rPr>
            </w:pPr>
          </w:p>
        </w:tc>
        <w:tc>
          <w:tcPr>
            <w:tcW w:w="1751" w:type="dxa"/>
            <w:vMerge w:val="continue"/>
          </w:tcPr>
          <w:p w14:paraId="0DCA54C1">
            <w:pPr>
              <w:pStyle w:val="72"/>
              <w:ind w:firstLine="0"/>
              <w:rPr>
                <w:snapToGrid w:val="0"/>
                <w:sz w:val="21"/>
                <w:szCs w:val="21"/>
              </w:rPr>
            </w:pPr>
          </w:p>
        </w:tc>
      </w:tr>
      <w:tr w14:paraId="48D01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060431CF">
            <w:pPr>
              <w:pStyle w:val="72"/>
              <w:ind w:firstLine="0"/>
              <w:rPr>
                <w:snapToGrid w:val="0"/>
                <w:sz w:val="21"/>
                <w:szCs w:val="21"/>
              </w:rPr>
            </w:pPr>
            <w:r>
              <w:rPr>
                <w:rFonts w:hint="eastAsia"/>
                <w:snapToGrid w:val="0"/>
                <w:sz w:val="21"/>
                <w:szCs w:val="21"/>
              </w:rPr>
              <w:t>4</w:t>
            </w:r>
          </w:p>
        </w:tc>
        <w:tc>
          <w:tcPr>
            <w:tcW w:w="992" w:type="dxa"/>
            <w:vMerge w:val="continue"/>
          </w:tcPr>
          <w:p w14:paraId="69F7806E">
            <w:pPr>
              <w:pStyle w:val="72"/>
              <w:ind w:firstLine="0"/>
              <w:rPr>
                <w:snapToGrid w:val="0"/>
                <w:sz w:val="21"/>
                <w:szCs w:val="21"/>
              </w:rPr>
            </w:pPr>
          </w:p>
        </w:tc>
        <w:tc>
          <w:tcPr>
            <w:tcW w:w="1418" w:type="dxa"/>
          </w:tcPr>
          <w:p w14:paraId="5706D892">
            <w:pPr>
              <w:pStyle w:val="72"/>
              <w:ind w:firstLine="0"/>
              <w:rPr>
                <w:snapToGrid w:val="0"/>
                <w:sz w:val="21"/>
                <w:szCs w:val="21"/>
              </w:rPr>
            </w:pPr>
            <w:r>
              <w:rPr>
                <w:rFonts w:hint="eastAsia"/>
                <w:snapToGrid w:val="0"/>
                <w:sz w:val="21"/>
                <w:szCs w:val="21"/>
              </w:rPr>
              <w:t>异辛烷储罐</w:t>
            </w:r>
          </w:p>
        </w:tc>
        <w:tc>
          <w:tcPr>
            <w:tcW w:w="1134" w:type="dxa"/>
          </w:tcPr>
          <w:p w14:paraId="3CAF465C">
            <w:pPr>
              <w:pStyle w:val="72"/>
              <w:ind w:firstLine="0"/>
              <w:rPr>
                <w:snapToGrid w:val="0"/>
                <w:sz w:val="21"/>
                <w:szCs w:val="21"/>
              </w:rPr>
            </w:pPr>
            <w:r>
              <w:rPr>
                <w:rFonts w:hint="eastAsia"/>
                <w:snapToGrid w:val="0"/>
                <w:sz w:val="21"/>
                <w:szCs w:val="21"/>
              </w:rPr>
              <w:t>异辛烷</w:t>
            </w:r>
          </w:p>
        </w:tc>
        <w:tc>
          <w:tcPr>
            <w:tcW w:w="1417" w:type="dxa"/>
            <w:vMerge w:val="continue"/>
          </w:tcPr>
          <w:p w14:paraId="2B2B11C9">
            <w:pPr>
              <w:pStyle w:val="72"/>
              <w:ind w:firstLine="0"/>
              <w:rPr>
                <w:snapToGrid w:val="0"/>
                <w:sz w:val="21"/>
                <w:szCs w:val="21"/>
              </w:rPr>
            </w:pPr>
          </w:p>
        </w:tc>
        <w:tc>
          <w:tcPr>
            <w:tcW w:w="1418" w:type="dxa"/>
            <w:vMerge w:val="continue"/>
          </w:tcPr>
          <w:p w14:paraId="2E56281C">
            <w:pPr>
              <w:pStyle w:val="72"/>
              <w:ind w:firstLine="0"/>
              <w:rPr>
                <w:snapToGrid w:val="0"/>
                <w:sz w:val="21"/>
                <w:szCs w:val="21"/>
              </w:rPr>
            </w:pPr>
          </w:p>
        </w:tc>
        <w:tc>
          <w:tcPr>
            <w:tcW w:w="1751" w:type="dxa"/>
            <w:vMerge w:val="continue"/>
          </w:tcPr>
          <w:p w14:paraId="3A4D76B7">
            <w:pPr>
              <w:pStyle w:val="72"/>
              <w:ind w:firstLine="0"/>
              <w:rPr>
                <w:snapToGrid w:val="0"/>
                <w:sz w:val="21"/>
                <w:szCs w:val="21"/>
              </w:rPr>
            </w:pPr>
          </w:p>
        </w:tc>
      </w:tr>
      <w:tr w14:paraId="42F3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72B53EFA">
            <w:pPr>
              <w:pStyle w:val="72"/>
              <w:ind w:firstLine="0"/>
              <w:rPr>
                <w:snapToGrid w:val="0"/>
                <w:sz w:val="21"/>
                <w:szCs w:val="21"/>
              </w:rPr>
            </w:pPr>
            <w:r>
              <w:rPr>
                <w:rFonts w:hint="eastAsia"/>
                <w:snapToGrid w:val="0"/>
                <w:sz w:val="21"/>
                <w:szCs w:val="21"/>
              </w:rPr>
              <w:t>5</w:t>
            </w:r>
          </w:p>
        </w:tc>
        <w:tc>
          <w:tcPr>
            <w:tcW w:w="992" w:type="dxa"/>
            <w:vMerge w:val="continue"/>
          </w:tcPr>
          <w:p w14:paraId="2E3DF861">
            <w:pPr>
              <w:pStyle w:val="72"/>
              <w:ind w:firstLine="0"/>
              <w:rPr>
                <w:snapToGrid w:val="0"/>
                <w:sz w:val="21"/>
                <w:szCs w:val="21"/>
              </w:rPr>
            </w:pPr>
          </w:p>
        </w:tc>
        <w:tc>
          <w:tcPr>
            <w:tcW w:w="1418" w:type="dxa"/>
          </w:tcPr>
          <w:p w14:paraId="1A6E68F3">
            <w:pPr>
              <w:pStyle w:val="72"/>
              <w:ind w:firstLine="0"/>
              <w:rPr>
                <w:snapToGrid w:val="0"/>
                <w:sz w:val="21"/>
                <w:szCs w:val="21"/>
              </w:rPr>
            </w:pPr>
            <w:r>
              <w:rPr>
                <w:rFonts w:hint="eastAsia"/>
                <w:snapToGrid w:val="0"/>
                <w:sz w:val="21"/>
                <w:szCs w:val="21"/>
              </w:rPr>
              <w:t>混合芳烃储罐</w:t>
            </w:r>
          </w:p>
        </w:tc>
        <w:tc>
          <w:tcPr>
            <w:tcW w:w="1134" w:type="dxa"/>
          </w:tcPr>
          <w:p w14:paraId="18BCDF3D">
            <w:pPr>
              <w:pStyle w:val="72"/>
              <w:ind w:firstLine="0"/>
              <w:rPr>
                <w:snapToGrid w:val="0"/>
                <w:sz w:val="21"/>
                <w:szCs w:val="21"/>
              </w:rPr>
            </w:pPr>
            <w:r>
              <w:rPr>
                <w:rFonts w:hint="eastAsia"/>
                <w:snapToGrid w:val="0"/>
                <w:sz w:val="21"/>
                <w:szCs w:val="21"/>
              </w:rPr>
              <w:t>混合芳烃</w:t>
            </w:r>
          </w:p>
        </w:tc>
        <w:tc>
          <w:tcPr>
            <w:tcW w:w="1417" w:type="dxa"/>
            <w:vMerge w:val="continue"/>
          </w:tcPr>
          <w:p w14:paraId="20CCDA0A">
            <w:pPr>
              <w:pStyle w:val="72"/>
              <w:ind w:firstLine="0"/>
              <w:rPr>
                <w:snapToGrid w:val="0"/>
                <w:sz w:val="21"/>
                <w:szCs w:val="21"/>
              </w:rPr>
            </w:pPr>
          </w:p>
        </w:tc>
        <w:tc>
          <w:tcPr>
            <w:tcW w:w="1418" w:type="dxa"/>
            <w:vMerge w:val="continue"/>
          </w:tcPr>
          <w:p w14:paraId="6DD571EB">
            <w:pPr>
              <w:pStyle w:val="72"/>
              <w:ind w:firstLine="0"/>
              <w:rPr>
                <w:snapToGrid w:val="0"/>
                <w:sz w:val="21"/>
                <w:szCs w:val="21"/>
              </w:rPr>
            </w:pPr>
          </w:p>
        </w:tc>
        <w:tc>
          <w:tcPr>
            <w:tcW w:w="1751" w:type="dxa"/>
            <w:vMerge w:val="continue"/>
          </w:tcPr>
          <w:p w14:paraId="30803EBB">
            <w:pPr>
              <w:pStyle w:val="72"/>
              <w:ind w:firstLine="0"/>
              <w:rPr>
                <w:snapToGrid w:val="0"/>
                <w:sz w:val="21"/>
                <w:szCs w:val="21"/>
              </w:rPr>
            </w:pPr>
          </w:p>
        </w:tc>
      </w:tr>
      <w:tr w14:paraId="2FCD9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4B65AB42">
            <w:pPr>
              <w:pStyle w:val="72"/>
              <w:ind w:firstLine="0"/>
              <w:rPr>
                <w:snapToGrid w:val="0"/>
                <w:sz w:val="21"/>
                <w:szCs w:val="21"/>
              </w:rPr>
            </w:pPr>
            <w:r>
              <w:rPr>
                <w:rFonts w:hint="eastAsia"/>
                <w:snapToGrid w:val="0"/>
                <w:sz w:val="21"/>
                <w:szCs w:val="21"/>
              </w:rPr>
              <w:t>6</w:t>
            </w:r>
          </w:p>
        </w:tc>
        <w:tc>
          <w:tcPr>
            <w:tcW w:w="992" w:type="dxa"/>
            <w:vMerge w:val="continue"/>
          </w:tcPr>
          <w:p w14:paraId="1667D45A">
            <w:pPr>
              <w:pStyle w:val="72"/>
              <w:ind w:firstLine="0"/>
              <w:rPr>
                <w:snapToGrid w:val="0"/>
                <w:sz w:val="21"/>
                <w:szCs w:val="21"/>
              </w:rPr>
            </w:pPr>
          </w:p>
        </w:tc>
        <w:tc>
          <w:tcPr>
            <w:tcW w:w="1418" w:type="dxa"/>
          </w:tcPr>
          <w:p w14:paraId="284A3E37">
            <w:pPr>
              <w:pStyle w:val="72"/>
              <w:ind w:firstLine="0"/>
              <w:rPr>
                <w:snapToGrid w:val="0"/>
                <w:sz w:val="21"/>
                <w:szCs w:val="21"/>
              </w:rPr>
            </w:pPr>
            <w:r>
              <w:rPr>
                <w:rFonts w:hint="eastAsia"/>
                <w:snapToGrid w:val="0"/>
                <w:sz w:val="21"/>
                <w:szCs w:val="21"/>
              </w:rPr>
              <w:t>轻质石脑油调和储罐</w:t>
            </w:r>
          </w:p>
        </w:tc>
        <w:tc>
          <w:tcPr>
            <w:tcW w:w="1134" w:type="dxa"/>
          </w:tcPr>
          <w:p w14:paraId="43417C54">
            <w:pPr>
              <w:pStyle w:val="72"/>
              <w:ind w:firstLine="0"/>
              <w:rPr>
                <w:snapToGrid w:val="0"/>
                <w:sz w:val="21"/>
                <w:szCs w:val="21"/>
              </w:rPr>
            </w:pPr>
            <w:r>
              <w:rPr>
                <w:rFonts w:hint="eastAsia"/>
                <w:snapToGrid w:val="0"/>
                <w:sz w:val="21"/>
                <w:szCs w:val="21"/>
              </w:rPr>
              <w:t>轻质石脑油</w:t>
            </w:r>
          </w:p>
        </w:tc>
        <w:tc>
          <w:tcPr>
            <w:tcW w:w="1417" w:type="dxa"/>
            <w:vMerge w:val="continue"/>
          </w:tcPr>
          <w:p w14:paraId="424B6CC5">
            <w:pPr>
              <w:pStyle w:val="72"/>
              <w:ind w:firstLine="0"/>
              <w:rPr>
                <w:snapToGrid w:val="0"/>
                <w:sz w:val="21"/>
                <w:szCs w:val="21"/>
              </w:rPr>
            </w:pPr>
          </w:p>
        </w:tc>
        <w:tc>
          <w:tcPr>
            <w:tcW w:w="1418" w:type="dxa"/>
            <w:vMerge w:val="continue"/>
          </w:tcPr>
          <w:p w14:paraId="62989BA1">
            <w:pPr>
              <w:pStyle w:val="72"/>
              <w:ind w:firstLine="0"/>
              <w:rPr>
                <w:snapToGrid w:val="0"/>
                <w:sz w:val="21"/>
                <w:szCs w:val="21"/>
              </w:rPr>
            </w:pPr>
          </w:p>
        </w:tc>
        <w:tc>
          <w:tcPr>
            <w:tcW w:w="1751" w:type="dxa"/>
            <w:vMerge w:val="continue"/>
          </w:tcPr>
          <w:p w14:paraId="13975611">
            <w:pPr>
              <w:pStyle w:val="72"/>
              <w:ind w:firstLine="0"/>
              <w:rPr>
                <w:snapToGrid w:val="0"/>
                <w:sz w:val="21"/>
                <w:szCs w:val="21"/>
              </w:rPr>
            </w:pPr>
          </w:p>
        </w:tc>
      </w:tr>
      <w:tr w14:paraId="4A60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6ABA76CB">
            <w:pPr>
              <w:pStyle w:val="72"/>
              <w:ind w:firstLine="0"/>
              <w:rPr>
                <w:snapToGrid w:val="0"/>
                <w:sz w:val="21"/>
                <w:szCs w:val="21"/>
              </w:rPr>
            </w:pPr>
            <w:r>
              <w:rPr>
                <w:rFonts w:hint="eastAsia"/>
                <w:snapToGrid w:val="0"/>
                <w:sz w:val="21"/>
                <w:szCs w:val="21"/>
              </w:rPr>
              <w:t>7</w:t>
            </w:r>
          </w:p>
        </w:tc>
        <w:tc>
          <w:tcPr>
            <w:tcW w:w="992" w:type="dxa"/>
            <w:vMerge w:val="restart"/>
          </w:tcPr>
          <w:p w14:paraId="0E6C495A">
            <w:pPr>
              <w:pStyle w:val="72"/>
              <w:ind w:firstLine="0"/>
              <w:rPr>
                <w:snapToGrid w:val="0"/>
                <w:sz w:val="21"/>
                <w:szCs w:val="21"/>
              </w:rPr>
            </w:pPr>
            <w:r>
              <w:rPr>
                <w:rFonts w:hint="eastAsia"/>
                <w:snapToGrid w:val="0"/>
                <w:sz w:val="21"/>
                <w:szCs w:val="21"/>
              </w:rPr>
              <w:t>3#罐组</w:t>
            </w:r>
          </w:p>
        </w:tc>
        <w:tc>
          <w:tcPr>
            <w:tcW w:w="1418" w:type="dxa"/>
          </w:tcPr>
          <w:p w14:paraId="6B46C1FB">
            <w:pPr>
              <w:pStyle w:val="72"/>
              <w:ind w:firstLine="0"/>
              <w:rPr>
                <w:snapToGrid w:val="0"/>
                <w:sz w:val="21"/>
                <w:szCs w:val="21"/>
              </w:rPr>
            </w:pPr>
            <w:r>
              <w:rPr>
                <w:rFonts w:hint="eastAsia"/>
                <w:snapToGrid w:val="0"/>
                <w:sz w:val="21"/>
                <w:szCs w:val="21"/>
              </w:rPr>
              <w:t>柴油调和储罐</w:t>
            </w:r>
          </w:p>
        </w:tc>
        <w:tc>
          <w:tcPr>
            <w:tcW w:w="1134" w:type="dxa"/>
          </w:tcPr>
          <w:p w14:paraId="148CB48B">
            <w:pPr>
              <w:pStyle w:val="72"/>
              <w:ind w:firstLine="0"/>
              <w:rPr>
                <w:snapToGrid w:val="0"/>
                <w:sz w:val="21"/>
                <w:szCs w:val="21"/>
              </w:rPr>
            </w:pPr>
            <w:r>
              <w:rPr>
                <w:rFonts w:hint="eastAsia"/>
                <w:snapToGrid w:val="0"/>
                <w:sz w:val="21"/>
                <w:szCs w:val="21"/>
              </w:rPr>
              <w:t>柴油</w:t>
            </w:r>
          </w:p>
        </w:tc>
        <w:tc>
          <w:tcPr>
            <w:tcW w:w="1417" w:type="dxa"/>
            <w:vMerge w:val="continue"/>
          </w:tcPr>
          <w:p w14:paraId="74F703CC">
            <w:pPr>
              <w:pStyle w:val="72"/>
              <w:ind w:firstLine="0"/>
              <w:rPr>
                <w:snapToGrid w:val="0"/>
                <w:sz w:val="21"/>
                <w:szCs w:val="21"/>
              </w:rPr>
            </w:pPr>
          </w:p>
        </w:tc>
        <w:tc>
          <w:tcPr>
            <w:tcW w:w="1418" w:type="dxa"/>
            <w:vMerge w:val="continue"/>
          </w:tcPr>
          <w:p w14:paraId="43599801">
            <w:pPr>
              <w:pStyle w:val="72"/>
              <w:ind w:firstLine="0"/>
              <w:rPr>
                <w:snapToGrid w:val="0"/>
                <w:sz w:val="21"/>
                <w:szCs w:val="21"/>
              </w:rPr>
            </w:pPr>
          </w:p>
        </w:tc>
        <w:tc>
          <w:tcPr>
            <w:tcW w:w="1751" w:type="dxa"/>
            <w:vMerge w:val="continue"/>
          </w:tcPr>
          <w:p w14:paraId="5F29319B">
            <w:pPr>
              <w:pStyle w:val="72"/>
              <w:ind w:firstLine="0"/>
              <w:rPr>
                <w:snapToGrid w:val="0"/>
                <w:sz w:val="21"/>
                <w:szCs w:val="21"/>
              </w:rPr>
            </w:pPr>
          </w:p>
        </w:tc>
      </w:tr>
      <w:tr w14:paraId="704B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0647AB54">
            <w:pPr>
              <w:pStyle w:val="72"/>
              <w:ind w:firstLine="0"/>
              <w:rPr>
                <w:snapToGrid w:val="0"/>
                <w:sz w:val="21"/>
                <w:szCs w:val="21"/>
              </w:rPr>
            </w:pPr>
            <w:r>
              <w:rPr>
                <w:rFonts w:hint="eastAsia"/>
                <w:snapToGrid w:val="0"/>
                <w:sz w:val="21"/>
                <w:szCs w:val="21"/>
              </w:rPr>
              <w:t>8</w:t>
            </w:r>
          </w:p>
        </w:tc>
        <w:tc>
          <w:tcPr>
            <w:tcW w:w="992" w:type="dxa"/>
            <w:vMerge w:val="continue"/>
          </w:tcPr>
          <w:p w14:paraId="068462C7">
            <w:pPr>
              <w:pStyle w:val="72"/>
              <w:ind w:firstLine="0"/>
              <w:rPr>
                <w:snapToGrid w:val="0"/>
                <w:sz w:val="21"/>
                <w:szCs w:val="21"/>
              </w:rPr>
            </w:pPr>
          </w:p>
        </w:tc>
        <w:tc>
          <w:tcPr>
            <w:tcW w:w="1418" w:type="dxa"/>
          </w:tcPr>
          <w:p w14:paraId="1FCE14AE">
            <w:pPr>
              <w:pStyle w:val="72"/>
              <w:ind w:firstLine="0"/>
              <w:rPr>
                <w:snapToGrid w:val="0"/>
                <w:sz w:val="21"/>
                <w:szCs w:val="21"/>
              </w:rPr>
            </w:pPr>
            <w:r>
              <w:rPr>
                <w:rFonts w:hint="eastAsia"/>
                <w:snapToGrid w:val="0"/>
                <w:sz w:val="21"/>
                <w:szCs w:val="21"/>
              </w:rPr>
              <w:t>柴油调和储罐</w:t>
            </w:r>
          </w:p>
        </w:tc>
        <w:tc>
          <w:tcPr>
            <w:tcW w:w="1134" w:type="dxa"/>
          </w:tcPr>
          <w:p w14:paraId="3FFC2D61">
            <w:pPr>
              <w:pStyle w:val="72"/>
              <w:ind w:firstLine="0"/>
              <w:rPr>
                <w:snapToGrid w:val="0"/>
                <w:sz w:val="21"/>
                <w:szCs w:val="21"/>
              </w:rPr>
            </w:pPr>
            <w:r>
              <w:rPr>
                <w:rFonts w:hint="eastAsia"/>
                <w:snapToGrid w:val="0"/>
                <w:sz w:val="21"/>
                <w:szCs w:val="21"/>
              </w:rPr>
              <w:t>柴油</w:t>
            </w:r>
          </w:p>
        </w:tc>
        <w:tc>
          <w:tcPr>
            <w:tcW w:w="1417" w:type="dxa"/>
            <w:vMerge w:val="continue"/>
          </w:tcPr>
          <w:p w14:paraId="4865B7BB">
            <w:pPr>
              <w:pStyle w:val="72"/>
              <w:ind w:firstLine="0"/>
              <w:rPr>
                <w:snapToGrid w:val="0"/>
                <w:sz w:val="21"/>
                <w:szCs w:val="21"/>
              </w:rPr>
            </w:pPr>
          </w:p>
        </w:tc>
        <w:tc>
          <w:tcPr>
            <w:tcW w:w="1418" w:type="dxa"/>
            <w:vMerge w:val="continue"/>
          </w:tcPr>
          <w:p w14:paraId="01466471">
            <w:pPr>
              <w:pStyle w:val="72"/>
              <w:ind w:firstLine="0"/>
              <w:rPr>
                <w:snapToGrid w:val="0"/>
                <w:sz w:val="21"/>
                <w:szCs w:val="21"/>
              </w:rPr>
            </w:pPr>
          </w:p>
        </w:tc>
        <w:tc>
          <w:tcPr>
            <w:tcW w:w="1751" w:type="dxa"/>
            <w:vMerge w:val="continue"/>
          </w:tcPr>
          <w:p w14:paraId="0487FEEC">
            <w:pPr>
              <w:pStyle w:val="72"/>
              <w:ind w:firstLine="0"/>
              <w:rPr>
                <w:snapToGrid w:val="0"/>
                <w:sz w:val="21"/>
                <w:szCs w:val="21"/>
              </w:rPr>
            </w:pPr>
          </w:p>
        </w:tc>
      </w:tr>
      <w:tr w14:paraId="21DBA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61E2720">
            <w:pPr>
              <w:pStyle w:val="72"/>
              <w:ind w:firstLine="0"/>
              <w:rPr>
                <w:snapToGrid w:val="0"/>
                <w:sz w:val="21"/>
                <w:szCs w:val="21"/>
              </w:rPr>
            </w:pPr>
            <w:r>
              <w:rPr>
                <w:rFonts w:hint="eastAsia"/>
                <w:snapToGrid w:val="0"/>
                <w:sz w:val="21"/>
                <w:szCs w:val="21"/>
              </w:rPr>
              <w:t>9</w:t>
            </w:r>
          </w:p>
        </w:tc>
        <w:tc>
          <w:tcPr>
            <w:tcW w:w="992" w:type="dxa"/>
            <w:vMerge w:val="continue"/>
          </w:tcPr>
          <w:p w14:paraId="1DCFA934">
            <w:pPr>
              <w:pStyle w:val="72"/>
              <w:ind w:firstLine="0"/>
              <w:rPr>
                <w:snapToGrid w:val="0"/>
                <w:sz w:val="21"/>
                <w:szCs w:val="21"/>
              </w:rPr>
            </w:pPr>
          </w:p>
        </w:tc>
        <w:tc>
          <w:tcPr>
            <w:tcW w:w="1418" w:type="dxa"/>
          </w:tcPr>
          <w:p w14:paraId="429AFAAB">
            <w:pPr>
              <w:pStyle w:val="72"/>
              <w:ind w:firstLine="0"/>
              <w:rPr>
                <w:snapToGrid w:val="0"/>
                <w:sz w:val="21"/>
                <w:szCs w:val="21"/>
              </w:rPr>
            </w:pPr>
            <w:r>
              <w:rPr>
                <w:rFonts w:hint="eastAsia"/>
                <w:snapToGrid w:val="0"/>
                <w:sz w:val="21"/>
                <w:szCs w:val="21"/>
              </w:rPr>
              <w:t>燃料油储罐</w:t>
            </w:r>
          </w:p>
        </w:tc>
        <w:tc>
          <w:tcPr>
            <w:tcW w:w="1134" w:type="dxa"/>
          </w:tcPr>
          <w:p w14:paraId="4E8F5699">
            <w:pPr>
              <w:pStyle w:val="72"/>
              <w:ind w:firstLine="0"/>
              <w:rPr>
                <w:snapToGrid w:val="0"/>
                <w:sz w:val="21"/>
                <w:szCs w:val="21"/>
              </w:rPr>
            </w:pPr>
            <w:r>
              <w:rPr>
                <w:rFonts w:hint="eastAsia"/>
                <w:snapToGrid w:val="0"/>
                <w:sz w:val="21"/>
                <w:szCs w:val="21"/>
              </w:rPr>
              <w:t>轻质燃料油</w:t>
            </w:r>
          </w:p>
        </w:tc>
        <w:tc>
          <w:tcPr>
            <w:tcW w:w="1417" w:type="dxa"/>
            <w:vMerge w:val="continue"/>
          </w:tcPr>
          <w:p w14:paraId="6BFA1BAC">
            <w:pPr>
              <w:pStyle w:val="72"/>
              <w:ind w:firstLine="0"/>
              <w:rPr>
                <w:snapToGrid w:val="0"/>
                <w:sz w:val="21"/>
                <w:szCs w:val="21"/>
              </w:rPr>
            </w:pPr>
          </w:p>
        </w:tc>
        <w:tc>
          <w:tcPr>
            <w:tcW w:w="1418" w:type="dxa"/>
            <w:vMerge w:val="continue"/>
          </w:tcPr>
          <w:p w14:paraId="75048B7E">
            <w:pPr>
              <w:pStyle w:val="72"/>
              <w:ind w:firstLine="0"/>
              <w:rPr>
                <w:snapToGrid w:val="0"/>
                <w:sz w:val="21"/>
                <w:szCs w:val="21"/>
              </w:rPr>
            </w:pPr>
          </w:p>
        </w:tc>
        <w:tc>
          <w:tcPr>
            <w:tcW w:w="1751" w:type="dxa"/>
            <w:vMerge w:val="continue"/>
          </w:tcPr>
          <w:p w14:paraId="4A686446">
            <w:pPr>
              <w:pStyle w:val="72"/>
              <w:ind w:firstLine="0"/>
              <w:rPr>
                <w:snapToGrid w:val="0"/>
                <w:sz w:val="21"/>
                <w:szCs w:val="21"/>
              </w:rPr>
            </w:pPr>
          </w:p>
        </w:tc>
      </w:tr>
      <w:tr w14:paraId="6487A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58A13B1B">
            <w:pPr>
              <w:pStyle w:val="72"/>
              <w:ind w:firstLine="0"/>
              <w:rPr>
                <w:snapToGrid w:val="0"/>
                <w:sz w:val="21"/>
                <w:szCs w:val="21"/>
              </w:rPr>
            </w:pPr>
            <w:r>
              <w:rPr>
                <w:rFonts w:hint="eastAsia"/>
                <w:snapToGrid w:val="0"/>
                <w:sz w:val="21"/>
                <w:szCs w:val="21"/>
              </w:rPr>
              <w:t>10</w:t>
            </w:r>
          </w:p>
        </w:tc>
        <w:tc>
          <w:tcPr>
            <w:tcW w:w="992" w:type="dxa"/>
            <w:vMerge w:val="continue"/>
          </w:tcPr>
          <w:p w14:paraId="3C656163">
            <w:pPr>
              <w:pStyle w:val="72"/>
              <w:ind w:firstLine="0"/>
              <w:rPr>
                <w:snapToGrid w:val="0"/>
                <w:sz w:val="21"/>
                <w:szCs w:val="21"/>
              </w:rPr>
            </w:pPr>
          </w:p>
        </w:tc>
        <w:tc>
          <w:tcPr>
            <w:tcW w:w="1418" w:type="dxa"/>
          </w:tcPr>
          <w:p w14:paraId="1855DFFE">
            <w:pPr>
              <w:pStyle w:val="72"/>
              <w:ind w:firstLine="0"/>
              <w:rPr>
                <w:snapToGrid w:val="0"/>
                <w:sz w:val="21"/>
                <w:szCs w:val="21"/>
              </w:rPr>
            </w:pPr>
            <w:r>
              <w:rPr>
                <w:rFonts w:hint="eastAsia"/>
                <w:snapToGrid w:val="0"/>
                <w:sz w:val="21"/>
                <w:szCs w:val="21"/>
              </w:rPr>
              <w:t>不合格柴油储罐</w:t>
            </w:r>
          </w:p>
        </w:tc>
        <w:tc>
          <w:tcPr>
            <w:tcW w:w="1134" w:type="dxa"/>
          </w:tcPr>
          <w:p w14:paraId="317EE2A0">
            <w:pPr>
              <w:pStyle w:val="72"/>
              <w:ind w:firstLine="0"/>
              <w:rPr>
                <w:snapToGrid w:val="0"/>
                <w:sz w:val="21"/>
                <w:szCs w:val="21"/>
              </w:rPr>
            </w:pPr>
            <w:r>
              <w:rPr>
                <w:rFonts w:hint="eastAsia"/>
                <w:snapToGrid w:val="0"/>
                <w:sz w:val="21"/>
                <w:szCs w:val="21"/>
              </w:rPr>
              <w:t>柴油</w:t>
            </w:r>
          </w:p>
        </w:tc>
        <w:tc>
          <w:tcPr>
            <w:tcW w:w="1417" w:type="dxa"/>
            <w:vMerge w:val="continue"/>
          </w:tcPr>
          <w:p w14:paraId="6BC8D54F">
            <w:pPr>
              <w:pStyle w:val="72"/>
              <w:ind w:firstLine="0"/>
              <w:rPr>
                <w:snapToGrid w:val="0"/>
                <w:sz w:val="21"/>
                <w:szCs w:val="21"/>
              </w:rPr>
            </w:pPr>
          </w:p>
        </w:tc>
        <w:tc>
          <w:tcPr>
            <w:tcW w:w="1418" w:type="dxa"/>
            <w:vMerge w:val="continue"/>
          </w:tcPr>
          <w:p w14:paraId="12AC38F4">
            <w:pPr>
              <w:pStyle w:val="72"/>
              <w:ind w:firstLine="0"/>
              <w:rPr>
                <w:snapToGrid w:val="0"/>
                <w:sz w:val="21"/>
                <w:szCs w:val="21"/>
              </w:rPr>
            </w:pPr>
          </w:p>
        </w:tc>
        <w:tc>
          <w:tcPr>
            <w:tcW w:w="1751" w:type="dxa"/>
            <w:vMerge w:val="continue"/>
          </w:tcPr>
          <w:p w14:paraId="7411A8DA">
            <w:pPr>
              <w:pStyle w:val="72"/>
              <w:ind w:firstLine="0"/>
              <w:rPr>
                <w:snapToGrid w:val="0"/>
                <w:sz w:val="21"/>
                <w:szCs w:val="21"/>
              </w:rPr>
            </w:pPr>
          </w:p>
        </w:tc>
      </w:tr>
      <w:tr w14:paraId="215F9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E87A530">
            <w:pPr>
              <w:pStyle w:val="72"/>
              <w:ind w:firstLine="0"/>
              <w:rPr>
                <w:snapToGrid w:val="0"/>
                <w:sz w:val="21"/>
                <w:szCs w:val="21"/>
              </w:rPr>
            </w:pPr>
            <w:r>
              <w:rPr>
                <w:rFonts w:hint="eastAsia"/>
                <w:snapToGrid w:val="0"/>
                <w:sz w:val="21"/>
                <w:szCs w:val="21"/>
              </w:rPr>
              <w:t>11</w:t>
            </w:r>
          </w:p>
        </w:tc>
        <w:tc>
          <w:tcPr>
            <w:tcW w:w="992" w:type="dxa"/>
            <w:vMerge w:val="continue"/>
          </w:tcPr>
          <w:p w14:paraId="24D8DB76">
            <w:pPr>
              <w:pStyle w:val="72"/>
              <w:ind w:firstLine="0"/>
              <w:rPr>
                <w:snapToGrid w:val="0"/>
                <w:sz w:val="21"/>
                <w:szCs w:val="21"/>
              </w:rPr>
            </w:pPr>
          </w:p>
        </w:tc>
        <w:tc>
          <w:tcPr>
            <w:tcW w:w="1418" w:type="dxa"/>
          </w:tcPr>
          <w:p w14:paraId="2E67FA1C">
            <w:pPr>
              <w:pStyle w:val="72"/>
              <w:ind w:firstLine="0"/>
              <w:rPr>
                <w:snapToGrid w:val="0"/>
                <w:sz w:val="21"/>
                <w:szCs w:val="21"/>
              </w:rPr>
            </w:pPr>
            <w:r>
              <w:rPr>
                <w:rFonts w:hint="eastAsia"/>
                <w:snapToGrid w:val="0"/>
                <w:sz w:val="21"/>
                <w:szCs w:val="21"/>
              </w:rPr>
              <w:t>煤基柴油储罐</w:t>
            </w:r>
          </w:p>
        </w:tc>
        <w:tc>
          <w:tcPr>
            <w:tcW w:w="1134" w:type="dxa"/>
          </w:tcPr>
          <w:p w14:paraId="65F2DF82">
            <w:pPr>
              <w:pStyle w:val="72"/>
              <w:ind w:firstLine="0"/>
              <w:rPr>
                <w:snapToGrid w:val="0"/>
                <w:sz w:val="21"/>
                <w:szCs w:val="21"/>
              </w:rPr>
            </w:pPr>
            <w:r>
              <w:rPr>
                <w:rFonts w:hint="eastAsia"/>
                <w:snapToGrid w:val="0"/>
                <w:sz w:val="21"/>
                <w:szCs w:val="21"/>
              </w:rPr>
              <w:t>煤基柴油</w:t>
            </w:r>
          </w:p>
        </w:tc>
        <w:tc>
          <w:tcPr>
            <w:tcW w:w="1417" w:type="dxa"/>
            <w:vMerge w:val="continue"/>
          </w:tcPr>
          <w:p w14:paraId="3175682D">
            <w:pPr>
              <w:pStyle w:val="72"/>
              <w:ind w:firstLine="0"/>
              <w:rPr>
                <w:snapToGrid w:val="0"/>
                <w:sz w:val="21"/>
                <w:szCs w:val="21"/>
              </w:rPr>
            </w:pPr>
          </w:p>
        </w:tc>
        <w:tc>
          <w:tcPr>
            <w:tcW w:w="1418" w:type="dxa"/>
            <w:vMerge w:val="continue"/>
          </w:tcPr>
          <w:p w14:paraId="002A5A0C">
            <w:pPr>
              <w:pStyle w:val="72"/>
              <w:ind w:firstLine="0"/>
              <w:rPr>
                <w:snapToGrid w:val="0"/>
                <w:sz w:val="21"/>
                <w:szCs w:val="21"/>
              </w:rPr>
            </w:pPr>
          </w:p>
        </w:tc>
        <w:tc>
          <w:tcPr>
            <w:tcW w:w="1751" w:type="dxa"/>
            <w:vMerge w:val="continue"/>
          </w:tcPr>
          <w:p w14:paraId="73CD2DB6">
            <w:pPr>
              <w:pStyle w:val="72"/>
              <w:ind w:firstLine="0"/>
              <w:rPr>
                <w:snapToGrid w:val="0"/>
                <w:sz w:val="21"/>
                <w:szCs w:val="21"/>
              </w:rPr>
            </w:pPr>
          </w:p>
        </w:tc>
      </w:tr>
    </w:tbl>
    <w:p w14:paraId="3718E74E">
      <w:pPr>
        <w:adjustRightInd w:val="0"/>
        <w:snapToGrid w:val="0"/>
        <w:rPr>
          <w:rFonts w:hint="eastAsia"/>
          <w:bCs/>
          <w:spacing w:val="-10"/>
        </w:rPr>
      </w:pPr>
    </w:p>
    <w:p w14:paraId="516E5DA6">
      <w:pPr>
        <w:adjustRightInd w:val="0"/>
        <w:snapToGrid w:val="0"/>
        <w:spacing w:line="360" w:lineRule="auto"/>
        <w:rPr>
          <w:rFonts w:hint="eastAsia"/>
          <w:b/>
          <w:spacing w:val="-10"/>
        </w:rPr>
      </w:pPr>
      <w:r>
        <w:rPr>
          <w:b/>
          <w:spacing w:val="-10"/>
        </w:rPr>
        <w:t>6.</w:t>
      </w:r>
      <w:r>
        <w:rPr>
          <w:rFonts w:hint="eastAsia"/>
          <w:b/>
          <w:spacing w:val="-10"/>
        </w:rPr>
        <w:t>4</w:t>
      </w:r>
      <w:r>
        <w:rPr>
          <w:b/>
          <w:spacing w:val="-10"/>
        </w:rPr>
        <w:t>扩散途径识别</w:t>
      </w:r>
    </w:p>
    <w:p w14:paraId="120B8518">
      <w:pPr>
        <w:adjustRightInd w:val="0"/>
        <w:snapToGrid w:val="0"/>
        <w:spacing w:line="360" w:lineRule="auto"/>
        <w:ind w:firstLine="440" w:firstLineChars="200"/>
        <w:rPr>
          <w:rFonts w:hint="eastAsia"/>
          <w:bCs/>
          <w:spacing w:val="-10"/>
        </w:rPr>
      </w:pPr>
      <w:r>
        <w:rPr>
          <w:bCs/>
          <w:spacing w:val="-10"/>
        </w:rPr>
        <w:t>本项目生产过程中</w:t>
      </w:r>
      <w:r>
        <w:rPr>
          <w:rFonts w:hint="eastAsia"/>
          <w:bCs/>
          <w:spacing w:val="-10"/>
          <w:lang w:eastAsia="zh-CN"/>
        </w:rPr>
        <w:t>涉及</w:t>
      </w:r>
      <w:r>
        <w:rPr>
          <w:bCs/>
          <w:spacing w:val="-10"/>
        </w:rPr>
        <w:t>的有毒有害物质</w:t>
      </w:r>
      <w:r>
        <w:rPr>
          <w:rFonts w:hint="eastAsia"/>
          <w:bCs/>
          <w:spacing w:val="-10"/>
        </w:rPr>
        <w:t>为</w:t>
      </w:r>
      <w:r>
        <w:rPr>
          <w:bCs/>
          <w:spacing w:val="-10"/>
        </w:rPr>
        <w:t>柴油</w:t>
      </w:r>
      <w:r>
        <w:rPr>
          <w:rFonts w:hint="eastAsia"/>
          <w:bCs/>
          <w:spacing w:val="-10"/>
        </w:rPr>
        <w:t>、汽油及其原料</w:t>
      </w:r>
      <w:r>
        <w:rPr>
          <w:bCs/>
          <w:spacing w:val="-10"/>
        </w:rPr>
        <w:t>。</w:t>
      </w:r>
    </w:p>
    <w:p w14:paraId="5EFDB0C0">
      <w:pPr>
        <w:adjustRightInd w:val="0"/>
        <w:snapToGrid w:val="0"/>
        <w:spacing w:line="360" w:lineRule="auto"/>
        <w:ind w:firstLine="440" w:firstLineChars="200"/>
        <w:rPr>
          <w:rFonts w:hint="eastAsia"/>
          <w:bCs/>
          <w:spacing w:val="-10"/>
        </w:rPr>
      </w:pPr>
      <w:r>
        <w:rPr>
          <w:bCs/>
          <w:spacing w:val="-10"/>
        </w:rPr>
        <w:t>毒害物质扩散途径主要有以下几个方面：</w:t>
      </w:r>
    </w:p>
    <w:p w14:paraId="581AD898">
      <w:pPr>
        <w:adjustRightInd w:val="0"/>
        <w:snapToGrid w:val="0"/>
        <w:spacing w:line="360" w:lineRule="auto"/>
        <w:ind w:firstLine="440" w:firstLineChars="200"/>
        <w:rPr>
          <w:rFonts w:hint="eastAsia"/>
          <w:bCs/>
          <w:spacing w:val="-10"/>
        </w:rPr>
      </w:pPr>
      <w:r>
        <w:rPr>
          <w:rFonts w:hint="eastAsia"/>
          <w:bCs/>
          <w:spacing w:val="-10"/>
        </w:rPr>
        <w:t>①</w:t>
      </w:r>
      <w:r>
        <w:rPr>
          <w:bCs/>
          <w:spacing w:val="-10"/>
        </w:rPr>
        <w:t>大气扩散：有毒有害物质泄漏后直接进入大气环境或挥发进入大气环境，或者易燃易爆物质泄漏发生火灾爆炸事故时伴生污染物进入大气环境，通过大气扩散对项目周围环境造成危害</w:t>
      </w:r>
      <w:r>
        <w:rPr>
          <w:rFonts w:hint="eastAsia"/>
          <w:bCs/>
          <w:spacing w:val="-10"/>
        </w:rPr>
        <w:t>。</w:t>
      </w:r>
    </w:p>
    <w:p w14:paraId="18F42280">
      <w:pPr>
        <w:adjustRightInd w:val="0"/>
        <w:snapToGrid w:val="0"/>
        <w:spacing w:line="360" w:lineRule="auto"/>
        <w:ind w:firstLine="440" w:firstLineChars="200"/>
        <w:rPr>
          <w:rFonts w:hint="eastAsia"/>
          <w:bCs/>
          <w:spacing w:val="-10"/>
        </w:rPr>
      </w:pPr>
      <w:r>
        <w:rPr>
          <w:rFonts w:hint="eastAsia"/>
          <w:bCs/>
          <w:spacing w:val="-10"/>
        </w:rPr>
        <w:t>②</w:t>
      </w:r>
      <w:r>
        <w:rPr>
          <w:bCs/>
          <w:spacing w:val="-10"/>
        </w:rPr>
        <w:t>土壤</w:t>
      </w:r>
      <w:r>
        <w:rPr>
          <w:rFonts w:hint="eastAsia"/>
          <w:bCs/>
          <w:spacing w:val="-10"/>
        </w:rPr>
        <w:t>及地下水</w:t>
      </w:r>
      <w:r>
        <w:rPr>
          <w:bCs/>
          <w:spacing w:val="-10"/>
        </w:rPr>
        <w:t>扩散：本项目液态危险物质泄漏或火灾爆炸事故时产生的消防废水聚积地面，通过地面渗透进入土壤/地下含水层，对土壤环境/地下水环境造成风险事故。</w:t>
      </w:r>
    </w:p>
    <w:p w14:paraId="68DC55D3">
      <w:pPr>
        <w:adjustRightInd w:val="0"/>
        <w:snapToGrid w:val="0"/>
        <w:spacing w:line="360" w:lineRule="auto"/>
        <w:rPr>
          <w:rFonts w:hint="eastAsia"/>
          <w:bCs/>
          <w:spacing w:val="-10"/>
        </w:rPr>
      </w:pPr>
      <w:r>
        <w:rPr>
          <w:bCs/>
          <w:spacing w:val="-10"/>
        </w:rPr>
        <w:t>本项目发生风险事故时有毒有害物质扩散途径详见表6-</w:t>
      </w:r>
      <w:r>
        <w:rPr>
          <w:rFonts w:hint="eastAsia"/>
          <w:bCs/>
          <w:spacing w:val="-10"/>
        </w:rPr>
        <w:t>25</w:t>
      </w:r>
      <w:r>
        <w:rPr>
          <w:bCs/>
          <w:spacing w:val="-10"/>
        </w:rPr>
        <w:t>。</w:t>
      </w:r>
    </w:p>
    <w:p w14:paraId="67D56ADF">
      <w:pPr>
        <w:adjustRightInd w:val="0"/>
        <w:snapToGrid w:val="0"/>
        <w:jc w:val="center"/>
        <w:rPr>
          <w:rFonts w:hint="eastAsia"/>
          <w:b/>
          <w:bCs/>
          <w:spacing w:val="-10"/>
        </w:rPr>
      </w:pPr>
      <w:r>
        <w:rPr>
          <w:b/>
          <w:bCs/>
          <w:spacing w:val="-10"/>
        </w:rPr>
        <w:t>表6-</w:t>
      </w:r>
      <w:r>
        <w:rPr>
          <w:rFonts w:hint="eastAsia"/>
          <w:b/>
          <w:bCs/>
          <w:spacing w:val="-10"/>
        </w:rPr>
        <w:t xml:space="preserve">25  </w:t>
      </w:r>
      <w:r>
        <w:rPr>
          <w:b/>
          <w:bCs/>
          <w:spacing w:val="-10"/>
        </w:rPr>
        <w:t>有毒有害物质扩散途径识别</w:t>
      </w:r>
    </w:p>
    <w:tbl>
      <w:tblPr>
        <w:tblStyle w:val="16"/>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60"/>
        <w:gridCol w:w="3838"/>
        <w:gridCol w:w="2434"/>
      </w:tblGrid>
      <w:tr w14:paraId="7D074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49" w:type="pct"/>
            <w:vAlign w:val="center"/>
          </w:tcPr>
          <w:p w14:paraId="0171EA72">
            <w:pPr>
              <w:adjustRightInd w:val="0"/>
              <w:snapToGrid w:val="0"/>
              <w:jc w:val="center"/>
              <w:rPr>
                <w:rFonts w:hint="eastAsia"/>
                <w:bCs/>
                <w:spacing w:val="-10"/>
                <w:szCs w:val="21"/>
              </w:rPr>
            </w:pPr>
            <w:r>
              <w:rPr>
                <w:bCs/>
                <w:spacing w:val="-10"/>
                <w:szCs w:val="21"/>
              </w:rPr>
              <w:t>环境要素</w:t>
            </w:r>
          </w:p>
        </w:tc>
        <w:tc>
          <w:tcPr>
            <w:tcW w:w="2173" w:type="pct"/>
            <w:vAlign w:val="center"/>
          </w:tcPr>
          <w:p w14:paraId="0A3BCD71">
            <w:pPr>
              <w:adjustRightInd w:val="0"/>
              <w:snapToGrid w:val="0"/>
              <w:jc w:val="center"/>
              <w:rPr>
                <w:rFonts w:hint="eastAsia"/>
                <w:bCs/>
                <w:spacing w:val="-10"/>
                <w:szCs w:val="21"/>
              </w:rPr>
            </w:pPr>
            <w:r>
              <w:rPr>
                <w:bCs/>
                <w:spacing w:val="-10"/>
                <w:szCs w:val="21"/>
              </w:rPr>
              <w:t>泄漏事故</w:t>
            </w:r>
          </w:p>
        </w:tc>
        <w:tc>
          <w:tcPr>
            <w:tcW w:w="1378" w:type="pct"/>
            <w:vAlign w:val="center"/>
          </w:tcPr>
          <w:p w14:paraId="33451A1B">
            <w:pPr>
              <w:adjustRightInd w:val="0"/>
              <w:snapToGrid w:val="0"/>
              <w:jc w:val="center"/>
              <w:rPr>
                <w:rFonts w:hint="eastAsia"/>
                <w:bCs/>
                <w:spacing w:val="-10"/>
                <w:szCs w:val="21"/>
              </w:rPr>
            </w:pPr>
            <w:r>
              <w:rPr>
                <w:bCs/>
                <w:spacing w:val="-10"/>
                <w:szCs w:val="21"/>
              </w:rPr>
              <w:t>火灾爆炸事故</w:t>
            </w:r>
          </w:p>
        </w:tc>
      </w:tr>
      <w:tr w14:paraId="624CF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49" w:type="pct"/>
            <w:vAlign w:val="center"/>
          </w:tcPr>
          <w:p w14:paraId="1BA23519">
            <w:pPr>
              <w:adjustRightInd w:val="0"/>
              <w:snapToGrid w:val="0"/>
              <w:jc w:val="center"/>
              <w:rPr>
                <w:rFonts w:hint="eastAsia"/>
                <w:bCs/>
                <w:spacing w:val="-10"/>
                <w:szCs w:val="21"/>
              </w:rPr>
            </w:pPr>
            <w:r>
              <w:rPr>
                <w:bCs/>
                <w:spacing w:val="-10"/>
                <w:szCs w:val="21"/>
              </w:rPr>
              <w:t>大气环境</w:t>
            </w:r>
          </w:p>
        </w:tc>
        <w:tc>
          <w:tcPr>
            <w:tcW w:w="2173" w:type="pct"/>
            <w:vAlign w:val="center"/>
          </w:tcPr>
          <w:p w14:paraId="38DBC7A4">
            <w:pPr>
              <w:adjustRightInd w:val="0"/>
              <w:snapToGrid w:val="0"/>
              <w:jc w:val="center"/>
              <w:rPr>
                <w:rFonts w:hint="eastAsia"/>
                <w:bCs/>
                <w:spacing w:val="-10"/>
                <w:szCs w:val="21"/>
              </w:rPr>
            </w:pPr>
            <w:r>
              <w:rPr>
                <w:bCs/>
                <w:spacing w:val="-10"/>
                <w:szCs w:val="21"/>
              </w:rPr>
              <w:t>√</w:t>
            </w:r>
          </w:p>
        </w:tc>
        <w:tc>
          <w:tcPr>
            <w:tcW w:w="1378" w:type="pct"/>
            <w:vAlign w:val="center"/>
          </w:tcPr>
          <w:p w14:paraId="6286A3F6">
            <w:pPr>
              <w:adjustRightInd w:val="0"/>
              <w:snapToGrid w:val="0"/>
              <w:jc w:val="center"/>
              <w:rPr>
                <w:rFonts w:hint="eastAsia"/>
                <w:bCs/>
                <w:spacing w:val="-10"/>
                <w:szCs w:val="21"/>
              </w:rPr>
            </w:pPr>
            <w:r>
              <w:rPr>
                <w:bCs/>
                <w:spacing w:val="-10"/>
                <w:szCs w:val="21"/>
              </w:rPr>
              <w:t>√</w:t>
            </w:r>
          </w:p>
        </w:tc>
      </w:tr>
      <w:tr w14:paraId="522FE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49" w:type="pct"/>
            <w:vAlign w:val="center"/>
          </w:tcPr>
          <w:p w14:paraId="3D806BBC">
            <w:pPr>
              <w:adjustRightInd w:val="0"/>
              <w:snapToGrid w:val="0"/>
              <w:jc w:val="center"/>
              <w:rPr>
                <w:rFonts w:hint="eastAsia"/>
                <w:bCs/>
                <w:spacing w:val="-10"/>
                <w:szCs w:val="21"/>
              </w:rPr>
            </w:pPr>
            <w:r>
              <w:rPr>
                <w:bCs/>
                <w:spacing w:val="-10"/>
                <w:szCs w:val="21"/>
              </w:rPr>
              <w:t>地下水环境</w:t>
            </w:r>
          </w:p>
        </w:tc>
        <w:tc>
          <w:tcPr>
            <w:tcW w:w="2173" w:type="pct"/>
            <w:vAlign w:val="center"/>
          </w:tcPr>
          <w:p w14:paraId="02B1E657">
            <w:pPr>
              <w:adjustRightInd w:val="0"/>
              <w:snapToGrid w:val="0"/>
              <w:jc w:val="center"/>
              <w:rPr>
                <w:rFonts w:hint="eastAsia"/>
                <w:bCs/>
                <w:spacing w:val="-10"/>
                <w:szCs w:val="21"/>
              </w:rPr>
            </w:pPr>
            <w:r>
              <w:rPr>
                <w:bCs/>
                <w:spacing w:val="-10"/>
                <w:szCs w:val="21"/>
              </w:rPr>
              <w:t>√</w:t>
            </w:r>
          </w:p>
        </w:tc>
        <w:tc>
          <w:tcPr>
            <w:tcW w:w="1378" w:type="pct"/>
            <w:vAlign w:val="center"/>
          </w:tcPr>
          <w:p w14:paraId="7DDE3F50">
            <w:pPr>
              <w:adjustRightInd w:val="0"/>
              <w:snapToGrid w:val="0"/>
              <w:jc w:val="center"/>
              <w:rPr>
                <w:rFonts w:hint="eastAsia"/>
                <w:bCs/>
                <w:spacing w:val="-10"/>
                <w:szCs w:val="21"/>
              </w:rPr>
            </w:pPr>
            <w:r>
              <w:rPr>
                <w:bCs/>
                <w:spacing w:val="-10"/>
                <w:szCs w:val="21"/>
              </w:rPr>
              <w:t>√</w:t>
            </w:r>
          </w:p>
        </w:tc>
      </w:tr>
      <w:tr w14:paraId="0E5E0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49" w:type="pct"/>
            <w:vAlign w:val="center"/>
          </w:tcPr>
          <w:p w14:paraId="13482789">
            <w:pPr>
              <w:adjustRightInd w:val="0"/>
              <w:snapToGrid w:val="0"/>
              <w:jc w:val="center"/>
              <w:rPr>
                <w:rFonts w:hint="eastAsia"/>
                <w:bCs/>
                <w:spacing w:val="-10"/>
                <w:szCs w:val="21"/>
              </w:rPr>
            </w:pPr>
            <w:r>
              <w:rPr>
                <w:bCs/>
                <w:spacing w:val="-10"/>
                <w:szCs w:val="21"/>
              </w:rPr>
              <w:t>土壤</w:t>
            </w:r>
          </w:p>
        </w:tc>
        <w:tc>
          <w:tcPr>
            <w:tcW w:w="2173" w:type="pct"/>
            <w:vAlign w:val="center"/>
          </w:tcPr>
          <w:p w14:paraId="52216379">
            <w:pPr>
              <w:adjustRightInd w:val="0"/>
              <w:snapToGrid w:val="0"/>
              <w:jc w:val="center"/>
              <w:rPr>
                <w:rFonts w:hint="eastAsia"/>
                <w:bCs/>
                <w:spacing w:val="-10"/>
                <w:szCs w:val="21"/>
              </w:rPr>
            </w:pPr>
            <w:r>
              <w:rPr>
                <w:bCs/>
                <w:spacing w:val="-10"/>
                <w:szCs w:val="21"/>
              </w:rPr>
              <w:t>√</w:t>
            </w:r>
          </w:p>
        </w:tc>
        <w:tc>
          <w:tcPr>
            <w:tcW w:w="1378" w:type="pct"/>
            <w:vAlign w:val="center"/>
          </w:tcPr>
          <w:p w14:paraId="65F1F557">
            <w:pPr>
              <w:adjustRightInd w:val="0"/>
              <w:snapToGrid w:val="0"/>
              <w:jc w:val="center"/>
              <w:rPr>
                <w:rFonts w:hint="eastAsia"/>
                <w:bCs/>
                <w:spacing w:val="-10"/>
                <w:szCs w:val="21"/>
              </w:rPr>
            </w:pPr>
            <w:r>
              <w:rPr>
                <w:bCs/>
                <w:spacing w:val="-10"/>
                <w:szCs w:val="21"/>
              </w:rPr>
              <w:t>√</w:t>
            </w:r>
          </w:p>
        </w:tc>
      </w:tr>
    </w:tbl>
    <w:p w14:paraId="489ADB54">
      <w:pPr>
        <w:pStyle w:val="72"/>
        <w:rPr>
          <w:snapToGrid w:val="0"/>
        </w:rPr>
      </w:pPr>
    </w:p>
    <w:p w14:paraId="4279E35D">
      <w:pPr>
        <w:adjustRightInd w:val="0"/>
        <w:snapToGrid w:val="0"/>
        <w:rPr>
          <w:rFonts w:hint="eastAsia"/>
          <w:bCs/>
          <w:spacing w:val="-10"/>
        </w:rPr>
      </w:pPr>
    </w:p>
    <w:p w14:paraId="59144D49">
      <w:pPr>
        <w:adjustRightInd w:val="0"/>
        <w:snapToGrid w:val="0"/>
        <w:spacing w:line="360" w:lineRule="auto"/>
        <w:rPr>
          <w:rFonts w:hint="eastAsia"/>
          <w:b/>
          <w:bCs/>
          <w:spacing w:val="-10"/>
        </w:rPr>
      </w:pPr>
      <w:bookmarkStart w:id="25" w:name="_Hlk151994964"/>
      <w:r>
        <w:rPr>
          <w:b/>
          <w:bCs/>
          <w:spacing w:val="-10"/>
        </w:rPr>
        <w:t>7</w:t>
      </w:r>
      <w:r>
        <w:rPr>
          <w:rFonts w:hint="eastAsia"/>
          <w:b/>
          <w:bCs/>
          <w:spacing w:val="-10"/>
        </w:rPr>
        <w:t xml:space="preserve"> </w:t>
      </w:r>
      <w:r>
        <w:rPr>
          <w:b/>
          <w:bCs/>
          <w:spacing w:val="-10"/>
        </w:rPr>
        <w:t>风险事故情形设定</w:t>
      </w:r>
    </w:p>
    <w:p w14:paraId="258D518A">
      <w:pPr>
        <w:adjustRightInd w:val="0"/>
        <w:snapToGrid w:val="0"/>
        <w:spacing w:line="360" w:lineRule="auto"/>
        <w:ind w:firstLine="440" w:firstLineChars="200"/>
        <w:rPr>
          <w:rFonts w:hint="eastAsia"/>
          <w:bCs/>
          <w:spacing w:val="-10"/>
        </w:rPr>
      </w:pPr>
      <w:r>
        <w:rPr>
          <w:bCs/>
          <w:spacing w:val="-10"/>
        </w:rPr>
        <w:t>根据《建设项目环境风险评价技术导则》（HJ169-2018），应选择对环境影响较大并具有代表性的事故类型。环境风险的评价重点是关注概率很小或概率极小但环境危害最严重的最大可信事故，一般而言，发生频率小于10</w:t>
      </w:r>
      <w:r>
        <w:rPr>
          <w:bCs/>
          <w:spacing w:val="-10"/>
          <w:vertAlign w:val="superscript"/>
        </w:rPr>
        <w:t xml:space="preserve">-6 </w:t>
      </w:r>
      <w:r>
        <w:rPr>
          <w:bCs/>
          <w:spacing w:val="-10"/>
        </w:rPr>
        <w:t>/年的事件是极小概率事件，可作为代表性事故情形中最大可信事故设定的参考。</w:t>
      </w:r>
    </w:p>
    <w:p w14:paraId="41132A63">
      <w:pPr>
        <w:adjustRightInd w:val="0"/>
        <w:snapToGrid w:val="0"/>
        <w:spacing w:line="360" w:lineRule="auto"/>
        <w:ind w:firstLine="440" w:firstLineChars="200"/>
        <w:rPr>
          <w:rFonts w:hint="eastAsia"/>
          <w:bCs/>
          <w:spacing w:val="-10"/>
        </w:rPr>
      </w:pPr>
      <w:r>
        <w:rPr>
          <w:bCs/>
          <w:spacing w:val="-10"/>
        </w:rPr>
        <w:t>本次评价只分析本项目自身的风险源，重点考虑项目自身引起的最大可信事故。根据本项目危险物质危险特性、风险源分布以及事故后果判定，技改项目各环境要素的环境风险事故发生情况如下：</w:t>
      </w:r>
    </w:p>
    <w:p w14:paraId="39C4909E">
      <w:pPr>
        <w:adjustRightInd w:val="0"/>
        <w:snapToGrid w:val="0"/>
        <w:spacing w:line="360" w:lineRule="auto"/>
        <w:ind w:firstLine="440" w:firstLineChars="200"/>
        <w:rPr>
          <w:rFonts w:hint="eastAsia"/>
          <w:bCs/>
          <w:spacing w:val="-10"/>
        </w:rPr>
      </w:pPr>
      <w:r>
        <w:rPr>
          <w:rFonts w:hint="eastAsia"/>
          <w:bCs/>
          <w:spacing w:val="-10"/>
        </w:rPr>
        <w:t>（1）大气</w:t>
      </w:r>
    </w:p>
    <w:p w14:paraId="4EFEC929">
      <w:pPr>
        <w:adjustRightInd w:val="0"/>
        <w:snapToGrid w:val="0"/>
        <w:spacing w:line="360" w:lineRule="auto"/>
        <w:ind w:firstLine="440" w:firstLineChars="200"/>
        <w:rPr>
          <w:rFonts w:hint="eastAsia"/>
          <w:bCs/>
          <w:spacing w:val="-10"/>
        </w:rPr>
      </w:pPr>
      <w:r>
        <w:rPr>
          <w:bCs/>
          <w:spacing w:val="-10"/>
        </w:rPr>
        <w:t>本项目涉及的危险物质为异辛烷、石脑油、</w:t>
      </w:r>
      <w:r>
        <w:rPr>
          <w:rFonts w:hint="eastAsia"/>
          <w:bCs/>
          <w:spacing w:val="-10"/>
        </w:rPr>
        <w:t>MTBE</w:t>
      </w:r>
      <w:r>
        <w:rPr>
          <w:bCs/>
          <w:spacing w:val="-10"/>
        </w:rPr>
        <w:t>、混合芳烃、轻质燃料油、煤基柴油</w:t>
      </w:r>
      <w:r>
        <w:rPr>
          <w:rFonts w:hint="eastAsia"/>
          <w:bCs/>
          <w:spacing w:val="-10"/>
        </w:rPr>
        <w:t>、车用汽油以及车用柴油</w:t>
      </w:r>
      <w:r>
        <w:rPr>
          <w:bCs/>
          <w:spacing w:val="-10"/>
        </w:rPr>
        <w:t>。根据《建设项目环境风险评价技术导则》（HJ169-2018）附录H，</w:t>
      </w:r>
      <w:r>
        <w:rPr>
          <w:rFonts w:hint="eastAsia"/>
          <w:bCs/>
          <w:spacing w:val="-10"/>
        </w:rPr>
        <w:t>MTBE</w:t>
      </w:r>
      <w:r>
        <w:rPr>
          <w:bCs/>
          <w:spacing w:val="-10"/>
        </w:rPr>
        <w:t>的毒性终点浓度-1、-2分别为19000、2100，</w:t>
      </w:r>
      <w:r>
        <w:rPr>
          <w:rFonts w:hint="eastAsia"/>
          <w:bCs/>
          <w:spacing w:val="-10"/>
        </w:rPr>
        <w:t>混合芳烃（以甲苯计）</w:t>
      </w:r>
      <w:r>
        <w:rPr>
          <w:bCs/>
          <w:spacing w:val="-10"/>
        </w:rPr>
        <w:t>的毒性终点浓度-1、-2分别为1</w:t>
      </w:r>
      <w:r>
        <w:rPr>
          <w:rFonts w:hint="eastAsia"/>
          <w:bCs/>
          <w:spacing w:val="-10"/>
        </w:rPr>
        <w:t>4</w:t>
      </w:r>
      <w:r>
        <w:rPr>
          <w:bCs/>
          <w:spacing w:val="-10"/>
        </w:rPr>
        <w:t>000、2100</w:t>
      </w:r>
      <w:r>
        <w:rPr>
          <w:rFonts w:hint="eastAsia"/>
          <w:bCs/>
          <w:spacing w:val="-10"/>
        </w:rPr>
        <w:t>，其余物料</w:t>
      </w:r>
      <w:r>
        <w:rPr>
          <w:bCs/>
          <w:spacing w:val="-10"/>
        </w:rPr>
        <w:t>的毒性终点浓度未列明。</w:t>
      </w:r>
      <w:r>
        <w:rPr>
          <w:rFonts w:hint="eastAsia"/>
          <w:bCs/>
          <w:spacing w:val="-10"/>
        </w:rPr>
        <w:t>且MTBE与混合芳烃（以甲苯计）</w:t>
      </w:r>
      <w:r>
        <w:rPr>
          <w:bCs/>
          <w:spacing w:val="-10"/>
        </w:rPr>
        <w:t>的Q值</w:t>
      </w:r>
      <w:r>
        <w:rPr>
          <w:rFonts w:hint="eastAsia"/>
          <w:bCs/>
          <w:spacing w:val="-10"/>
        </w:rPr>
        <w:t>最</w:t>
      </w:r>
      <w:r>
        <w:rPr>
          <w:bCs/>
          <w:spacing w:val="-10"/>
        </w:rPr>
        <w:t>高，综合考虑本评价选取</w:t>
      </w:r>
      <w:r>
        <w:rPr>
          <w:rFonts w:hint="eastAsia"/>
          <w:bCs/>
          <w:spacing w:val="-10"/>
        </w:rPr>
        <w:t>MTBE和混合芳烃（以甲苯计）</w:t>
      </w:r>
      <w:r>
        <w:rPr>
          <w:bCs/>
          <w:spacing w:val="-10"/>
        </w:rPr>
        <w:t>作为代表性泄漏物质。</w:t>
      </w:r>
    </w:p>
    <w:p w14:paraId="008DCB20">
      <w:pPr>
        <w:adjustRightInd w:val="0"/>
        <w:snapToGrid w:val="0"/>
        <w:spacing w:line="360" w:lineRule="auto"/>
        <w:ind w:firstLine="440" w:firstLineChars="200"/>
        <w:rPr>
          <w:rFonts w:hint="eastAsia"/>
          <w:bCs/>
          <w:spacing w:val="-10"/>
        </w:rPr>
      </w:pPr>
      <w:r>
        <w:rPr>
          <w:bCs/>
          <w:spacing w:val="-10"/>
        </w:rPr>
        <w:t>本项目各危险物质的储存量均远大于在线量，因此本次评价选取</w:t>
      </w:r>
      <w:r>
        <w:rPr>
          <w:rFonts w:hint="eastAsia"/>
          <w:bCs/>
          <w:spacing w:val="-10"/>
        </w:rPr>
        <w:t>MTBE</w:t>
      </w:r>
      <w:r>
        <w:rPr>
          <w:bCs/>
          <w:spacing w:val="-10"/>
        </w:rPr>
        <w:t>储罐泄漏作为大气风险代表性事故。</w:t>
      </w:r>
    </w:p>
    <w:p w14:paraId="26ED3218">
      <w:pPr>
        <w:adjustRightInd w:val="0"/>
        <w:snapToGrid w:val="0"/>
        <w:jc w:val="center"/>
        <w:rPr>
          <w:rFonts w:hint="eastAsia"/>
          <w:b/>
          <w:bCs/>
          <w:spacing w:val="-10"/>
        </w:rPr>
      </w:pPr>
      <w:r>
        <w:rPr>
          <w:b/>
          <w:bCs/>
          <w:spacing w:val="-10"/>
        </w:rPr>
        <w:t>表6-</w:t>
      </w:r>
      <w:r>
        <w:rPr>
          <w:rFonts w:hint="eastAsia"/>
          <w:b/>
          <w:bCs/>
          <w:spacing w:val="-10"/>
        </w:rPr>
        <w:t xml:space="preserve">26  </w:t>
      </w:r>
      <w:r>
        <w:rPr>
          <w:b/>
          <w:bCs/>
          <w:spacing w:val="-10"/>
        </w:rPr>
        <w:t>主要风险事故发生概率一览表</w:t>
      </w:r>
    </w:p>
    <w:tbl>
      <w:tblPr>
        <w:tblStyle w:val="17"/>
        <w:tblW w:w="48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8"/>
        <w:gridCol w:w="3408"/>
        <w:gridCol w:w="2275"/>
      </w:tblGrid>
      <w:tr w14:paraId="5005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2838" w:type="dxa"/>
            <w:vAlign w:val="center"/>
          </w:tcPr>
          <w:p w14:paraId="74A779B7">
            <w:pPr>
              <w:pStyle w:val="51"/>
              <w:rPr>
                <w:sz w:val="21"/>
                <w:szCs w:val="21"/>
              </w:rPr>
            </w:pPr>
            <w:r>
              <w:rPr>
                <w:sz w:val="21"/>
                <w:szCs w:val="21"/>
              </w:rPr>
              <w:t>部件类型</w:t>
            </w:r>
          </w:p>
        </w:tc>
        <w:tc>
          <w:tcPr>
            <w:tcW w:w="3408" w:type="dxa"/>
            <w:vAlign w:val="center"/>
          </w:tcPr>
          <w:p w14:paraId="57F547C2">
            <w:pPr>
              <w:pStyle w:val="51"/>
              <w:rPr>
                <w:sz w:val="21"/>
                <w:szCs w:val="21"/>
              </w:rPr>
            </w:pPr>
            <w:r>
              <w:rPr>
                <w:sz w:val="21"/>
                <w:szCs w:val="21"/>
              </w:rPr>
              <w:t>泄漏模式</w:t>
            </w:r>
          </w:p>
        </w:tc>
        <w:tc>
          <w:tcPr>
            <w:tcW w:w="2275" w:type="dxa"/>
            <w:vAlign w:val="center"/>
          </w:tcPr>
          <w:p w14:paraId="77CEB511">
            <w:pPr>
              <w:pStyle w:val="51"/>
              <w:rPr>
                <w:sz w:val="21"/>
                <w:szCs w:val="21"/>
              </w:rPr>
            </w:pPr>
            <w:r>
              <w:rPr>
                <w:sz w:val="21"/>
                <w:szCs w:val="21"/>
              </w:rPr>
              <w:t>泄漏频率</w:t>
            </w:r>
          </w:p>
        </w:tc>
      </w:tr>
      <w:tr w14:paraId="34C41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838" w:type="dxa"/>
            <w:vAlign w:val="center"/>
          </w:tcPr>
          <w:p w14:paraId="72A7DFC0">
            <w:pPr>
              <w:pStyle w:val="51"/>
              <w:rPr>
                <w:sz w:val="21"/>
                <w:szCs w:val="21"/>
              </w:rPr>
            </w:pPr>
            <w:r>
              <w:rPr>
                <w:rFonts w:hint="eastAsia"/>
                <w:sz w:val="21"/>
                <w:szCs w:val="21"/>
              </w:rPr>
              <w:t>储罐</w:t>
            </w:r>
          </w:p>
        </w:tc>
        <w:tc>
          <w:tcPr>
            <w:tcW w:w="3408" w:type="dxa"/>
            <w:vAlign w:val="center"/>
          </w:tcPr>
          <w:p w14:paraId="2D3FB21A">
            <w:pPr>
              <w:pStyle w:val="51"/>
              <w:rPr>
                <w:sz w:val="21"/>
                <w:szCs w:val="21"/>
              </w:rPr>
            </w:pPr>
            <w:r>
              <w:rPr>
                <w:rFonts w:hint="eastAsia"/>
                <w:sz w:val="21"/>
                <w:szCs w:val="21"/>
              </w:rPr>
              <w:t>泄漏孔径为10mm孔径</w:t>
            </w:r>
          </w:p>
          <w:p w14:paraId="7FA051E7">
            <w:pPr>
              <w:pStyle w:val="51"/>
              <w:rPr>
                <w:sz w:val="21"/>
                <w:szCs w:val="21"/>
              </w:rPr>
            </w:pPr>
            <w:r>
              <w:rPr>
                <w:sz w:val="21"/>
                <w:szCs w:val="21"/>
              </w:rPr>
              <w:t>10min</w:t>
            </w:r>
            <w:r>
              <w:rPr>
                <w:rFonts w:hint="eastAsia"/>
                <w:sz w:val="21"/>
                <w:szCs w:val="21"/>
              </w:rPr>
              <w:t>内储罐泄漏完</w:t>
            </w:r>
          </w:p>
          <w:p w14:paraId="44730F8B">
            <w:pPr>
              <w:pStyle w:val="51"/>
              <w:rPr>
                <w:sz w:val="21"/>
                <w:szCs w:val="21"/>
              </w:rPr>
            </w:pPr>
            <w:r>
              <w:rPr>
                <w:rFonts w:hint="eastAsia"/>
                <w:sz w:val="21"/>
                <w:szCs w:val="21"/>
              </w:rPr>
              <w:t>储罐全破裂</w:t>
            </w:r>
          </w:p>
        </w:tc>
        <w:tc>
          <w:tcPr>
            <w:tcW w:w="2275" w:type="dxa"/>
            <w:vAlign w:val="center"/>
          </w:tcPr>
          <w:p w14:paraId="0D280E75">
            <w:pPr>
              <w:pStyle w:val="51"/>
              <w:rPr>
                <w:sz w:val="21"/>
                <w:szCs w:val="21"/>
              </w:rPr>
            </w:pPr>
            <w:r>
              <w:rPr>
                <w:rFonts w:hint="eastAsia"/>
                <w:sz w:val="21"/>
                <w:szCs w:val="21"/>
              </w:rPr>
              <w:t>1.00×</w:t>
            </w:r>
            <w:r>
              <w:rPr>
                <w:sz w:val="21"/>
                <w:szCs w:val="21"/>
              </w:rPr>
              <w:t>10</w:t>
            </w:r>
            <w:r>
              <w:rPr>
                <w:sz w:val="21"/>
                <w:szCs w:val="21"/>
                <w:vertAlign w:val="superscript"/>
              </w:rPr>
              <w:t>-</w:t>
            </w:r>
            <w:r>
              <w:rPr>
                <w:rFonts w:hint="eastAsia"/>
                <w:sz w:val="21"/>
                <w:szCs w:val="21"/>
                <w:vertAlign w:val="superscript"/>
              </w:rPr>
              <w:t>4</w:t>
            </w:r>
            <w:r>
              <w:rPr>
                <w:sz w:val="21"/>
                <w:szCs w:val="21"/>
              </w:rPr>
              <w:t xml:space="preserve"> /a</w:t>
            </w:r>
          </w:p>
          <w:p w14:paraId="54BF5281">
            <w:pPr>
              <w:pStyle w:val="51"/>
              <w:rPr>
                <w:sz w:val="21"/>
                <w:szCs w:val="21"/>
              </w:rPr>
            </w:pPr>
            <w:r>
              <w:rPr>
                <w:sz w:val="21"/>
                <w:szCs w:val="21"/>
              </w:rPr>
              <w:t>5.00</w:t>
            </w:r>
            <w:r>
              <w:rPr>
                <w:rFonts w:hint="eastAsia"/>
                <w:sz w:val="21"/>
                <w:szCs w:val="21"/>
              </w:rPr>
              <w:t>×</w:t>
            </w:r>
            <w:r>
              <w:rPr>
                <w:sz w:val="21"/>
                <w:szCs w:val="21"/>
              </w:rPr>
              <w:t>10</w:t>
            </w:r>
            <w:r>
              <w:rPr>
                <w:sz w:val="21"/>
                <w:szCs w:val="21"/>
                <w:vertAlign w:val="superscript"/>
              </w:rPr>
              <w:t>-6</w:t>
            </w:r>
            <w:r>
              <w:rPr>
                <w:sz w:val="21"/>
                <w:szCs w:val="21"/>
              </w:rPr>
              <w:t xml:space="preserve"> /a</w:t>
            </w:r>
          </w:p>
          <w:p w14:paraId="4ACCFAF3">
            <w:pPr>
              <w:pStyle w:val="51"/>
              <w:rPr>
                <w:sz w:val="21"/>
                <w:szCs w:val="21"/>
              </w:rPr>
            </w:pPr>
            <w:r>
              <w:rPr>
                <w:sz w:val="21"/>
                <w:szCs w:val="21"/>
              </w:rPr>
              <w:t>5.00</w:t>
            </w:r>
            <w:r>
              <w:rPr>
                <w:rFonts w:hint="eastAsia"/>
                <w:sz w:val="21"/>
                <w:szCs w:val="21"/>
              </w:rPr>
              <w:t>×</w:t>
            </w:r>
            <w:r>
              <w:rPr>
                <w:sz w:val="21"/>
                <w:szCs w:val="21"/>
              </w:rPr>
              <w:t>10</w:t>
            </w:r>
            <w:r>
              <w:rPr>
                <w:sz w:val="21"/>
                <w:szCs w:val="21"/>
                <w:vertAlign w:val="superscript"/>
              </w:rPr>
              <w:t>-6</w:t>
            </w:r>
            <w:r>
              <w:rPr>
                <w:sz w:val="21"/>
                <w:szCs w:val="21"/>
              </w:rPr>
              <w:t xml:space="preserve"> /a</w:t>
            </w:r>
          </w:p>
        </w:tc>
      </w:tr>
    </w:tbl>
    <w:p w14:paraId="02FED9FF">
      <w:pPr>
        <w:adjustRightInd w:val="0"/>
        <w:snapToGrid w:val="0"/>
        <w:spacing w:line="360" w:lineRule="auto"/>
        <w:ind w:firstLine="440" w:firstLineChars="200"/>
        <w:rPr>
          <w:rFonts w:hint="eastAsia"/>
          <w:bCs/>
          <w:spacing w:val="-10"/>
        </w:rPr>
      </w:pPr>
      <w:r>
        <w:rPr>
          <w:bCs/>
          <w:spacing w:val="-10"/>
        </w:rPr>
        <w:t>由上表可知，储罐泄漏孔径为10mm孔径的发生概率最大，因此选取</w:t>
      </w:r>
      <w:r>
        <w:rPr>
          <w:rFonts w:hint="eastAsia"/>
          <w:bCs/>
          <w:spacing w:val="-10"/>
        </w:rPr>
        <w:t>MTBE</w:t>
      </w:r>
      <w:r>
        <w:rPr>
          <w:bCs/>
          <w:spacing w:val="-10"/>
        </w:rPr>
        <w:t>储罐罐体破孔泄漏作为泄漏事故。</w:t>
      </w:r>
    </w:p>
    <w:p w14:paraId="2DBBFD78">
      <w:pPr>
        <w:adjustRightInd w:val="0"/>
        <w:snapToGrid w:val="0"/>
        <w:spacing w:line="360" w:lineRule="auto"/>
        <w:ind w:firstLine="440" w:firstLineChars="200"/>
        <w:rPr>
          <w:rFonts w:hint="eastAsia"/>
          <w:bCs/>
          <w:spacing w:val="-10"/>
        </w:rPr>
      </w:pPr>
      <w:r>
        <w:rPr>
          <w:rFonts w:hint="eastAsia"/>
          <w:bCs/>
          <w:spacing w:val="-10"/>
        </w:rPr>
        <w:t>（2）地表水</w:t>
      </w:r>
    </w:p>
    <w:p w14:paraId="200C8DA8">
      <w:pPr>
        <w:adjustRightInd w:val="0"/>
        <w:snapToGrid w:val="0"/>
        <w:spacing w:line="360" w:lineRule="auto"/>
        <w:ind w:firstLine="440" w:firstLineChars="200"/>
        <w:rPr>
          <w:rFonts w:hint="eastAsia"/>
          <w:bCs/>
          <w:spacing w:val="-10"/>
        </w:rPr>
      </w:pPr>
      <w:r>
        <w:rPr>
          <w:bCs/>
          <w:spacing w:val="-10"/>
        </w:rPr>
        <w:t>厂区发生火灾事故后，消防灭火过程会产生消防废水，若泄漏物料、事故消防废水未能有效截流收集并管控，一旦外泄将携带烃类污染物进入外部地表水体，存在地表水污染风险。</w:t>
      </w:r>
    </w:p>
    <w:p w14:paraId="1CA33C20">
      <w:pPr>
        <w:adjustRightInd w:val="0"/>
        <w:snapToGrid w:val="0"/>
        <w:spacing w:line="360" w:lineRule="auto"/>
        <w:ind w:firstLine="440" w:firstLineChars="200"/>
        <w:rPr>
          <w:rFonts w:hint="eastAsia"/>
          <w:bCs/>
          <w:spacing w:val="-10"/>
        </w:rPr>
      </w:pPr>
      <w:r>
        <w:rPr>
          <w:bCs/>
          <w:spacing w:val="-10"/>
        </w:rPr>
        <w:t>本项目2#罐组、3#罐组分别设置防渗围堰：2#罐组围堰规格133.5m×56m，高度1.2m，总容积8971.20m³，容积大于围堰内单罐最大泄漏物料量（2000m³）；3#罐组围堰规格122.3m×58m，高度1.2m，总容积8512.08m³，容积大于围堰内单罐最大泄漏物料量（2000m³）。项目依托一期工程1座有效容积6600m³事故应急池，构建单元围堰-厂区事故池-园区管控三级事故废水防控体系；事故状态下，泄漏物料、消防废水可截流在罐组围堰内，通过导流管网收集至厂区事故应急池暂存，分批输送至吉木萨尔县北庭工业园区污水处理厂处置，正常管控情景下事故废水不向外环境排放。</w:t>
      </w:r>
    </w:p>
    <w:p w14:paraId="2B80E1C6">
      <w:pPr>
        <w:adjustRightInd w:val="0"/>
        <w:snapToGrid w:val="0"/>
        <w:spacing w:line="360" w:lineRule="auto"/>
        <w:ind w:firstLine="440" w:firstLineChars="200"/>
        <w:rPr>
          <w:rFonts w:hint="eastAsia"/>
          <w:snapToGrid w:val="0"/>
        </w:rPr>
      </w:pPr>
      <w:r>
        <w:rPr>
          <w:bCs/>
          <w:spacing w:val="-10"/>
        </w:rPr>
        <w:t>项目距离最近地表水体二工河约11.5km，距离较远；在现有完善的三级事故废水拦截设施正常发挥作用前提下，事故废水进入二工河的概率极低。但极端多重失效情景下仍存在泄漏风险，本次地表水环境风险评价按照导则要求开展分析，结合防控设施可靠性提出管控措施。</w:t>
      </w:r>
    </w:p>
    <w:p w14:paraId="792EB8C4">
      <w:pPr>
        <w:adjustRightInd w:val="0"/>
        <w:snapToGrid w:val="0"/>
        <w:spacing w:line="360" w:lineRule="auto"/>
        <w:ind w:firstLine="440" w:firstLineChars="200"/>
        <w:rPr>
          <w:rFonts w:hint="eastAsia"/>
          <w:snapToGrid w:val="0"/>
        </w:rPr>
      </w:pPr>
      <w:r>
        <w:rPr>
          <w:rFonts w:hint="eastAsia"/>
          <w:bCs/>
          <w:spacing w:val="-10"/>
        </w:rPr>
        <w:t>（3）地下水</w:t>
      </w:r>
    </w:p>
    <w:p w14:paraId="3F6FE912">
      <w:pPr>
        <w:adjustRightInd w:val="0"/>
        <w:snapToGrid w:val="0"/>
        <w:spacing w:line="360" w:lineRule="auto"/>
        <w:ind w:firstLine="440" w:firstLineChars="200"/>
        <w:rPr>
          <w:rFonts w:hint="eastAsia"/>
          <w:snapToGrid w:val="0"/>
        </w:rPr>
      </w:pPr>
      <w:r>
        <w:rPr>
          <w:bCs/>
          <w:spacing w:val="-10"/>
        </w:rPr>
        <w:t>项目地下水风险主要来自厂区储罐区物料泄漏、火灾情形下消防废水未能有效收集等情况下，废液经地面渗入地下水，此外还存在因冲洗或雨淋而造成有害物质泄漏至地下水而造成环境灾害的风险。</w:t>
      </w:r>
      <w:r>
        <w:rPr>
          <w:rFonts w:hint="eastAsia"/>
          <w:bCs/>
          <w:spacing w:val="-10"/>
        </w:rPr>
        <w:t>但</w:t>
      </w:r>
      <w:r>
        <w:rPr>
          <w:bCs/>
          <w:spacing w:val="-10"/>
        </w:rPr>
        <w:t>项目对</w:t>
      </w:r>
      <w:r>
        <w:rPr>
          <w:rFonts w:hint="eastAsia"/>
          <w:bCs/>
          <w:spacing w:val="-10"/>
        </w:rPr>
        <w:t>储罐</w:t>
      </w:r>
      <w:r>
        <w:rPr>
          <w:bCs/>
          <w:spacing w:val="-10"/>
        </w:rPr>
        <w:t>区</w:t>
      </w:r>
      <w:r>
        <w:rPr>
          <w:rFonts w:hint="eastAsia"/>
          <w:bCs/>
          <w:spacing w:val="-10"/>
        </w:rPr>
        <w:t>进行重点</w:t>
      </w:r>
      <w:r>
        <w:rPr>
          <w:bCs/>
          <w:spacing w:val="-10"/>
        </w:rPr>
        <w:t>防渗、“单元、厂区、园区”三级联控等一系列措施，事故状态下地下水受污染的概率较小。</w:t>
      </w:r>
    </w:p>
    <w:p w14:paraId="21CFD7A8">
      <w:pPr>
        <w:pStyle w:val="72"/>
        <w:rPr>
          <w:snapToGrid w:val="0"/>
        </w:rPr>
      </w:pPr>
    </w:p>
    <w:p w14:paraId="3D910A7E">
      <w:pPr>
        <w:adjustRightInd w:val="0"/>
        <w:snapToGrid w:val="0"/>
        <w:spacing w:line="360" w:lineRule="auto"/>
        <w:rPr>
          <w:rFonts w:hint="eastAsia"/>
          <w:bCs/>
          <w:spacing w:val="-10"/>
        </w:rPr>
      </w:pPr>
      <w:r>
        <w:rPr>
          <w:b/>
          <w:bCs/>
          <w:spacing w:val="-10"/>
        </w:rPr>
        <w:t>8</w:t>
      </w:r>
      <w:r>
        <w:rPr>
          <w:rFonts w:hint="eastAsia"/>
          <w:b/>
          <w:bCs/>
          <w:spacing w:val="-10"/>
        </w:rPr>
        <w:t xml:space="preserve"> </w:t>
      </w:r>
      <w:r>
        <w:rPr>
          <w:b/>
          <w:bCs/>
          <w:spacing w:val="-10"/>
        </w:rPr>
        <w:t>风险事故源项分析</w:t>
      </w:r>
    </w:p>
    <w:p w14:paraId="4FABB30B">
      <w:pPr>
        <w:adjustRightInd w:val="0"/>
        <w:snapToGrid w:val="0"/>
        <w:spacing w:line="360" w:lineRule="auto"/>
        <w:rPr>
          <w:rFonts w:hint="eastAsia"/>
          <w:b/>
          <w:spacing w:val="-10"/>
        </w:rPr>
      </w:pPr>
      <w:r>
        <w:rPr>
          <w:b/>
          <w:spacing w:val="-10"/>
        </w:rPr>
        <w:t>8.</w:t>
      </w:r>
      <w:r>
        <w:rPr>
          <w:rFonts w:hint="eastAsia"/>
          <w:b/>
          <w:spacing w:val="-10"/>
        </w:rPr>
        <w:t>1</w:t>
      </w:r>
      <w:r>
        <w:rPr>
          <w:b/>
          <w:spacing w:val="-10"/>
        </w:rPr>
        <w:t>泄漏风险事故源项分析</w:t>
      </w:r>
    </w:p>
    <w:p w14:paraId="09008DE2">
      <w:pPr>
        <w:adjustRightInd w:val="0"/>
        <w:snapToGrid w:val="0"/>
        <w:spacing w:line="360" w:lineRule="auto"/>
        <w:ind w:firstLine="440" w:firstLineChars="200"/>
        <w:rPr>
          <w:rFonts w:hint="eastAsia"/>
          <w:bCs/>
          <w:spacing w:val="-10"/>
        </w:rPr>
      </w:pPr>
      <w:r>
        <w:rPr>
          <w:rFonts w:hint="eastAsia"/>
          <w:bCs/>
          <w:spacing w:val="-10"/>
        </w:rPr>
        <w:t>（1）液体物料</w:t>
      </w:r>
      <w:r>
        <w:rPr>
          <w:bCs/>
          <w:spacing w:val="-10"/>
        </w:rPr>
        <w:t>泄漏量</w:t>
      </w:r>
    </w:p>
    <w:p w14:paraId="7B943F64">
      <w:pPr>
        <w:adjustRightInd w:val="0"/>
        <w:snapToGrid w:val="0"/>
        <w:spacing w:line="360" w:lineRule="auto"/>
        <w:ind w:firstLine="440" w:firstLineChars="200"/>
        <w:rPr>
          <w:rFonts w:hint="eastAsia"/>
          <w:bCs/>
          <w:spacing w:val="-10"/>
        </w:rPr>
      </w:pPr>
      <w:r>
        <w:rPr>
          <w:bCs/>
          <w:spacing w:val="-10"/>
        </w:rPr>
        <w:t>根据《建设项目环境风险评价技术导则》（HJ169-2018）附录F 事故源强计算方法，对本项目</w:t>
      </w:r>
      <w:r>
        <w:rPr>
          <w:rFonts w:hint="eastAsia"/>
          <w:bCs/>
          <w:spacing w:val="-10"/>
        </w:rPr>
        <w:t>MTBE</w:t>
      </w:r>
      <w:r>
        <w:rPr>
          <w:bCs/>
          <w:spacing w:val="-10"/>
        </w:rPr>
        <w:t>储罐泄漏量进行估算。</w:t>
      </w:r>
    </w:p>
    <w:p w14:paraId="0B7AC7D4">
      <w:pPr>
        <w:adjustRightInd w:val="0"/>
        <w:snapToGrid w:val="0"/>
        <w:spacing w:line="360" w:lineRule="auto"/>
        <w:ind w:firstLine="440" w:firstLineChars="200"/>
        <w:rPr>
          <w:rFonts w:hint="eastAsia"/>
          <w:bCs/>
          <w:spacing w:val="-10"/>
        </w:rPr>
      </w:pPr>
      <w:r>
        <w:rPr>
          <w:bCs/>
          <w:spacing w:val="-10"/>
        </w:rPr>
        <w:t>本项目储罐为常压储罐，未设置紧急隔离系统的单元，泄漏时间可设定为30min，因此本项目</w:t>
      </w:r>
      <w:r>
        <w:rPr>
          <w:rFonts w:hint="eastAsia"/>
          <w:bCs/>
          <w:spacing w:val="-10"/>
        </w:rPr>
        <w:t>MTBE</w:t>
      </w:r>
      <w:r>
        <w:rPr>
          <w:bCs/>
          <w:spacing w:val="-10"/>
        </w:rPr>
        <w:t>储罐泄漏时间取30min，泄漏裂口孔径</w:t>
      </w:r>
      <w:r>
        <w:rPr>
          <w:rFonts w:hint="eastAsia"/>
          <w:bCs/>
          <w:spacing w:val="-10"/>
        </w:rPr>
        <w:t>取</w:t>
      </w:r>
      <w:r>
        <w:rPr>
          <w:bCs/>
          <w:spacing w:val="-10"/>
        </w:rPr>
        <w:t>10mm。</w:t>
      </w:r>
    </w:p>
    <w:p w14:paraId="5DF7FFA7">
      <w:pPr>
        <w:adjustRightInd w:val="0"/>
        <w:snapToGrid w:val="0"/>
        <w:spacing w:line="360" w:lineRule="auto"/>
        <w:ind w:firstLine="440" w:firstLineChars="200"/>
        <w:rPr>
          <w:rFonts w:hint="eastAsia"/>
          <w:bCs/>
          <w:spacing w:val="-10"/>
        </w:rPr>
      </w:pPr>
      <w:r>
        <w:rPr>
          <w:bCs/>
          <w:spacing w:val="-10"/>
        </w:rPr>
        <w:t>液体泄漏速率QL 采用伯努利方程具体见下式：</w:t>
      </w:r>
    </w:p>
    <w:p w14:paraId="0E178D53">
      <w:pPr>
        <w:adjustRightInd w:val="0"/>
        <w:snapToGrid w:val="0"/>
        <w:jc w:val="center"/>
        <w:rPr>
          <w:rFonts w:hint="eastAsia"/>
          <w:bCs/>
          <w:spacing w:val="-10"/>
        </w:rPr>
      </w:pPr>
      <w:r>
        <w:rPr>
          <w:bCs/>
          <w:spacing w:val="-10"/>
        </w:rPr>
        <w:drawing>
          <wp:inline distT="0" distB="0" distL="0" distR="0">
            <wp:extent cx="2616200" cy="749300"/>
            <wp:effectExtent l="0" t="0" r="0" b="0"/>
            <wp:docPr id="295402813" name="图片 2"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02813" name="图片 2" descr="1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616200" cy="749300"/>
                    </a:xfrm>
                    <a:prstGeom prst="rect">
                      <a:avLst/>
                    </a:prstGeom>
                    <a:noFill/>
                    <a:ln>
                      <a:noFill/>
                    </a:ln>
                  </pic:spPr>
                </pic:pic>
              </a:graphicData>
            </a:graphic>
          </wp:inline>
        </w:drawing>
      </w:r>
    </w:p>
    <w:p w14:paraId="389572F5">
      <w:pPr>
        <w:adjustRightInd w:val="0"/>
        <w:snapToGrid w:val="0"/>
        <w:spacing w:line="360" w:lineRule="auto"/>
        <w:ind w:firstLine="440" w:firstLineChars="200"/>
        <w:rPr>
          <w:rFonts w:hint="eastAsia"/>
          <w:bCs/>
          <w:spacing w:val="-10"/>
        </w:rPr>
      </w:pPr>
      <w:r>
        <w:rPr>
          <w:bCs/>
          <w:spacing w:val="-10"/>
        </w:rPr>
        <w:t>式中：</w:t>
      </w:r>
    </w:p>
    <w:p w14:paraId="5867F79F">
      <w:pPr>
        <w:adjustRightInd w:val="0"/>
        <w:snapToGrid w:val="0"/>
        <w:spacing w:line="360" w:lineRule="auto"/>
        <w:ind w:firstLine="440" w:firstLineChars="200"/>
        <w:rPr>
          <w:rFonts w:hint="eastAsia"/>
          <w:bCs/>
          <w:spacing w:val="-10"/>
        </w:rPr>
      </w:pPr>
      <w:r>
        <w:rPr>
          <w:bCs/>
          <w:spacing w:val="-10"/>
        </w:rPr>
        <w:t>Q</w:t>
      </w:r>
      <w:r>
        <w:rPr>
          <w:bCs/>
          <w:spacing w:val="-10"/>
          <w:vertAlign w:val="subscript"/>
        </w:rPr>
        <w:t>L</w:t>
      </w:r>
      <w:r>
        <w:rPr>
          <w:bCs/>
          <w:spacing w:val="-10"/>
        </w:rPr>
        <w:t>--液体泄漏速度，kg/s；</w:t>
      </w:r>
    </w:p>
    <w:p w14:paraId="279367B4">
      <w:pPr>
        <w:adjustRightInd w:val="0"/>
        <w:snapToGrid w:val="0"/>
        <w:spacing w:line="360" w:lineRule="auto"/>
        <w:ind w:firstLine="440" w:firstLineChars="200"/>
        <w:rPr>
          <w:rFonts w:hint="eastAsia"/>
          <w:bCs/>
          <w:spacing w:val="-10"/>
        </w:rPr>
      </w:pPr>
      <w:r>
        <w:rPr>
          <w:bCs/>
          <w:spacing w:val="-10"/>
        </w:rPr>
        <w:t>C</w:t>
      </w:r>
      <w:r>
        <w:rPr>
          <w:bCs/>
          <w:spacing w:val="-10"/>
          <w:vertAlign w:val="subscript"/>
        </w:rPr>
        <w:t>d</w:t>
      </w:r>
      <w:r>
        <w:rPr>
          <w:bCs/>
          <w:spacing w:val="-10"/>
        </w:rPr>
        <w:t>--液体泄漏系数，按表</w:t>
      </w:r>
      <w:r>
        <w:rPr>
          <w:rFonts w:hint="eastAsia"/>
          <w:bCs/>
          <w:spacing w:val="-10"/>
        </w:rPr>
        <w:t>6</w:t>
      </w:r>
      <w:r>
        <w:rPr>
          <w:bCs/>
          <w:spacing w:val="-10"/>
        </w:rPr>
        <w:t>-</w:t>
      </w:r>
      <w:r>
        <w:rPr>
          <w:rFonts w:hint="eastAsia"/>
          <w:bCs/>
          <w:spacing w:val="-10"/>
        </w:rPr>
        <w:t>26</w:t>
      </w:r>
      <w:r>
        <w:rPr>
          <w:bCs/>
          <w:spacing w:val="-10"/>
        </w:rPr>
        <w:t>选取。</w:t>
      </w:r>
    </w:p>
    <w:p w14:paraId="5CFE2F2B">
      <w:pPr>
        <w:adjustRightInd w:val="0"/>
        <w:snapToGrid w:val="0"/>
        <w:spacing w:line="360" w:lineRule="auto"/>
        <w:ind w:firstLine="440" w:firstLineChars="200"/>
        <w:rPr>
          <w:rFonts w:hint="eastAsia"/>
          <w:bCs/>
          <w:spacing w:val="-10"/>
        </w:rPr>
      </w:pPr>
      <w:r>
        <w:rPr>
          <w:bCs/>
          <w:spacing w:val="-10"/>
        </w:rPr>
        <w:t>A--裂口面积，m</w:t>
      </w:r>
      <w:r>
        <w:rPr>
          <w:bCs/>
          <w:spacing w:val="-10"/>
          <w:vertAlign w:val="superscript"/>
        </w:rPr>
        <w:t>2</w:t>
      </w:r>
      <w:r>
        <w:rPr>
          <w:bCs/>
          <w:spacing w:val="-10"/>
        </w:rPr>
        <w:t>，0.0</w:t>
      </w:r>
      <w:r>
        <w:rPr>
          <w:rFonts w:hint="eastAsia"/>
          <w:bCs/>
          <w:spacing w:val="-10"/>
        </w:rPr>
        <w:t>0008</w:t>
      </w:r>
      <w:r>
        <w:rPr>
          <w:bCs/>
          <w:spacing w:val="-10"/>
        </w:rPr>
        <w:t>2；</w:t>
      </w:r>
    </w:p>
    <w:p w14:paraId="1E64691A">
      <w:pPr>
        <w:adjustRightInd w:val="0"/>
        <w:snapToGrid w:val="0"/>
        <w:spacing w:line="360" w:lineRule="auto"/>
        <w:ind w:firstLine="440" w:firstLineChars="200"/>
        <w:rPr>
          <w:rFonts w:hint="eastAsia"/>
          <w:bCs/>
          <w:spacing w:val="-10"/>
        </w:rPr>
      </w:pPr>
      <w:r>
        <w:rPr>
          <w:bCs/>
          <w:spacing w:val="-10"/>
        </w:rPr>
        <w:t>ρ--泄漏液体密度，kg/m</w:t>
      </w:r>
      <w:r>
        <w:rPr>
          <w:bCs/>
          <w:spacing w:val="-10"/>
          <w:vertAlign w:val="superscript"/>
        </w:rPr>
        <w:t>3</w:t>
      </w:r>
      <w:r>
        <w:rPr>
          <w:bCs/>
          <w:spacing w:val="-10"/>
        </w:rPr>
        <w:t>；</w:t>
      </w:r>
    </w:p>
    <w:p w14:paraId="0D20D42E">
      <w:pPr>
        <w:adjustRightInd w:val="0"/>
        <w:snapToGrid w:val="0"/>
        <w:spacing w:line="360" w:lineRule="auto"/>
        <w:ind w:firstLine="440" w:firstLineChars="200"/>
        <w:rPr>
          <w:rFonts w:hint="eastAsia"/>
          <w:bCs/>
          <w:spacing w:val="-10"/>
        </w:rPr>
      </w:pPr>
      <w:r>
        <w:rPr>
          <w:bCs/>
          <w:spacing w:val="-10"/>
        </w:rPr>
        <w:t>P--容器内介质压力，Pa，101325；</w:t>
      </w:r>
    </w:p>
    <w:p w14:paraId="3F7891FF">
      <w:pPr>
        <w:adjustRightInd w:val="0"/>
        <w:snapToGrid w:val="0"/>
        <w:spacing w:line="360" w:lineRule="auto"/>
        <w:ind w:firstLine="440" w:firstLineChars="200"/>
        <w:rPr>
          <w:rFonts w:hint="eastAsia"/>
          <w:bCs/>
          <w:spacing w:val="-10"/>
        </w:rPr>
      </w:pPr>
      <w:r>
        <w:rPr>
          <w:bCs/>
          <w:spacing w:val="-10"/>
        </w:rPr>
        <w:t>P</w:t>
      </w:r>
      <w:r>
        <w:rPr>
          <w:bCs/>
          <w:spacing w:val="-10"/>
          <w:vertAlign w:val="subscript"/>
        </w:rPr>
        <w:t>0--</w:t>
      </w:r>
      <w:r>
        <w:rPr>
          <w:bCs/>
          <w:spacing w:val="-10"/>
        </w:rPr>
        <w:t>环境压力，Pa，101325；</w:t>
      </w:r>
    </w:p>
    <w:p w14:paraId="0F85C0B3">
      <w:pPr>
        <w:adjustRightInd w:val="0"/>
        <w:snapToGrid w:val="0"/>
        <w:spacing w:line="360" w:lineRule="auto"/>
        <w:ind w:firstLine="440" w:firstLineChars="200"/>
        <w:rPr>
          <w:rFonts w:hint="eastAsia"/>
          <w:bCs/>
          <w:spacing w:val="-10"/>
        </w:rPr>
      </w:pPr>
      <w:r>
        <w:rPr>
          <w:bCs/>
          <w:spacing w:val="-10"/>
        </w:rPr>
        <w:t>G--重力加速度，9.81m/s</w:t>
      </w:r>
      <w:r>
        <w:rPr>
          <w:bCs/>
          <w:spacing w:val="-10"/>
          <w:vertAlign w:val="superscript"/>
        </w:rPr>
        <w:t>2</w:t>
      </w:r>
      <w:r>
        <w:rPr>
          <w:bCs/>
          <w:spacing w:val="-10"/>
        </w:rPr>
        <w:t>。</w:t>
      </w:r>
    </w:p>
    <w:p w14:paraId="193E5D6F">
      <w:pPr>
        <w:adjustRightInd w:val="0"/>
        <w:snapToGrid w:val="0"/>
        <w:spacing w:line="360" w:lineRule="auto"/>
        <w:ind w:firstLine="440" w:firstLineChars="200"/>
        <w:rPr>
          <w:rFonts w:hint="eastAsia"/>
          <w:bCs/>
          <w:spacing w:val="-10"/>
        </w:rPr>
      </w:pPr>
      <w:r>
        <w:rPr>
          <w:bCs/>
          <w:spacing w:val="-10"/>
        </w:rPr>
        <w:t>H--裂口之上液位高度，m，取1</w:t>
      </w:r>
      <w:r>
        <w:rPr>
          <w:rFonts w:hint="eastAsia"/>
          <w:bCs/>
          <w:spacing w:val="-10"/>
        </w:rPr>
        <w:t>5</w:t>
      </w:r>
      <w:r>
        <w:rPr>
          <w:bCs/>
          <w:spacing w:val="-10"/>
        </w:rPr>
        <w:t>。</w:t>
      </w:r>
    </w:p>
    <w:p w14:paraId="08932CF7">
      <w:pPr>
        <w:adjustRightInd w:val="0"/>
        <w:snapToGrid w:val="0"/>
        <w:spacing w:line="360" w:lineRule="auto"/>
        <w:ind w:firstLine="440" w:firstLineChars="200"/>
        <w:rPr>
          <w:rFonts w:hint="eastAsia"/>
          <w:bCs/>
          <w:spacing w:val="-10"/>
        </w:rPr>
      </w:pPr>
      <w:r>
        <w:rPr>
          <w:bCs/>
          <w:spacing w:val="-10"/>
        </w:rPr>
        <w:t>经计算</w:t>
      </w:r>
      <w:r>
        <w:rPr>
          <w:rFonts w:hint="eastAsia"/>
          <w:bCs/>
          <w:spacing w:val="-10"/>
        </w:rPr>
        <w:t>本项目储罐</w:t>
      </w:r>
      <w:r>
        <w:rPr>
          <w:bCs/>
          <w:spacing w:val="-10"/>
        </w:rPr>
        <w:t>破裂时的</w:t>
      </w:r>
      <w:r>
        <w:rPr>
          <w:rFonts w:hint="eastAsia"/>
          <w:bCs/>
          <w:spacing w:val="-10"/>
        </w:rPr>
        <w:t>MTBE</w:t>
      </w:r>
      <w:r>
        <w:rPr>
          <w:bCs/>
          <w:spacing w:val="-10"/>
        </w:rPr>
        <w:t>泄漏速率为</w:t>
      </w:r>
      <w:r>
        <w:rPr>
          <w:rFonts w:hint="eastAsia"/>
          <w:bCs/>
          <w:spacing w:val="-10"/>
        </w:rPr>
        <w:t>0.677</w:t>
      </w:r>
      <w:r>
        <w:rPr>
          <w:bCs/>
          <w:spacing w:val="-10"/>
        </w:rPr>
        <w:t>kg/s。</w:t>
      </w:r>
    </w:p>
    <w:p w14:paraId="1130B7B5">
      <w:pPr>
        <w:adjustRightInd w:val="0"/>
        <w:snapToGrid w:val="0"/>
        <w:jc w:val="center"/>
        <w:rPr>
          <w:rFonts w:hint="eastAsia"/>
          <w:b/>
          <w:bCs/>
          <w:spacing w:val="-10"/>
        </w:rPr>
      </w:pPr>
      <w:r>
        <w:rPr>
          <w:b/>
          <w:bCs/>
          <w:spacing w:val="-10"/>
        </w:rPr>
        <w:t>表6-</w:t>
      </w:r>
      <w:r>
        <w:rPr>
          <w:rFonts w:hint="eastAsia"/>
          <w:b/>
          <w:bCs/>
          <w:spacing w:val="-10"/>
        </w:rPr>
        <w:t xml:space="preserve">27  </w:t>
      </w:r>
      <w:r>
        <w:rPr>
          <w:b/>
          <w:bCs/>
          <w:spacing w:val="-10"/>
        </w:rPr>
        <w:t>液体泄漏系数（C</w:t>
      </w:r>
      <w:r>
        <w:rPr>
          <w:b/>
          <w:bCs/>
          <w:spacing w:val="-10"/>
          <w:vertAlign w:val="subscript"/>
        </w:rPr>
        <w:t>d</w:t>
      </w:r>
      <w:r>
        <w:rPr>
          <w:b/>
          <w:bCs/>
          <w:spacing w:val="-10"/>
        </w:rPr>
        <w:t>）</w:t>
      </w:r>
    </w:p>
    <w:tbl>
      <w:tblPr>
        <w:tblStyle w:val="1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85"/>
        <w:gridCol w:w="2891"/>
        <w:gridCol w:w="2093"/>
        <w:gridCol w:w="2061"/>
      </w:tblGrid>
      <w:tr w14:paraId="2EB3E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1" w:type="pct"/>
            <w:vMerge w:val="restart"/>
            <w:vAlign w:val="center"/>
          </w:tcPr>
          <w:p w14:paraId="1504422B">
            <w:pPr>
              <w:adjustRightInd w:val="0"/>
              <w:snapToGrid w:val="0"/>
              <w:jc w:val="center"/>
              <w:rPr>
                <w:rFonts w:hint="eastAsia"/>
                <w:bCs/>
                <w:spacing w:val="-10"/>
                <w:szCs w:val="21"/>
              </w:rPr>
            </w:pPr>
            <w:r>
              <w:rPr>
                <w:bCs/>
                <w:spacing w:val="-10"/>
                <w:szCs w:val="21"/>
              </w:rPr>
              <w:t>雷诺数（Re）</w:t>
            </w:r>
          </w:p>
        </w:tc>
        <w:tc>
          <w:tcPr>
            <w:tcW w:w="3989" w:type="pct"/>
            <w:gridSpan w:val="3"/>
            <w:vAlign w:val="center"/>
          </w:tcPr>
          <w:p w14:paraId="5F6B33ED">
            <w:pPr>
              <w:adjustRightInd w:val="0"/>
              <w:snapToGrid w:val="0"/>
              <w:jc w:val="center"/>
              <w:rPr>
                <w:rFonts w:hint="eastAsia"/>
                <w:bCs/>
                <w:spacing w:val="-10"/>
                <w:szCs w:val="21"/>
              </w:rPr>
            </w:pPr>
            <w:r>
              <w:rPr>
                <w:bCs/>
                <w:spacing w:val="-10"/>
                <w:szCs w:val="21"/>
              </w:rPr>
              <w:t>裂口形状</w:t>
            </w:r>
          </w:p>
        </w:tc>
      </w:tr>
      <w:tr w14:paraId="43130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1" w:type="pct"/>
            <w:vMerge w:val="continue"/>
            <w:vAlign w:val="center"/>
          </w:tcPr>
          <w:p w14:paraId="48036A1B">
            <w:pPr>
              <w:adjustRightInd w:val="0"/>
              <w:snapToGrid w:val="0"/>
              <w:jc w:val="center"/>
              <w:rPr>
                <w:rFonts w:hint="eastAsia"/>
                <w:bCs/>
                <w:spacing w:val="-10"/>
                <w:szCs w:val="21"/>
              </w:rPr>
            </w:pPr>
          </w:p>
        </w:tc>
        <w:tc>
          <w:tcPr>
            <w:tcW w:w="1637" w:type="pct"/>
            <w:vAlign w:val="center"/>
          </w:tcPr>
          <w:p w14:paraId="460A7775">
            <w:pPr>
              <w:adjustRightInd w:val="0"/>
              <w:snapToGrid w:val="0"/>
              <w:jc w:val="center"/>
              <w:rPr>
                <w:rFonts w:hint="eastAsia"/>
                <w:bCs/>
                <w:spacing w:val="-10"/>
                <w:szCs w:val="21"/>
              </w:rPr>
            </w:pPr>
            <w:r>
              <w:rPr>
                <w:bCs/>
                <w:spacing w:val="-10"/>
                <w:szCs w:val="21"/>
              </w:rPr>
              <w:t>圆形（多边形）</w:t>
            </w:r>
          </w:p>
        </w:tc>
        <w:tc>
          <w:tcPr>
            <w:tcW w:w="1185" w:type="pct"/>
            <w:vAlign w:val="center"/>
          </w:tcPr>
          <w:p w14:paraId="1A95A1B1">
            <w:pPr>
              <w:adjustRightInd w:val="0"/>
              <w:snapToGrid w:val="0"/>
              <w:jc w:val="center"/>
              <w:rPr>
                <w:rFonts w:hint="eastAsia"/>
                <w:bCs/>
                <w:spacing w:val="-10"/>
                <w:szCs w:val="21"/>
              </w:rPr>
            </w:pPr>
            <w:r>
              <w:rPr>
                <w:bCs/>
                <w:spacing w:val="-10"/>
                <w:szCs w:val="21"/>
              </w:rPr>
              <w:t>三角形</w:t>
            </w:r>
          </w:p>
        </w:tc>
        <w:tc>
          <w:tcPr>
            <w:tcW w:w="1167" w:type="pct"/>
            <w:vAlign w:val="center"/>
          </w:tcPr>
          <w:p w14:paraId="7968C323">
            <w:pPr>
              <w:adjustRightInd w:val="0"/>
              <w:snapToGrid w:val="0"/>
              <w:jc w:val="center"/>
              <w:rPr>
                <w:rFonts w:hint="eastAsia"/>
                <w:bCs/>
                <w:spacing w:val="-10"/>
                <w:szCs w:val="21"/>
              </w:rPr>
            </w:pPr>
            <w:r>
              <w:rPr>
                <w:bCs/>
                <w:spacing w:val="-10"/>
                <w:szCs w:val="21"/>
              </w:rPr>
              <w:t>长方形</w:t>
            </w:r>
          </w:p>
        </w:tc>
      </w:tr>
      <w:tr w14:paraId="7FF24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1" w:type="pct"/>
            <w:vAlign w:val="center"/>
          </w:tcPr>
          <w:p w14:paraId="4CD83A27">
            <w:pPr>
              <w:adjustRightInd w:val="0"/>
              <w:snapToGrid w:val="0"/>
              <w:jc w:val="center"/>
              <w:rPr>
                <w:rFonts w:hint="eastAsia"/>
                <w:bCs/>
                <w:spacing w:val="-10"/>
                <w:szCs w:val="21"/>
              </w:rPr>
            </w:pPr>
            <w:r>
              <w:rPr>
                <w:bCs/>
                <w:spacing w:val="-10"/>
                <w:szCs w:val="21"/>
              </w:rPr>
              <w:t>＞100</w:t>
            </w:r>
          </w:p>
        </w:tc>
        <w:tc>
          <w:tcPr>
            <w:tcW w:w="1637" w:type="pct"/>
            <w:vAlign w:val="center"/>
          </w:tcPr>
          <w:p w14:paraId="1E3BD6D1">
            <w:pPr>
              <w:adjustRightInd w:val="0"/>
              <w:snapToGrid w:val="0"/>
              <w:jc w:val="center"/>
              <w:rPr>
                <w:rFonts w:hint="eastAsia"/>
                <w:spacing w:val="-10"/>
                <w:szCs w:val="21"/>
              </w:rPr>
            </w:pPr>
            <w:r>
              <w:rPr>
                <w:spacing w:val="-10"/>
                <w:szCs w:val="21"/>
              </w:rPr>
              <w:t>0.65</w:t>
            </w:r>
          </w:p>
        </w:tc>
        <w:tc>
          <w:tcPr>
            <w:tcW w:w="1185" w:type="pct"/>
            <w:vAlign w:val="center"/>
          </w:tcPr>
          <w:p w14:paraId="78ACD1EF">
            <w:pPr>
              <w:adjustRightInd w:val="0"/>
              <w:snapToGrid w:val="0"/>
              <w:jc w:val="center"/>
              <w:rPr>
                <w:rFonts w:hint="eastAsia"/>
                <w:bCs/>
                <w:spacing w:val="-10"/>
                <w:szCs w:val="21"/>
              </w:rPr>
            </w:pPr>
            <w:r>
              <w:rPr>
                <w:bCs/>
                <w:spacing w:val="-10"/>
                <w:szCs w:val="21"/>
              </w:rPr>
              <w:t>0.60</w:t>
            </w:r>
          </w:p>
        </w:tc>
        <w:tc>
          <w:tcPr>
            <w:tcW w:w="1167" w:type="pct"/>
            <w:vAlign w:val="center"/>
          </w:tcPr>
          <w:p w14:paraId="18FEBF01">
            <w:pPr>
              <w:adjustRightInd w:val="0"/>
              <w:snapToGrid w:val="0"/>
              <w:jc w:val="center"/>
              <w:rPr>
                <w:rFonts w:hint="eastAsia"/>
                <w:bCs/>
                <w:spacing w:val="-10"/>
                <w:szCs w:val="21"/>
              </w:rPr>
            </w:pPr>
            <w:r>
              <w:rPr>
                <w:bCs/>
                <w:spacing w:val="-10"/>
                <w:szCs w:val="21"/>
              </w:rPr>
              <w:t>0.55</w:t>
            </w:r>
          </w:p>
        </w:tc>
      </w:tr>
      <w:tr w14:paraId="2B686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1" w:type="pct"/>
            <w:vAlign w:val="center"/>
          </w:tcPr>
          <w:p w14:paraId="0BEF4BF4">
            <w:pPr>
              <w:adjustRightInd w:val="0"/>
              <w:snapToGrid w:val="0"/>
              <w:jc w:val="center"/>
              <w:rPr>
                <w:rFonts w:hint="eastAsia"/>
                <w:bCs/>
                <w:spacing w:val="-10"/>
                <w:szCs w:val="21"/>
              </w:rPr>
            </w:pPr>
            <w:r>
              <w:rPr>
                <w:bCs/>
                <w:spacing w:val="-10"/>
                <w:szCs w:val="21"/>
              </w:rPr>
              <w:t>≤100</w:t>
            </w:r>
          </w:p>
        </w:tc>
        <w:tc>
          <w:tcPr>
            <w:tcW w:w="1637" w:type="pct"/>
            <w:vAlign w:val="center"/>
          </w:tcPr>
          <w:p w14:paraId="76417C85">
            <w:pPr>
              <w:adjustRightInd w:val="0"/>
              <w:snapToGrid w:val="0"/>
              <w:jc w:val="center"/>
              <w:rPr>
                <w:rFonts w:hint="eastAsia"/>
                <w:bCs/>
                <w:spacing w:val="-10"/>
                <w:szCs w:val="21"/>
              </w:rPr>
            </w:pPr>
            <w:r>
              <w:rPr>
                <w:bCs/>
                <w:spacing w:val="-10"/>
                <w:szCs w:val="21"/>
              </w:rPr>
              <w:t>0.50</w:t>
            </w:r>
          </w:p>
        </w:tc>
        <w:tc>
          <w:tcPr>
            <w:tcW w:w="1185" w:type="pct"/>
            <w:vAlign w:val="center"/>
          </w:tcPr>
          <w:p w14:paraId="4952F2F3">
            <w:pPr>
              <w:adjustRightInd w:val="0"/>
              <w:snapToGrid w:val="0"/>
              <w:jc w:val="center"/>
              <w:rPr>
                <w:rFonts w:hint="eastAsia"/>
                <w:bCs/>
                <w:spacing w:val="-10"/>
                <w:szCs w:val="21"/>
              </w:rPr>
            </w:pPr>
            <w:r>
              <w:rPr>
                <w:bCs/>
                <w:spacing w:val="-10"/>
                <w:szCs w:val="21"/>
              </w:rPr>
              <w:t>0.45</w:t>
            </w:r>
          </w:p>
        </w:tc>
        <w:tc>
          <w:tcPr>
            <w:tcW w:w="1167" w:type="pct"/>
            <w:vAlign w:val="center"/>
          </w:tcPr>
          <w:p w14:paraId="0E3F3F34">
            <w:pPr>
              <w:adjustRightInd w:val="0"/>
              <w:snapToGrid w:val="0"/>
              <w:jc w:val="center"/>
              <w:rPr>
                <w:rFonts w:hint="eastAsia"/>
                <w:bCs/>
                <w:spacing w:val="-10"/>
                <w:szCs w:val="21"/>
              </w:rPr>
            </w:pPr>
            <w:r>
              <w:rPr>
                <w:bCs/>
                <w:spacing w:val="-10"/>
                <w:szCs w:val="21"/>
              </w:rPr>
              <w:t>0.40</w:t>
            </w:r>
          </w:p>
        </w:tc>
      </w:tr>
    </w:tbl>
    <w:p w14:paraId="5F943780">
      <w:pPr>
        <w:pStyle w:val="72"/>
        <w:rPr>
          <w:snapToGrid w:val="0"/>
        </w:rPr>
      </w:pPr>
    </w:p>
    <w:p w14:paraId="5422006A">
      <w:pPr>
        <w:adjustRightInd w:val="0"/>
        <w:snapToGrid w:val="0"/>
        <w:ind w:firstLine="440" w:firstLineChars="200"/>
        <w:rPr>
          <w:rFonts w:hint="eastAsia"/>
          <w:bCs/>
          <w:spacing w:val="-10"/>
        </w:rPr>
      </w:pPr>
      <w:r>
        <w:rPr>
          <w:bCs/>
          <w:spacing w:val="-10"/>
        </w:rPr>
        <w:t>本环评泄漏时间取30分钟，则事故时泄漏源强见表6-2</w:t>
      </w:r>
      <w:r>
        <w:rPr>
          <w:rFonts w:hint="eastAsia"/>
          <w:bCs/>
          <w:spacing w:val="-10"/>
        </w:rPr>
        <w:t>8</w:t>
      </w:r>
      <w:r>
        <w:rPr>
          <w:bCs/>
          <w:spacing w:val="-10"/>
        </w:rPr>
        <w:t>。</w:t>
      </w:r>
    </w:p>
    <w:p w14:paraId="3776D752">
      <w:pPr>
        <w:adjustRightInd w:val="0"/>
        <w:snapToGrid w:val="0"/>
        <w:jc w:val="center"/>
        <w:rPr>
          <w:rFonts w:hint="eastAsia"/>
          <w:b/>
          <w:bCs/>
          <w:spacing w:val="-10"/>
        </w:rPr>
      </w:pPr>
      <w:r>
        <w:rPr>
          <w:b/>
          <w:bCs/>
          <w:spacing w:val="-10"/>
        </w:rPr>
        <w:t>表6-</w:t>
      </w:r>
      <w:r>
        <w:rPr>
          <w:rFonts w:hint="eastAsia"/>
          <w:b/>
          <w:bCs/>
          <w:spacing w:val="-10"/>
        </w:rPr>
        <w:t xml:space="preserve">28  </w:t>
      </w:r>
      <w:r>
        <w:rPr>
          <w:b/>
          <w:bCs/>
          <w:spacing w:val="-10"/>
        </w:rPr>
        <w:t>罐区泄漏源强</w:t>
      </w:r>
    </w:p>
    <w:tbl>
      <w:tblPr>
        <w:tblStyle w:val="1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47"/>
        <w:gridCol w:w="2178"/>
        <w:gridCol w:w="2178"/>
        <w:gridCol w:w="1578"/>
        <w:gridCol w:w="1553"/>
      </w:tblGrid>
      <w:tr w14:paraId="55E5C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62" w:type="pct"/>
            <w:vAlign w:val="center"/>
          </w:tcPr>
          <w:p w14:paraId="652F4572">
            <w:pPr>
              <w:adjustRightInd w:val="0"/>
              <w:snapToGrid w:val="0"/>
              <w:jc w:val="center"/>
              <w:rPr>
                <w:rFonts w:hint="eastAsia"/>
                <w:bCs/>
                <w:spacing w:val="-10"/>
                <w:szCs w:val="21"/>
              </w:rPr>
            </w:pPr>
            <w:r>
              <w:rPr>
                <w:bCs/>
                <w:spacing w:val="-10"/>
                <w:szCs w:val="21"/>
              </w:rPr>
              <w:t>危险物质</w:t>
            </w:r>
          </w:p>
        </w:tc>
        <w:tc>
          <w:tcPr>
            <w:tcW w:w="1233" w:type="pct"/>
          </w:tcPr>
          <w:p w14:paraId="262BC350">
            <w:pPr>
              <w:adjustRightInd w:val="0"/>
              <w:snapToGrid w:val="0"/>
              <w:jc w:val="center"/>
              <w:rPr>
                <w:rFonts w:hint="eastAsia"/>
                <w:bCs/>
                <w:spacing w:val="-10"/>
                <w:szCs w:val="21"/>
              </w:rPr>
            </w:pPr>
            <w:r>
              <w:rPr>
                <w:rFonts w:hint="eastAsia"/>
                <w:bCs/>
                <w:spacing w:val="-10"/>
                <w:szCs w:val="21"/>
              </w:rPr>
              <w:t>密度</w:t>
            </w:r>
            <w:r>
              <w:rPr>
                <w:bCs/>
                <w:spacing w:val="-10"/>
                <w:szCs w:val="21"/>
              </w:rPr>
              <w:t>（kg/m³）</w:t>
            </w:r>
          </w:p>
        </w:tc>
        <w:tc>
          <w:tcPr>
            <w:tcW w:w="1233" w:type="pct"/>
            <w:vAlign w:val="center"/>
          </w:tcPr>
          <w:p w14:paraId="61880C64">
            <w:pPr>
              <w:adjustRightInd w:val="0"/>
              <w:snapToGrid w:val="0"/>
              <w:jc w:val="center"/>
              <w:rPr>
                <w:rFonts w:hint="eastAsia"/>
                <w:bCs/>
                <w:spacing w:val="-10"/>
                <w:szCs w:val="21"/>
              </w:rPr>
            </w:pPr>
            <w:r>
              <w:rPr>
                <w:bCs/>
                <w:spacing w:val="-10"/>
                <w:szCs w:val="21"/>
              </w:rPr>
              <w:t>泄漏速率（kg/s）</w:t>
            </w:r>
          </w:p>
        </w:tc>
        <w:tc>
          <w:tcPr>
            <w:tcW w:w="893" w:type="pct"/>
            <w:vAlign w:val="center"/>
          </w:tcPr>
          <w:p w14:paraId="3B503A56">
            <w:pPr>
              <w:adjustRightInd w:val="0"/>
              <w:snapToGrid w:val="0"/>
              <w:jc w:val="center"/>
              <w:rPr>
                <w:rFonts w:hint="eastAsia"/>
                <w:bCs/>
                <w:spacing w:val="-10"/>
                <w:szCs w:val="21"/>
              </w:rPr>
            </w:pPr>
            <w:r>
              <w:rPr>
                <w:bCs/>
                <w:spacing w:val="-10"/>
                <w:szCs w:val="21"/>
              </w:rPr>
              <w:t>事故时间（s）</w:t>
            </w:r>
          </w:p>
        </w:tc>
        <w:tc>
          <w:tcPr>
            <w:tcW w:w="879" w:type="pct"/>
            <w:vAlign w:val="center"/>
          </w:tcPr>
          <w:p w14:paraId="0FDABF33">
            <w:pPr>
              <w:adjustRightInd w:val="0"/>
              <w:snapToGrid w:val="0"/>
              <w:jc w:val="center"/>
              <w:rPr>
                <w:rFonts w:hint="eastAsia"/>
                <w:bCs/>
                <w:spacing w:val="-10"/>
                <w:szCs w:val="21"/>
              </w:rPr>
            </w:pPr>
            <w:r>
              <w:rPr>
                <w:bCs/>
                <w:spacing w:val="-10"/>
                <w:szCs w:val="21"/>
              </w:rPr>
              <w:t>泄漏量（</w:t>
            </w:r>
            <w:r>
              <w:rPr>
                <w:rFonts w:hint="eastAsia"/>
                <w:bCs/>
                <w:spacing w:val="-10"/>
                <w:szCs w:val="21"/>
              </w:rPr>
              <w:t>kg</w:t>
            </w:r>
            <w:r>
              <w:rPr>
                <w:bCs/>
                <w:spacing w:val="-10"/>
                <w:szCs w:val="21"/>
              </w:rPr>
              <w:t>）</w:t>
            </w:r>
          </w:p>
        </w:tc>
      </w:tr>
      <w:tr w14:paraId="652C3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62" w:type="pct"/>
            <w:vAlign w:val="center"/>
          </w:tcPr>
          <w:p w14:paraId="6ADEF48A">
            <w:pPr>
              <w:adjustRightInd w:val="0"/>
              <w:snapToGrid w:val="0"/>
              <w:jc w:val="center"/>
              <w:rPr>
                <w:rFonts w:hint="eastAsia"/>
                <w:bCs/>
                <w:spacing w:val="-10"/>
                <w:szCs w:val="21"/>
              </w:rPr>
            </w:pPr>
            <w:r>
              <w:rPr>
                <w:rFonts w:hint="eastAsia"/>
                <w:bCs/>
                <w:spacing w:val="-10"/>
                <w:szCs w:val="21"/>
              </w:rPr>
              <w:t>MTBE</w:t>
            </w:r>
          </w:p>
        </w:tc>
        <w:tc>
          <w:tcPr>
            <w:tcW w:w="1233" w:type="pct"/>
          </w:tcPr>
          <w:p w14:paraId="66779228">
            <w:pPr>
              <w:adjustRightInd w:val="0"/>
              <w:snapToGrid w:val="0"/>
              <w:jc w:val="center"/>
              <w:rPr>
                <w:rFonts w:hint="eastAsia"/>
                <w:bCs/>
                <w:spacing w:val="-10"/>
              </w:rPr>
            </w:pPr>
            <w:r>
              <w:rPr>
                <w:rFonts w:hint="eastAsia"/>
                <w:bCs/>
                <w:spacing w:val="-10"/>
              </w:rPr>
              <w:t>740</w:t>
            </w:r>
          </w:p>
        </w:tc>
        <w:tc>
          <w:tcPr>
            <w:tcW w:w="1233" w:type="pct"/>
            <w:vAlign w:val="center"/>
          </w:tcPr>
          <w:p w14:paraId="06584407">
            <w:pPr>
              <w:adjustRightInd w:val="0"/>
              <w:snapToGrid w:val="0"/>
              <w:jc w:val="center"/>
              <w:rPr>
                <w:rFonts w:hint="eastAsia"/>
                <w:bCs/>
                <w:spacing w:val="-10"/>
                <w:szCs w:val="21"/>
              </w:rPr>
            </w:pPr>
            <w:r>
              <w:rPr>
                <w:rFonts w:hint="eastAsia"/>
                <w:bCs/>
                <w:spacing w:val="-10"/>
              </w:rPr>
              <w:t>0.677</w:t>
            </w:r>
          </w:p>
        </w:tc>
        <w:tc>
          <w:tcPr>
            <w:tcW w:w="893" w:type="pct"/>
            <w:vAlign w:val="center"/>
          </w:tcPr>
          <w:p w14:paraId="0336779F">
            <w:pPr>
              <w:adjustRightInd w:val="0"/>
              <w:snapToGrid w:val="0"/>
              <w:jc w:val="center"/>
              <w:rPr>
                <w:rFonts w:hint="eastAsia"/>
                <w:bCs/>
                <w:spacing w:val="-10"/>
                <w:szCs w:val="21"/>
              </w:rPr>
            </w:pPr>
            <w:r>
              <w:rPr>
                <w:bCs/>
                <w:spacing w:val="-10"/>
                <w:szCs w:val="21"/>
              </w:rPr>
              <w:t>1800</w:t>
            </w:r>
          </w:p>
        </w:tc>
        <w:tc>
          <w:tcPr>
            <w:tcW w:w="879" w:type="pct"/>
            <w:vAlign w:val="center"/>
          </w:tcPr>
          <w:p w14:paraId="5B97AF47">
            <w:pPr>
              <w:adjustRightInd w:val="0"/>
              <w:snapToGrid w:val="0"/>
              <w:jc w:val="center"/>
              <w:rPr>
                <w:rFonts w:hint="eastAsia"/>
                <w:bCs/>
                <w:spacing w:val="-10"/>
                <w:szCs w:val="21"/>
              </w:rPr>
            </w:pPr>
            <w:r>
              <w:rPr>
                <w:rFonts w:hint="eastAsia"/>
                <w:bCs/>
                <w:spacing w:val="-10"/>
                <w:szCs w:val="21"/>
              </w:rPr>
              <w:t>1218.6</w:t>
            </w:r>
          </w:p>
        </w:tc>
      </w:tr>
      <w:tr w14:paraId="73569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62" w:type="pct"/>
            <w:vAlign w:val="center"/>
          </w:tcPr>
          <w:p w14:paraId="444C3763">
            <w:pPr>
              <w:adjustRightInd w:val="0"/>
              <w:snapToGrid w:val="0"/>
              <w:jc w:val="center"/>
              <w:rPr>
                <w:rFonts w:hint="eastAsia"/>
                <w:bCs/>
                <w:spacing w:val="-10"/>
                <w:szCs w:val="21"/>
              </w:rPr>
            </w:pPr>
            <w:r>
              <w:rPr>
                <w:rFonts w:hint="eastAsia"/>
                <w:bCs/>
                <w:spacing w:val="-10"/>
                <w:szCs w:val="21"/>
              </w:rPr>
              <w:t>汽油</w:t>
            </w:r>
          </w:p>
        </w:tc>
        <w:tc>
          <w:tcPr>
            <w:tcW w:w="1233" w:type="pct"/>
          </w:tcPr>
          <w:p w14:paraId="6B12EA1B">
            <w:pPr>
              <w:adjustRightInd w:val="0"/>
              <w:snapToGrid w:val="0"/>
              <w:jc w:val="center"/>
              <w:rPr>
                <w:rFonts w:hint="eastAsia"/>
                <w:bCs/>
                <w:spacing w:val="-10"/>
              </w:rPr>
            </w:pPr>
            <w:r>
              <w:rPr>
                <w:rFonts w:hint="eastAsia"/>
                <w:bCs/>
                <w:spacing w:val="-10"/>
              </w:rPr>
              <w:t>730</w:t>
            </w:r>
          </w:p>
        </w:tc>
        <w:tc>
          <w:tcPr>
            <w:tcW w:w="1233" w:type="pct"/>
            <w:vAlign w:val="center"/>
          </w:tcPr>
          <w:p w14:paraId="3AF5A58F">
            <w:pPr>
              <w:adjustRightInd w:val="0"/>
              <w:snapToGrid w:val="0"/>
              <w:jc w:val="center"/>
              <w:rPr>
                <w:rFonts w:hint="eastAsia"/>
                <w:bCs/>
                <w:spacing w:val="-10"/>
              </w:rPr>
            </w:pPr>
            <w:r>
              <w:rPr>
                <w:rFonts w:hint="eastAsia"/>
                <w:bCs/>
                <w:spacing w:val="-10"/>
              </w:rPr>
              <w:t>0.668</w:t>
            </w:r>
          </w:p>
        </w:tc>
        <w:tc>
          <w:tcPr>
            <w:tcW w:w="893" w:type="pct"/>
            <w:vAlign w:val="center"/>
          </w:tcPr>
          <w:p w14:paraId="7CDD3B8F">
            <w:pPr>
              <w:adjustRightInd w:val="0"/>
              <w:snapToGrid w:val="0"/>
              <w:jc w:val="center"/>
              <w:rPr>
                <w:rFonts w:hint="eastAsia"/>
                <w:bCs/>
                <w:spacing w:val="-10"/>
                <w:szCs w:val="21"/>
              </w:rPr>
            </w:pPr>
            <w:r>
              <w:rPr>
                <w:bCs/>
                <w:spacing w:val="-10"/>
                <w:szCs w:val="21"/>
              </w:rPr>
              <w:t>1800</w:t>
            </w:r>
          </w:p>
        </w:tc>
        <w:tc>
          <w:tcPr>
            <w:tcW w:w="879" w:type="pct"/>
            <w:vAlign w:val="center"/>
          </w:tcPr>
          <w:p w14:paraId="4E42CA45">
            <w:pPr>
              <w:adjustRightInd w:val="0"/>
              <w:snapToGrid w:val="0"/>
              <w:jc w:val="center"/>
              <w:rPr>
                <w:rFonts w:hint="eastAsia"/>
                <w:bCs/>
                <w:spacing w:val="-10"/>
                <w:szCs w:val="21"/>
              </w:rPr>
            </w:pPr>
            <w:r>
              <w:rPr>
                <w:rFonts w:hint="eastAsia"/>
                <w:bCs/>
                <w:spacing w:val="-10"/>
                <w:szCs w:val="21"/>
              </w:rPr>
              <w:t>1202.4</w:t>
            </w:r>
          </w:p>
        </w:tc>
      </w:tr>
      <w:tr w14:paraId="43DF0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62" w:type="pct"/>
            <w:vAlign w:val="center"/>
          </w:tcPr>
          <w:p w14:paraId="5B659EEB">
            <w:pPr>
              <w:adjustRightInd w:val="0"/>
              <w:snapToGrid w:val="0"/>
              <w:jc w:val="center"/>
              <w:rPr>
                <w:rFonts w:hint="eastAsia"/>
                <w:bCs/>
                <w:spacing w:val="-10"/>
                <w:szCs w:val="21"/>
              </w:rPr>
            </w:pPr>
            <w:r>
              <w:rPr>
                <w:rFonts w:hint="eastAsia"/>
                <w:bCs/>
                <w:spacing w:val="-10"/>
                <w:szCs w:val="21"/>
              </w:rPr>
              <w:t>柴油</w:t>
            </w:r>
          </w:p>
        </w:tc>
        <w:tc>
          <w:tcPr>
            <w:tcW w:w="1233" w:type="pct"/>
          </w:tcPr>
          <w:p w14:paraId="135540DD">
            <w:pPr>
              <w:adjustRightInd w:val="0"/>
              <w:snapToGrid w:val="0"/>
              <w:jc w:val="center"/>
              <w:rPr>
                <w:rFonts w:hint="eastAsia"/>
                <w:bCs/>
                <w:spacing w:val="-10"/>
              </w:rPr>
            </w:pPr>
            <w:r>
              <w:rPr>
                <w:rFonts w:hint="eastAsia"/>
                <w:bCs/>
                <w:spacing w:val="-10"/>
              </w:rPr>
              <w:t>840</w:t>
            </w:r>
          </w:p>
        </w:tc>
        <w:tc>
          <w:tcPr>
            <w:tcW w:w="1233" w:type="pct"/>
            <w:vAlign w:val="center"/>
          </w:tcPr>
          <w:p w14:paraId="648E7C4E">
            <w:pPr>
              <w:adjustRightInd w:val="0"/>
              <w:snapToGrid w:val="0"/>
              <w:jc w:val="center"/>
              <w:rPr>
                <w:rFonts w:hint="eastAsia"/>
                <w:bCs/>
                <w:spacing w:val="-10"/>
              </w:rPr>
            </w:pPr>
            <w:r>
              <w:rPr>
                <w:rFonts w:hint="eastAsia"/>
                <w:bCs/>
                <w:spacing w:val="-10"/>
              </w:rPr>
              <w:t>0.768</w:t>
            </w:r>
          </w:p>
        </w:tc>
        <w:tc>
          <w:tcPr>
            <w:tcW w:w="893" w:type="pct"/>
            <w:vAlign w:val="center"/>
          </w:tcPr>
          <w:p w14:paraId="49439B7F">
            <w:pPr>
              <w:adjustRightInd w:val="0"/>
              <w:snapToGrid w:val="0"/>
              <w:jc w:val="center"/>
              <w:rPr>
                <w:rFonts w:hint="eastAsia"/>
                <w:bCs/>
                <w:spacing w:val="-10"/>
                <w:szCs w:val="21"/>
              </w:rPr>
            </w:pPr>
            <w:r>
              <w:rPr>
                <w:bCs/>
                <w:spacing w:val="-10"/>
                <w:szCs w:val="21"/>
              </w:rPr>
              <w:t>1800</w:t>
            </w:r>
          </w:p>
        </w:tc>
        <w:tc>
          <w:tcPr>
            <w:tcW w:w="879" w:type="pct"/>
            <w:vAlign w:val="center"/>
          </w:tcPr>
          <w:p w14:paraId="41B124D6">
            <w:pPr>
              <w:adjustRightInd w:val="0"/>
              <w:snapToGrid w:val="0"/>
              <w:jc w:val="center"/>
              <w:rPr>
                <w:rFonts w:hint="eastAsia"/>
                <w:bCs/>
                <w:spacing w:val="-10"/>
                <w:szCs w:val="21"/>
              </w:rPr>
            </w:pPr>
            <w:r>
              <w:rPr>
                <w:rFonts w:hint="eastAsia"/>
                <w:bCs/>
                <w:spacing w:val="-10"/>
                <w:szCs w:val="21"/>
              </w:rPr>
              <w:t>1382.4</w:t>
            </w:r>
          </w:p>
        </w:tc>
      </w:tr>
      <w:tr w14:paraId="7BC23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62" w:type="pct"/>
            <w:vAlign w:val="center"/>
          </w:tcPr>
          <w:p w14:paraId="54AC57A3">
            <w:pPr>
              <w:adjustRightInd w:val="0"/>
              <w:snapToGrid w:val="0"/>
              <w:jc w:val="center"/>
              <w:rPr>
                <w:rFonts w:hint="eastAsia"/>
                <w:bCs/>
                <w:spacing w:val="-10"/>
                <w:szCs w:val="21"/>
              </w:rPr>
            </w:pPr>
            <w:r>
              <w:rPr>
                <w:rFonts w:hint="eastAsia"/>
                <w:bCs/>
                <w:spacing w:val="-10"/>
                <w:szCs w:val="21"/>
              </w:rPr>
              <w:t>异辛烷</w:t>
            </w:r>
          </w:p>
        </w:tc>
        <w:tc>
          <w:tcPr>
            <w:tcW w:w="1233" w:type="pct"/>
          </w:tcPr>
          <w:p w14:paraId="249727F0">
            <w:pPr>
              <w:adjustRightInd w:val="0"/>
              <w:snapToGrid w:val="0"/>
              <w:jc w:val="center"/>
              <w:rPr>
                <w:rFonts w:hint="eastAsia"/>
                <w:bCs/>
                <w:spacing w:val="-10"/>
              </w:rPr>
            </w:pPr>
            <w:r>
              <w:rPr>
                <w:rFonts w:hint="eastAsia"/>
                <w:bCs/>
                <w:spacing w:val="-10"/>
              </w:rPr>
              <w:t>692</w:t>
            </w:r>
          </w:p>
        </w:tc>
        <w:tc>
          <w:tcPr>
            <w:tcW w:w="1233" w:type="pct"/>
            <w:vAlign w:val="center"/>
          </w:tcPr>
          <w:p w14:paraId="72AAEA5E">
            <w:pPr>
              <w:adjustRightInd w:val="0"/>
              <w:snapToGrid w:val="0"/>
              <w:jc w:val="center"/>
              <w:rPr>
                <w:rFonts w:hint="eastAsia"/>
                <w:bCs/>
                <w:spacing w:val="-10"/>
              </w:rPr>
            </w:pPr>
            <w:r>
              <w:rPr>
                <w:rFonts w:hint="eastAsia"/>
                <w:bCs/>
                <w:spacing w:val="-10"/>
              </w:rPr>
              <w:t>0.633</w:t>
            </w:r>
          </w:p>
        </w:tc>
        <w:tc>
          <w:tcPr>
            <w:tcW w:w="893" w:type="pct"/>
            <w:vAlign w:val="center"/>
          </w:tcPr>
          <w:p w14:paraId="21EE1668">
            <w:pPr>
              <w:adjustRightInd w:val="0"/>
              <w:snapToGrid w:val="0"/>
              <w:jc w:val="center"/>
              <w:rPr>
                <w:rFonts w:hint="eastAsia"/>
                <w:bCs/>
                <w:spacing w:val="-10"/>
                <w:szCs w:val="21"/>
              </w:rPr>
            </w:pPr>
            <w:r>
              <w:rPr>
                <w:bCs/>
                <w:spacing w:val="-10"/>
                <w:szCs w:val="21"/>
              </w:rPr>
              <w:t>1800</w:t>
            </w:r>
          </w:p>
        </w:tc>
        <w:tc>
          <w:tcPr>
            <w:tcW w:w="879" w:type="pct"/>
            <w:vAlign w:val="center"/>
          </w:tcPr>
          <w:p w14:paraId="45DE49CE">
            <w:pPr>
              <w:adjustRightInd w:val="0"/>
              <w:snapToGrid w:val="0"/>
              <w:jc w:val="center"/>
              <w:rPr>
                <w:rFonts w:hint="eastAsia"/>
                <w:bCs/>
                <w:spacing w:val="-10"/>
                <w:szCs w:val="21"/>
              </w:rPr>
            </w:pPr>
            <w:r>
              <w:rPr>
                <w:rFonts w:hint="eastAsia"/>
                <w:bCs/>
                <w:spacing w:val="-10"/>
                <w:szCs w:val="21"/>
              </w:rPr>
              <w:t>1139.4</w:t>
            </w:r>
          </w:p>
        </w:tc>
      </w:tr>
      <w:tr w14:paraId="11C57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62" w:type="pct"/>
            <w:vAlign w:val="center"/>
          </w:tcPr>
          <w:p w14:paraId="658E49FA">
            <w:pPr>
              <w:adjustRightInd w:val="0"/>
              <w:snapToGrid w:val="0"/>
              <w:jc w:val="center"/>
              <w:rPr>
                <w:rFonts w:hint="eastAsia"/>
                <w:bCs/>
                <w:spacing w:val="-10"/>
                <w:szCs w:val="21"/>
              </w:rPr>
            </w:pPr>
            <w:r>
              <w:rPr>
                <w:rFonts w:hint="eastAsia"/>
                <w:bCs/>
                <w:spacing w:val="-10"/>
                <w:szCs w:val="21"/>
              </w:rPr>
              <w:t>混合芳烃</w:t>
            </w:r>
          </w:p>
        </w:tc>
        <w:tc>
          <w:tcPr>
            <w:tcW w:w="1233" w:type="pct"/>
          </w:tcPr>
          <w:p w14:paraId="242922A9">
            <w:pPr>
              <w:adjustRightInd w:val="0"/>
              <w:snapToGrid w:val="0"/>
              <w:jc w:val="center"/>
              <w:rPr>
                <w:rFonts w:hint="eastAsia"/>
                <w:bCs/>
                <w:spacing w:val="-10"/>
              </w:rPr>
            </w:pPr>
            <w:r>
              <w:rPr>
                <w:rFonts w:hint="eastAsia"/>
                <w:bCs/>
                <w:spacing w:val="-10"/>
              </w:rPr>
              <w:t>820</w:t>
            </w:r>
          </w:p>
        </w:tc>
        <w:tc>
          <w:tcPr>
            <w:tcW w:w="1233" w:type="pct"/>
            <w:vAlign w:val="center"/>
          </w:tcPr>
          <w:p w14:paraId="1EB8D6DC">
            <w:pPr>
              <w:adjustRightInd w:val="0"/>
              <w:snapToGrid w:val="0"/>
              <w:jc w:val="center"/>
              <w:rPr>
                <w:rFonts w:hint="eastAsia"/>
                <w:bCs/>
                <w:spacing w:val="-10"/>
              </w:rPr>
            </w:pPr>
            <w:r>
              <w:rPr>
                <w:rFonts w:hint="eastAsia"/>
                <w:bCs/>
                <w:spacing w:val="-10"/>
              </w:rPr>
              <w:t>0.750</w:t>
            </w:r>
          </w:p>
        </w:tc>
        <w:tc>
          <w:tcPr>
            <w:tcW w:w="893" w:type="pct"/>
            <w:vAlign w:val="center"/>
          </w:tcPr>
          <w:p w14:paraId="34178400">
            <w:pPr>
              <w:adjustRightInd w:val="0"/>
              <w:snapToGrid w:val="0"/>
              <w:jc w:val="center"/>
              <w:rPr>
                <w:rFonts w:hint="eastAsia"/>
                <w:bCs/>
                <w:spacing w:val="-10"/>
                <w:szCs w:val="21"/>
              </w:rPr>
            </w:pPr>
            <w:r>
              <w:rPr>
                <w:bCs/>
                <w:spacing w:val="-10"/>
                <w:szCs w:val="21"/>
              </w:rPr>
              <w:t>1800</w:t>
            </w:r>
          </w:p>
        </w:tc>
        <w:tc>
          <w:tcPr>
            <w:tcW w:w="879" w:type="pct"/>
            <w:vAlign w:val="center"/>
          </w:tcPr>
          <w:p w14:paraId="052FB1D2">
            <w:pPr>
              <w:adjustRightInd w:val="0"/>
              <w:snapToGrid w:val="0"/>
              <w:jc w:val="center"/>
              <w:rPr>
                <w:rFonts w:hint="eastAsia"/>
                <w:bCs/>
                <w:spacing w:val="-10"/>
                <w:szCs w:val="21"/>
              </w:rPr>
            </w:pPr>
            <w:r>
              <w:rPr>
                <w:rFonts w:hint="eastAsia"/>
                <w:bCs/>
                <w:spacing w:val="-10"/>
                <w:szCs w:val="21"/>
              </w:rPr>
              <w:t>1350</w:t>
            </w:r>
          </w:p>
        </w:tc>
      </w:tr>
      <w:tr w14:paraId="791F1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62" w:type="pct"/>
            <w:vAlign w:val="center"/>
          </w:tcPr>
          <w:p w14:paraId="5EDF3293">
            <w:pPr>
              <w:adjustRightInd w:val="0"/>
              <w:snapToGrid w:val="0"/>
              <w:jc w:val="center"/>
              <w:rPr>
                <w:rFonts w:hint="eastAsia"/>
                <w:bCs/>
                <w:spacing w:val="-10"/>
                <w:szCs w:val="21"/>
              </w:rPr>
            </w:pPr>
            <w:r>
              <w:rPr>
                <w:rFonts w:hint="eastAsia"/>
                <w:bCs/>
                <w:spacing w:val="-10"/>
                <w:szCs w:val="21"/>
              </w:rPr>
              <w:t>轻质石脑油</w:t>
            </w:r>
          </w:p>
        </w:tc>
        <w:tc>
          <w:tcPr>
            <w:tcW w:w="1233" w:type="pct"/>
          </w:tcPr>
          <w:p w14:paraId="3EF4696A">
            <w:pPr>
              <w:adjustRightInd w:val="0"/>
              <w:snapToGrid w:val="0"/>
              <w:jc w:val="center"/>
              <w:rPr>
                <w:rFonts w:hint="eastAsia"/>
                <w:bCs/>
                <w:spacing w:val="-10"/>
              </w:rPr>
            </w:pPr>
            <w:r>
              <w:rPr>
                <w:rFonts w:hint="eastAsia"/>
                <w:bCs/>
                <w:spacing w:val="-10"/>
              </w:rPr>
              <w:t>680</w:t>
            </w:r>
          </w:p>
        </w:tc>
        <w:tc>
          <w:tcPr>
            <w:tcW w:w="1233" w:type="pct"/>
            <w:vAlign w:val="center"/>
          </w:tcPr>
          <w:p w14:paraId="33A40CF7">
            <w:pPr>
              <w:adjustRightInd w:val="0"/>
              <w:snapToGrid w:val="0"/>
              <w:jc w:val="center"/>
              <w:rPr>
                <w:rFonts w:hint="eastAsia"/>
                <w:bCs/>
                <w:spacing w:val="-10"/>
              </w:rPr>
            </w:pPr>
            <w:r>
              <w:rPr>
                <w:rFonts w:hint="eastAsia"/>
                <w:bCs/>
                <w:spacing w:val="-10"/>
              </w:rPr>
              <w:t>0.622</w:t>
            </w:r>
          </w:p>
        </w:tc>
        <w:tc>
          <w:tcPr>
            <w:tcW w:w="893" w:type="pct"/>
            <w:vAlign w:val="center"/>
          </w:tcPr>
          <w:p w14:paraId="37923839">
            <w:pPr>
              <w:adjustRightInd w:val="0"/>
              <w:snapToGrid w:val="0"/>
              <w:jc w:val="center"/>
              <w:rPr>
                <w:rFonts w:hint="eastAsia"/>
                <w:bCs/>
                <w:spacing w:val="-10"/>
                <w:szCs w:val="21"/>
              </w:rPr>
            </w:pPr>
            <w:r>
              <w:rPr>
                <w:bCs/>
                <w:spacing w:val="-10"/>
                <w:szCs w:val="21"/>
              </w:rPr>
              <w:t>1800</w:t>
            </w:r>
          </w:p>
        </w:tc>
        <w:tc>
          <w:tcPr>
            <w:tcW w:w="879" w:type="pct"/>
            <w:vAlign w:val="center"/>
          </w:tcPr>
          <w:p w14:paraId="7F83AA09">
            <w:pPr>
              <w:adjustRightInd w:val="0"/>
              <w:snapToGrid w:val="0"/>
              <w:jc w:val="center"/>
              <w:rPr>
                <w:rFonts w:hint="eastAsia"/>
                <w:bCs/>
                <w:spacing w:val="-10"/>
                <w:szCs w:val="21"/>
              </w:rPr>
            </w:pPr>
            <w:r>
              <w:rPr>
                <w:rFonts w:hint="eastAsia"/>
                <w:bCs/>
                <w:spacing w:val="-10"/>
                <w:szCs w:val="21"/>
              </w:rPr>
              <w:t>1119.6</w:t>
            </w:r>
          </w:p>
        </w:tc>
      </w:tr>
      <w:tr w14:paraId="7685F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62" w:type="pct"/>
            <w:vAlign w:val="center"/>
          </w:tcPr>
          <w:p w14:paraId="38FAC7E1">
            <w:pPr>
              <w:adjustRightInd w:val="0"/>
              <w:snapToGrid w:val="0"/>
              <w:jc w:val="center"/>
              <w:rPr>
                <w:rFonts w:hint="eastAsia"/>
                <w:bCs/>
                <w:spacing w:val="-10"/>
                <w:szCs w:val="21"/>
              </w:rPr>
            </w:pPr>
            <w:r>
              <w:rPr>
                <w:rFonts w:hint="eastAsia"/>
                <w:bCs/>
                <w:spacing w:val="-10"/>
                <w:szCs w:val="21"/>
              </w:rPr>
              <w:t>燃料油</w:t>
            </w:r>
          </w:p>
        </w:tc>
        <w:tc>
          <w:tcPr>
            <w:tcW w:w="1233" w:type="pct"/>
          </w:tcPr>
          <w:p w14:paraId="6EC4062A">
            <w:pPr>
              <w:adjustRightInd w:val="0"/>
              <w:snapToGrid w:val="0"/>
              <w:jc w:val="center"/>
              <w:rPr>
                <w:rFonts w:hint="eastAsia"/>
                <w:bCs/>
                <w:spacing w:val="-10"/>
              </w:rPr>
            </w:pPr>
            <w:r>
              <w:rPr>
                <w:rFonts w:hint="eastAsia"/>
                <w:bCs/>
                <w:spacing w:val="-10"/>
              </w:rPr>
              <w:t>950</w:t>
            </w:r>
          </w:p>
        </w:tc>
        <w:tc>
          <w:tcPr>
            <w:tcW w:w="1233" w:type="pct"/>
            <w:vAlign w:val="center"/>
          </w:tcPr>
          <w:p w14:paraId="07D2C833">
            <w:pPr>
              <w:adjustRightInd w:val="0"/>
              <w:snapToGrid w:val="0"/>
              <w:jc w:val="center"/>
              <w:rPr>
                <w:rFonts w:hint="eastAsia"/>
                <w:bCs/>
                <w:spacing w:val="-10"/>
              </w:rPr>
            </w:pPr>
            <w:r>
              <w:rPr>
                <w:rFonts w:hint="eastAsia"/>
                <w:bCs/>
                <w:spacing w:val="-10"/>
              </w:rPr>
              <w:t>0.869</w:t>
            </w:r>
          </w:p>
        </w:tc>
        <w:tc>
          <w:tcPr>
            <w:tcW w:w="893" w:type="pct"/>
            <w:vAlign w:val="center"/>
          </w:tcPr>
          <w:p w14:paraId="3C570E9D">
            <w:pPr>
              <w:adjustRightInd w:val="0"/>
              <w:snapToGrid w:val="0"/>
              <w:jc w:val="center"/>
              <w:rPr>
                <w:rFonts w:hint="eastAsia"/>
                <w:bCs/>
                <w:spacing w:val="-10"/>
                <w:szCs w:val="21"/>
              </w:rPr>
            </w:pPr>
            <w:r>
              <w:rPr>
                <w:bCs/>
                <w:spacing w:val="-10"/>
                <w:szCs w:val="21"/>
              </w:rPr>
              <w:t>1800</w:t>
            </w:r>
          </w:p>
        </w:tc>
        <w:tc>
          <w:tcPr>
            <w:tcW w:w="879" w:type="pct"/>
            <w:vAlign w:val="center"/>
          </w:tcPr>
          <w:p w14:paraId="72D87ED0">
            <w:pPr>
              <w:adjustRightInd w:val="0"/>
              <w:snapToGrid w:val="0"/>
              <w:jc w:val="center"/>
              <w:rPr>
                <w:rFonts w:hint="eastAsia"/>
                <w:bCs/>
                <w:spacing w:val="-10"/>
                <w:szCs w:val="21"/>
              </w:rPr>
            </w:pPr>
            <w:r>
              <w:rPr>
                <w:rFonts w:hint="eastAsia"/>
                <w:bCs/>
                <w:spacing w:val="-10"/>
                <w:szCs w:val="21"/>
              </w:rPr>
              <w:t>1564.2</w:t>
            </w:r>
          </w:p>
        </w:tc>
      </w:tr>
      <w:tr w14:paraId="25531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62" w:type="pct"/>
            <w:vAlign w:val="center"/>
          </w:tcPr>
          <w:p w14:paraId="0383D444">
            <w:pPr>
              <w:adjustRightInd w:val="0"/>
              <w:snapToGrid w:val="0"/>
              <w:jc w:val="center"/>
              <w:rPr>
                <w:rFonts w:hint="eastAsia"/>
                <w:bCs/>
                <w:spacing w:val="-10"/>
                <w:szCs w:val="21"/>
              </w:rPr>
            </w:pPr>
            <w:r>
              <w:rPr>
                <w:rFonts w:hint="eastAsia"/>
                <w:bCs/>
                <w:spacing w:val="-10"/>
                <w:szCs w:val="21"/>
              </w:rPr>
              <w:t>煤基柴油</w:t>
            </w:r>
          </w:p>
        </w:tc>
        <w:tc>
          <w:tcPr>
            <w:tcW w:w="1233" w:type="pct"/>
          </w:tcPr>
          <w:p w14:paraId="78575883">
            <w:pPr>
              <w:adjustRightInd w:val="0"/>
              <w:snapToGrid w:val="0"/>
              <w:jc w:val="center"/>
              <w:rPr>
                <w:rFonts w:hint="eastAsia"/>
                <w:bCs/>
                <w:spacing w:val="-10"/>
              </w:rPr>
            </w:pPr>
            <w:r>
              <w:rPr>
                <w:rFonts w:hint="eastAsia"/>
                <w:bCs/>
                <w:spacing w:val="-10"/>
              </w:rPr>
              <w:t>830</w:t>
            </w:r>
          </w:p>
        </w:tc>
        <w:tc>
          <w:tcPr>
            <w:tcW w:w="1233" w:type="pct"/>
            <w:vAlign w:val="center"/>
          </w:tcPr>
          <w:p w14:paraId="7372EC99">
            <w:pPr>
              <w:adjustRightInd w:val="0"/>
              <w:snapToGrid w:val="0"/>
              <w:jc w:val="center"/>
              <w:rPr>
                <w:rFonts w:hint="eastAsia"/>
                <w:bCs/>
                <w:spacing w:val="-10"/>
              </w:rPr>
            </w:pPr>
            <w:r>
              <w:rPr>
                <w:rFonts w:hint="eastAsia"/>
                <w:bCs/>
                <w:spacing w:val="-10"/>
              </w:rPr>
              <w:t>0.759</w:t>
            </w:r>
          </w:p>
        </w:tc>
        <w:tc>
          <w:tcPr>
            <w:tcW w:w="893" w:type="pct"/>
            <w:vAlign w:val="center"/>
          </w:tcPr>
          <w:p w14:paraId="1AEB96C1">
            <w:pPr>
              <w:adjustRightInd w:val="0"/>
              <w:snapToGrid w:val="0"/>
              <w:jc w:val="center"/>
              <w:rPr>
                <w:rFonts w:hint="eastAsia"/>
                <w:bCs/>
                <w:spacing w:val="-10"/>
                <w:szCs w:val="21"/>
              </w:rPr>
            </w:pPr>
            <w:r>
              <w:rPr>
                <w:bCs/>
                <w:spacing w:val="-10"/>
                <w:szCs w:val="21"/>
              </w:rPr>
              <w:t>1800</w:t>
            </w:r>
          </w:p>
        </w:tc>
        <w:tc>
          <w:tcPr>
            <w:tcW w:w="879" w:type="pct"/>
            <w:vAlign w:val="center"/>
          </w:tcPr>
          <w:p w14:paraId="5B03369D">
            <w:pPr>
              <w:adjustRightInd w:val="0"/>
              <w:snapToGrid w:val="0"/>
              <w:jc w:val="center"/>
              <w:rPr>
                <w:rFonts w:hint="eastAsia"/>
                <w:bCs/>
                <w:spacing w:val="-10"/>
                <w:szCs w:val="21"/>
              </w:rPr>
            </w:pPr>
            <w:r>
              <w:rPr>
                <w:rFonts w:hint="eastAsia"/>
                <w:bCs/>
                <w:spacing w:val="-10"/>
                <w:szCs w:val="21"/>
              </w:rPr>
              <w:t>1366.2</w:t>
            </w:r>
          </w:p>
        </w:tc>
      </w:tr>
    </w:tbl>
    <w:p w14:paraId="6B4F886E">
      <w:pPr>
        <w:pStyle w:val="72"/>
        <w:rPr>
          <w:snapToGrid w:val="0"/>
        </w:rPr>
      </w:pPr>
    </w:p>
    <w:p w14:paraId="261676FC">
      <w:pPr>
        <w:adjustRightInd w:val="0"/>
        <w:snapToGrid w:val="0"/>
        <w:spacing w:line="360" w:lineRule="auto"/>
        <w:ind w:firstLine="440" w:firstLineChars="200"/>
        <w:rPr>
          <w:rFonts w:hint="eastAsia"/>
        </w:rPr>
      </w:pPr>
      <w:r>
        <w:rPr>
          <w:bCs/>
          <w:spacing w:val="-10"/>
        </w:rPr>
        <w:t>（2）</w:t>
      </w:r>
      <w:r>
        <w:rPr>
          <w:rFonts w:hint="eastAsia"/>
          <w:bCs/>
          <w:spacing w:val="-10"/>
        </w:rPr>
        <w:t>泄露液体蒸发量</w:t>
      </w:r>
    </w:p>
    <w:p w14:paraId="271EE2F9">
      <w:pPr>
        <w:adjustRightInd w:val="0"/>
        <w:snapToGrid w:val="0"/>
        <w:spacing w:line="360" w:lineRule="auto"/>
        <w:ind w:firstLine="440" w:firstLineChars="200"/>
        <w:rPr>
          <w:rFonts w:hint="eastAsia"/>
          <w:bCs/>
          <w:spacing w:val="-10"/>
        </w:rPr>
      </w:pPr>
      <w:r>
        <w:rPr>
          <w:bCs/>
          <w:spacing w:val="-10"/>
        </w:rPr>
        <w:t>泄漏液体的蒸发分为闪蒸蒸发、热量蒸发和质量蒸发三种，其蒸发总量为这三种蒸发之和。因在常温下泄漏，通常不会发生闪蒸和热量蒸发，泄漏后在其周围形成液池，仅考虑液池内液体的质量蒸发。</w:t>
      </w:r>
    </w:p>
    <w:p w14:paraId="3CDDCC67">
      <w:pPr>
        <w:adjustRightInd w:val="0"/>
        <w:snapToGrid w:val="0"/>
        <w:spacing w:line="360" w:lineRule="auto"/>
        <w:ind w:firstLine="440" w:firstLineChars="200"/>
        <w:rPr>
          <w:rFonts w:hint="eastAsia"/>
          <w:bCs/>
          <w:spacing w:val="-10"/>
        </w:rPr>
      </w:pPr>
      <w:r>
        <w:rPr>
          <w:bCs/>
          <w:spacing w:val="-10"/>
        </w:rPr>
        <w:t>根据建设项目环境风险评价技术导则中推荐，蒸发速度Q</w:t>
      </w:r>
      <w:r>
        <w:rPr>
          <w:rFonts w:hint="eastAsia"/>
          <w:bCs/>
          <w:spacing w:val="-10"/>
        </w:rPr>
        <w:t>根据</w:t>
      </w:r>
      <w:r>
        <w:rPr>
          <w:bCs/>
          <w:spacing w:val="-10"/>
        </w:rPr>
        <w:t>下式计算：</w:t>
      </w:r>
    </w:p>
    <w:p w14:paraId="23F769E8">
      <w:pPr>
        <w:adjustRightInd w:val="0"/>
        <w:snapToGrid w:val="0"/>
        <w:ind w:firstLine="440" w:firstLineChars="200"/>
        <w:rPr>
          <w:rFonts w:hint="eastAsia"/>
          <w:bCs/>
          <w:spacing w:val="-10"/>
        </w:rPr>
      </w:pPr>
      <m:oMathPara>
        <m:oMath>
          <m:r>
            <m:rPr/>
            <w:rPr>
              <w:rFonts w:ascii="Cambria Math" w:hAnsi="Cambria Math"/>
              <w:spacing w:val="-10"/>
            </w:rPr>
            <m:t>Q=α×p×</m:t>
          </m:r>
          <m:f>
            <m:fPr>
              <m:ctrlPr>
                <w:rPr>
                  <w:rFonts w:ascii="Cambria Math" w:hAnsi="Cambria Math"/>
                  <w:bCs/>
                  <w:i/>
                  <w:spacing w:val="-10"/>
                </w:rPr>
              </m:ctrlPr>
            </m:fPr>
            <m:num>
              <m:r>
                <m:rPr/>
                <w:rPr>
                  <w:rFonts w:ascii="Cambria Math" w:hAnsi="Cambria Math"/>
                  <w:spacing w:val="-10"/>
                </w:rPr>
                <m:t>M</m:t>
              </m:r>
              <m:ctrlPr>
                <w:rPr>
                  <w:rFonts w:ascii="Cambria Math" w:hAnsi="Cambria Math"/>
                  <w:bCs/>
                  <w:i/>
                  <w:spacing w:val="-10"/>
                </w:rPr>
              </m:ctrlPr>
            </m:num>
            <m:den>
              <m:r>
                <m:rPr/>
                <w:rPr>
                  <w:rFonts w:ascii="Cambria Math" w:hAnsi="Cambria Math"/>
                  <w:spacing w:val="-10"/>
                </w:rPr>
                <m:t>R</m:t>
              </m:r>
              <m:sSub>
                <m:sSubPr>
                  <m:ctrlPr>
                    <w:rPr>
                      <w:rFonts w:ascii="Cambria Math" w:hAnsi="Cambria Math"/>
                      <w:bCs/>
                      <w:i/>
                      <w:spacing w:val="-10"/>
                    </w:rPr>
                  </m:ctrlPr>
                </m:sSubPr>
                <m:e>
                  <m:r>
                    <m:rPr/>
                    <w:rPr>
                      <w:rFonts w:ascii="Cambria Math" w:hAnsi="Cambria Math"/>
                      <w:spacing w:val="-10"/>
                    </w:rPr>
                    <m:t>T</m:t>
                  </m:r>
                  <m:ctrlPr>
                    <w:rPr>
                      <w:rFonts w:ascii="Cambria Math" w:hAnsi="Cambria Math"/>
                      <w:bCs/>
                      <w:i/>
                      <w:spacing w:val="-10"/>
                    </w:rPr>
                  </m:ctrlPr>
                </m:e>
                <m:sub>
                  <m:r>
                    <m:rPr/>
                    <w:rPr>
                      <w:rFonts w:ascii="Cambria Math" w:hAnsi="Cambria Math"/>
                      <w:spacing w:val="-10"/>
                    </w:rPr>
                    <m:t>0</m:t>
                  </m:r>
                  <m:ctrlPr>
                    <w:rPr>
                      <w:rFonts w:ascii="Cambria Math" w:hAnsi="Cambria Math"/>
                      <w:bCs/>
                      <w:i/>
                      <w:spacing w:val="-10"/>
                    </w:rPr>
                  </m:ctrlPr>
                </m:sub>
              </m:sSub>
              <m:ctrlPr>
                <w:rPr>
                  <w:rFonts w:ascii="Cambria Math" w:hAnsi="Cambria Math"/>
                  <w:bCs/>
                  <w:i/>
                  <w:spacing w:val="-10"/>
                </w:rPr>
              </m:ctrlPr>
            </m:den>
          </m:f>
          <m:sSup>
            <m:sSupPr>
              <m:ctrlPr>
                <w:rPr>
                  <w:rFonts w:ascii="Cambria Math" w:hAnsi="Cambria Math"/>
                  <w:bCs/>
                  <w:i/>
                  <w:spacing w:val="-10"/>
                </w:rPr>
              </m:ctrlPr>
            </m:sSupPr>
            <m:e>
              <m:r>
                <m:rPr/>
                <w:rPr>
                  <w:rFonts w:ascii="Cambria Math" w:hAnsi="Cambria Math"/>
                  <w:spacing w:val="-10"/>
                </w:rPr>
                <m:t>×u</m:t>
              </m:r>
              <m:ctrlPr>
                <w:rPr>
                  <w:rFonts w:ascii="Cambria Math" w:hAnsi="Cambria Math"/>
                  <w:bCs/>
                  <w:i/>
                  <w:spacing w:val="-10"/>
                </w:rPr>
              </m:ctrlPr>
            </m:e>
            <m:sup>
              <m:f>
                <m:fPr>
                  <m:ctrlPr>
                    <w:rPr>
                      <w:rFonts w:ascii="Cambria Math" w:hAnsi="Cambria Math"/>
                      <w:bCs/>
                      <w:i/>
                      <w:spacing w:val="-10"/>
                    </w:rPr>
                  </m:ctrlPr>
                </m:fPr>
                <m:num>
                  <m:r>
                    <m:rPr/>
                    <w:rPr>
                      <w:rFonts w:ascii="Cambria Math" w:hAnsi="Cambria Math"/>
                      <w:spacing w:val="-10"/>
                    </w:rPr>
                    <m:t>2−n</m:t>
                  </m:r>
                  <m:ctrlPr>
                    <w:rPr>
                      <w:rFonts w:ascii="Cambria Math" w:hAnsi="Cambria Math"/>
                      <w:bCs/>
                      <w:i/>
                      <w:spacing w:val="-10"/>
                    </w:rPr>
                  </m:ctrlPr>
                </m:num>
                <m:den>
                  <m:r>
                    <m:rPr/>
                    <w:rPr>
                      <w:rFonts w:ascii="Cambria Math" w:hAnsi="Cambria Math"/>
                      <w:spacing w:val="-10"/>
                    </w:rPr>
                    <m:t>2+n</m:t>
                  </m:r>
                  <m:ctrlPr>
                    <w:rPr>
                      <w:rFonts w:ascii="Cambria Math" w:hAnsi="Cambria Math"/>
                      <w:bCs/>
                      <w:i/>
                      <w:spacing w:val="-10"/>
                    </w:rPr>
                  </m:ctrlPr>
                </m:den>
              </m:f>
              <m:ctrlPr>
                <w:rPr>
                  <w:rFonts w:ascii="Cambria Math" w:hAnsi="Cambria Math"/>
                  <w:bCs/>
                  <w:i/>
                  <w:spacing w:val="-10"/>
                </w:rPr>
              </m:ctrlPr>
            </m:sup>
          </m:sSup>
          <m:sSup>
            <m:sSupPr>
              <m:ctrlPr>
                <w:rPr>
                  <w:rFonts w:ascii="Cambria Math" w:hAnsi="Cambria Math"/>
                  <w:bCs/>
                  <w:i/>
                  <w:spacing w:val="-10"/>
                </w:rPr>
              </m:ctrlPr>
            </m:sSupPr>
            <m:e>
              <m:r>
                <m:rPr/>
                <w:rPr>
                  <w:rFonts w:ascii="Cambria Math" w:hAnsi="Cambria Math"/>
                  <w:spacing w:val="-10"/>
                </w:rPr>
                <m:t>×r</m:t>
              </m:r>
              <m:ctrlPr>
                <w:rPr>
                  <w:rFonts w:ascii="Cambria Math" w:hAnsi="Cambria Math"/>
                  <w:bCs/>
                  <w:i/>
                  <w:spacing w:val="-10"/>
                </w:rPr>
              </m:ctrlPr>
            </m:e>
            <m:sup>
              <m:f>
                <m:fPr>
                  <m:ctrlPr>
                    <w:rPr>
                      <w:rFonts w:ascii="Cambria Math" w:hAnsi="Cambria Math"/>
                      <w:bCs/>
                      <w:i/>
                      <w:spacing w:val="-10"/>
                    </w:rPr>
                  </m:ctrlPr>
                </m:fPr>
                <m:num>
                  <m:r>
                    <m:rPr/>
                    <w:rPr>
                      <w:rFonts w:ascii="Cambria Math" w:hAnsi="Cambria Math"/>
                      <w:spacing w:val="-10"/>
                    </w:rPr>
                    <m:t>4−n</m:t>
                  </m:r>
                  <m:ctrlPr>
                    <w:rPr>
                      <w:rFonts w:ascii="Cambria Math" w:hAnsi="Cambria Math"/>
                      <w:bCs/>
                      <w:i/>
                      <w:spacing w:val="-10"/>
                    </w:rPr>
                  </m:ctrlPr>
                </m:num>
                <m:den>
                  <m:r>
                    <m:rPr/>
                    <w:rPr>
                      <w:rFonts w:ascii="Cambria Math" w:hAnsi="Cambria Math"/>
                      <w:spacing w:val="-10"/>
                    </w:rPr>
                    <m:t>2+n</m:t>
                  </m:r>
                  <m:ctrlPr>
                    <w:rPr>
                      <w:rFonts w:ascii="Cambria Math" w:hAnsi="Cambria Math"/>
                      <w:bCs/>
                      <w:i/>
                      <w:spacing w:val="-10"/>
                    </w:rPr>
                  </m:ctrlPr>
                </m:den>
              </m:f>
              <m:ctrlPr>
                <w:rPr>
                  <w:rFonts w:ascii="Cambria Math" w:hAnsi="Cambria Math"/>
                  <w:bCs/>
                  <w:i/>
                  <w:spacing w:val="-10"/>
                </w:rPr>
              </m:ctrlPr>
            </m:sup>
          </m:sSup>
        </m:oMath>
      </m:oMathPara>
    </w:p>
    <w:p w14:paraId="65A69EA1">
      <w:pPr>
        <w:adjustRightInd w:val="0"/>
        <w:snapToGrid w:val="0"/>
        <w:spacing w:line="360" w:lineRule="auto"/>
        <w:ind w:firstLine="440" w:firstLineChars="200"/>
        <w:rPr>
          <w:rFonts w:hint="eastAsia"/>
          <w:bCs/>
          <w:spacing w:val="-10"/>
        </w:rPr>
      </w:pPr>
      <w:r>
        <w:rPr>
          <w:bCs/>
          <w:spacing w:val="-10"/>
        </w:rPr>
        <w:t>式中：Q-质量蒸发速率，kg/s；</w:t>
      </w:r>
    </w:p>
    <w:p w14:paraId="44206CEA">
      <w:pPr>
        <w:adjustRightInd w:val="0"/>
        <w:snapToGrid w:val="0"/>
        <w:spacing w:line="360" w:lineRule="auto"/>
        <w:ind w:firstLine="440" w:firstLineChars="200"/>
        <w:rPr>
          <w:rFonts w:hint="eastAsia"/>
          <w:bCs/>
          <w:spacing w:val="-10"/>
        </w:rPr>
      </w:pPr>
      <w:r>
        <w:rPr>
          <w:bCs/>
          <w:spacing w:val="-10"/>
        </w:rPr>
        <w:t>p-液体表面蒸气压，Pa；</w:t>
      </w:r>
    </w:p>
    <w:p w14:paraId="2AFF3276">
      <w:pPr>
        <w:adjustRightInd w:val="0"/>
        <w:snapToGrid w:val="0"/>
        <w:spacing w:line="360" w:lineRule="auto"/>
        <w:ind w:firstLine="440" w:firstLineChars="200"/>
        <w:rPr>
          <w:rFonts w:hint="eastAsia"/>
          <w:bCs/>
          <w:spacing w:val="-10"/>
        </w:rPr>
      </w:pPr>
      <w:r>
        <w:rPr>
          <w:bCs/>
          <w:spacing w:val="-10"/>
        </w:rPr>
        <w:t>R-气体常数，J/（mol·K）；</w:t>
      </w:r>
    </w:p>
    <w:p w14:paraId="1B3FB076">
      <w:pPr>
        <w:adjustRightInd w:val="0"/>
        <w:snapToGrid w:val="0"/>
        <w:spacing w:line="360" w:lineRule="auto"/>
        <w:ind w:firstLine="440" w:firstLineChars="200"/>
        <w:rPr>
          <w:rFonts w:hint="eastAsia"/>
          <w:bCs/>
          <w:spacing w:val="-10"/>
        </w:rPr>
      </w:pPr>
      <w:r>
        <w:rPr>
          <w:bCs/>
          <w:spacing w:val="-10"/>
        </w:rPr>
        <w:t>T</w:t>
      </w:r>
      <w:r>
        <w:rPr>
          <w:bCs/>
          <w:spacing w:val="-10"/>
          <w:vertAlign w:val="subscript"/>
        </w:rPr>
        <w:t>0</w:t>
      </w:r>
      <w:r>
        <w:rPr>
          <w:bCs/>
          <w:spacing w:val="-10"/>
        </w:rPr>
        <w:t>-环境温度，K；</w:t>
      </w:r>
    </w:p>
    <w:p w14:paraId="75615F4D">
      <w:pPr>
        <w:adjustRightInd w:val="0"/>
        <w:snapToGrid w:val="0"/>
        <w:spacing w:line="360" w:lineRule="auto"/>
        <w:ind w:firstLine="440" w:firstLineChars="200"/>
        <w:rPr>
          <w:rFonts w:hint="eastAsia"/>
          <w:bCs/>
          <w:spacing w:val="-10"/>
        </w:rPr>
      </w:pPr>
      <w:r>
        <w:rPr>
          <w:bCs/>
          <w:spacing w:val="-10"/>
        </w:rPr>
        <w:t>M-物质的摩尔质量，kg/mol；</w:t>
      </w:r>
    </w:p>
    <w:p w14:paraId="33921545">
      <w:pPr>
        <w:adjustRightInd w:val="0"/>
        <w:snapToGrid w:val="0"/>
        <w:spacing w:line="360" w:lineRule="auto"/>
        <w:ind w:firstLine="440" w:firstLineChars="200"/>
        <w:rPr>
          <w:rFonts w:hint="eastAsia"/>
          <w:bCs/>
          <w:spacing w:val="-10"/>
        </w:rPr>
      </w:pPr>
      <w:r>
        <w:rPr>
          <w:bCs/>
          <w:spacing w:val="-10"/>
        </w:rPr>
        <w:t>u-风速，m/s；</w:t>
      </w:r>
    </w:p>
    <w:p w14:paraId="0646BB22">
      <w:pPr>
        <w:adjustRightInd w:val="0"/>
        <w:snapToGrid w:val="0"/>
        <w:spacing w:line="360" w:lineRule="auto"/>
        <w:ind w:firstLine="440" w:firstLineChars="200"/>
        <w:rPr>
          <w:rFonts w:hint="eastAsia"/>
          <w:bCs/>
          <w:spacing w:val="-10"/>
        </w:rPr>
      </w:pPr>
      <w:r>
        <w:rPr>
          <w:bCs/>
          <w:spacing w:val="-10"/>
        </w:rPr>
        <w:t>r-液池半径，m；</w:t>
      </w:r>
    </w:p>
    <w:p w14:paraId="6285AA44">
      <w:pPr>
        <w:adjustRightInd w:val="0"/>
        <w:snapToGrid w:val="0"/>
        <w:spacing w:line="360" w:lineRule="auto"/>
        <w:ind w:firstLine="440" w:firstLineChars="200"/>
        <w:rPr>
          <w:rFonts w:hint="eastAsia"/>
          <w:bCs/>
          <w:spacing w:val="-10"/>
        </w:rPr>
      </w:pPr>
      <w:r>
        <w:rPr>
          <w:bCs/>
          <w:spacing w:val="-10"/>
        </w:rPr>
        <w:t>α,n——大气稳定度系数，取值见下表。</w:t>
      </w:r>
    </w:p>
    <w:p w14:paraId="06BB1659">
      <w:pPr>
        <w:adjustRightInd w:val="0"/>
        <w:snapToGrid w:val="0"/>
        <w:spacing w:line="360" w:lineRule="auto"/>
        <w:ind w:firstLine="440" w:firstLineChars="200"/>
        <w:rPr>
          <w:rFonts w:hint="eastAsia"/>
          <w:bCs/>
          <w:spacing w:val="-10"/>
        </w:rPr>
      </w:pPr>
      <w:r>
        <w:rPr>
          <w:bCs/>
          <w:spacing w:val="-10"/>
        </w:rPr>
        <w:t>根据前文计算</w:t>
      </w:r>
      <w:r>
        <w:rPr>
          <w:rFonts w:hint="eastAsia"/>
          <w:bCs/>
          <w:spacing w:val="-10"/>
        </w:rPr>
        <w:t>对的</w:t>
      </w:r>
      <w:r>
        <w:rPr>
          <w:bCs/>
          <w:spacing w:val="-10"/>
        </w:rPr>
        <w:t>储罐30min 泄漏量，由</w:t>
      </w:r>
      <w:r>
        <w:rPr>
          <w:rFonts w:hint="eastAsia"/>
          <w:bCs/>
          <w:spacing w:val="-10"/>
        </w:rPr>
        <w:t>物料</w:t>
      </w:r>
      <w:r>
        <w:rPr>
          <w:bCs/>
          <w:spacing w:val="-10"/>
        </w:rPr>
        <w:t>密度折算得出泄漏量。参考《液体泄漏形成液池扩展面积的计算方法综述》（王超），粗糙地面最小泄漏物料层厚度0.025m，计算可得液池面积</w:t>
      </w:r>
      <w:r>
        <w:rPr>
          <w:rFonts w:hint="eastAsia"/>
          <w:bCs/>
          <w:spacing w:val="-10"/>
        </w:rPr>
        <w:t>和半径</w:t>
      </w:r>
      <w:r>
        <w:rPr>
          <w:bCs/>
          <w:spacing w:val="-10"/>
        </w:rPr>
        <w:t>。</w:t>
      </w:r>
    </w:p>
    <w:p w14:paraId="53AE8A0F">
      <w:pPr>
        <w:adjustRightInd w:val="0"/>
        <w:snapToGrid w:val="0"/>
        <w:jc w:val="center"/>
        <w:rPr>
          <w:rFonts w:hint="eastAsia"/>
          <w:b/>
          <w:bCs/>
          <w:spacing w:val="-10"/>
        </w:rPr>
      </w:pPr>
      <w:r>
        <w:rPr>
          <w:b/>
          <w:bCs/>
          <w:spacing w:val="-10"/>
        </w:rPr>
        <w:t>表</w:t>
      </w:r>
      <w:r>
        <w:rPr>
          <w:rFonts w:hint="eastAsia"/>
          <w:b/>
          <w:bCs/>
          <w:spacing w:val="-10"/>
        </w:rPr>
        <w:t>6</w:t>
      </w:r>
      <w:r>
        <w:rPr>
          <w:b/>
          <w:bCs/>
          <w:spacing w:val="-10"/>
        </w:rPr>
        <w:t>-</w:t>
      </w:r>
      <w:r>
        <w:rPr>
          <w:rFonts w:hint="eastAsia"/>
          <w:b/>
          <w:bCs/>
          <w:spacing w:val="-10"/>
        </w:rPr>
        <w:t>29</w:t>
      </w:r>
      <w:r>
        <w:rPr>
          <w:b/>
          <w:bCs/>
          <w:spacing w:val="-10"/>
        </w:rPr>
        <w:t xml:space="preserve">  液池蒸发模式参数</w:t>
      </w:r>
    </w:p>
    <w:tbl>
      <w:tblPr>
        <w:tblStyle w:val="17"/>
        <w:tblW w:w="41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22"/>
        <w:gridCol w:w="1970"/>
        <w:gridCol w:w="2355"/>
      </w:tblGrid>
      <w:tr w14:paraId="5B53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23" w:type="dxa"/>
          </w:tcPr>
          <w:p w14:paraId="69F33BCF">
            <w:pPr>
              <w:adjustRightInd w:val="0"/>
              <w:snapToGrid w:val="0"/>
              <w:ind w:left="865"/>
              <w:rPr>
                <w:rFonts w:hint="eastAsia"/>
                <w:spacing w:val="-10"/>
                <w:lang w:bidi="en-US"/>
              </w:rPr>
            </w:pPr>
            <w:r>
              <w:rPr>
                <w:spacing w:val="-10"/>
                <w:lang w:bidi="en-US"/>
              </w:rPr>
              <w:t>大气稳定度</w:t>
            </w:r>
          </w:p>
        </w:tc>
        <w:tc>
          <w:tcPr>
            <w:tcW w:w="1970" w:type="dxa"/>
          </w:tcPr>
          <w:p w14:paraId="334A76A7">
            <w:pPr>
              <w:adjustRightInd w:val="0"/>
              <w:snapToGrid w:val="0"/>
              <w:ind w:left="865"/>
              <w:rPr>
                <w:rFonts w:hint="eastAsia"/>
                <w:spacing w:val="-10"/>
                <w:lang w:bidi="en-US"/>
              </w:rPr>
            </w:pPr>
            <w:r>
              <w:rPr>
                <w:spacing w:val="-10"/>
                <w:lang w:bidi="en-US"/>
              </w:rPr>
              <w:t>n</w:t>
            </w:r>
          </w:p>
        </w:tc>
        <w:tc>
          <w:tcPr>
            <w:tcW w:w="2355" w:type="dxa"/>
          </w:tcPr>
          <w:p w14:paraId="4AB6A136">
            <w:pPr>
              <w:adjustRightInd w:val="0"/>
              <w:snapToGrid w:val="0"/>
              <w:ind w:left="865"/>
              <w:rPr>
                <w:rFonts w:hint="eastAsia"/>
                <w:spacing w:val="-10"/>
                <w:lang w:bidi="en-US"/>
              </w:rPr>
            </w:pPr>
            <w:r>
              <w:rPr>
                <w:spacing w:val="-10"/>
                <w:lang w:bidi="en-US"/>
              </w:rPr>
              <w:t>α</w:t>
            </w:r>
          </w:p>
        </w:tc>
      </w:tr>
      <w:tr w14:paraId="269D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23" w:type="dxa"/>
          </w:tcPr>
          <w:p w14:paraId="29685FB2">
            <w:pPr>
              <w:adjustRightInd w:val="0"/>
              <w:snapToGrid w:val="0"/>
              <w:ind w:left="865"/>
              <w:rPr>
                <w:rFonts w:hint="eastAsia"/>
                <w:spacing w:val="-10"/>
                <w:lang w:bidi="en-US"/>
              </w:rPr>
            </w:pPr>
            <w:r>
              <w:rPr>
                <w:spacing w:val="-10"/>
                <w:lang w:bidi="en-US"/>
              </w:rPr>
              <w:t>不稳定（A、B）</w:t>
            </w:r>
          </w:p>
        </w:tc>
        <w:tc>
          <w:tcPr>
            <w:tcW w:w="1970" w:type="dxa"/>
          </w:tcPr>
          <w:p w14:paraId="242C04DC">
            <w:pPr>
              <w:adjustRightInd w:val="0"/>
              <w:snapToGrid w:val="0"/>
              <w:ind w:left="865"/>
              <w:rPr>
                <w:rFonts w:hint="eastAsia"/>
                <w:spacing w:val="-10"/>
                <w:lang w:bidi="en-US"/>
              </w:rPr>
            </w:pPr>
            <w:r>
              <w:rPr>
                <w:spacing w:val="-10"/>
                <w:lang w:bidi="en-US"/>
              </w:rPr>
              <w:t>0.2</w:t>
            </w:r>
          </w:p>
        </w:tc>
        <w:tc>
          <w:tcPr>
            <w:tcW w:w="2355" w:type="dxa"/>
          </w:tcPr>
          <w:p w14:paraId="47C3338E">
            <w:pPr>
              <w:adjustRightInd w:val="0"/>
              <w:snapToGrid w:val="0"/>
              <w:ind w:left="865"/>
              <w:rPr>
                <w:rFonts w:hint="eastAsia"/>
                <w:spacing w:val="-10"/>
                <w:lang w:bidi="en-US"/>
              </w:rPr>
            </w:pPr>
            <w:r>
              <w:rPr>
                <w:spacing w:val="-10"/>
                <w:lang w:bidi="en-US"/>
              </w:rPr>
              <w:t>3.846×10</w:t>
            </w:r>
            <w:r>
              <w:rPr>
                <w:spacing w:val="-10"/>
                <w:vertAlign w:val="superscript"/>
                <w:lang w:bidi="en-US"/>
              </w:rPr>
              <w:t>-3</w:t>
            </w:r>
          </w:p>
        </w:tc>
      </w:tr>
      <w:tr w14:paraId="68D7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23" w:type="dxa"/>
          </w:tcPr>
          <w:p w14:paraId="074DC68D">
            <w:pPr>
              <w:adjustRightInd w:val="0"/>
              <w:snapToGrid w:val="0"/>
              <w:ind w:left="865"/>
              <w:rPr>
                <w:rFonts w:hint="eastAsia"/>
                <w:spacing w:val="-10"/>
                <w:lang w:bidi="en-US"/>
              </w:rPr>
            </w:pPr>
            <w:r>
              <w:rPr>
                <w:spacing w:val="-10"/>
                <w:lang w:bidi="en-US"/>
              </w:rPr>
              <w:t>中性（C）</w:t>
            </w:r>
          </w:p>
        </w:tc>
        <w:tc>
          <w:tcPr>
            <w:tcW w:w="1970" w:type="dxa"/>
          </w:tcPr>
          <w:p w14:paraId="4DC6CF23">
            <w:pPr>
              <w:adjustRightInd w:val="0"/>
              <w:snapToGrid w:val="0"/>
              <w:ind w:left="865"/>
              <w:rPr>
                <w:rFonts w:hint="eastAsia"/>
                <w:spacing w:val="-10"/>
                <w:lang w:bidi="en-US"/>
              </w:rPr>
            </w:pPr>
            <w:r>
              <w:rPr>
                <w:spacing w:val="-10"/>
                <w:lang w:bidi="en-US"/>
              </w:rPr>
              <w:t>0.25</w:t>
            </w:r>
          </w:p>
        </w:tc>
        <w:tc>
          <w:tcPr>
            <w:tcW w:w="2355" w:type="dxa"/>
          </w:tcPr>
          <w:p w14:paraId="5F05493B">
            <w:pPr>
              <w:adjustRightInd w:val="0"/>
              <w:snapToGrid w:val="0"/>
              <w:ind w:left="865"/>
              <w:rPr>
                <w:rFonts w:hint="eastAsia"/>
                <w:spacing w:val="-10"/>
                <w:lang w:bidi="en-US"/>
              </w:rPr>
            </w:pPr>
            <w:r>
              <w:rPr>
                <w:spacing w:val="-10"/>
                <w:lang w:bidi="en-US"/>
              </w:rPr>
              <w:t>4.685×10</w:t>
            </w:r>
            <w:r>
              <w:rPr>
                <w:spacing w:val="-10"/>
                <w:vertAlign w:val="superscript"/>
                <w:lang w:bidi="en-US"/>
              </w:rPr>
              <w:t>-3</w:t>
            </w:r>
          </w:p>
        </w:tc>
      </w:tr>
      <w:tr w14:paraId="5CE11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23" w:type="dxa"/>
          </w:tcPr>
          <w:p w14:paraId="242FE2C2">
            <w:pPr>
              <w:adjustRightInd w:val="0"/>
              <w:snapToGrid w:val="0"/>
              <w:ind w:left="865"/>
              <w:rPr>
                <w:rFonts w:hint="eastAsia"/>
                <w:spacing w:val="-10"/>
                <w:lang w:bidi="en-US"/>
              </w:rPr>
            </w:pPr>
            <w:r>
              <w:rPr>
                <w:spacing w:val="-10"/>
                <w:lang w:bidi="en-US"/>
              </w:rPr>
              <w:t>稳定（E、F）</w:t>
            </w:r>
          </w:p>
        </w:tc>
        <w:tc>
          <w:tcPr>
            <w:tcW w:w="1970" w:type="dxa"/>
          </w:tcPr>
          <w:p w14:paraId="5C1AEF16">
            <w:pPr>
              <w:adjustRightInd w:val="0"/>
              <w:snapToGrid w:val="0"/>
              <w:ind w:left="865"/>
              <w:rPr>
                <w:rFonts w:hint="eastAsia"/>
                <w:spacing w:val="-10"/>
                <w:lang w:bidi="en-US"/>
              </w:rPr>
            </w:pPr>
            <w:r>
              <w:rPr>
                <w:spacing w:val="-10"/>
                <w:lang w:bidi="en-US"/>
              </w:rPr>
              <w:t>0.3</w:t>
            </w:r>
          </w:p>
        </w:tc>
        <w:tc>
          <w:tcPr>
            <w:tcW w:w="2355" w:type="dxa"/>
          </w:tcPr>
          <w:p w14:paraId="10530B31">
            <w:pPr>
              <w:adjustRightInd w:val="0"/>
              <w:snapToGrid w:val="0"/>
              <w:ind w:left="865"/>
              <w:rPr>
                <w:rFonts w:hint="eastAsia"/>
                <w:spacing w:val="-10"/>
                <w:lang w:bidi="en-US"/>
              </w:rPr>
            </w:pPr>
            <w:r>
              <w:rPr>
                <w:spacing w:val="-10"/>
                <w:lang w:bidi="en-US"/>
              </w:rPr>
              <w:t>5.285×10</w:t>
            </w:r>
            <w:r>
              <w:rPr>
                <w:spacing w:val="-10"/>
                <w:vertAlign w:val="superscript"/>
                <w:lang w:bidi="en-US"/>
              </w:rPr>
              <w:t>-3</w:t>
            </w:r>
          </w:p>
        </w:tc>
      </w:tr>
    </w:tbl>
    <w:p w14:paraId="41FD8453">
      <w:pPr>
        <w:adjustRightInd w:val="0"/>
        <w:snapToGrid w:val="0"/>
        <w:jc w:val="center"/>
        <w:rPr>
          <w:rFonts w:hint="eastAsia"/>
          <w:b/>
          <w:bCs/>
          <w:spacing w:val="-10"/>
        </w:rPr>
      </w:pPr>
      <w:r>
        <w:rPr>
          <w:b/>
          <w:bCs/>
          <w:spacing w:val="-10"/>
        </w:rPr>
        <w:t>表</w:t>
      </w:r>
      <w:r>
        <w:rPr>
          <w:rFonts w:hint="eastAsia"/>
          <w:b/>
          <w:bCs/>
          <w:spacing w:val="-10"/>
        </w:rPr>
        <w:t>6</w:t>
      </w:r>
      <w:r>
        <w:rPr>
          <w:b/>
          <w:bCs/>
          <w:spacing w:val="-10"/>
        </w:rPr>
        <w:t>-</w:t>
      </w:r>
      <w:r>
        <w:rPr>
          <w:rFonts w:hint="eastAsia"/>
          <w:b/>
          <w:bCs/>
          <w:spacing w:val="-10"/>
        </w:rPr>
        <w:t>30</w:t>
      </w:r>
      <w:r>
        <w:rPr>
          <w:b/>
          <w:bCs/>
          <w:spacing w:val="-10"/>
        </w:rPr>
        <w:t xml:space="preserve">  参数取值一览表</w:t>
      </w:r>
    </w:p>
    <w:tbl>
      <w:tblPr>
        <w:tblStyle w:val="17"/>
        <w:tblW w:w="40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6"/>
        <w:gridCol w:w="2191"/>
        <w:gridCol w:w="2181"/>
      </w:tblGrid>
      <w:tr w14:paraId="7B9F4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73" w:type="dxa"/>
          </w:tcPr>
          <w:p w14:paraId="35CA4170">
            <w:pPr>
              <w:adjustRightInd w:val="0"/>
              <w:snapToGrid w:val="0"/>
              <w:ind w:left="865"/>
              <w:rPr>
                <w:rFonts w:hint="eastAsia"/>
                <w:spacing w:val="-10"/>
                <w:lang w:bidi="en-US"/>
              </w:rPr>
            </w:pPr>
            <w:r>
              <w:rPr>
                <w:spacing w:val="-10"/>
                <w:lang w:bidi="en-US"/>
              </w:rPr>
              <w:t>参数</w:t>
            </w:r>
          </w:p>
        </w:tc>
        <w:tc>
          <w:tcPr>
            <w:tcW w:w="2098" w:type="dxa"/>
          </w:tcPr>
          <w:p w14:paraId="2B3D44FF">
            <w:pPr>
              <w:adjustRightInd w:val="0"/>
              <w:snapToGrid w:val="0"/>
              <w:ind w:left="865"/>
              <w:rPr>
                <w:rFonts w:hint="eastAsia"/>
                <w:spacing w:val="-10"/>
                <w:lang w:bidi="en-US"/>
              </w:rPr>
            </w:pPr>
            <w:r>
              <w:rPr>
                <w:spacing w:val="-10"/>
                <w:lang w:bidi="en-US"/>
              </w:rPr>
              <w:t>单位</w:t>
            </w:r>
          </w:p>
        </w:tc>
        <w:tc>
          <w:tcPr>
            <w:tcW w:w="2167" w:type="dxa"/>
          </w:tcPr>
          <w:p w14:paraId="688CC646">
            <w:pPr>
              <w:adjustRightInd w:val="0"/>
              <w:snapToGrid w:val="0"/>
              <w:ind w:left="865"/>
              <w:rPr>
                <w:rFonts w:hint="eastAsia"/>
                <w:spacing w:val="-10"/>
                <w:lang w:bidi="en-US"/>
              </w:rPr>
            </w:pPr>
            <w:r>
              <w:rPr>
                <w:spacing w:val="-10"/>
                <w:lang w:bidi="en-US"/>
              </w:rPr>
              <w:t>取值</w:t>
            </w:r>
          </w:p>
        </w:tc>
      </w:tr>
      <w:tr w14:paraId="44C02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73" w:type="dxa"/>
          </w:tcPr>
          <w:p w14:paraId="2908D00A">
            <w:pPr>
              <w:adjustRightInd w:val="0"/>
              <w:snapToGrid w:val="0"/>
              <w:ind w:left="865"/>
              <w:rPr>
                <w:rFonts w:hint="eastAsia"/>
                <w:spacing w:val="-10"/>
                <w:lang w:bidi="en-US"/>
              </w:rPr>
            </w:pPr>
            <w:r>
              <w:rPr>
                <w:spacing w:val="-10"/>
                <w:lang w:bidi="en-US"/>
              </w:rPr>
              <w:t>P</w:t>
            </w:r>
          </w:p>
        </w:tc>
        <w:tc>
          <w:tcPr>
            <w:tcW w:w="2098" w:type="dxa"/>
          </w:tcPr>
          <w:p w14:paraId="5221E6EC">
            <w:pPr>
              <w:adjustRightInd w:val="0"/>
              <w:snapToGrid w:val="0"/>
              <w:ind w:left="865"/>
              <w:rPr>
                <w:rFonts w:hint="eastAsia"/>
                <w:spacing w:val="-10"/>
                <w:lang w:bidi="en-US"/>
              </w:rPr>
            </w:pPr>
            <w:r>
              <w:rPr>
                <w:spacing w:val="-10"/>
                <w:lang w:bidi="en-US"/>
              </w:rPr>
              <w:t>Pa</w:t>
            </w:r>
          </w:p>
        </w:tc>
        <w:tc>
          <w:tcPr>
            <w:tcW w:w="2167" w:type="dxa"/>
          </w:tcPr>
          <w:p w14:paraId="79A4DD06">
            <w:pPr>
              <w:adjustRightInd w:val="0"/>
              <w:snapToGrid w:val="0"/>
              <w:ind w:left="865"/>
              <w:rPr>
                <w:rFonts w:hint="eastAsia"/>
                <w:spacing w:val="-10"/>
                <w:lang w:bidi="en-US"/>
              </w:rPr>
            </w:pPr>
            <w:r>
              <w:rPr>
                <w:rFonts w:hint="eastAsia"/>
                <w:spacing w:val="-10"/>
                <w:lang w:bidi="en-US"/>
              </w:rPr>
              <w:t>31900</w:t>
            </w:r>
          </w:p>
        </w:tc>
      </w:tr>
      <w:tr w14:paraId="213C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73" w:type="dxa"/>
          </w:tcPr>
          <w:p w14:paraId="19D5AC26">
            <w:pPr>
              <w:adjustRightInd w:val="0"/>
              <w:snapToGrid w:val="0"/>
              <w:ind w:left="865"/>
              <w:rPr>
                <w:rFonts w:hint="eastAsia"/>
                <w:spacing w:val="-10"/>
                <w:lang w:bidi="en-US"/>
              </w:rPr>
            </w:pPr>
            <w:r>
              <w:rPr>
                <w:spacing w:val="-10"/>
                <w:lang w:bidi="en-US"/>
              </w:rPr>
              <w:t>R</w:t>
            </w:r>
          </w:p>
        </w:tc>
        <w:tc>
          <w:tcPr>
            <w:tcW w:w="2098" w:type="dxa"/>
          </w:tcPr>
          <w:p w14:paraId="3539DECF">
            <w:pPr>
              <w:adjustRightInd w:val="0"/>
              <w:snapToGrid w:val="0"/>
              <w:ind w:left="865"/>
              <w:rPr>
                <w:rFonts w:hint="eastAsia"/>
                <w:spacing w:val="-10"/>
                <w:lang w:bidi="en-US"/>
              </w:rPr>
            </w:pPr>
            <w:r>
              <w:rPr>
                <w:spacing w:val="-10"/>
                <w:lang w:bidi="en-US"/>
              </w:rPr>
              <w:t>J/（mol·K）</w:t>
            </w:r>
          </w:p>
        </w:tc>
        <w:tc>
          <w:tcPr>
            <w:tcW w:w="2167" w:type="dxa"/>
          </w:tcPr>
          <w:p w14:paraId="08257D19">
            <w:pPr>
              <w:adjustRightInd w:val="0"/>
              <w:snapToGrid w:val="0"/>
              <w:ind w:left="865"/>
              <w:rPr>
                <w:rFonts w:hint="eastAsia"/>
                <w:spacing w:val="-10"/>
                <w:lang w:bidi="en-US"/>
              </w:rPr>
            </w:pPr>
            <w:r>
              <w:rPr>
                <w:spacing w:val="-10"/>
                <w:lang w:bidi="en-US"/>
              </w:rPr>
              <w:t>8.314</w:t>
            </w:r>
          </w:p>
        </w:tc>
      </w:tr>
      <w:tr w14:paraId="723F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73" w:type="dxa"/>
          </w:tcPr>
          <w:p w14:paraId="39D08B51">
            <w:pPr>
              <w:adjustRightInd w:val="0"/>
              <w:snapToGrid w:val="0"/>
              <w:ind w:left="865"/>
              <w:rPr>
                <w:rFonts w:hint="eastAsia"/>
                <w:spacing w:val="-10"/>
                <w:lang w:bidi="en-US"/>
              </w:rPr>
            </w:pPr>
            <w:r>
              <w:rPr>
                <w:spacing w:val="-10"/>
                <w:lang w:bidi="en-US"/>
              </w:rPr>
              <w:t>T</w:t>
            </w:r>
            <w:r>
              <w:rPr>
                <w:spacing w:val="-10"/>
                <w:vertAlign w:val="subscript"/>
                <w:lang w:bidi="en-US"/>
              </w:rPr>
              <w:t>0</w:t>
            </w:r>
          </w:p>
        </w:tc>
        <w:tc>
          <w:tcPr>
            <w:tcW w:w="2098" w:type="dxa"/>
          </w:tcPr>
          <w:p w14:paraId="107D6F4E">
            <w:pPr>
              <w:adjustRightInd w:val="0"/>
              <w:snapToGrid w:val="0"/>
              <w:ind w:left="865"/>
              <w:rPr>
                <w:rFonts w:hint="eastAsia"/>
                <w:spacing w:val="-10"/>
                <w:lang w:bidi="en-US"/>
              </w:rPr>
            </w:pPr>
            <w:r>
              <w:rPr>
                <w:spacing w:val="-10"/>
                <w:lang w:bidi="en-US"/>
              </w:rPr>
              <w:t>K</w:t>
            </w:r>
          </w:p>
        </w:tc>
        <w:tc>
          <w:tcPr>
            <w:tcW w:w="2167" w:type="dxa"/>
          </w:tcPr>
          <w:p w14:paraId="3723C4C0">
            <w:pPr>
              <w:adjustRightInd w:val="0"/>
              <w:snapToGrid w:val="0"/>
              <w:ind w:left="865"/>
              <w:rPr>
                <w:rFonts w:hint="eastAsia"/>
                <w:spacing w:val="-10"/>
                <w:lang w:bidi="en-US"/>
              </w:rPr>
            </w:pPr>
            <w:r>
              <w:rPr>
                <w:spacing w:val="-10"/>
                <w:lang w:bidi="en-US"/>
              </w:rPr>
              <w:t>2</w:t>
            </w:r>
            <w:r>
              <w:rPr>
                <w:rFonts w:hint="eastAsia"/>
                <w:spacing w:val="-10"/>
                <w:lang w:bidi="en-US"/>
              </w:rPr>
              <w:t>98</w:t>
            </w:r>
          </w:p>
        </w:tc>
      </w:tr>
      <w:tr w14:paraId="3D9FF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73" w:type="dxa"/>
          </w:tcPr>
          <w:p w14:paraId="132F95DA">
            <w:pPr>
              <w:adjustRightInd w:val="0"/>
              <w:snapToGrid w:val="0"/>
              <w:ind w:left="865"/>
              <w:rPr>
                <w:rFonts w:hint="eastAsia"/>
                <w:spacing w:val="-10"/>
                <w:lang w:bidi="en-US"/>
              </w:rPr>
            </w:pPr>
            <w:r>
              <w:rPr>
                <w:spacing w:val="-10"/>
                <w:lang w:bidi="en-US"/>
              </w:rPr>
              <w:t>U</w:t>
            </w:r>
          </w:p>
        </w:tc>
        <w:tc>
          <w:tcPr>
            <w:tcW w:w="2098" w:type="dxa"/>
          </w:tcPr>
          <w:p w14:paraId="23949374">
            <w:pPr>
              <w:adjustRightInd w:val="0"/>
              <w:snapToGrid w:val="0"/>
              <w:ind w:left="865"/>
              <w:rPr>
                <w:rFonts w:hint="eastAsia"/>
                <w:spacing w:val="-10"/>
                <w:lang w:bidi="en-US"/>
              </w:rPr>
            </w:pPr>
            <w:r>
              <w:rPr>
                <w:spacing w:val="-10"/>
                <w:lang w:bidi="en-US"/>
              </w:rPr>
              <w:t>m/s</w:t>
            </w:r>
          </w:p>
        </w:tc>
        <w:tc>
          <w:tcPr>
            <w:tcW w:w="2167" w:type="dxa"/>
          </w:tcPr>
          <w:p w14:paraId="15E99904">
            <w:pPr>
              <w:adjustRightInd w:val="0"/>
              <w:snapToGrid w:val="0"/>
              <w:ind w:left="865"/>
              <w:rPr>
                <w:rFonts w:hint="eastAsia"/>
                <w:spacing w:val="-10"/>
                <w:lang w:bidi="en-US"/>
              </w:rPr>
            </w:pPr>
            <w:r>
              <w:rPr>
                <w:spacing w:val="-10"/>
                <w:lang w:bidi="en-US"/>
              </w:rPr>
              <w:t>1.5</w:t>
            </w:r>
          </w:p>
        </w:tc>
      </w:tr>
      <w:tr w14:paraId="1ED16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73" w:type="dxa"/>
          </w:tcPr>
          <w:p w14:paraId="3D48CF7E">
            <w:pPr>
              <w:adjustRightInd w:val="0"/>
              <w:snapToGrid w:val="0"/>
              <w:ind w:left="865"/>
              <w:rPr>
                <w:rFonts w:hint="eastAsia"/>
                <w:spacing w:val="-10"/>
                <w:lang w:bidi="en-US"/>
              </w:rPr>
            </w:pPr>
            <w:r>
              <w:rPr>
                <w:spacing w:val="-10"/>
                <w:lang w:bidi="en-US"/>
              </w:rPr>
              <w:t>r</w:t>
            </w:r>
          </w:p>
        </w:tc>
        <w:tc>
          <w:tcPr>
            <w:tcW w:w="2098" w:type="dxa"/>
          </w:tcPr>
          <w:p w14:paraId="2D4CD789">
            <w:pPr>
              <w:adjustRightInd w:val="0"/>
              <w:snapToGrid w:val="0"/>
              <w:ind w:left="865"/>
              <w:rPr>
                <w:rFonts w:hint="eastAsia"/>
                <w:spacing w:val="-10"/>
                <w:lang w:bidi="en-US"/>
              </w:rPr>
            </w:pPr>
            <w:r>
              <w:rPr>
                <w:spacing w:val="-10"/>
                <w:lang w:bidi="en-US"/>
              </w:rPr>
              <w:t>m</w:t>
            </w:r>
          </w:p>
        </w:tc>
        <w:tc>
          <w:tcPr>
            <w:tcW w:w="2167" w:type="dxa"/>
          </w:tcPr>
          <w:p w14:paraId="77F57689">
            <w:pPr>
              <w:adjustRightInd w:val="0"/>
              <w:snapToGrid w:val="0"/>
              <w:ind w:left="865"/>
              <w:rPr>
                <w:rFonts w:hint="eastAsia"/>
                <w:spacing w:val="-10"/>
                <w:lang w:bidi="en-US"/>
              </w:rPr>
            </w:pPr>
            <w:r>
              <w:rPr>
                <w:rFonts w:hint="eastAsia"/>
                <w:spacing w:val="-10"/>
                <w:lang w:bidi="en-US"/>
              </w:rPr>
              <w:t>2.8</w:t>
            </w:r>
          </w:p>
        </w:tc>
      </w:tr>
      <w:tr w14:paraId="1C1C0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73" w:type="dxa"/>
          </w:tcPr>
          <w:p w14:paraId="62AF0E4A">
            <w:pPr>
              <w:adjustRightInd w:val="0"/>
              <w:snapToGrid w:val="0"/>
              <w:ind w:left="865"/>
              <w:rPr>
                <w:rFonts w:hint="eastAsia"/>
                <w:spacing w:val="-10"/>
                <w:lang w:bidi="en-US"/>
              </w:rPr>
            </w:pPr>
            <w:r>
              <w:rPr>
                <w:rFonts w:hint="eastAsia"/>
                <w:spacing w:val="-10"/>
                <w:lang w:bidi="en-US"/>
              </w:rPr>
              <w:t>n</w:t>
            </w:r>
          </w:p>
        </w:tc>
        <w:tc>
          <w:tcPr>
            <w:tcW w:w="2098" w:type="dxa"/>
          </w:tcPr>
          <w:p w14:paraId="70C40A17">
            <w:pPr>
              <w:adjustRightInd w:val="0"/>
              <w:snapToGrid w:val="0"/>
              <w:ind w:left="865"/>
              <w:rPr>
                <w:rFonts w:hint="eastAsia"/>
                <w:spacing w:val="-10"/>
                <w:lang w:bidi="en-US"/>
              </w:rPr>
            </w:pPr>
            <w:r>
              <w:rPr>
                <w:rFonts w:hint="eastAsia"/>
                <w:spacing w:val="-10"/>
                <w:lang w:bidi="en-US"/>
              </w:rPr>
              <w:t>/</w:t>
            </w:r>
          </w:p>
        </w:tc>
        <w:tc>
          <w:tcPr>
            <w:tcW w:w="2167" w:type="dxa"/>
          </w:tcPr>
          <w:p w14:paraId="2BC41310">
            <w:pPr>
              <w:adjustRightInd w:val="0"/>
              <w:snapToGrid w:val="0"/>
              <w:ind w:left="865"/>
              <w:rPr>
                <w:rFonts w:hint="eastAsia"/>
                <w:spacing w:val="-10"/>
                <w:lang w:bidi="en-US"/>
              </w:rPr>
            </w:pPr>
            <w:r>
              <w:rPr>
                <w:rFonts w:hint="eastAsia"/>
                <w:spacing w:val="-10"/>
                <w:lang w:bidi="en-US"/>
              </w:rPr>
              <w:t>0.3</w:t>
            </w:r>
          </w:p>
        </w:tc>
      </w:tr>
      <w:tr w14:paraId="07D47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73" w:type="dxa"/>
          </w:tcPr>
          <w:p w14:paraId="7A29DE35">
            <w:pPr>
              <w:adjustRightInd w:val="0"/>
              <w:snapToGrid w:val="0"/>
              <w:ind w:left="865"/>
              <w:rPr>
                <w:rFonts w:hint="eastAsia"/>
                <w:spacing w:val="-10"/>
                <w:lang w:bidi="en-US"/>
              </w:rPr>
            </w:pPr>
            <w:r>
              <w:rPr>
                <w:bCs/>
                <w:spacing w:val="-10"/>
              </w:rPr>
              <w:t>α</w:t>
            </w:r>
          </w:p>
        </w:tc>
        <w:tc>
          <w:tcPr>
            <w:tcW w:w="2098" w:type="dxa"/>
          </w:tcPr>
          <w:p w14:paraId="333E803B">
            <w:pPr>
              <w:adjustRightInd w:val="0"/>
              <w:snapToGrid w:val="0"/>
              <w:ind w:left="865"/>
              <w:rPr>
                <w:rFonts w:hint="eastAsia"/>
                <w:spacing w:val="-10"/>
                <w:lang w:bidi="en-US"/>
              </w:rPr>
            </w:pPr>
            <w:r>
              <w:rPr>
                <w:rFonts w:hint="eastAsia"/>
                <w:spacing w:val="-10"/>
                <w:lang w:bidi="en-US"/>
              </w:rPr>
              <w:t>/</w:t>
            </w:r>
          </w:p>
        </w:tc>
        <w:tc>
          <w:tcPr>
            <w:tcW w:w="2167" w:type="dxa"/>
          </w:tcPr>
          <w:p w14:paraId="7FCA1D57">
            <w:pPr>
              <w:adjustRightInd w:val="0"/>
              <w:snapToGrid w:val="0"/>
              <w:ind w:left="865"/>
              <w:rPr>
                <w:rFonts w:hint="eastAsia"/>
                <w:spacing w:val="-10"/>
                <w:lang w:bidi="en-US"/>
              </w:rPr>
            </w:pPr>
            <w:r>
              <w:rPr>
                <w:spacing w:val="-10"/>
                <w:lang w:bidi="en-US"/>
              </w:rPr>
              <w:t>5.285×10</w:t>
            </w:r>
            <w:r>
              <w:rPr>
                <w:spacing w:val="-10"/>
                <w:vertAlign w:val="superscript"/>
                <w:lang w:bidi="en-US"/>
              </w:rPr>
              <w:t>-3</w:t>
            </w:r>
          </w:p>
        </w:tc>
      </w:tr>
    </w:tbl>
    <w:p w14:paraId="7E05E3EA">
      <w:pPr>
        <w:adjustRightInd w:val="0"/>
        <w:snapToGrid w:val="0"/>
        <w:ind w:firstLine="440" w:firstLineChars="200"/>
        <w:rPr>
          <w:rFonts w:hint="eastAsia"/>
          <w:bCs/>
          <w:spacing w:val="-10"/>
        </w:rPr>
      </w:pPr>
    </w:p>
    <w:p w14:paraId="43058C08">
      <w:pPr>
        <w:adjustRightInd w:val="0"/>
        <w:snapToGrid w:val="0"/>
        <w:jc w:val="center"/>
        <w:rPr>
          <w:rFonts w:hint="eastAsia"/>
          <w:bCs/>
          <w:spacing w:val="-10"/>
        </w:rPr>
      </w:pPr>
      <w:r>
        <w:rPr>
          <w:rFonts w:hint="eastAsia"/>
          <w:b/>
          <w:bCs/>
          <w:spacing w:val="-10"/>
        </w:rPr>
        <w:t>表6-31  罐区物料蒸发量</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0"/>
        <w:gridCol w:w="1228"/>
        <w:gridCol w:w="1784"/>
        <w:gridCol w:w="1179"/>
        <w:gridCol w:w="1470"/>
        <w:gridCol w:w="1107"/>
        <w:gridCol w:w="1156"/>
      </w:tblGrid>
      <w:tr w14:paraId="56A11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5ED786B">
            <w:pPr>
              <w:adjustRightInd w:val="0"/>
              <w:snapToGrid w:val="0"/>
              <w:jc w:val="center"/>
              <w:rPr>
                <w:rFonts w:hint="eastAsia"/>
                <w:b/>
                <w:bCs/>
              </w:rPr>
            </w:pPr>
            <w:r>
              <w:rPr>
                <w:b/>
                <w:bCs/>
              </w:rPr>
              <w:t>危险物质</w:t>
            </w:r>
          </w:p>
        </w:tc>
        <w:tc>
          <w:tcPr>
            <w:tcW w:w="0" w:type="auto"/>
          </w:tcPr>
          <w:p w14:paraId="02315B78">
            <w:pPr>
              <w:adjustRightInd w:val="0"/>
              <w:snapToGrid w:val="0"/>
              <w:jc w:val="center"/>
              <w:rPr>
                <w:rFonts w:hint="eastAsia"/>
                <w:b/>
                <w:bCs/>
              </w:rPr>
            </w:pPr>
            <w:r>
              <w:rPr>
                <w:b/>
                <w:bCs/>
              </w:rPr>
              <w:t>蒸气压 p（Pa）</w:t>
            </w:r>
          </w:p>
        </w:tc>
        <w:tc>
          <w:tcPr>
            <w:tcW w:w="0" w:type="auto"/>
          </w:tcPr>
          <w:p w14:paraId="3A8EBFB8">
            <w:pPr>
              <w:adjustRightInd w:val="0"/>
              <w:snapToGrid w:val="0"/>
              <w:jc w:val="center"/>
              <w:rPr>
                <w:rFonts w:hint="eastAsia"/>
                <w:b/>
                <w:bCs/>
              </w:rPr>
            </w:pPr>
            <w:r>
              <w:rPr>
                <w:b/>
                <w:bCs/>
              </w:rPr>
              <w:t>摩尔质量 M（kg/mol）</w:t>
            </w:r>
          </w:p>
        </w:tc>
        <w:tc>
          <w:tcPr>
            <w:tcW w:w="0" w:type="auto"/>
          </w:tcPr>
          <w:p w14:paraId="115DC75F">
            <w:pPr>
              <w:adjustRightInd w:val="0"/>
              <w:snapToGrid w:val="0"/>
              <w:jc w:val="center"/>
              <w:rPr>
                <w:rFonts w:hint="eastAsia"/>
                <w:b/>
                <w:bCs/>
              </w:rPr>
            </w:pPr>
            <w:r>
              <w:rPr>
                <w:b/>
                <w:bCs/>
              </w:rPr>
              <w:t>液池半径 r（m）</w:t>
            </w:r>
          </w:p>
        </w:tc>
        <w:tc>
          <w:tcPr>
            <w:tcW w:w="0" w:type="auto"/>
          </w:tcPr>
          <w:p w14:paraId="55B6439A">
            <w:pPr>
              <w:adjustRightInd w:val="0"/>
              <w:snapToGrid w:val="0"/>
              <w:jc w:val="center"/>
              <w:rPr>
                <w:rFonts w:hint="eastAsia"/>
                <w:b/>
                <w:bCs/>
              </w:rPr>
            </w:pPr>
            <w:r>
              <w:rPr>
                <w:b/>
                <w:bCs/>
              </w:rPr>
              <w:t>蒸发速率（kg/s）</w:t>
            </w:r>
          </w:p>
        </w:tc>
        <w:tc>
          <w:tcPr>
            <w:tcW w:w="0" w:type="auto"/>
          </w:tcPr>
          <w:p w14:paraId="4C4C5EB6">
            <w:pPr>
              <w:adjustRightInd w:val="0"/>
              <w:snapToGrid w:val="0"/>
              <w:jc w:val="center"/>
              <w:rPr>
                <w:rFonts w:hint="eastAsia"/>
                <w:b/>
                <w:bCs/>
              </w:rPr>
            </w:pPr>
            <w:r>
              <w:rPr>
                <w:b/>
                <w:bCs/>
              </w:rPr>
              <w:t>蒸发时间（s）</w:t>
            </w:r>
          </w:p>
        </w:tc>
        <w:tc>
          <w:tcPr>
            <w:tcW w:w="0" w:type="auto"/>
          </w:tcPr>
          <w:p w14:paraId="28DA37F2">
            <w:pPr>
              <w:adjustRightInd w:val="0"/>
              <w:snapToGrid w:val="0"/>
              <w:jc w:val="center"/>
              <w:rPr>
                <w:rFonts w:hint="eastAsia"/>
                <w:b/>
                <w:bCs/>
              </w:rPr>
            </w:pPr>
            <w:r>
              <w:rPr>
                <w:b/>
                <w:bCs/>
              </w:rPr>
              <w:t>蒸发量（kg）</w:t>
            </w:r>
          </w:p>
        </w:tc>
      </w:tr>
      <w:tr w14:paraId="575AD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C3701AE">
            <w:pPr>
              <w:adjustRightInd w:val="0"/>
              <w:snapToGrid w:val="0"/>
              <w:jc w:val="center"/>
              <w:rPr>
                <w:rFonts w:hint="eastAsia"/>
              </w:rPr>
            </w:pPr>
            <w:r>
              <w:t>MTBE</w:t>
            </w:r>
          </w:p>
        </w:tc>
        <w:tc>
          <w:tcPr>
            <w:tcW w:w="0" w:type="auto"/>
          </w:tcPr>
          <w:p w14:paraId="65486B77">
            <w:pPr>
              <w:adjustRightInd w:val="0"/>
              <w:snapToGrid w:val="0"/>
              <w:jc w:val="center"/>
              <w:rPr>
                <w:rFonts w:hint="eastAsia"/>
              </w:rPr>
            </w:pPr>
            <w:r>
              <w:t>31900</w:t>
            </w:r>
          </w:p>
        </w:tc>
        <w:tc>
          <w:tcPr>
            <w:tcW w:w="0" w:type="auto"/>
          </w:tcPr>
          <w:p w14:paraId="264FACCB">
            <w:pPr>
              <w:adjustRightInd w:val="0"/>
              <w:snapToGrid w:val="0"/>
              <w:jc w:val="center"/>
              <w:rPr>
                <w:rFonts w:hint="eastAsia"/>
              </w:rPr>
            </w:pPr>
            <w:r>
              <w:t>0.088</w:t>
            </w:r>
          </w:p>
        </w:tc>
        <w:tc>
          <w:tcPr>
            <w:tcW w:w="0" w:type="auto"/>
          </w:tcPr>
          <w:p w14:paraId="59A4A530">
            <w:pPr>
              <w:adjustRightInd w:val="0"/>
              <w:snapToGrid w:val="0"/>
              <w:jc w:val="center"/>
              <w:rPr>
                <w:rFonts w:hint="eastAsia"/>
              </w:rPr>
            </w:pPr>
            <w:r>
              <w:rPr>
                <w:rFonts w:hint="eastAsia"/>
              </w:rPr>
              <w:t>4.58</w:t>
            </w:r>
          </w:p>
        </w:tc>
        <w:tc>
          <w:tcPr>
            <w:tcW w:w="0" w:type="auto"/>
          </w:tcPr>
          <w:p w14:paraId="1C61FA2E">
            <w:pPr>
              <w:adjustRightInd w:val="0"/>
              <w:snapToGrid w:val="0"/>
              <w:jc w:val="center"/>
              <w:rPr>
                <w:rFonts w:hint="eastAsia"/>
              </w:rPr>
            </w:pPr>
            <w:r>
              <w:rPr>
                <w:rFonts w:hint="eastAsia"/>
              </w:rPr>
              <w:t>0.0935</w:t>
            </w:r>
          </w:p>
        </w:tc>
        <w:tc>
          <w:tcPr>
            <w:tcW w:w="0" w:type="auto"/>
          </w:tcPr>
          <w:p w14:paraId="75C78515">
            <w:pPr>
              <w:adjustRightInd w:val="0"/>
              <w:snapToGrid w:val="0"/>
              <w:jc w:val="center"/>
              <w:rPr>
                <w:rFonts w:hint="eastAsia"/>
              </w:rPr>
            </w:pPr>
            <w:r>
              <w:t>1800</w:t>
            </w:r>
          </w:p>
        </w:tc>
        <w:tc>
          <w:tcPr>
            <w:tcW w:w="0" w:type="auto"/>
          </w:tcPr>
          <w:p w14:paraId="024976AF">
            <w:pPr>
              <w:adjustRightInd w:val="0"/>
              <w:snapToGrid w:val="0"/>
              <w:jc w:val="center"/>
              <w:rPr>
                <w:rFonts w:hint="eastAsia"/>
              </w:rPr>
            </w:pPr>
            <w:r>
              <w:rPr>
                <w:rFonts w:hint="eastAsia"/>
              </w:rPr>
              <w:t>168.3</w:t>
            </w:r>
          </w:p>
        </w:tc>
      </w:tr>
      <w:tr w14:paraId="6B40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39F2734">
            <w:pPr>
              <w:adjustRightInd w:val="0"/>
              <w:snapToGrid w:val="0"/>
              <w:jc w:val="center"/>
              <w:rPr>
                <w:rFonts w:hint="eastAsia"/>
              </w:rPr>
            </w:pPr>
            <w:r>
              <w:t>汽油</w:t>
            </w:r>
          </w:p>
        </w:tc>
        <w:tc>
          <w:tcPr>
            <w:tcW w:w="0" w:type="auto"/>
          </w:tcPr>
          <w:p w14:paraId="1BAFD640">
            <w:pPr>
              <w:adjustRightInd w:val="0"/>
              <w:snapToGrid w:val="0"/>
              <w:jc w:val="center"/>
              <w:rPr>
                <w:rFonts w:hint="eastAsia"/>
              </w:rPr>
            </w:pPr>
            <w:r>
              <w:t>40000</w:t>
            </w:r>
          </w:p>
        </w:tc>
        <w:tc>
          <w:tcPr>
            <w:tcW w:w="0" w:type="auto"/>
          </w:tcPr>
          <w:p w14:paraId="43BB1F5B">
            <w:pPr>
              <w:adjustRightInd w:val="0"/>
              <w:snapToGrid w:val="0"/>
              <w:jc w:val="center"/>
              <w:rPr>
                <w:rFonts w:hint="eastAsia"/>
              </w:rPr>
            </w:pPr>
            <w:r>
              <w:t>0.095</w:t>
            </w:r>
          </w:p>
        </w:tc>
        <w:tc>
          <w:tcPr>
            <w:tcW w:w="0" w:type="auto"/>
          </w:tcPr>
          <w:p w14:paraId="7CAEB22F">
            <w:pPr>
              <w:adjustRightInd w:val="0"/>
              <w:snapToGrid w:val="0"/>
              <w:jc w:val="center"/>
              <w:rPr>
                <w:rFonts w:hint="eastAsia"/>
              </w:rPr>
            </w:pPr>
            <w:r>
              <w:rPr>
                <w:rFonts w:hint="eastAsia"/>
              </w:rPr>
              <w:t>4.58</w:t>
            </w:r>
          </w:p>
        </w:tc>
        <w:tc>
          <w:tcPr>
            <w:tcW w:w="0" w:type="auto"/>
          </w:tcPr>
          <w:p w14:paraId="54F6A3E4">
            <w:pPr>
              <w:adjustRightInd w:val="0"/>
              <w:snapToGrid w:val="0"/>
              <w:jc w:val="center"/>
              <w:rPr>
                <w:rFonts w:hint="eastAsia"/>
              </w:rPr>
            </w:pPr>
            <w:r>
              <w:rPr>
                <w:rFonts w:hint="eastAsia"/>
              </w:rPr>
              <w:t>0.1256</w:t>
            </w:r>
          </w:p>
        </w:tc>
        <w:tc>
          <w:tcPr>
            <w:tcW w:w="0" w:type="auto"/>
          </w:tcPr>
          <w:p w14:paraId="14FA548C">
            <w:pPr>
              <w:adjustRightInd w:val="0"/>
              <w:snapToGrid w:val="0"/>
              <w:jc w:val="center"/>
              <w:rPr>
                <w:rFonts w:hint="eastAsia"/>
              </w:rPr>
            </w:pPr>
            <w:r>
              <w:t>1800</w:t>
            </w:r>
          </w:p>
        </w:tc>
        <w:tc>
          <w:tcPr>
            <w:tcW w:w="0" w:type="auto"/>
          </w:tcPr>
          <w:p w14:paraId="628A35DB">
            <w:pPr>
              <w:adjustRightInd w:val="0"/>
              <w:snapToGrid w:val="0"/>
              <w:jc w:val="center"/>
              <w:rPr>
                <w:rFonts w:hint="eastAsia"/>
              </w:rPr>
            </w:pPr>
            <w:r>
              <w:rPr>
                <w:rFonts w:hint="eastAsia"/>
              </w:rPr>
              <w:t>226.1</w:t>
            </w:r>
          </w:p>
        </w:tc>
      </w:tr>
      <w:tr w14:paraId="7F088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6970142">
            <w:pPr>
              <w:adjustRightInd w:val="0"/>
              <w:snapToGrid w:val="0"/>
              <w:jc w:val="center"/>
              <w:rPr>
                <w:rFonts w:hint="eastAsia"/>
              </w:rPr>
            </w:pPr>
            <w:r>
              <w:t>柴油</w:t>
            </w:r>
          </w:p>
        </w:tc>
        <w:tc>
          <w:tcPr>
            <w:tcW w:w="0" w:type="auto"/>
          </w:tcPr>
          <w:p w14:paraId="5A1820CF">
            <w:pPr>
              <w:adjustRightInd w:val="0"/>
              <w:snapToGrid w:val="0"/>
              <w:jc w:val="center"/>
              <w:rPr>
                <w:rFonts w:hint="eastAsia"/>
              </w:rPr>
            </w:pPr>
            <w:r>
              <w:t>100</w:t>
            </w:r>
          </w:p>
        </w:tc>
        <w:tc>
          <w:tcPr>
            <w:tcW w:w="0" w:type="auto"/>
          </w:tcPr>
          <w:p w14:paraId="6AAF8B40">
            <w:pPr>
              <w:adjustRightInd w:val="0"/>
              <w:snapToGrid w:val="0"/>
              <w:jc w:val="center"/>
              <w:rPr>
                <w:rFonts w:hint="eastAsia"/>
              </w:rPr>
            </w:pPr>
            <w:r>
              <w:t>0.200</w:t>
            </w:r>
          </w:p>
        </w:tc>
        <w:tc>
          <w:tcPr>
            <w:tcW w:w="0" w:type="auto"/>
          </w:tcPr>
          <w:p w14:paraId="6B7DFF39">
            <w:pPr>
              <w:adjustRightInd w:val="0"/>
              <w:snapToGrid w:val="0"/>
              <w:jc w:val="center"/>
              <w:rPr>
                <w:rFonts w:hint="eastAsia"/>
              </w:rPr>
            </w:pPr>
            <w:r>
              <w:rPr>
                <w:rFonts w:hint="eastAsia"/>
              </w:rPr>
              <w:t>4.58</w:t>
            </w:r>
          </w:p>
        </w:tc>
        <w:tc>
          <w:tcPr>
            <w:tcW w:w="0" w:type="auto"/>
          </w:tcPr>
          <w:p w14:paraId="5BB519E7">
            <w:pPr>
              <w:adjustRightInd w:val="0"/>
              <w:snapToGrid w:val="0"/>
              <w:jc w:val="center"/>
              <w:rPr>
                <w:rFonts w:hint="eastAsia"/>
              </w:rPr>
            </w:pPr>
            <w:r>
              <w:rPr>
                <w:rFonts w:hint="eastAsia"/>
              </w:rPr>
              <w:t>0.00132</w:t>
            </w:r>
          </w:p>
        </w:tc>
        <w:tc>
          <w:tcPr>
            <w:tcW w:w="0" w:type="auto"/>
          </w:tcPr>
          <w:p w14:paraId="4DAF97D9">
            <w:pPr>
              <w:adjustRightInd w:val="0"/>
              <w:snapToGrid w:val="0"/>
              <w:jc w:val="center"/>
              <w:rPr>
                <w:rFonts w:hint="eastAsia"/>
              </w:rPr>
            </w:pPr>
            <w:r>
              <w:t>1800</w:t>
            </w:r>
          </w:p>
        </w:tc>
        <w:tc>
          <w:tcPr>
            <w:tcW w:w="0" w:type="auto"/>
          </w:tcPr>
          <w:p w14:paraId="64612D02">
            <w:pPr>
              <w:adjustRightInd w:val="0"/>
              <w:snapToGrid w:val="0"/>
              <w:jc w:val="center"/>
              <w:rPr>
                <w:rFonts w:hint="eastAsia"/>
              </w:rPr>
            </w:pPr>
            <w:r>
              <w:rPr>
                <w:rFonts w:hint="eastAsia"/>
              </w:rPr>
              <w:t>2.38</w:t>
            </w:r>
          </w:p>
        </w:tc>
      </w:tr>
      <w:tr w14:paraId="4A6BF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496E967">
            <w:pPr>
              <w:adjustRightInd w:val="0"/>
              <w:snapToGrid w:val="0"/>
              <w:jc w:val="center"/>
              <w:rPr>
                <w:rFonts w:hint="eastAsia"/>
              </w:rPr>
            </w:pPr>
            <w:r>
              <w:t>异辛烷</w:t>
            </w:r>
          </w:p>
        </w:tc>
        <w:tc>
          <w:tcPr>
            <w:tcW w:w="0" w:type="auto"/>
          </w:tcPr>
          <w:p w14:paraId="2C84C9B2">
            <w:pPr>
              <w:adjustRightInd w:val="0"/>
              <w:snapToGrid w:val="0"/>
              <w:jc w:val="center"/>
              <w:rPr>
                <w:rFonts w:hint="eastAsia"/>
              </w:rPr>
            </w:pPr>
            <w:r>
              <w:t>11000</w:t>
            </w:r>
          </w:p>
        </w:tc>
        <w:tc>
          <w:tcPr>
            <w:tcW w:w="0" w:type="auto"/>
          </w:tcPr>
          <w:p w14:paraId="7D3A6AC2">
            <w:pPr>
              <w:adjustRightInd w:val="0"/>
              <w:snapToGrid w:val="0"/>
              <w:jc w:val="center"/>
              <w:rPr>
                <w:rFonts w:hint="eastAsia"/>
              </w:rPr>
            </w:pPr>
            <w:r>
              <w:t>0.114</w:t>
            </w:r>
          </w:p>
        </w:tc>
        <w:tc>
          <w:tcPr>
            <w:tcW w:w="0" w:type="auto"/>
          </w:tcPr>
          <w:p w14:paraId="451E7E0D">
            <w:pPr>
              <w:adjustRightInd w:val="0"/>
              <w:snapToGrid w:val="0"/>
              <w:jc w:val="center"/>
              <w:rPr>
                <w:rFonts w:hint="eastAsia"/>
              </w:rPr>
            </w:pPr>
            <w:r>
              <w:rPr>
                <w:rFonts w:hint="eastAsia"/>
              </w:rPr>
              <w:t>4.58</w:t>
            </w:r>
          </w:p>
        </w:tc>
        <w:tc>
          <w:tcPr>
            <w:tcW w:w="0" w:type="auto"/>
          </w:tcPr>
          <w:p w14:paraId="3DD69004">
            <w:pPr>
              <w:adjustRightInd w:val="0"/>
              <w:snapToGrid w:val="0"/>
              <w:jc w:val="center"/>
              <w:rPr>
                <w:rFonts w:hint="eastAsia"/>
              </w:rPr>
            </w:pPr>
            <w:r>
              <w:rPr>
                <w:rFonts w:hint="eastAsia"/>
              </w:rPr>
              <w:t>0.0415</w:t>
            </w:r>
          </w:p>
        </w:tc>
        <w:tc>
          <w:tcPr>
            <w:tcW w:w="0" w:type="auto"/>
          </w:tcPr>
          <w:p w14:paraId="6B5FB461">
            <w:pPr>
              <w:adjustRightInd w:val="0"/>
              <w:snapToGrid w:val="0"/>
              <w:jc w:val="center"/>
              <w:rPr>
                <w:rFonts w:hint="eastAsia"/>
              </w:rPr>
            </w:pPr>
            <w:r>
              <w:t>1800</w:t>
            </w:r>
          </w:p>
        </w:tc>
        <w:tc>
          <w:tcPr>
            <w:tcW w:w="0" w:type="auto"/>
          </w:tcPr>
          <w:p w14:paraId="5197DFA7">
            <w:pPr>
              <w:adjustRightInd w:val="0"/>
              <w:snapToGrid w:val="0"/>
              <w:jc w:val="center"/>
              <w:rPr>
                <w:rFonts w:hint="eastAsia"/>
              </w:rPr>
            </w:pPr>
            <w:r>
              <w:rPr>
                <w:rFonts w:hint="eastAsia"/>
              </w:rPr>
              <w:t>74.7</w:t>
            </w:r>
          </w:p>
        </w:tc>
      </w:tr>
      <w:tr w14:paraId="7E45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A202B96">
            <w:pPr>
              <w:adjustRightInd w:val="0"/>
              <w:snapToGrid w:val="0"/>
              <w:jc w:val="center"/>
              <w:rPr>
                <w:rFonts w:hint="eastAsia"/>
              </w:rPr>
            </w:pPr>
            <w:r>
              <w:t>混合芳烃</w:t>
            </w:r>
          </w:p>
        </w:tc>
        <w:tc>
          <w:tcPr>
            <w:tcW w:w="0" w:type="auto"/>
          </w:tcPr>
          <w:p w14:paraId="2F34EB64">
            <w:pPr>
              <w:adjustRightInd w:val="0"/>
              <w:snapToGrid w:val="0"/>
              <w:jc w:val="center"/>
              <w:rPr>
                <w:rFonts w:hint="eastAsia"/>
              </w:rPr>
            </w:pPr>
            <w:r>
              <w:t>3000</w:t>
            </w:r>
          </w:p>
        </w:tc>
        <w:tc>
          <w:tcPr>
            <w:tcW w:w="0" w:type="auto"/>
          </w:tcPr>
          <w:p w14:paraId="1C372343">
            <w:pPr>
              <w:adjustRightInd w:val="0"/>
              <w:snapToGrid w:val="0"/>
              <w:jc w:val="center"/>
              <w:rPr>
                <w:rFonts w:hint="eastAsia"/>
              </w:rPr>
            </w:pPr>
            <w:r>
              <w:t>0.105</w:t>
            </w:r>
          </w:p>
        </w:tc>
        <w:tc>
          <w:tcPr>
            <w:tcW w:w="0" w:type="auto"/>
          </w:tcPr>
          <w:p w14:paraId="0A508335">
            <w:pPr>
              <w:adjustRightInd w:val="0"/>
              <w:snapToGrid w:val="0"/>
              <w:jc w:val="center"/>
              <w:rPr>
                <w:rFonts w:hint="eastAsia"/>
              </w:rPr>
            </w:pPr>
            <w:r>
              <w:rPr>
                <w:rFonts w:hint="eastAsia"/>
              </w:rPr>
              <w:t>4.58</w:t>
            </w:r>
          </w:p>
        </w:tc>
        <w:tc>
          <w:tcPr>
            <w:tcW w:w="0" w:type="auto"/>
          </w:tcPr>
          <w:p w14:paraId="4DC62EC4">
            <w:pPr>
              <w:adjustRightInd w:val="0"/>
              <w:snapToGrid w:val="0"/>
              <w:jc w:val="center"/>
              <w:rPr>
                <w:rFonts w:hint="eastAsia"/>
              </w:rPr>
            </w:pPr>
            <w:r>
              <w:rPr>
                <w:rFonts w:hint="eastAsia"/>
              </w:rPr>
              <w:t>0.0104</w:t>
            </w:r>
          </w:p>
        </w:tc>
        <w:tc>
          <w:tcPr>
            <w:tcW w:w="0" w:type="auto"/>
          </w:tcPr>
          <w:p w14:paraId="46FCFCFB">
            <w:pPr>
              <w:adjustRightInd w:val="0"/>
              <w:snapToGrid w:val="0"/>
              <w:jc w:val="center"/>
              <w:rPr>
                <w:rFonts w:hint="eastAsia"/>
              </w:rPr>
            </w:pPr>
            <w:r>
              <w:t>1800</w:t>
            </w:r>
          </w:p>
        </w:tc>
        <w:tc>
          <w:tcPr>
            <w:tcW w:w="0" w:type="auto"/>
          </w:tcPr>
          <w:p w14:paraId="7281F29C">
            <w:pPr>
              <w:adjustRightInd w:val="0"/>
              <w:snapToGrid w:val="0"/>
              <w:jc w:val="center"/>
              <w:rPr>
                <w:rFonts w:hint="eastAsia"/>
              </w:rPr>
            </w:pPr>
            <w:r>
              <w:rPr>
                <w:rFonts w:hint="eastAsia"/>
              </w:rPr>
              <w:t>18.7</w:t>
            </w:r>
          </w:p>
        </w:tc>
      </w:tr>
      <w:tr w14:paraId="1E43D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361C49B">
            <w:pPr>
              <w:adjustRightInd w:val="0"/>
              <w:snapToGrid w:val="0"/>
              <w:jc w:val="center"/>
              <w:rPr>
                <w:rFonts w:hint="eastAsia"/>
              </w:rPr>
            </w:pPr>
            <w:r>
              <w:t>轻质石脑油</w:t>
            </w:r>
          </w:p>
        </w:tc>
        <w:tc>
          <w:tcPr>
            <w:tcW w:w="0" w:type="auto"/>
          </w:tcPr>
          <w:p w14:paraId="18C03E43">
            <w:pPr>
              <w:adjustRightInd w:val="0"/>
              <w:snapToGrid w:val="0"/>
              <w:jc w:val="center"/>
              <w:rPr>
                <w:rFonts w:hint="eastAsia"/>
              </w:rPr>
            </w:pPr>
            <w:r>
              <w:t>30000</w:t>
            </w:r>
          </w:p>
        </w:tc>
        <w:tc>
          <w:tcPr>
            <w:tcW w:w="0" w:type="auto"/>
          </w:tcPr>
          <w:p w14:paraId="22213C8D">
            <w:pPr>
              <w:adjustRightInd w:val="0"/>
              <w:snapToGrid w:val="0"/>
              <w:jc w:val="center"/>
              <w:rPr>
                <w:rFonts w:hint="eastAsia"/>
              </w:rPr>
            </w:pPr>
            <w:r>
              <w:t>0.085</w:t>
            </w:r>
          </w:p>
        </w:tc>
        <w:tc>
          <w:tcPr>
            <w:tcW w:w="0" w:type="auto"/>
          </w:tcPr>
          <w:p w14:paraId="701CA724">
            <w:pPr>
              <w:adjustRightInd w:val="0"/>
              <w:snapToGrid w:val="0"/>
              <w:jc w:val="center"/>
              <w:rPr>
                <w:rFonts w:hint="eastAsia"/>
              </w:rPr>
            </w:pPr>
            <w:r>
              <w:rPr>
                <w:rFonts w:hint="eastAsia"/>
              </w:rPr>
              <w:t>4.58</w:t>
            </w:r>
          </w:p>
        </w:tc>
        <w:tc>
          <w:tcPr>
            <w:tcW w:w="0" w:type="auto"/>
          </w:tcPr>
          <w:p w14:paraId="1644F994">
            <w:pPr>
              <w:adjustRightInd w:val="0"/>
              <w:snapToGrid w:val="0"/>
              <w:jc w:val="center"/>
              <w:rPr>
                <w:rFonts w:hint="eastAsia"/>
              </w:rPr>
            </w:pPr>
            <w:r>
              <w:rPr>
                <w:rFonts w:hint="eastAsia"/>
              </w:rPr>
              <w:t>0.0844</w:t>
            </w:r>
          </w:p>
        </w:tc>
        <w:tc>
          <w:tcPr>
            <w:tcW w:w="0" w:type="auto"/>
          </w:tcPr>
          <w:p w14:paraId="6F277303">
            <w:pPr>
              <w:adjustRightInd w:val="0"/>
              <w:snapToGrid w:val="0"/>
              <w:jc w:val="center"/>
              <w:rPr>
                <w:rFonts w:hint="eastAsia"/>
              </w:rPr>
            </w:pPr>
            <w:r>
              <w:t>1800</w:t>
            </w:r>
          </w:p>
        </w:tc>
        <w:tc>
          <w:tcPr>
            <w:tcW w:w="0" w:type="auto"/>
          </w:tcPr>
          <w:p w14:paraId="57742888">
            <w:pPr>
              <w:adjustRightInd w:val="0"/>
              <w:snapToGrid w:val="0"/>
              <w:jc w:val="center"/>
              <w:rPr>
                <w:rFonts w:hint="eastAsia"/>
              </w:rPr>
            </w:pPr>
            <w:r>
              <w:rPr>
                <w:rFonts w:hint="eastAsia"/>
              </w:rPr>
              <w:t>151.9</w:t>
            </w:r>
          </w:p>
        </w:tc>
      </w:tr>
      <w:tr w14:paraId="4F31D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CEA686B">
            <w:pPr>
              <w:adjustRightInd w:val="0"/>
              <w:snapToGrid w:val="0"/>
              <w:jc w:val="center"/>
              <w:rPr>
                <w:rFonts w:hint="eastAsia"/>
              </w:rPr>
            </w:pPr>
            <w:r>
              <w:t>燃料油</w:t>
            </w:r>
          </w:p>
        </w:tc>
        <w:tc>
          <w:tcPr>
            <w:tcW w:w="0" w:type="auto"/>
          </w:tcPr>
          <w:p w14:paraId="37B48ACB">
            <w:pPr>
              <w:adjustRightInd w:val="0"/>
              <w:snapToGrid w:val="0"/>
              <w:jc w:val="center"/>
              <w:rPr>
                <w:rFonts w:hint="eastAsia"/>
              </w:rPr>
            </w:pPr>
            <w:r>
              <w:t>20</w:t>
            </w:r>
          </w:p>
        </w:tc>
        <w:tc>
          <w:tcPr>
            <w:tcW w:w="0" w:type="auto"/>
          </w:tcPr>
          <w:p w14:paraId="243D50E2">
            <w:pPr>
              <w:adjustRightInd w:val="0"/>
              <w:snapToGrid w:val="0"/>
              <w:jc w:val="center"/>
              <w:rPr>
                <w:rFonts w:hint="eastAsia"/>
              </w:rPr>
            </w:pPr>
            <w:r>
              <w:t>0.350</w:t>
            </w:r>
          </w:p>
        </w:tc>
        <w:tc>
          <w:tcPr>
            <w:tcW w:w="0" w:type="auto"/>
          </w:tcPr>
          <w:p w14:paraId="5F54BE59">
            <w:pPr>
              <w:adjustRightInd w:val="0"/>
              <w:snapToGrid w:val="0"/>
              <w:jc w:val="center"/>
              <w:rPr>
                <w:rFonts w:hint="eastAsia"/>
              </w:rPr>
            </w:pPr>
            <w:r>
              <w:rPr>
                <w:rFonts w:hint="eastAsia"/>
              </w:rPr>
              <w:t>4.58</w:t>
            </w:r>
          </w:p>
        </w:tc>
        <w:tc>
          <w:tcPr>
            <w:tcW w:w="0" w:type="auto"/>
          </w:tcPr>
          <w:p w14:paraId="51174AC7">
            <w:pPr>
              <w:adjustRightInd w:val="0"/>
              <w:snapToGrid w:val="0"/>
              <w:jc w:val="center"/>
              <w:rPr>
                <w:rFonts w:hint="eastAsia"/>
              </w:rPr>
            </w:pPr>
            <w:r>
              <w:rPr>
                <w:rFonts w:hint="eastAsia"/>
              </w:rPr>
              <w:t>0.000232</w:t>
            </w:r>
          </w:p>
        </w:tc>
        <w:tc>
          <w:tcPr>
            <w:tcW w:w="0" w:type="auto"/>
          </w:tcPr>
          <w:p w14:paraId="059C8418">
            <w:pPr>
              <w:adjustRightInd w:val="0"/>
              <w:snapToGrid w:val="0"/>
              <w:jc w:val="center"/>
              <w:rPr>
                <w:rFonts w:hint="eastAsia"/>
              </w:rPr>
            </w:pPr>
            <w:r>
              <w:t>1800</w:t>
            </w:r>
          </w:p>
        </w:tc>
        <w:tc>
          <w:tcPr>
            <w:tcW w:w="0" w:type="auto"/>
          </w:tcPr>
          <w:p w14:paraId="6084515A">
            <w:pPr>
              <w:adjustRightInd w:val="0"/>
              <w:snapToGrid w:val="0"/>
              <w:jc w:val="center"/>
              <w:rPr>
                <w:rFonts w:hint="eastAsia"/>
              </w:rPr>
            </w:pPr>
            <w:r>
              <w:rPr>
                <w:rFonts w:hint="eastAsia"/>
              </w:rPr>
              <w:t>0.418</w:t>
            </w:r>
          </w:p>
        </w:tc>
      </w:tr>
      <w:tr w14:paraId="4EA01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55A9718">
            <w:pPr>
              <w:adjustRightInd w:val="0"/>
              <w:snapToGrid w:val="0"/>
              <w:jc w:val="center"/>
              <w:rPr>
                <w:rFonts w:hint="eastAsia"/>
              </w:rPr>
            </w:pPr>
            <w:r>
              <w:t>煤基柴油</w:t>
            </w:r>
          </w:p>
        </w:tc>
        <w:tc>
          <w:tcPr>
            <w:tcW w:w="0" w:type="auto"/>
          </w:tcPr>
          <w:p w14:paraId="3F634B03">
            <w:pPr>
              <w:adjustRightInd w:val="0"/>
              <w:snapToGrid w:val="0"/>
              <w:jc w:val="center"/>
              <w:rPr>
                <w:rFonts w:hint="eastAsia"/>
              </w:rPr>
            </w:pPr>
            <w:r>
              <w:t>100</w:t>
            </w:r>
          </w:p>
        </w:tc>
        <w:tc>
          <w:tcPr>
            <w:tcW w:w="0" w:type="auto"/>
          </w:tcPr>
          <w:p w14:paraId="5F417D04">
            <w:pPr>
              <w:adjustRightInd w:val="0"/>
              <w:snapToGrid w:val="0"/>
              <w:jc w:val="center"/>
              <w:rPr>
                <w:rFonts w:hint="eastAsia"/>
              </w:rPr>
            </w:pPr>
            <w:r>
              <w:t>0.200</w:t>
            </w:r>
          </w:p>
        </w:tc>
        <w:tc>
          <w:tcPr>
            <w:tcW w:w="0" w:type="auto"/>
          </w:tcPr>
          <w:p w14:paraId="6E65F4DE">
            <w:pPr>
              <w:adjustRightInd w:val="0"/>
              <w:snapToGrid w:val="0"/>
              <w:jc w:val="center"/>
              <w:rPr>
                <w:rFonts w:hint="eastAsia"/>
              </w:rPr>
            </w:pPr>
            <w:r>
              <w:rPr>
                <w:rFonts w:hint="eastAsia"/>
              </w:rPr>
              <w:t>4.58</w:t>
            </w:r>
          </w:p>
        </w:tc>
        <w:tc>
          <w:tcPr>
            <w:tcW w:w="0" w:type="auto"/>
          </w:tcPr>
          <w:p w14:paraId="586FD07F">
            <w:pPr>
              <w:adjustRightInd w:val="0"/>
              <w:snapToGrid w:val="0"/>
              <w:jc w:val="center"/>
              <w:rPr>
                <w:rFonts w:hint="eastAsia"/>
              </w:rPr>
            </w:pPr>
            <w:r>
              <w:rPr>
                <w:rFonts w:hint="eastAsia"/>
              </w:rPr>
              <w:t>0.00132</w:t>
            </w:r>
          </w:p>
        </w:tc>
        <w:tc>
          <w:tcPr>
            <w:tcW w:w="0" w:type="auto"/>
          </w:tcPr>
          <w:p w14:paraId="549E8F0C">
            <w:pPr>
              <w:adjustRightInd w:val="0"/>
              <w:snapToGrid w:val="0"/>
              <w:jc w:val="center"/>
              <w:rPr>
                <w:rFonts w:hint="eastAsia"/>
              </w:rPr>
            </w:pPr>
            <w:r>
              <w:t>1800</w:t>
            </w:r>
          </w:p>
        </w:tc>
        <w:tc>
          <w:tcPr>
            <w:tcW w:w="0" w:type="auto"/>
          </w:tcPr>
          <w:p w14:paraId="61E2A350">
            <w:pPr>
              <w:adjustRightInd w:val="0"/>
              <w:snapToGrid w:val="0"/>
              <w:jc w:val="center"/>
              <w:rPr>
                <w:rFonts w:hint="eastAsia"/>
              </w:rPr>
            </w:pPr>
            <w:r>
              <w:rPr>
                <w:rFonts w:hint="eastAsia"/>
              </w:rPr>
              <w:t>2.38</w:t>
            </w:r>
          </w:p>
        </w:tc>
      </w:tr>
    </w:tbl>
    <w:p w14:paraId="6DB4FB20">
      <w:pPr>
        <w:adjustRightInd w:val="0"/>
        <w:snapToGrid w:val="0"/>
        <w:ind w:firstLine="480" w:firstLineChars="200"/>
        <w:rPr>
          <w:rFonts w:hint="eastAsia"/>
        </w:rPr>
      </w:pPr>
    </w:p>
    <w:p w14:paraId="6531E3C9">
      <w:pPr>
        <w:adjustRightInd w:val="0"/>
        <w:snapToGrid w:val="0"/>
        <w:spacing w:line="360" w:lineRule="auto"/>
        <w:rPr>
          <w:rFonts w:hint="eastAsia"/>
          <w:bCs/>
          <w:spacing w:val="-10"/>
        </w:rPr>
      </w:pPr>
      <w:r>
        <w:rPr>
          <w:rFonts w:hint="eastAsia"/>
          <w:b/>
          <w:spacing w:val="-10"/>
        </w:rPr>
        <w:t>8.2</w:t>
      </w:r>
      <w:r>
        <w:rPr>
          <w:b/>
          <w:spacing w:val="-10"/>
        </w:rPr>
        <w:t>火灾爆炸伴生CO源强计算</w:t>
      </w:r>
    </w:p>
    <w:p w14:paraId="45FC91BA">
      <w:pPr>
        <w:adjustRightInd w:val="0"/>
        <w:snapToGrid w:val="0"/>
        <w:spacing w:line="360" w:lineRule="auto"/>
        <w:ind w:firstLine="440" w:firstLineChars="200"/>
        <w:rPr>
          <w:rFonts w:hint="eastAsia"/>
          <w:bCs/>
          <w:spacing w:val="-10"/>
        </w:rPr>
      </w:pPr>
      <w:r>
        <w:rPr>
          <w:bCs/>
          <w:spacing w:val="-10"/>
        </w:rPr>
        <w:t>当</w:t>
      </w:r>
      <w:r>
        <w:rPr>
          <w:rFonts w:hint="eastAsia"/>
          <w:bCs/>
          <w:spacing w:val="-10"/>
        </w:rPr>
        <w:t>物料</w:t>
      </w:r>
      <w:r>
        <w:rPr>
          <w:bCs/>
          <w:spacing w:val="-10"/>
        </w:rPr>
        <w:t>泄漏过程中遇明火燃烧发生火灾时，不完全燃烧情况下会生成一氧化碳。本项目储罐泄漏量计算</w:t>
      </w:r>
      <w:r>
        <w:rPr>
          <w:rFonts w:hint="eastAsia"/>
          <w:bCs/>
          <w:spacing w:val="-10"/>
        </w:rPr>
        <w:t>如表6-27所示</w:t>
      </w:r>
      <w:r>
        <w:rPr>
          <w:bCs/>
          <w:spacing w:val="-10"/>
        </w:rPr>
        <w:t>，火灾燃烧持续时间按180min计</w:t>
      </w:r>
      <w:r>
        <w:rPr>
          <w:rFonts w:hint="eastAsia"/>
          <w:bCs/>
          <w:spacing w:val="-10"/>
        </w:rPr>
        <w:t>。</w:t>
      </w:r>
      <w:r>
        <w:rPr>
          <w:bCs/>
          <w:spacing w:val="-10"/>
        </w:rPr>
        <w:t>火灾发生时，一氧化碳产生量根据《建设项目环境风险评价技术导则》（HJ169-2018）中火灾伴生/次生中一氧化碳产生量的计算公式：</w:t>
      </w:r>
    </w:p>
    <w:p w14:paraId="056F6224">
      <w:pPr>
        <w:adjustRightInd w:val="0"/>
        <w:snapToGrid w:val="0"/>
        <w:ind w:firstLine="200"/>
        <w:jc w:val="center"/>
        <w:rPr>
          <w:rFonts w:hint="eastAsia"/>
          <w:bCs/>
          <w:spacing w:val="-10"/>
        </w:rPr>
      </w:pPr>
      <w:r>
        <w:rPr>
          <w:bCs/>
          <w:spacing w:val="-10"/>
        </w:rPr>
        <w:t>G</w:t>
      </w:r>
      <w:r>
        <w:rPr>
          <w:bCs/>
          <w:spacing w:val="-10"/>
          <w:vertAlign w:val="subscript"/>
        </w:rPr>
        <w:t>一氧化碳</w:t>
      </w:r>
      <w:r>
        <w:rPr>
          <w:bCs/>
          <w:spacing w:val="-10"/>
        </w:rPr>
        <w:t>=233</w:t>
      </w:r>
      <w:r>
        <w:rPr>
          <w:rFonts w:hint="eastAsia"/>
          <w:bCs/>
          <w:spacing w:val="-10"/>
        </w:rPr>
        <w:t>0</w:t>
      </w:r>
      <w:r>
        <w:rPr>
          <w:bCs/>
          <w:spacing w:val="-10"/>
        </w:rPr>
        <w:t>×q×C×Q</w:t>
      </w:r>
    </w:p>
    <w:p w14:paraId="1D14C331">
      <w:pPr>
        <w:adjustRightInd w:val="0"/>
        <w:snapToGrid w:val="0"/>
        <w:ind w:firstLine="440" w:firstLineChars="200"/>
        <w:rPr>
          <w:rFonts w:hint="eastAsia"/>
          <w:bCs/>
          <w:spacing w:val="-10"/>
        </w:rPr>
      </w:pPr>
      <w:r>
        <w:rPr>
          <w:bCs/>
          <w:spacing w:val="-10"/>
        </w:rPr>
        <w:t>式中：</w:t>
      </w:r>
    </w:p>
    <w:p w14:paraId="4090E68C">
      <w:pPr>
        <w:adjustRightInd w:val="0"/>
        <w:snapToGrid w:val="0"/>
        <w:ind w:firstLine="440" w:firstLineChars="200"/>
        <w:rPr>
          <w:rFonts w:hint="eastAsia"/>
          <w:bCs/>
          <w:spacing w:val="-10"/>
        </w:rPr>
      </w:pPr>
      <w:r>
        <w:rPr>
          <w:bCs/>
          <w:spacing w:val="-10"/>
        </w:rPr>
        <w:t>G一氧化碳--一氧化碳的产生量，kg/s；</w:t>
      </w:r>
    </w:p>
    <w:p w14:paraId="11E96819">
      <w:pPr>
        <w:adjustRightInd w:val="0"/>
        <w:snapToGrid w:val="0"/>
        <w:ind w:firstLine="440" w:firstLineChars="200"/>
        <w:rPr>
          <w:rFonts w:hint="eastAsia"/>
          <w:bCs/>
          <w:spacing w:val="-10"/>
        </w:rPr>
      </w:pPr>
      <w:r>
        <w:rPr>
          <w:bCs/>
          <w:spacing w:val="-10"/>
        </w:rPr>
        <w:t>q--化学不完全燃烧值，取1.5%~6%，本评价取</w:t>
      </w:r>
      <w:r>
        <w:rPr>
          <w:rFonts w:hint="eastAsia"/>
          <w:bCs/>
          <w:spacing w:val="-10"/>
        </w:rPr>
        <w:t>6</w:t>
      </w:r>
      <w:r>
        <w:rPr>
          <w:bCs/>
          <w:spacing w:val="-10"/>
        </w:rPr>
        <w:t>%。</w:t>
      </w:r>
    </w:p>
    <w:p w14:paraId="424B3563">
      <w:pPr>
        <w:adjustRightInd w:val="0"/>
        <w:snapToGrid w:val="0"/>
        <w:ind w:firstLine="440" w:firstLineChars="200"/>
        <w:rPr>
          <w:rFonts w:hint="eastAsia"/>
          <w:bCs/>
          <w:spacing w:val="-10"/>
        </w:rPr>
      </w:pPr>
      <w:r>
        <w:rPr>
          <w:bCs/>
          <w:spacing w:val="-10"/>
        </w:rPr>
        <w:t>C--物质中碳的含量，取</w:t>
      </w:r>
      <w:r>
        <w:rPr>
          <w:rFonts w:hint="eastAsia"/>
          <w:bCs/>
          <w:spacing w:val="-10"/>
        </w:rPr>
        <w:t>68</w:t>
      </w:r>
      <w:r>
        <w:rPr>
          <w:bCs/>
          <w:spacing w:val="-10"/>
        </w:rPr>
        <w:t>%；</w:t>
      </w:r>
    </w:p>
    <w:p w14:paraId="5A4BFA8B">
      <w:pPr>
        <w:adjustRightInd w:val="0"/>
        <w:snapToGrid w:val="0"/>
        <w:ind w:firstLine="440" w:firstLineChars="200"/>
        <w:rPr>
          <w:rFonts w:hint="eastAsia"/>
          <w:bCs/>
          <w:spacing w:val="-10"/>
        </w:rPr>
      </w:pPr>
      <w:r>
        <w:rPr>
          <w:bCs/>
          <w:spacing w:val="-10"/>
        </w:rPr>
        <w:t>Q--参与燃烧的物质量，</w:t>
      </w:r>
      <w:r>
        <w:rPr>
          <w:rFonts w:hint="eastAsia"/>
          <w:bCs/>
          <w:spacing w:val="-10"/>
        </w:rPr>
        <w:t>t</w:t>
      </w:r>
      <w:r>
        <w:rPr>
          <w:bCs/>
          <w:spacing w:val="-10"/>
        </w:rPr>
        <w:t>/s；</w:t>
      </w:r>
    </w:p>
    <w:p w14:paraId="2FD78FB2">
      <w:pPr>
        <w:adjustRightInd w:val="0"/>
        <w:snapToGrid w:val="0"/>
        <w:ind w:firstLine="440" w:firstLineChars="200"/>
        <w:rPr>
          <w:rFonts w:hint="eastAsia"/>
          <w:bCs/>
          <w:spacing w:val="-10"/>
        </w:rPr>
      </w:pPr>
      <w:r>
        <w:rPr>
          <w:bCs/>
          <w:spacing w:val="-10"/>
        </w:rPr>
        <w:t>经计算，</w:t>
      </w:r>
      <w:r>
        <w:rPr>
          <w:rFonts w:hint="eastAsia"/>
          <w:bCs/>
          <w:spacing w:val="-10"/>
        </w:rPr>
        <w:t>罐区</w:t>
      </w:r>
      <w:r>
        <w:rPr>
          <w:bCs/>
          <w:spacing w:val="-10"/>
        </w:rPr>
        <w:t>泄漏并发生火灾产生CO的速率</w:t>
      </w:r>
      <w:r>
        <w:rPr>
          <w:rFonts w:hint="eastAsia"/>
          <w:bCs/>
          <w:spacing w:val="-10"/>
        </w:rPr>
        <w:t>如下表</w:t>
      </w:r>
      <w:r>
        <w:rPr>
          <w:bCs/>
          <w:spacing w:val="-10"/>
        </w:rPr>
        <w:t>。</w:t>
      </w:r>
    </w:p>
    <w:p w14:paraId="5697E224">
      <w:pPr>
        <w:adjustRightInd w:val="0"/>
        <w:snapToGrid w:val="0"/>
        <w:ind w:firstLine="440" w:firstLineChars="200"/>
        <w:rPr>
          <w:rFonts w:hint="eastAsia"/>
          <w:bCs/>
          <w:spacing w:val="-10"/>
        </w:rPr>
      </w:pPr>
    </w:p>
    <w:p w14:paraId="4076AE5B">
      <w:pPr>
        <w:adjustRightInd w:val="0"/>
        <w:snapToGrid w:val="0"/>
        <w:jc w:val="center"/>
        <w:rPr>
          <w:rFonts w:hint="eastAsia"/>
          <w:bCs/>
          <w:spacing w:val="-10"/>
        </w:rPr>
      </w:pPr>
      <w:r>
        <w:rPr>
          <w:rFonts w:hint="eastAsia"/>
          <w:b/>
          <w:bCs/>
          <w:spacing w:val="-10"/>
        </w:rPr>
        <w:t>表6-32  罐区物料</w:t>
      </w:r>
      <w:r>
        <w:rPr>
          <w:b/>
          <w:bCs/>
          <w:spacing w:val="-10"/>
        </w:rPr>
        <w:t>CO</w:t>
      </w:r>
      <w:r>
        <w:rPr>
          <w:rFonts w:hint="eastAsia"/>
          <w:b/>
          <w:bCs/>
          <w:spacing w:val="-10"/>
        </w:rPr>
        <w:t>产生</w:t>
      </w:r>
      <w:r>
        <w:rPr>
          <w:b/>
          <w:bCs/>
          <w:spacing w:val="-10"/>
        </w:rPr>
        <w:t>速率</w:t>
      </w:r>
    </w:p>
    <w:tbl>
      <w:tblPr>
        <w:tblStyle w:val="16"/>
        <w:tblW w:w="376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47"/>
        <w:gridCol w:w="2178"/>
        <w:gridCol w:w="1577"/>
        <w:gridCol w:w="1554"/>
      </w:tblGrid>
      <w:tr w14:paraId="3A7E0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2" w:type="pct"/>
            <w:vAlign w:val="center"/>
          </w:tcPr>
          <w:p w14:paraId="456C7ED2">
            <w:pPr>
              <w:adjustRightInd w:val="0"/>
              <w:snapToGrid w:val="0"/>
              <w:jc w:val="center"/>
              <w:rPr>
                <w:rFonts w:hint="eastAsia"/>
                <w:bCs/>
                <w:spacing w:val="-10"/>
                <w:szCs w:val="21"/>
              </w:rPr>
            </w:pPr>
            <w:r>
              <w:rPr>
                <w:bCs/>
                <w:spacing w:val="-10"/>
                <w:szCs w:val="21"/>
              </w:rPr>
              <w:t>危险物质</w:t>
            </w:r>
          </w:p>
        </w:tc>
        <w:tc>
          <w:tcPr>
            <w:tcW w:w="1636" w:type="pct"/>
            <w:vAlign w:val="center"/>
          </w:tcPr>
          <w:p w14:paraId="36ED46CF">
            <w:pPr>
              <w:adjustRightInd w:val="0"/>
              <w:snapToGrid w:val="0"/>
              <w:jc w:val="center"/>
              <w:rPr>
                <w:rFonts w:hint="eastAsia"/>
                <w:bCs/>
                <w:spacing w:val="-10"/>
                <w:szCs w:val="21"/>
              </w:rPr>
            </w:pPr>
            <w:r>
              <w:rPr>
                <w:bCs/>
                <w:spacing w:val="-10"/>
                <w:szCs w:val="21"/>
              </w:rPr>
              <w:t>泄漏量（</w:t>
            </w:r>
            <w:r>
              <w:rPr>
                <w:rFonts w:hint="eastAsia"/>
                <w:bCs/>
                <w:spacing w:val="-10"/>
                <w:szCs w:val="21"/>
              </w:rPr>
              <w:t>kg</w:t>
            </w:r>
            <w:r>
              <w:rPr>
                <w:bCs/>
                <w:spacing w:val="-10"/>
                <w:szCs w:val="21"/>
              </w:rPr>
              <w:t>）</w:t>
            </w:r>
          </w:p>
        </w:tc>
        <w:tc>
          <w:tcPr>
            <w:tcW w:w="1185" w:type="pct"/>
            <w:vAlign w:val="center"/>
          </w:tcPr>
          <w:p w14:paraId="297421B2">
            <w:pPr>
              <w:adjustRightInd w:val="0"/>
              <w:snapToGrid w:val="0"/>
              <w:jc w:val="center"/>
              <w:rPr>
                <w:rFonts w:hint="eastAsia"/>
                <w:bCs/>
                <w:spacing w:val="-10"/>
                <w:szCs w:val="21"/>
              </w:rPr>
            </w:pPr>
            <w:r>
              <w:rPr>
                <w:bCs/>
                <w:spacing w:val="-10"/>
                <w:szCs w:val="21"/>
              </w:rPr>
              <w:t>事故时间（s）</w:t>
            </w:r>
          </w:p>
        </w:tc>
        <w:tc>
          <w:tcPr>
            <w:tcW w:w="1167" w:type="pct"/>
            <w:vAlign w:val="center"/>
          </w:tcPr>
          <w:p w14:paraId="673D6CA6">
            <w:pPr>
              <w:adjustRightInd w:val="0"/>
              <w:snapToGrid w:val="0"/>
              <w:jc w:val="center"/>
              <w:rPr>
                <w:rFonts w:hint="eastAsia"/>
                <w:bCs/>
                <w:spacing w:val="-10"/>
                <w:szCs w:val="21"/>
              </w:rPr>
            </w:pPr>
            <w:r>
              <w:rPr>
                <w:bCs/>
                <w:spacing w:val="-10"/>
                <w:szCs w:val="21"/>
              </w:rPr>
              <w:t>CO产生速率 (kg/s)</w:t>
            </w:r>
          </w:p>
        </w:tc>
      </w:tr>
      <w:tr w14:paraId="4963C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2" w:type="pct"/>
            <w:vAlign w:val="center"/>
          </w:tcPr>
          <w:p w14:paraId="0F91E183">
            <w:pPr>
              <w:adjustRightInd w:val="0"/>
              <w:snapToGrid w:val="0"/>
              <w:jc w:val="center"/>
              <w:rPr>
                <w:rFonts w:hint="eastAsia"/>
                <w:bCs/>
                <w:spacing w:val="-10"/>
                <w:szCs w:val="21"/>
              </w:rPr>
            </w:pPr>
            <w:r>
              <w:rPr>
                <w:rFonts w:hint="eastAsia"/>
                <w:bCs/>
                <w:spacing w:val="-10"/>
                <w:szCs w:val="21"/>
              </w:rPr>
              <w:t>MTBE</w:t>
            </w:r>
          </w:p>
        </w:tc>
        <w:tc>
          <w:tcPr>
            <w:tcW w:w="1636" w:type="pct"/>
            <w:vAlign w:val="center"/>
          </w:tcPr>
          <w:p w14:paraId="005DB4FD">
            <w:pPr>
              <w:adjustRightInd w:val="0"/>
              <w:snapToGrid w:val="0"/>
              <w:jc w:val="center"/>
              <w:rPr>
                <w:rFonts w:hint="eastAsia"/>
                <w:bCs/>
                <w:spacing w:val="-10"/>
              </w:rPr>
            </w:pPr>
            <w:r>
              <w:rPr>
                <w:rFonts w:hint="eastAsia"/>
                <w:bCs/>
                <w:spacing w:val="-10"/>
                <w:szCs w:val="21"/>
              </w:rPr>
              <w:t>1218.6</w:t>
            </w:r>
          </w:p>
        </w:tc>
        <w:tc>
          <w:tcPr>
            <w:tcW w:w="1185" w:type="pct"/>
            <w:vAlign w:val="center"/>
          </w:tcPr>
          <w:p w14:paraId="7EB9B8F6">
            <w:pPr>
              <w:adjustRightInd w:val="0"/>
              <w:snapToGrid w:val="0"/>
              <w:jc w:val="center"/>
              <w:rPr>
                <w:rFonts w:hint="eastAsia"/>
                <w:bCs/>
                <w:spacing w:val="-10"/>
                <w:szCs w:val="21"/>
              </w:rPr>
            </w:pPr>
            <w:r>
              <w:rPr>
                <w:bCs/>
                <w:spacing w:val="-10"/>
                <w:szCs w:val="21"/>
              </w:rPr>
              <w:t>1800</w:t>
            </w:r>
          </w:p>
        </w:tc>
        <w:tc>
          <w:tcPr>
            <w:tcW w:w="1167" w:type="pct"/>
            <w:vAlign w:val="center"/>
          </w:tcPr>
          <w:p w14:paraId="35F9C0BC">
            <w:pPr>
              <w:adjustRightInd w:val="0"/>
              <w:snapToGrid w:val="0"/>
              <w:jc w:val="center"/>
              <w:rPr>
                <w:rFonts w:hint="eastAsia"/>
                <w:bCs/>
                <w:spacing w:val="-10"/>
                <w:szCs w:val="21"/>
              </w:rPr>
            </w:pPr>
            <w:r>
              <w:rPr>
                <w:rFonts w:hint="eastAsia"/>
                <w:bCs/>
                <w:spacing w:val="-10"/>
                <w:szCs w:val="21"/>
              </w:rPr>
              <w:t>0.0644</w:t>
            </w:r>
          </w:p>
        </w:tc>
      </w:tr>
      <w:tr w14:paraId="3193C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2" w:type="pct"/>
            <w:vAlign w:val="center"/>
          </w:tcPr>
          <w:p w14:paraId="12DA8838">
            <w:pPr>
              <w:adjustRightInd w:val="0"/>
              <w:snapToGrid w:val="0"/>
              <w:jc w:val="center"/>
              <w:rPr>
                <w:rFonts w:hint="eastAsia"/>
                <w:bCs/>
                <w:spacing w:val="-10"/>
                <w:szCs w:val="21"/>
              </w:rPr>
            </w:pPr>
            <w:r>
              <w:rPr>
                <w:rFonts w:hint="eastAsia"/>
                <w:bCs/>
                <w:spacing w:val="-10"/>
                <w:szCs w:val="21"/>
              </w:rPr>
              <w:t>汽油</w:t>
            </w:r>
          </w:p>
        </w:tc>
        <w:tc>
          <w:tcPr>
            <w:tcW w:w="1636" w:type="pct"/>
            <w:vAlign w:val="center"/>
          </w:tcPr>
          <w:p w14:paraId="400729E2">
            <w:pPr>
              <w:adjustRightInd w:val="0"/>
              <w:snapToGrid w:val="0"/>
              <w:jc w:val="center"/>
              <w:rPr>
                <w:rFonts w:hint="eastAsia"/>
                <w:bCs/>
                <w:spacing w:val="-10"/>
              </w:rPr>
            </w:pPr>
            <w:r>
              <w:rPr>
                <w:rFonts w:hint="eastAsia"/>
                <w:bCs/>
                <w:spacing w:val="-10"/>
                <w:szCs w:val="21"/>
              </w:rPr>
              <w:t>1202.4</w:t>
            </w:r>
          </w:p>
        </w:tc>
        <w:tc>
          <w:tcPr>
            <w:tcW w:w="1185" w:type="pct"/>
            <w:vAlign w:val="center"/>
          </w:tcPr>
          <w:p w14:paraId="55A1363A">
            <w:pPr>
              <w:adjustRightInd w:val="0"/>
              <w:snapToGrid w:val="0"/>
              <w:jc w:val="center"/>
              <w:rPr>
                <w:rFonts w:hint="eastAsia"/>
                <w:bCs/>
                <w:spacing w:val="-10"/>
                <w:szCs w:val="21"/>
              </w:rPr>
            </w:pPr>
            <w:r>
              <w:rPr>
                <w:bCs/>
                <w:spacing w:val="-10"/>
                <w:szCs w:val="21"/>
              </w:rPr>
              <w:t>1800</w:t>
            </w:r>
          </w:p>
        </w:tc>
        <w:tc>
          <w:tcPr>
            <w:tcW w:w="1167" w:type="pct"/>
            <w:vAlign w:val="center"/>
          </w:tcPr>
          <w:p w14:paraId="24AA3A85">
            <w:pPr>
              <w:adjustRightInd w:val="0"/>
              <w:snapToGrid w:val="0"/>
              <w:jc w:val="center"/>
              <w:rPr>
                <w:rFonts w:hint="eastAsia"/>
                <w:bCs/>
                <w:spacing w:val="-10"/>
                <w:szCs w:val="21"/>
              </w:rPr>
            </w:pPr>
            <w:r>
              <w:rPr>
                <w:rFonts w:hint="eastAsia"/>
                <w:bCs/>
                <w:spacing w:val="-10"/>
                <w:szCs w:val="21"/>
              </w:rPr>
              <w:t>0.0635</w:t>
            </w:r>
          </w:p>
        </w:tc>
      </w:tr>
      <w:tr w14:paraId="0B692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2" w:type="pct"/>
            <w:vAlign w:val="center"/>
          </w:tcPr>
          <w:p w14:paraId="0D1CE520">
            <w:pPr>
              <w:adjustRightInd w:val="0"/>
              <w:snapToGrid w:val="0"/>
              <w:jc w:val="center"/>
              <w:rPr>
                <w:rFonts w:hint="eastAsia"/>
                <w:bCs/>
                <w:spacing w:val="-10"/>
                <w:szCs w:val="21"/>
              </w:rPr>
            </w:pPr>
            <w:r>
              <w:rPr>
                <w:rFonts w:hint="eastAsia"/>
                <w:bCs/>
                <w:spacing w:val="-10"/>
                <w:szCs w:val="21"/>
              </w:rPr>
              <w:t>柴油</w:t>
            </w:r>
          </w:p>
        </w:tc>
        <w:tc>
          <w:tcPr>
            <w:tcW w:w="1636" w:type="pct"/>
            <w:vAlign w:val="center"/>
          </w:tcPr>
          <w:p w14:paraId="11F2474F">
            <w:pPr>
              <w:adjustRightInd w:val="0"/>
              <w:snapToGrid w:val="0"/>
              <w:jc w:val="center"/>
              <w:rPr>
                <w:rFonts w:hint="eastAsia"/>
                <w:bCs/>
                <w:spacing w:val="-10"/>
              </w:rPr>
            </w:pPr>
            <w:r>
              <w:rPr>
                <w:rFonts w:hint="eastAsia"/>
                <w:bCs/>
                <w:spacing w:val="-10"/>
                <w:szCs w:val="21"/>
              </w:rPr>
              <w:t>1382.4</w:t>
            </w:r>
          </w:p>
        </w:tc>
        <w:tc>
          <w:tcPr>
            <w:tcW w:w="1185" w:type="pct"/>
            <w:vAlign w:val="center"/>
          </w:tcPr>
          <w:p w14:paraId="322C5BBA">
            <w:pPr>
              <w:adjustRightInd w:val="0"/>
              <w:snapToGrid w:val="0"/>
              <w:jc w:val="center"/>
              <w:rPr>
                <w:rFonts w:hint="eastAsia"/>
                <w:bCs/>
                <w:spacing w:val="-10"/>
                <w:szCs w:val="21"/>
              </w:rPr>
            </w:pPr>
            <w:r>
              <w:rPr>
                <w:bCs/>
                <w:spacing w:val="-10"/>
                <w:szCs w:val="21"/>
              </w:rPr>
              <w:t>1800</w:t>
            </w:r>
          </w:p>
        </w:tc>
        <w:tc>
          <w:tcPr>
            <w:tcW w:w="1167" w:type="pct"/>
            <w:vAlign w:val="center"/>
          </w:tcPr>
          <w:p w14:paraId="6AC7BB4B">
            <w:pPr>
              <w:adjustRightInd w:val="0"/>
              <w:snapToGrid w:val="0"/>
              <w:jc w:val="center"/>
              <w:rPr>
                <w:rFonts w:hint="eastAsia"/>
                <w:bCs/>
                <w:spacing w:val="-10"/>
                <w:szCs w:val="21"/>
              </w:rPr>
            </w:pPr>
            <w:r>
              <w:rPr>
                <w:rFonts w:hint="eastAsia"/>
                <w:bCs/>
                <w:spacing w:val="-10"/>
                <w:szCs w:val="21"/>
              </w:rPr>
              <w:t>0.0730</w:t>
            </w:r>
          </w:p>
        </w:tc>
      </w:tr>
      <w:tr w14:paraId="415B1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2" w:type="pct"/>
            <w:vAlign w:val="center"/>
          </w:tcPr>
          <w:p w14:paraId="5CDB0986">
            <w:pPr>
              <w:adjustRightInd w:val="0"/>
              <w:snapToGrid w:val="0"/>
              <w:jc w:val="center"/>
              <w:rPr>
                <w:rFonts w:hint="eastAsia"/>
                <w:bCs/>
                <w:spacing w:val="-10"/>
                <w:szCs w:val="21"/>
              </w:rPr>
            </w:pPr>
            <w:r>
              <w:rPr>
                <w:rFonts w:hint="eastAsia"/>
                <w:bCs/>
                <w:spacing w:val="-10"/>
                <w:szCs w:val="21"/>
              </w:rPr>
              <w:t>异辛烷</w:t>
            </w:r>
          </w:p>
        </w:tc>
        <w:tc>
          <w:tcPr>
            <w:tcW w:w="1636" w:type="pct"/>
            <w:vAlign w:val="center"/>
          </w:tcPr>
          <w:p w14:paraId="08ADD389">
            <w:pPr>
              <w:adjustRightInd w:val="0"/>
              <w:snapToGrid w:val="0"/>
              <w:jc w:val="center"/>
              <w:rPr>
                <w:rFonts w:hint="eastAsia"/>
                <w:bCs/>
                <w:spacing w:val="-10"/>
              </w:rPr>
            </w:pPr>
            <w:r>
              <w:rPr>
                <w:rFonts w:hint="eastAsia"/>
                <w:bCs/>
                <w:spacing w:val="-10"/>
                <w:szCs w:val="21"/>
              </w:rPr>
              <w:t>1139.4</w:t>
            </w:r>
          </w:p>
        </w:tc>
        <w:tc>
          <w:tcPr>
            <w:tcW w:w="1185" w:type="pct"/>
            <w:vAlign w:val="center"/>
          </w:tcPr>
          <w:p w14:paraId="55402DC9">
            <w:pPr>
              <w:adjustRightInd w:val="0"/>
              <w:snapToGrid w:val="0"/>
              <w:jc w:val="center"/>
              <w:rPr>
                <w:rFonts w:hint="eastAsia"/>
                <w:bCs/>
                <w:spacing w:val="-10"/>
                <w:szCs w:val="21"/>
              </w:rPr>
            </w:pPr>
            <w:r>
              <w:rPr>
                <w:bCs/>
                <w:spacing w:val="-10"/>
                <w:szCs w:val="21"/>
              </w:rPr>
              <w:t>1800</w:t>
            </w:r>
          </w:p>
        </w:tc>
        <w:tc>
          <w:tcPr>
            <w:tcW w:w="1167" w:type="pct"/>
            <w:vAlign w:val="center"/>
          </w:tcPr>
          <w:p w14:paraId="1A2966D7">
            <w:pPr>
              <w:adjustRightInd w:val="0"/>
              <w:snapToGrid w:val="0"/>
              <w:jc w:val="center"/>
              <w:rPr>
                <w:rFonts w:hint="eastAsia"/>
                <w:bCs/>
                <w:spacing w:val="-10"/>
                <w:szCs w:val="21"/>
              </w:rPr>
            </w:pPr>
            <w:r>
              <w:rPr>
                <w:rFonts w:hint="eastAsia"/>
                <w:bCs/>
                <w:spacing w:val="-10"/>
                <w:szCs w:val="21"/>
              </w:rPr>
              <w:t>0.602</w:t>
            </w:r>
          </w:p>
        </w:tc>
      </w:tr>
      <w:tr w14:paraId="02BBE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2" w:type="pct"/>
            <w:vAlign w:val="center"/>
          </w:tcPr>
          <w:p w14:paraId="5DDD0FFE">
            <w:pPr>
              <w:adjustRightInd w:val="0"/>
              <w:snapToGrid w:val="0"/>
              <w:jc w:val="center"/>
              <w:rPr>
                <w:rFonts w:hint="eastAsia"/>
                <w:bCs/>
                <w:spacing w:val="-10"/>
                <w:szCs w:val="21"/>
              </w:rPr>
            </w:pPr>
            <w:r>
              <w:rPr>
                <w:rFonts w:hint="eastAsia"/>
                <w:bCs/>
                <w:spacing w:val="-10"/>
                <w:szCs w:val="21"/>
              </w:rPr>
              <w:t>混合芳烃</w:t>
            </w:r>
          </w:p>
        </w:tc>
        <w:tc>
          <w:tcPr>
            <w:tcW w:w="1636" w:type="pct"/>
            <w:vAlign w:val="center"/>
          </w:tcPr>
          <w:p w14:paraId="7A067BB5">
            <w:pPr>
              <w:adjustRightInd w:val="0"/>
              <w:snapToGrid w:val="0"/>
              <w:jc w:val="center"/>
              <w:rPr>
                <w:rFonts w:hint="eastAsia"/>
                <w:bCs/>
                <w:spacing w:val="-10"/>
              </w:rPr>
            </w:pPr>
            <w:r>
              <w:rPr>
                <w:rFonts w:hint="eastAsia"/>
                <w:bCs/>
                <w:spacing w:val="-10"/>
                <w:szCs w:val="21"/>
              </w:rPr>
              <w:t>1350</w:t>
            </w:r>
          </w:p>
        </w:tc>
        <w:tc>
          <w:tcPr>
            <w:tcW w:w="1185" w:type="pct"/>
            <w:vAlign w:val="center"/>
          </w:tcPr>
          <w:p w14:paraId="1D1B7B7B">
            <w:pPr>
              <w:adjustRightInd w:val="0"/>
              <w:snapToGrid w:val="0"/>
              <w:jc w:val="center"/>
              <w:rPr>
                <w:rFonts w:hint="eastAsia"/>
                <w:bCs/>
                <w:spacing w:val="-10"/>
                <w:szCs w:val="21"/>
              </w:rPr>
            </w:pPr>
            <w:r>
              <w:rPr>
                <w:bCs/>
                <w:spacing w:val="-10"/>
                <w:szCs w:val="21"/>
              </w:rPr>
              <w:t>1800</w:t>
            </w:r>
          </w:p>
        </w:tc>
        <w:tc>
          <w:tcPr>
            <w:tcW w:w="1167" w:type="pct"/>
            <w:vAlign w:val="center"/>
          </w:tcPr>
          <w:p w14:paraId="425CF1FA">
            <w:pPr>
              <w:adjustRightInd w:val="0"/>
              <w:snapToGrid w:val="0"/>
              <w:jc w:val="center"/>
              <w:rPr>
                <w:rFonts w:hint="eastAsia"/>
                <w:bCs/>
                <w:spacing w:val="-10"/>
                <w:szCs w:val="21"/>
              </w:rPr>
            </w:pPr>
            <w:r>
              <w:rPr>
                <w:rFonts w:hint="eastAsia"/>
                <w:bCs/>
                <w:spacing w:val="-10"/>
                <w:szCs w:val="21"/>
              </w:rPr>
              <w:t>0.0713</w:t>
            </w:r>
          </w:p>
        </w:tc>
      </w:tr>
      <w:tr w14:paraId="7A3B5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2" w:type="pct"/>
            <w:vAlign w:val="center"/>
          </w:tcPr>
          <w:p w14:paraId="7E30372C">
            <w:pPr>
              <w:adjustRightInd w:val="0"/>
              <w:snapToGrid w:val="0"/>
              <w:jc w:val="center"/>
              <w:rPr>
                <w:rFonts w:hint="eastAsia"/>
                <w:bCs/>
                <w:spacing w:val="-10"/>
                <w:szCs w:val="21"/>
              </w:rPr>
            </w:pPr>
            <w:r>
              <w:rPr>
                <w:rFonts w:hint="eastAsia"/>
                <w:bCs/>
                <w:spacing w:val="-10"/>
                <w:szCs w:val="21"/>
              </w:rPr>
              <w:t>轻质石脑油</w:t>
            </w:r>
          </w:p>
        </w:tc>
        <w:tc>
          <w:tcPr>
            <w:tcW w:w="1636" w:type="pct"/>
            <w:vAlign w:val="center"/>
          </w:tcPr>
          <w:p w14:paraId="488F7268">
            <w:pPr>
              <w:adjustRightInd w:val="0"/>
              <w:snapToGrid w:val="0"/>
              <w:jc w:val="center"/>
              <w:rPr>
                <w:rFonts w:hint="eastAsia"/>
                <w:bCs/>
                <w:spacing w:val="-10"/>
              </w:rPr>
            </w:pPr>
            <w:r>
              <w:rPr>
                <w:rFonts w:hint="eastAsia"/>
                <w:bCs/>
                <w:spacing w:val="-10"/>
                <w:szCs w:val="21"/>
              </w:rPr>
              <w:t>1119.6</w:t>
            </w:r>
          </w:p>
        </w:tc>
        <w:tc>
          <w:tcPr>
            <w:tcW w:w="1185" w:type="pct"/>
            <w:vAlign w:val="center"/>
          </w:tcPr>
          <w:p w14:paraId="6C2D8526">
            <w:pPr>
              <w:adjustRightInd w:val="0"/>
              <w:snapToGrid w:val="0"/>
              <w:jc w:val="center"/>
              <w:rPr>
                <w:rFonts w:hint="eastAsia"/>
                <w:bCs/>
                <w:spacing w:val="-10"/>
                <w:szCs w:val="21"/>
              </w:rPr>
            </w:pPr>
            <w:r>
              <w:rPr>
                <w:bCs/>
                <w:spacing w:val="-10"/>
                <w:szCs w:val="21"/>
              </w:rPr>
              <w:t>1800</w:t>
            </w:r>
          </w:p>
        </w:tc>
        <w:tc>
          <w:tcPr>
            <w:tcW w:w="1167" w:type="pct"/>
            <w:vAlign w:val="center"/>
          </w:tcPr>
          <w:p w14:paraId="2959EF3A">
            <w:pPr>
              <w:adjustRightInd w:val="0"/>
              <w:snapToGrid w:val="0"/>
              <w:jc w:val="center"/>
              <w:rPr>
                <w:rFonts w:hint="eastAsia"/>
                <w:bCs/>
                <w:spacing w:val="-10"/>
                <w:szCs w:val="21"/>
              </w:rPr>
            </w:pPr>
            <w:r>
              <w:rPr>
                <w:rFonts w:hint="eastAsia"/>
                <w:bCs/>
                <w:spacing w:val="-10"/>
                <w:szCs w:val="21"/>
              </w:rPr>
              <w:t>0.0591</w:t>
            </w:r>
          </w:p>
        </w:tc>
      </w:tr>
      <w:tr w14:paraId="786C2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2" w:type="pct"/>
            <w:vAlign w:val="center"/>
          </w:tcPr>
          <w:p w14:paraId="519D102E">
            <w:pPr>
              <w:adjustRightInd w:val="0"/>
              <w:snapToGrid w:val="0"/>
              <w:jc w:val="center"/>
              <w:rPr>
                <w:rFonts w:hint="eastAsia"/>
                <w:bCs/>
                <w:spacing w:val="-10"/>
                <w:szCs w:val="21"/>
              </w:rPr>
            </w:pPr>
            <w:r>
              <w:rPr>
                <w:rFonts w:hint="eastAsia"/>
                <w:bCs/>
                <w:spacing w:val="-10"/>
                <w:szCs w:val="21"/>
              </w:rPr>
              <w:t>燃料油</w:t>
            </w:r>
          </w:p>
        </w:tc>
        <w:tc>
          <w:tcPr>
            <w:tcW w:w="1636" w:type="pct"/>
            <w:vAlign w:val="center"/>
          </w:tcPr>
          <w:p w14:paraId="1D9A7975">
            <w:pPr>
              <w:adjustRightInd w:val="0"/>
              <w:snapToGrid w:val="0"/>
              <w:jc w:val="center"/>
              <w:rPr>
                <w:rFonts w:hint="eastAsia"/>
                <w:bCs/>
                <w:spacing w:val="-10"/>
              </w:rPr>
            </w:pPr>
            <w:r>
              <w:rPr>
                <w:rFonts w:hint="eastAsia"/>
                <w:bCs/>
                <w:spacing w:val="-10"/>
                <w:szCs w:val="21"/>
              </w:rPr>
              <w:t>1564.2</w:t>
            </w:r>
          </w:p>
        </w:tc>
        <w:tc>
          <w:tcPr>
            <w:tcW w:w="1185" w:type="pct"/>
            <w:vAlign w:val="center"/>
          </w:tcPr>
          <w:p w14:paraId="06FAE1B6">
            <w:pPr>
              <w:adjustRightInd w:val="0"/>
              <w:snapToGrid w:val="0"/>
              <w:jc w:val="center"/>
              <w:rPr>
                <w:rFonts w:hint="eastAsia"/>
                <w:bCs/>
                <w:spacing w:val="-10"/>
                <w:szCs w:val="21"/>
              </w:rPr>
            </w:pPr>
            <w:r>
              <w:rPr>
                <w:bCs/>
                <w:spacing w:val="-10"/>
                <w:szCs w:val="21"/>
              </w:rPr>
              <w:t>1800</w:t>
            </w:r>
          </w:p>
        </w:tc>
        <w:tc>
          <w:tcPr>
            <w:tcW w:w="1167" w:type="pct"/>
            <w:vAlign w:val="center"/>
          </w:tcPr>
          <w:p w14:paraId="61B1ADF9">
            <w:pPr>
              <w:adjustRightInd w:val="0"/>
              <w:snapToGrid w:val="0"/>
              <w:jc w:val="center"/>
              <w:rPr>
                <w:rFonts w:hint="eastAsia"/>
                <w:bCs/>
                <w:spacing w:val="-10"/>
                <w:szCs w:val="21"/>
              </w:rPr>
            </w:pPr>
            <w:r>
              <w:rPr>
                <w:rFonts w:hint="eastAsia"/>
                <w:bCs/>
                <w:spacing w:val="-10"/>
                <w:szCs w:val="21"/>
              </w:rPr>
              <w:t>0.826</w:t>
            </w:r>
          </w:p>
        </w:tc>
      </w:tr>
      <w:tr w14:paraId="2E141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2" w:type="pct"/>
            <w:vAlign w:val="center"/>
          </w:tcPr>
          <w:p w14:paraId="67F190CA">
            <w:pPr>
              <w:adjustRightInd w:val="0"/>
              <w:snapToGrid w:val="0"/>
              <w:jc w:val="center"/>
              <w:rPr>
                <w:rFonts w:hint="eastAsia"/>
                <w:bCs/>
                <w:spacing w:val="-10"/>
                <w:szCs w:val="21"/>
              </w:rPr>
            </w:pPr>
            <w:r>
              <w:rPr>
                <w:rFonts w:hint="eastAsia"/>
                <w:bCs/>
                <w:spacing w:val="-10"/>
                <w:szCs w:val="21"/>
              </w:rPr>
              <w:t>煤基柴油</w:t>
            </w:r>
          </w:p>
        </w:tc>
        <w:tc>
          <w:tcPr>
            <w:tcW w:w="1636" w:type="pct"/>
            <w:vAlign w:val="center"/>
          </w:tcPr>
          <w:p w14:paraId="05FA976A">
            <w:pPr>
              <w:adjustRightInd w:val="0"/>
              <w:snapToGrid w:val="0"/>
              <w:jc w:val="center"/>
              <w:rPr>
                <w:rFonts w:hint="eastAsia"/>
                <w:bCs/>
                <w:spacing w:val="-10"/>
              </w:rPr>
            </w:pPr>
            <w:r>
              <w:rPr>
                <w:rFonts w:hint="eastAsia"/>
                <w:bCs/>
                <w:spacing w:val="-10"/>
                <w:szCs w:val="21"/>
              </w:rPr>
              <w:t>1366.2</w:t>
            </w:r>
          </w:p>
        </w:tc>
        <w:tc>
          <w:tcPr>
            <w:tcW w:w="1185" w:type="pct"/>
            <w:vAlign w:val="center"/>
          </w:tcPr>
          <w:p w14:paraId="5AE66543">
            <w:pPr>
              <w:adjustRightInd w:val="0"/>
              <w:snapToGrid w:val="0"/>
              <w:jc w:val="center"/>
              <w:rPr>
                <w:rFonts w:hint="eastAsia"/>
                <w:bCs/>
                <w:spacing w:val="-10"/>
                <w:szCs w:val="21"/>
              </w:rPr>
            </w:pPr>
            <w:r>
              <w:rPr>
                <w:bCs/>
                <w:spacing w:val="-10"/>
                <w:szCs w:val="21"/>
              </w:rPr>
              <w:t>1800</w:t>
            </w:r>
          </w:p>
        </w:tc>
        <w:tc>
          <w:tcPr>
            <w:tcW w:w="1167" w:type="pct"/>
            <w:vAlign w:val="center"/>
          </w:tcPr>
          <w:p w14:paraId="53C7ABBB">
            <w:pPr>
              <w:adjustRightInd w:val="0"/>
              <w:snapToGrid w:val="0"/>
              <w:jc w:val="center"/>
              <w:rPr>
                <w:rFonts w:hint="eastAsia"/>
                <w:bCs/>
                <w:spacing w:val="-10"/>
                <w:szCs w:val="21"/>
              </w:rPr>
            </w:pPr>
            <w:r>
              <w:rPr>
                <w:rFonts w:hint="eastAsia"/>
                <w:bCs/>
                <w:spacing w:val="-10"/>
                <w:szCs w:val="21"/>
              </w:rPr>
              <w:t>0.0722</w:t>
            </w:r>
          </w:p>
        </w:tc>
      </w:tr>
    </w:tbl>
    <w:p w14:paraId="70BE0902">
      <w:pPr>
        <w:adjustRightInd w:val="0"/>
        <w:snapToGrid w:val="0"/>
        <w:ind w:firstLine="440" w:firstLineChars="200"/>
        <w:rPr>
          <w:rFonts w:hint="eastAsia"/>
          <w:bCs/>
          <w:spacing w:val="-10"/>
        </w:rPr>
      </w:pPr>
    </w:p>
    <w:p w14:paraId="7BB07A66">
      <w:pPr>
        <w:adjustRightInd w:val="0"/>
        <w:snapToGrid w:val="0"/>
        <w:rPr>
          <w:rFonts w:hint="eastAsia"/>
          <w:b/>
          <w:bCs/>
          <w:spacing w:val="-10"/>
        </w:rPr>
      </w:pPr>
      <w:r>
        <w:rPr>
          <w:b/>
          <w:spacing w:val="-10"/>
        </w:rPr>
        <w:t>9</w:t>
      </w:r>
      <w:r>
        <w:rPr>
          <w:rFonts w:hint="eastAsia"/>
          <w:b/>
          <w:spacing w:val="-10"/>
        </w:rPr>
        <w:t xml:space="preserve"> </w:t>
      </w:r>
      <w:r>
        <w:rPr>
          <w:rFonts w:hint="eastAsia"/>
          <w:b/>
          <w:bCs/>
          <w:spacing w:val="-10"/>
        </w:rPr>
        <w:t>风险预测与评价</w:t>
      </w:r>
    </w:p>
    <w:p w14:paraId="3C5499FC">
      <w:pPr>
        <w:adjustRightInd w:val="0"/>
        <w:snapToGrid w:val="0"/>
        <w:rPr>
          <w:rFonts w:hint="eastAsia"/>
          <w:b/>
          <w:spacing w:val="-10"/>
        </w:rPr>
      </w:pPr>
      <w:r>
        <w:rPr>
          <w:b/>
          <w:spacing w:val="-10"/>
        </w:rPr>
        <w:t>9.1环境风险大气环境影响预测与评价</w:t>
      </w:r>
    </w:p>
    <w:p w14:paraId="20B843D4">
      <w:pPr>
        <w:adjustRightInd w:val="0"/>
        <w:snapToGrid w:val="0"/>
        <w:spacing w:line="360" w:lineRule="auto"/>
        <w:ind w:firstLine="440" w:firstLineChars="200"/>
        <w:rPr>
          <w:rFonts w:hint="eastAsia"/>
          <w:bCs/>
          <w:spacing w:val="-10"/>
        </w:rPr>
      </w:pPr>
      <w:r>
        <w:rPr>
          <w:bCs/>
          <w:spacing w:val="-10"/>
        </w:rPr>
        <w:t>本项目风险评价范围内无环境敏感点，Td≤T，（Td=600s），事故源为瞬时排放。依据《建设项目环境风险评价技术导则》（HJ169-2018）中理查德森数(Ri)作为是否重质气体的判断标准。判断标准为：对于瞬时排放，Ri＞0.04为重质气体，Ri≤0.04为轻质气体。</w:t>
      </w:r>
    </w:p>
    <w:p w14:paraId="580EE538">
      <w:pPr>
        <w:adjustRightInd w:val="0"/>
        <w:snapToGrid w:val="0"/>
        <w:spacing w:line="360" w:lineRule="auto"/>
        <w:ind w:firstLine="440" w:firstLineChars="200"/>
        <w:rPr>
          <w:rFonts w:hint="eastAsia"/>
          <w:bCs/>
          <w:spacing w:val="-10"/>
        </w:rPr>
      </w:pPr>
      <w:r>
        <w:rPr>
          <w:bCs/>
          <w:spacing w:val="-10"/>
        </w:rPr>
        <w:t>Ri的公式为：</w:t>
      </w:r>
    </w:p>
    <w:p w14:paraId="4E7C80F1">
      <w:pPr>
        <w:adjustRightInd w:val="0"/>
        <w:snapToGrid w:val="0"/>
        <w:ind w:firstLine="440" w:firstLineChars="200"/>
        <w:rPr>
          <w:rFonts w:hint="eastAsia"/>
          <w:bCs/>
          <w:spacing w:val="-10"/>
        </w:rPr>
      </w:pPr>
      <w:r>
        <w:rPr>
          <w:bCs/>
          <w:spacing w:val="-10"/>
        </w:rPr>
        <w:object>
          <v:shape id="_x0000_i1025" o:spt="75" type="#_x0000_t75" style="height:41.9pt;width:158.5pt;" o:ole="t" filled="f" o:preferrelative="t" stroked="f" coordsize="21600,21600">
            <v:path/>
            <v:fill on="f" focussize="0,0"/>
            <v:stroke on="f" joinstyle="miter"/>
            <v:imagedata r:id="rId17" embosscolor="#FFFFFF" o:title=""/>
            <o:lock v:ext="edit" aspectratio="t"/>
            <w10:wrap type="none"/>
            <w10:anchorlock/>
          </v:shape>
          <o:OLEObject Type="Embed" ProgID="Equation.DSMT4" ShapeID="_x0000_i1025" DrawAspect="Content" ObjectID="_1468075725" r:id="rId16">
            <o:LockedField>false</o:LockedField>
          </o:OLEObject>
        </w:object>
      </w:r>
    </w:p>
    <w:p w14:paraId="196B7119">
      <w:pPr>
        <w:adjustRightInd w:val="0"/>
        <w:snapToGrid w:val="0"/>
        <w:spacing w:line="360" w:lineRule="auto"/>
        <w:ind w:firstLine="440" w:firstLineChars="200"/>
        <w:rPr>
          <w:rFonts w:hint="eastAsia"/>
          <w:bCs/>
          <w:spacing w:val="-10"/>
        </w:rPr>
      </w:pPr>
      <w:r>
        <w:rPr>
          <w:bCs/>
          <w:spacing w:val="-10"/>
        </w:rPr>
        <w:t>式中：</w:t>
      </w:r>
    </w:p>
    <w:p w14:paraId="49DE93DD">
      <w:pPr>
        <w:adjustRightInd w:val="0"/>
        <w:snapToGrid w:val="0"/>
        <w:spacing w:line="360" w:lineRule="auto"/>
        <w:ind w:firstLine="440" w:firstLineChars="200"/>
        <w:rPr>
          <w:rFonts w:hint="eastAsia"/>
          <w:bCs/>
          <w:spacing w:val="-10"/>
        </w:rPr>
      </w:pPr>
      <w:r>
        <w:rPr>
          <w:bCs/>
          <w:spacing w:val="-10"/>
        </w:rPr>
        <w:t>ρrel——排放物质进入大气的初始密度，kg/m</w:t>
      </w:r>
      <w:r>
        <w:rPr>
          <w:bCs/>
          <w:spacing w:val="-10"/>
          <w:vertAlign w:val="superscript"/>
        </w:rPr>
        <w:t>3</w:t>
      </w:r>
      <w:r>
        <w:rPr>
          <w:bCs/>
          <w:spacing w:val="-10"/>
        </w:rPr>
        <w:t>；</w:t>
      </w:r>
    </w:p>
    <w:p w14:paraId="7ADB5F92">
      <w:pPr>
        <w:adjustRightInd w:val="0"/>
        <w:snapToGrid w:val="0"/>
        <w:spacing w:line="360" w:lineRule="auto"/>
        <w:ind w:firstLine="440" w:firstLineChars="200"/>
        <w:rPr>
          <w:rFonts w:hint="eastAsia"/>
          <w:bCs/>
          <w:spacing w:val="-10"/>
        </w:rPr>
      </w:pPr>
      <w:r>
        <w:rPr>
          <w:bCs/>
          <w:spacing w:val="-10"/>
        </w:rPr>
        <w:t>ρa——环境空气密度，kg/m</w:t>
      </w:r>
      <w:r>
        <w:rPr>
          <w:bCs/>
          <w:spacing w:val="-10"/>
          <w:vertAlign w:val="superscript"/>
        </w:rPr>
        <w:t>3</w:t>
      </w:r>
      <w:r>
        <w:rPr>
          <w:bCs/>
          <w:spacing w:val="-10"/>
        </w:rPr>
        <w:t>，取1.29；</w:t>
      </w:r>
    </w:p>
    <w:p w14:paraId="4CEE5F85">
      <w:pPr>
        <w:adjustRightInd w:val="0"/>
        <w:snapToGrid w:val="0"/>
        <w:spacing w:line="360" w:lineRule="auto"/>
        <w:ind w:firstLine="440" w:firstLineChars="200"/>
        <w:rPr>
          <w:rFonts w:hint="eastAsia"/>
          <w:bCs/>
          <w:spacing w:val="-10"/>
        </w:rPr>
      </w:pPr>
      <w:r>
        <w:rPr>
          <w:bCs/>
          <w:spacing w:val="-10"/>
        </w:rPr>
        <w:t>Qt——瞬时排放的物质质量，kg；</w:t>
      </w:r>
    </w:p>
    <w:p w14:paraId="6FD35857">
      <w:pPr>
        <w:adjustRightInd w:val="0"/>
        <w:snapToGrid w:val="0"/>
        <w:spacing w:line="360" w:lineRule="auto"/>
        <w:ind w:firstLine="440" w:firstLineChars="200"/>
        <w:rPr>
          <w:rFonts w:hint="eastAsia"/>
          <w:bCs/>
          <w:spacing w:val="-10"/>
        </w:rPr>
      </w:pPr>
      <w:r>
        <w:rPr>
          <w:bCs/>
          <w:spacing w:val="-10"/>
        </w:rPr>
        <w:t>Ur——10m高处风速，m/s，取1.5</w:t>
      </w:r>
      <w:r>
        <w:rPr>
          <w:rFonts w:hint="eastAsia"/>
          <w:bCs/>
          <w:spacing w:val="-10"/>
        </w:rPr>
        <w:t>。</w:t>
      </w:r>
    </w:p>
    <w:p w14:paraId="19F0F872">
      <w:pPr>
        <w:adjustRightInd w:val="0"/>
        <w:snapToGrid w:val="0"/>
        <w:spacing w:line="360" w:lineRule="auto"/>
        <w:ind w:firstLine="440" w:firstLineChars="200"/>
        <w:rPr>
          <w:rFonts w:hint="eastAsia"/>
          <w:bCs/>
          <w:spacing w:val="-10"/>
        </w:rPr>
      </w:pPr>
      <w:r>
        <w:rPr>
          <w:bCs/>
          <w:spacing w:val="-10"/>
        </w:rPr>
        <w:t>本项目各事故情形预测模型选取见下表。</w:t>
      </w:r>
    </w:p>
    <w:p w14:paraId="4C77E430">
      <w:pPr>
        <w:adjustRightInd w:val="0"/>
        <w:snapToGrid w:val="0"/>
        <w:jc w:val="center"/>
        <w:rPr>
          <w:rFonts w:hint="eastAsia"/>
          <w:b/>
          <w:spacing w:val="-10"/>
        </w:rPr>
      </w:pPr>
      <w:r>
        <w:rPr>
          <w:b/>
          <w:bCs/>
          <w:spacing w:val="-10"/>
        </w:rPr>
        <w:t>表</w:t>
      </w:r>
      <w:r>
        <w:rPr>
          <w:rFonts w:hint="eastAsia"/>
          <w:b/>
          <w:bCs/>
          <w:spacing w:val="-10"/>
        </w:rPr>
        <w:t>6</w:t>
      </w:r>
      <w:r>
        <w:rPr>
          <w:b/>
          <w:bCs/>
          <w:spacing w:val="-10"/>
        </w:rPr>
        <w:t>-</w:t>
      </w:r>
      <w:r>
        <w:rPr>
          <w:rFonts w:hint="eastAsia"/>
          <w:b/>
          <w:bCs/>
          <w:spacing w:val="-10"/>
        </w:rPr>
        <w:t>33</w:t>
      </w:r>
      <w:r>
        <w:rPr>
          <w:b/>
          <w:bCs/>
          <w:spacing w:val="-10"/>
        </w:rPr>
        <w:t xml:space="preserve">  各事故情形预测模型选取</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0"/>
        <w:gridCol w:w="1195"/>
        <w:gridCol w:w="1195"/>
        <w:gridCol w:w="1190"/>
        <w:gridCol w:w="1192"/>
        <w:gridCol w:w="1256"/>
        <w:gridCol w:w="1402"/>
      </w:tblGrid>
      <w:tr w14:paraId="266B1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0" w:type="dxa"/>
          </w:tcPr>
          <w:p w14:paraId="2E79D6D0">
            <w:pPr>
              <w:adjustRightInd w:val="0"/>
              <w:snapToGrid w:val="0"/>
              <w:jc w:val="center"/>
              <w:rPr>
                <w:rFonts w:hint="eastAsia"/>
                <w:bCs/>
                <w:spacing w:val="-10"/>
              </w:rPr>
            </w:pPr>
            <w:r>
              <w:rPr>
                <w:bCs/>
                <w:spacing w:val="-10"/>
              </w:rPr>
              <w:t>危险物质</w:t>
            </w:r>
          </w:p>
        </w:tc>
        <w:tc>
          <w:tcPr>
            <w:tcW w:w="1195" w:type="dxa"/>
          </w:tcPr>
          <w:p w14:paraId="1332A715">
            <w:pPr>
              <w:adjustRightInd w:val="0"/>
              <w:snapToGrid w:val="0"/>
              <w:jc w:val="center"/>
              <w:rPr>
                <w:rFonts w:hint="eastAsia"/>
                <w:bCs/>
                <w:spacing w:val="-10"/>
              </w:rPr>
            </w:pPr>
            <w:r>
              <w:rPr>
                <w:bCs/>
                <w:spacing w:val="-10"/>
              </w:rPr>
              <w:t>初始密度kg/m</w:t>
            </w:r>
            <w:r>
              <w:rPr>
                <w:bCs/>
                <w:spacing w:val="-10"/>
                <w:vertAlign w:val="superscript"/>
              </w:rPr>
              <w:t>3</w:t>
            </w:r>
          </w:p>
        </w:tc>
        <w:tc>
          <w:tcPr>
            <w:tcW w:w="1195" w:type="dxa"/>
          </w:tcPr>
          <w:p w14:paraId="194088FA">
            <w:pPr>
              <w:adjustRightInd w:val="0"/>
              <w:snapToGrid w:val="0"/>
              <w:jc w:val="center"/>
              <w:rPr>
                <w:rFonts w:hint="eastAsia"/>
                <w:bCs/>
                <w:spacing w:val="-10"/>
              </w:rPr>
            </w:pPr>
            <w:r>
              <w:rPr>
                <w:bCs/>
                <w:spacing w:val="-10"/>
              </w:rPr>
              <w:t>环境空气密度kg/m</w:t>
            </w:r>
            <w:r>
              <w:rPr>
                <w:bCs/>
                <w:spacing w:val="-10"/>
                <w:vertAlign w:val="superscript"/>
              </w:rPr>
              <w:t>3</w:t>
            </w:r>
          </w:p>
        </w:tc>
        <w:tc>
          <w:tcPr>
            <w:tcW w:w="1190" w:type="dxa"/>
          </w:tcPr>
          <w:p w14:paraId="5BD3A913">
            <w:pPr>
              <w:adjustRightInd w:val="0"/>
              <w:snapToGrid w:val="0"/>
              <w:jc w:val="center"/>
              <w:rPr>
                <w:rFonts w:hint="eastAsia"/>
                <w:bCs/>
                <w:spacing w:val="-10"/>
              </w:rPr>
            </w:pPr>
            <w:r>
              <w:rPr>
                <w:bCs/>
                <w:spacing w:val="-10"/>
              </w:rPr>
              <w:t>瞬时排放的物质质量kg</w:t>
            </w:r>
          </w:p>
        </w:tc>
        <w:tc>
          <w:tcPr>
            <w:tcW w:w="1192" w:type="dxa"/>
          </w:tcPr>
          <w:p w14:paraId="620A17F7">
            <w:pPr>
              <w:adjustRightInd w:val="0"/>
              <w:snapToGrid w:val="0"/>
              <w:jc w:val="center"/>
              <w:rPr>
                <w:rFonts w:hint="eastAsia"/>
                <w:bCs/>
                <w:spacing w:val="-10"/>
              </w:rPr>
            </w:pPr>
            <w:r>
              <w:rPr>
                <w:bCs/>
                <w:spacing w:val="-10"/>
              </w:rPr>
              <w:t>10m高处风速m/s</w:t>
            </w:r>
          </w:p>
        </w:tc>
        <w:tc>
          <w:tcPr>
            <w:tcW w:w="1256" w:type="dxa"/>
          </w:tcPr>
          <w:p w14:paraId="3846454F">
            <w:pPr>
              <w:adjustRightInd w:val="0"/>
              <w:snapToGrid w:val="0"/>
              <w:jc w:val="center"/>
              <w:rPr>
                <w:rFonts w:hint="eastAsia"/>
                <w:bCs/>
                <w:spacing w:val="-10"/>
              </w:rPr>
            </w:pPr>
            <w:r>
              <w:rPr>
                <w:bCs/>
                <w:spacing w:val="-10"/>
              </w:rPr>
              <w:t>理查德森数</w:t>
            </w:r>
          </w:p>
        </w:tc>
        <w:tc>
          <w:tcPr>
            <w:tcW w:w="1402" w:type="dxa"/>
          </w:tcPr>
          <w:p w14:paraId="7ADDB4B9">
            <w:pPr>
              <w:adjustRightInd w:val="0"/>
              <w:snapToGrid w:val="0"/>
              <w:jc w:val="center"/>
              <w:rPr>
                <w:rFonts w:hint="eastAsia"/>
                <w:bCs/>
                <w:spacing w:val="-10"/>
              </w:rPr>
            </w:pPr>
            <w:r>
              <w:rPr>
                <w:bCs/>
                <w:spacing w:val="-10"/>
              </w:rPr>
              <w:t>预测模型</w:t>
            </w:r>
          </w:p>
        </w:tc>
      </w:tr>
      <w:tr w14:paraId="71C86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0" w:type="dxa"/>
          </w:tcPr>
          <w:p w14:paraId="74C1A8FE">
            <w:pPr>
              <w:adjustRightInd w:val="0"/>
              <w:snapToGrid w:val="0"/>
              <w:jc w:val="center"/>
              <w:rPr>
                <w:rFonts w:hint="eastAsia"/>
                <w:bCs/>
                <w:spacing w:val="-10"/>
              </w:rPr>
            </w:pPr>
            <w:r>
              <w:rPr>
                <w:rFonts w:hint="eastAsia"/>
                <w:bCs/>
                <w:spacing w:val="-10"/>
              </w:rPr>
              <w:t>MTBE</w:t>
            </w:r>
          </w:p>
        </w:tc>
        <w:tc>
          <w:tcPr>
            <w:tcW w:w="1195" w:type="dxa"/>
          </w:tcPr>
          <w:p w14:paraId="447D207E">
            <w:pPr>
              <w:adjustRightInd w:val="0"/>
              <w:snapToGrid w:val="0"/>
              <w:jc w:val="center"/>
              <w:rPr>
                <w:rFonts w:hint="eastAsia"/>
                <w:bCs/>
                <w:spacing w:val="-10"/>
              </w:rPr>
            </w:pPr>
            <w:r>
              <w:rPr>
                <w:rFonts w:hint="eastAsia"/>
                <w:bCs/>
                <w:spacing w:val="-10"/>
              </w:rPr>
              <w:t>3.66</w:t>
            </w:r>
          </w:p>
        </w:tc>
        <w:tc>
          <w:tcPr>
            <w:tcW w:w="1195" w:type="dxa"/>
          </w:tcPr>
          <w:p w14:paraId="0F54644F">
            <w:pPr>
              <w:adjustRightInd w:val="0"/>
              <w:snapToGrid w:val="0"/>
              <w:jc w:val="center"/>
              <w:rPr>
                <w:rFonts w:hint="eastAsia"/>
                <w:bCs/>
                <w:spacing w:val="-10"/>
              </w:rPr>
            </w:pPr>
            <w:r>
              <w:rPr>
                <w:bCs/>
                <w:spacing w:val="-10"/>
              </w:rPr>
              <w:t>1.29</w:t>
            </w:r>
          </w:p>
        </w:tc>
        <w:tc>
          <w:tcPr>
            <w:tcW w:w="1190" w:type="dxa"/>
          </w:tcPr>
          <w:p w14:paraId="3398D8B5">
            <w:pPr>
              <w:adjustRightInd w:val="0"/>
              <w:snapToGrid w:val="0"/>
              <w:jc w:val="center"/>
              <w:rPr>
                <w:rFonts w:hint="eastAsia"/>
                <w:bCs/>
                <w:spacing w:val="-10"/>
              </w:rPr>
            </w:pPr>
            <w:r>
              <w:rPr>
                <w:rFonts w:hint="eastAsia"/>
                <w:bCs/>
                <w:spacing w:val="-10"/>
              </w:rPr>
              <w:t>0.059</w:t>
            </w:r>
          </w:p>
        </w:tc>
        <w:tc>
          <w:tcPr>
            <w:tcW w:w="1192" w:type="dxa"/>
          </w:tcPr>
          <w:p w14:paraId="09BE5F77">
            <w:pPr>
              <w:adjustRightInd w:val="0"/>
              <w:snapToGrid w:val="0"/>
              <w:jc w:val="center"/>
              <w:rPr>
                <w:rFonts w:hint="eastAsia"/>
                <w:bCs/>
                <w:spacing w:val="-10"/>
              </w:rPr>
            </w:pPr>
            <w:r>
              <w:rPr>
                <w:bCs/>
                <w:spacing w:val="-10"/>
              </w:rPr>
              <w:t>1.5</w:t>
            </w:r>
          </w:p>
        </w:tc>
        <w:tc>
          <w:tcPr>
            <w:tcW w:w="1256" w:type="dxa"/>
          </w:tcPr>
          <w:p w14:paraId="6761052F">
            <w:pPr>
              <w:adjustRightInd w:val="0"/>
              <w:snapToGrid w:val="0"/>
              <w:jc w:val="center"/>
              <w:rPr>
                <w:rFonts w:hint="eastAsia"/>
                <w:bCs/>
                <w:spacing w:val="-10"/>
              </w:rPr>
            </w:pPr>
            <w:r>
              <w:rPr>
                <w:rFonts w:hint="eastAsia"/>
                <w:bCs/>
                <w:spacing w:val="-10"/>
              </w:rPr>
              <w:t>0.8</w:t>
            </w:r>
          </w:p>
        </w:tc>
        <w:tc>
          <w:tcPr>
            <w:tcW w:w="1402" w:type="dxa"/>
          </w:tcPr>
          <w:p w14:paraId="1010DBAE">
            <w:pPr>
              <w:adjustRightInd w:val="0"/>
              <w:snapToGrid w:val="0"/>
              <w:jc w:val="center"/>
              <w:rPr>
                <w:rFonts w:hint="eastAsia"/>
                <w:bCs/>
                <w:spacing w:val="-10"/>
              </w:rPr>
            </w:pPr>
            <w:r>
              <w:rPr>
                <w:bCs/>
                <w:spacing w:val="-10"/>
              </w:rPr>
              <w:t>SLAB模型</w:t>
            </w:r>
          </w:p>
        </w:tc>
      </w:tr>
      <w:tr w14:paraId="68FBE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0" w:type="dxa"/>
          </w:tcPr>
          <w:p w14:paraId="7839CE06">
            <w:pPr>
              <w:adjustRightInd w:val="0"/>
              <w:snapToGrid w:val="0"/>
              <w:jc w:val="center"/>
              <w:rPr>
                <w:rFonts w:hint="eastAsia"/>
                <w:bCs/>
                <w:spacing w:val="-10"/>
              </w:rPr>
            </w:pPr>
            <w:r>
              <w:rPr>
                <w:rFonts w:hint="eastAsia"/>
                <w:bCs/>
                <w:spacing w:val="-10"/>
              </w:rPr>
              <w:t>混合芳烃（以甲苯计）</w:t>
            </w:r>
          </w:p>
        </w:tc>
        <w:tc>
          <w:tcPr>
            <w:tcW w:w="1195" w:type="dxa"/>
          </w:tcPr>
          <w:p w14:paraId="5CA1C718">
            <w:pPr>
              <w:adjustRightInd w:val="0"/>
              <w:snapToGrid w:val="0"/>
              <w:jc w:val="center"/>
              <w:rPr>
                <w:rFonts w:hint="eastAsia"/>
                <w:bCs/>
                <w:spacing w:val="-10"/>
              </w:rPr>
            </w:pPr>
            <w:r>
              <w:rPr>
                <w:rFonts w:hint="eastAsia"/>
                <w:bCs/>
                <w:spacing w:val="-10"/>
              </w:rPr>
              <w:t>3.83</w:t>
            </w:r>
          </w:p>
        </w:tc>
        <w:tc>
          <w:tcPr>
            <w:tcW w:w="1195" w:type="dxa"/>
          </w:tcPr>
          <w:p w14:paraId="455FDAEE">
            <w:pPr>
              <w:adjustRightInd w:val="0"/>
              <w:snapToGrid w:val="0"/>
              <w:jc w:val="center"/>
              <w:rPr>
                <w:rFonts w:hint="eastAsia"/>
                <w:bCs/>
                <w:spacing w:val="-10"/>
              </w:rPr>
            </w:pPr>
            <w:r>
              <w:rPr>
                <w:rFonts w:hint="eastAsia"/>
                <w:bCs/>
                <w:spacing w:val="-10"/>
              </w:rPr>
              <w:t>1.29</w:t>
            </w:r>
          </w:p>
        </w:tc>
        <w:tc>
          <w:tcPr>
            <w:tcW w:w="1190" w:type="dxa"/>
          </w:tcPr>
          <w:p w14:paraId="095EB5EE">
            <w:pPr>
              <w:adjustRightInd w:val="0"/>
              <w:snapToGrid w:val="0"/>
              <w:jc w:val="center"/>
              <w:rPr>
                <w:rFonts w:hint="eastAsia"/>
                <w:bCs/>
                <w:spacing w:val="-10"/>
              </w:rPr>
            </w:pPr>
            <w:r>
              <w:rPr>
                <w:rFonts w:hint="eastAsia"/>
                <w:bCs/>
                <w:spacing w:val="-10"/>
                <w:szCs w:val="21"/>
              </w:rPr>
              <w:t>0.0713</w:t>
            </w:r>
          </w:p>
        </w:tc>
        <w:tc>
          <w:tcPr>
            <w:tcW w:w="1192" w:type="dxa"/>
          </w:tcPr>
          <w:p w14:paraId="11761A4B">
            <w:pPr>
              <w:adjustRightInd w:val="0"/>
              <w:snapToGrid w:val="0"/>
              <w:jc w:val="center"/>
              <w:rPr>
                <w:rFonts w:hint="eastAsia"/>
                <w:bCs/>
                <w:spacing w:val="-10"/>
              </w:rPr>
            </w:pPr>
            <w:r>
              <w:rPr>
                <w:rFonts w:hint="eastAsia"/>
                <w:bCs/>
                <w:spacing w:val="-10"/>
              </w:rPr>
              <w:t>1.5</w:t>
            </w:r>
          </w:p>
        </w:tc>
        <w:tc>
          <w:tcPr>
            <w:tcW w:w="1256" w:type="dxa"/>
          </w:tcPr>
          <w:p w14:paraId="7ADB76E0">
            <w:pPr>
              <w:adjustRightInd w:val="0"/>
              <w:snapToGrid w:val="0"/>
              <w:jc w:val="center"/>
              <w:rPr>
                <w:rFonts w:hint="eastAsia"/>
                <w:bCs/>
                <w:spacing w:val="-10"/>
              </w:rPr>
            </w:pPr>
            <w:r>
              <w:rPr>
                <w:rFonts w:hint="eastAsia"/>
                <w:bCs/>
                <w:spacing w:val="-10"/>
              </w:rPr>
              <w:t>2.27</w:t>
            </w:r>
          </w:p>
        </w:tc>
        <w:tc>
          <w:tcPr>
            <w:tcW w:w="1402" w:type="dxa"/>
          </w:tcPr>
          <w:p w14:paraId="506C6217">
            <w:pPr>
              <w:adjustRightInd w:val="0"/>
              <w:snapToGrid w:val="0"/>
              <w:jc w:val="center"/>
              <w:rPr>
                <w:rFonts w:hint="eastAsia"/>
                <w:bCs/>
                <w:spacing w:val="-10"/>
              </w:rPr>
            </w:pPr>
            <w:r>
              <w:rPr>
                <w:bCs/>
                <w:spacing w:val="-10"/>
              </w:rPr>
              <w:t>SLAB模型</w:t>
            </w:r>
          </w:p>
        </w:tc>
      </w:tr>
      <w:tr w14:paraId="60A7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0" w:type="dxa"/>
          </w:tcPr>
          <w:p w14:paraId="2F779C7F">
            <w:pPr>
              <w:adjustRightInd w:val="0"/>
              <w:snapToGrid w:val="0"/>
              <w:jc w:val="center"/>
              <w:rPr>
                <w:rFonts w:hint="eastAsia"/>
                <w:bCs/>
                <w:spacing w:val="-10"/>
              </w:rPr>
            </w:pPr>
            <w:r>
              <w:rPr>
                <w:bCs/>
                <w:spacing w:val="-10"/>
              </w:rPr>
              <w:t>CO</w:t>
            </w:r>
          </w:p>
        </w:tc>
        <w:tc>
          <w:tcPr>
            <w:tcW w:w="1195" w:type="dxa"/>
          </w:tcPr>
          <w:p w14:paraId="1ABB7F71">
            <w:pPr>
              <w:adjustRightInd w:val="0"/>
              <w:snapToGrid w:val="0"/>
              <w:jc w:val="center"/>
              <w:rPr>
                <w:rFonts w:hint="eastAsia"/>
                <w:bCs/>
                <w:spacing w:val="-10"/>
              </w:rPr>
            </w:pPr>
            <w:r>
              <w:rPr>
                <w:rFonts w:hint="eastAsia"/>
                <w:bCs/>
                <w:spacing w:val="-10"/>
              </w:rPr>
              <w:t>1.165</w:t>
            </w:r>
          </w:p>
        </w:tc>
        <w:tc>
          <w:tcPr>
            <w:tcW w:w="1195" w:type="dxa"/>
          </w:tcPr>
          <w:p w14:paraId="2614DA95">
            <w:pPr>
              <w:adjustRightInd w:val="0"/>
              <w:snapToGrid w:val="0"/>
              <w:jc w:val="center"/>
              <w:rPr>
                <w:rFonts w:hint="eastAsia"/>
                <w:bCs/>
                <w:spacing w:val="-10"/>
              </w:rPr>
            </w:pPr>
            <w:r>
              <w:rPr>
                <w:bCs/>
                <w:spacing w:val="-10"/>
              </w:rPr>
              <w:t>1.29</w:t>
            </w:r>
          </w:p>
        </w:tc>
        <w:tc>
          <w:tcPr>
            <w:tcW w:w="1190" w:type="dxa"/>
          </w:tcPr>
          <w:p w14:paraId="09125961">
            <w:pPr>
              <w:adjustRightInd w:val="0"/>
              <w:snapToGrid w:val="0"/>
              <w:jc w:val="center"/>
              <w:rPr>
                <w:rFonts w:hint="eastAsia"/>
                <w:bCs/>
                <w:spacing w:val="-10"/>
              </w:rPr>
            </w:pPr>
            <w:r>
              <w:rPr>
                <w:rFonts w:hint="eastAsia"/>
                <w:bCs/>
                <w:spacing w:val="-10"/>
              </w:rPr>
              <w:t>0.024</w:t>
            </w:r>
          </w:p>
        </w:tc>
        <w:tc>
          <w:tcPr>
            <w:tcW w:w="1192" w:type="dxa"/>
          </w:tcPr>
          <w:p w14:paraId="1FFB8A26">
            <w:pPr>
              <w:adjustRightInd w:val="0"/>
              <w:snapToGrid w:val="0"/>
              <w:jc w:val="center"/>
              <w:rPr>
                <w:rFonts w:hint="eastAsia"/>
                <w:bCs/>
                <w:spacing w:val="-10"/>
              </w:rPr>
            </w:pPr>
            <w:r>
              <w:rPr>
                <w:bCs/>
                <w:spacing w:val="-10"/>
              </w:rPr>
              <w:t>1.5</w:t>
            </w:r>
          </w:p>
        </w:tc>
        <w:tc>
          <w:tcPr>
            <w:tcW w:w="1256" w:type="dxa"/>
          </w:tcPr>
          <w:p w14:paraId="0FEF9838">
            <w:pPr>
              <w:adjustRightInd w:val="0"/>
              <w:snapToGrid w:val="0"/>
              <w:jc w:val="center"/>
              <w:rPr>
                <w:rFonts w:hint="eastAsia"/>
                <w:bCs/>
                <w:spacing w:val="-10"/>
              </w:rPr>
            </w:pPr>
            <w:r>
              <w:rPr>
                <w:rFonts w:hint="eastAsia"/>
                <w:bCs/>
                <w:spacing w:val="-10"/>
              </w:rPr>
              <w:t>-0.51</w:t>
            </w:r>
          </w:p>
        </w:tc>
        <w:tc>
          <w:tcPr>
            <w:tcW w:w="1402" w:type="dxa"/>
          </w:tcPr>
          <w:p w14:paraId="75AF4999">
            <w:pPr>
              <w:adjustRightInd w:val="0"/>
              <w:snapToGrid w:val="0"/>
              <w:jc w:val="center"/>
              <w:rPr>
                <w:rFonts w:hint="eastAsia"/>
                <w:bCs/>
                <w:spacing w:val="-10"/>
              </w:rPr>
            </w:pPr>
            <w:r>
              <w:rPr>
                <w:bCs/>
                <w:spacing w:val="-10"/>
              </w:rPr>
              <w:t>AFTOX模式</w:t>
            </w:r>
          </w:p>
        </w:tc>
      </w:tr>
    </w:tbl>
    <w:p w14:paraId="1141EDE9">
      <w:pPr>
        <w:adjustRightInd w:val="0"/>
        <w:snapToGrid w:val="0"/>
        <w:spacing w:line="360" w:lineRule="auto"/>
        <w:ind w:firstLine="440" w:firstLineChars="200"/>
        <w:rPr>
          <w:rFonts w:hint="eastAsia"/>
          <w:bCs/>
          <w:spacing w:val="-10"/>
        </w:rPr>
      </w:pPr>
      <w:r>
        <w:rPr>
          <w:rFonts w:hint="eastAsia"/>
          <w:bCs/>
          <w:spacing w:val="-10"/>
        </w:rPr>
        <w:t>（1）</w:t>
      </w:r>
      <w:r>
        <w:rPr>
          <w:bCs/>
          <w:spacing w:val="-10"/>
        </w:rPr>
        <w:t>预测范围与计算点</w:t>
      </w:r>
    </w:p>
    <w:p w14:paraId="2950B9BF">
      <w:pPr>
        <w:adjustRightInd w:val="0"/>
        <w:snapToGrid w:val="0"/>
        <w:spacing w:line="360" w:lineRule="auto"/>
        <w:ind w:firstLine="440" w:firstLineChars="200"/>
        <w:rPr>
          <w:rFonts w:hint="eastAsia"/>
          <w:bCs/>
          <w:spacing w:val="-10"/>
        </w:rPr>
      </w:pPr>
      <w:r>
        <w:rPr>
          <w:bCs/>
          <w:spacing w:val="-10"/>
        </w:rPr>
        <w:t>预测范围为距离项目边界5.0km范围。</w:t>
      </w:r>
    </w:p>
    <w:p w14:paraId="18F28D69">
      <w:pPr>
        <w:adjustRightInd w:val="0"/>
        <w:snapToGrid w:val="0"/>
        <w:spacing w:line="360" w:lineRule="auto"/>
        <w:ind w:firstLine="440" w:firstLineChars="200"/>
        <w:rPr>
          <w:rFonts w:hint="eastAsia"/>
          <w:bCs/>
          <w:spacing w:val="-10"/>
        </w:rPr>
      </w:pPr>
      <w:r>
        <w:rPr>
          <w:bCs/>
          <w:spacing w:val="-10"/>
        </w:rPr>
        <w:t>计算点分为特殊计算点和一般计算点。特殊计算点指大气环境敏感目标等关心点；一般计算点指下风向不同距离点，本项目设置50m间距。</w:t>
      </w:r>
    </w:p>
    <w:p w14:paraId="2C27B163">
      <w:pPr>
        <w:adjustRightInd w:val="0"/>
        <w:snapToGrid w:val="0"/>
        <w:spacing w:line="360" w:lineRule="auto"/>
        <w:ind w:firstLine="440" w:firstLineChars="200"/>
        <w:rPr>
          <w:rFonts w:hint="eastAsia"/>
          <w:bCs/>
          <w:spacing w:val="-10"/>
        </w:rPr>
      </w:pPr>
      <w:r>
        <w:rPr>
          <w:rFonts w:hint="eastAsia"/>
          <w:bCs/>
          <w:spacing w:val="-10"/>
        </w:rPr>
        <w:t>（2）</w:t>
      </w:r>
      <w:r>
        <w:rPr>
          <w:bCs/>
          <w:spacing w:val="-10"/>
        </w:rPr>
        <w:t>气象参数</w:t>
      </w:r>
    </w:p>
    <w:p w14:paraId="1844B9ED">
      <w:pPr>
        <w:adjustRightInd w:val="0"/>
        <w:snapToGrid w:val="0"/>
        <w:spacing w:line="360" w:lineRule="auto"/>
        <w:ind w:firstLine="440" w:firstLineChars="200"/>
        <w:rPr>
          <w:rFonts w:hint="eastAsia"/>
          <w:bCs/>
          <w:spacing w:val="-10"/>
        </w:rPr>
      </w:pPr>
      <w:r>
        <w:rPr>
          <w:bCs/>
          <w:spacing w:val="-10"/>
        </w:rPr>
        <w:t>最不利气象条件取F类稳定度，1.5m/s风速，温度25℃，相对湿度50%。</w:t>
      </w:r>
    </w:p>
    <w:p w14:paraId="1F9D666E">
      <w:pPr>
        <w:adjustRightInd w:val="0"/>
        <w:snapToGrid w:val="0"/>
        <w:spacing w:line="360" w:lineRule="auto"/>
        <w:ind w:firstLine="440" w:firstLineChars="200"/>
        <w:rPr>
          <w:rFonts w:hint="eastAsia"/>
          <w:bCs/>
          <w:spacing w:val="-10"/>
        </w:rPr>
      </w:pPr>
      <w:r>
        <w:rPr>
          <w:rFonts w:hint="eastAsia"/>
          <w:bCs/>
          <w:spacing w:val="-10"/>
        </w:rPr>
        <w:t>（3）</w:t>
      </w:r>
      <w:r>
        <w:rPr>
          <w:bCs/>
          <w:spacing w:val="-10"/>
        </w:rPr>
        <w:t>大气毒性终点浓度选取</w:t>
      </w:r>
    </w:p>
    <w:p w14:paraId="746F5FAD">
      <w:pPr>
        <w:adjustRightInd w:val="0"/>
        <w:snapToGrid w:val="0"/>
        <w:spacing w:line="360" w:lineRule="auto"/>
        <w:ind w:firstLine="440" w:firstLineChars="200"/>
        <w:rPr>
          <w:rFonts w:hint="eastAsia"/>
          <w:bCs/>
          <w:spacing w:val="-10"/>
        </w:rPr>
      </w:pPr>
      <w:r>
        <w:rPr>
          <w:bCs/>
          <w:spacing w:val="-10"/>
        </w:rPr>
        <w:t>大气毒性终点浓度值选取分为1、2级。其中1级为当大气中危险物质浓度低于该限值时，绝大多数人员暴露1h不会对生命造成威胁，当超过该限值时，有可能对人群造成生命威胁；2级为当大气中危险物质浓度低于该限值时，暴露1h一般不会对人体造成不可逆的伤害，或出现的症状一般不会损伤该个体采取有效防护措施的能力。</w:t>
      </w:r>
    </w:p>
    <w:p w14:paraId="6FB66841">
      <w:pPr>
        <w:adjustRightInd w:val="0"/>
        <w:snapToGrid w:val="0"/>
        <w:spacing w:line="360" w:lineRule="auto"/>
        <w:ind w:firstLine="440" w:firstLineChars="200"/>
        <w:rPr>
          <w:rFonts w:hint="eastAsia"/>
          <w:bCs/>
          <w:spacing w:val="-10"/>
        </w:rPr>
      </w:pPr>
      <w:r>
        <w:rPr>
          <w:bCs/>
          <w:spacing w:val="-10"/>
        </w:rPr>
        <w:t>本项目预测的风险物质为一氧化碳</w:t>
      </w:r>
      <w:r>
        <w:rPr>
          <w:rFonts w:hint="eastAsia"/>
          <w:bCs/>
          <w:spacing w:val="-10"/>
        </w:rPr>
        <w:t>、MTBE和混合芳烃</w:t>
      </w:r>
      <w:r>
        <w:rPr>
          <w:bCs/>
          <w:spacing w:val="-10"/>
        </w:rPr>
        <w:t>，具体风险物质的大气浓度终点浓度值见下表。</w:t>
      </w:r>
    </w:p>
    <w:p w14:paraId="43CA81EB">
      <w:pPr>
        <w:adjustRightInd w:val="0"/>
        <w:snapToGrid w:val="0"/>
        <w:jc w:val="center"/>
        <w:rPr>
          <w:rFonts w:hint="eastAsia"/>
          <w:b/>
          <w:bCs/>
          <w:spacing w:val="-10"/>
        </w:rPr>
      </w:pPr>
      <w:r>
        <w:rPr>
          <w:b/>
          <w:bCs/>
          <w:spacing w:val="-10"/>
        </w:rPr>
        <w:t>表</w:t>
      </w:r>
      <w:r>
        <w:rPr>
          <w:rFonts w:hint="eastAsia"/>
          <w:b/>
          <w:bCs/>
          <w:spacing w:val="-10"/>
        </w:rPr>
        <w:t>6</w:t>
      </w:r>
      <w:r>
        <w:rPr>
          <w:b/>
          <w:bCs/>
          <w:spacing w:val="-10"/>
        </w:rPr>
        <w:t>-</w:t>
      </w:r>
      <w:r>
        <w:rPr>
          <w:rFonts w:hint="eastAsia"/>
          <w:b/>
          <w:bCs/>
          <w:spacing w:val="-10"/>
        </w:rPr>
        <w:t>34</w:t>
      </w:r>
      <w:r>
        <w:rPr>
          <w:b/>
          <w:bCs/>
          <w:spacing w:val="-10"/>
        </w:rPr>
        <w:t xml:space="preserve">  大气毒性终点浓度</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2126"/>
        <w:gridCol w:w="2835"/>
        <w:gridCol w:w="2509"/>
      </w:tblGrid>
      <w:tr w14:paraId="3108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66" w:type="dxa"/>
            <w:vAlign w:val="center"/>
          </w:tcPr>
          <w:p w14:paraId="4AE6FB66">
            <w:pPr>
              <w:adjustRightInd w:val="0"/>
              <w:snapToGrid w:val="0"/>
              <w:jc w:val="center"/>
              <w:rPr>
                <w:rFonts w:hint="eastAsia"/>
                <w:spacing w:val="-10"/>
              </w:rPr>
            </w:pPr>
            <w:r>
              <w:rPr>
                <w:spacing w:val="-10"/>
              </w:rPr>
              <w:t>序号</w:t>
            </w:r>
          </w:p>
        </w:tc>
        <w:tc>
          <w:tcPr>
            <w:tcW w:w="2126" w:type="dxa"/>
            <w:vAlign w:val="center"/>
          </w:tcPr>
          <w:p w14:paraId="1A474888">
            <w:pPr>
              <w:adjustRightInd w:val="0"/>
              <w:snapToGrid w:val="0"/>
              <w:jc w:val="center"/>
              <w:rPr>
                <w:rFonts w:hint="eastAsia"/>
                <w:spacing w:val="-10"/>
              </w:rPr>
            </w:pPr>
            <w:r>
              <w:rPr>
                <w:spacing w:val="-10"/>
              </w:rPr>
              <w:t>项目</w:t>
            </w:r>
          </w:p>
        </w:tc>
        <w:tc>
          <w:tcPr>
            <w:tcW w:w="2835" w:type="dxa"/>
            <w:vAlign w:val="center"/>
          </w:tcPr>
          <w:p w14:paraId="3BB64008">
            <w:pPr>
              <w:adjustRightInd w:val="0"/>
              <w:snapToGrid w:val="0"/>
              <w:rPr>
                <w:rFonts w:hint="eastAsia"/>
                <w:spacing w:val="-10"/>
              </w:rPr>
            </w:pPr>
            <w:r>
              <w:rPr>
                <w:spacing w:val="-10"/>
              </w:rPr>
              <w:t>毒性终点浓度-1/（mg/m</w:t>
            </w:r>
            <w:r>
              <w:rPr>
                <w:spacing w:val="-10"/>
                <w:vertAlign w:val="superscript"/>
              </w:rPr>
              <w:t>3</w:t>
            </w:r>
            <w:r>
              <w:rPr>
                <w:spacing w:val="-10"/>
              </w:rPr>
              <w:t>）</w:t>
            </w:r>
          </w:p>
        </w:tc>
        <w:tc>
          <w:tcPr>
            <w:tcW w:w="2509" w:type="dxa"/>
            <w:vAlign w:val="center"/>
          </w:tcPr>
          <w:p w14:paraId="59C33657">
            <w:pPr>
              <w:adjustRightInd w:val="0"/>
              <w:snapToGrid w:val="0"/>
              <w:rPr>
                <w:rFonts w:hint="eastAsia"/>
                <w:spacing w:val="-10"/>
              </w:rPr>
            </w:pPr>
            <w:r>
              <w:rPr>
                <w:spacing w:val="-10"/>
              </w:rPr>
              <w:t>毒性终点浓度-2/（mg/m</w:t>
            </w:r>
            <w:r>
              <w:rPr>
                <w:spacing w:val="-10"/>
                <w:vertAlign w:val="superscript"/>
              </w:rPr>
              <w:t>3</w:t>
            </w:r>
            <w:r>
              <w:rPr>
                <w:spacing w:val="-10"/>
              </w:rPr>
              <w:t>）</w:t>
            </w:r>
          </w:p>
        </w:tc>
      </w:tr>
      <w:tr w14:paraId="703F4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66" w:type="dxa"/>
            <w:vAlign w:val="center"/>
          </w:tcPr>
          <w:p w14:paraId="31182488">
            <w:pPr>
              <w:adjustRightInd w:val="0"/>
              <w:snapToGrid w:val="0"/>
              <w:rPr>
                <w:rFonts w:hint="eastAsia"/>
                <w:spacing w:val="-10"/>
              </w:rPr>
            </w:pPr>
            <w:r>
              <w:rPr>
                <w:spacing w:val="-10"/>
              </w:rPr>
              <w:t>1</w:t>
            </w:r>
          </w:p>
        </w:tc>
        <w:tc>
          <w:tcPr>
            <w:tcW w:w="2126" w:type="dxa"/>
            <w:vAlign w:val="center"/>
          </w:tcPr>
          <w:p w14:paraId="063E46B5">
            <w:pPr>
              <w:adjustRightInd w:val="0"/>
              <w:snapToGrid w:val="0"/>
              <w:rPr>
                <w:rFonts w:hint="eastAsia"/>
                <w:spacing w:val="-10"/>
              </w:rPr>
            </w:pPr>
            <w:r>
              <w:rPr>
                <w:spacing w:val="-10"/>
              </w:rPr>
              <w:t>CO</w:t>
            </w:r>
          </w:p>
        </w:tc>
        <w:tc>
          <w:tcPr>
            <w:tcW w:w="2835" w:type="dxa"/>
            <w:vAlign w:val="center"/>
          </w:tcPr>
          <w:p w14:paraId="1E2B444E">
            <w:pPr>
              <w:adjustRightInd w:val="0"/>
              <w:snapToGrid w:val="0"/>
              <w:rPr>
                <w:rFonts w:hint="eastAsia"/>
                <w:spacing w:val="-10"/>
              </w:rPr>
            </w:pPr>
            <w:r>
              <w:rPr>
                <w:spacing w:val="-10"/>
              </w:rPr>
              <w:t>380</w:t>
            </w:r>
          </w:p>
        </w:tc>
        <w:tc>
          <w:tcPr>
            <w:tcW w:w="2509" w:type="dxa"/>
            <w:vAlign w:val="center"/>
          </w:tcPr>
          <w:p w14:paraId="7CE820CD">
            <w:pPr>
              <w:adjustRightInd w:val="0"/>
              <w:snapToGrid w:val="0"/>
              <w:rPr>
                <w:rFonts w:hint="eastAsia"/>
                <w:spacing w:val="-10"/>
              </w:rPr>
            </w:pPr>
            <w:r>
              <w:rPr>
                <w:spacing w:val="-10"/>
              </w:rPr>
              <w:t>95</w:t>
            </w:r>
          </w:p>
        </w:tc>
      </w:tr>
      <w:tr w14:paraId="532E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66" w:type="dxa"/>
            <w:vAlign w:val="center"/>
          </w:tcPr>
          <w:p w14:paraId="46D57237">
            <w:pPr>
              <w:adjustRightInd w:val="0"/>
              <w:snapToGrid w:val="0"/>
              <w:rPr>
                <w:rFonts w:hint="eastAsia"/>
                <w:spacing w:val="-10"/>
              </w:rPr>
            </w:pPr>
            <w:r>
              <w:rPr>
                <w:spacing w:val="-10"/>
              </w:rPr>
              <w:t>2</w:t>
            </w:r>
          </w:p>
        </w:tc>
        <w:tc>
          <w:tcPr>
            <w:tcW w:w="2126" w:type="dxa"/>
            <w:vAlign w:val="center"/>
          </w:tcPr>
          <w:p w14:paraId="058B8AD1">
            <w:pPr>
              <w:adjustRightInd w:val="0"/>
              <w:snapToGrid w:val="0"/>
              <w:rPr>
                <w:rFonts w:hint="eastAsia"/>
                <w:spacing w:val="-10"/>
              </w:rPr>
            </w:pPr>
            <w:r>
              <w:rPr>
                <w:rFonts w:hint="eastAsia"/>
                <w:bCs/>
                <w:spacing w:val="-10"/>
              </w:rPr>
              <w:t>MTBE</w:t>
            </w:r>
          </w:p>
        </w:tc>
        <w:tc>
          <w:tcPr>
            <w:tcW w:w="2835" w:type="dxa"/>
            <w:vAlign w:val="center"/>
          </w:tcPr>
          <w:p w14:paraId="55591771">
            <w:pPr>
              <w:adjustRightInd w:val="0"/>
              <w:snapToGrid w:val="0"/>
              <w:rPr>
                <w:rFonts w:hint="eastAsia"/>
                <w:spacing w:val="-10"/>
              </w:rPr>
            </w:pPr>
            <w:r>
              <w:rPr>
                <w:rFonts w:hint="eastAsia"/>
                <w:spacing w:val="-10"/>
              </w:rPr>
              <w:t>19000</w:t>
            </w:r>
          </w:p>
        </w:tc>
        <w:tc>
          <w:tcPr>
            <w:tcW w:w="2509" w:type="dxa"/>
            <w:vAlign w:val="center"/>
          </w:tcPr>
          <w:p w14:paraId="55E527A3">
            <w:pPr>
              <w:adjustRightInd w:val="0"/>
              <w:snapToGrid w:val="0"/>
              <w:rPr>
                <w:rFonts w:hint="eastAsia"/>
                <w:spacing w:val="-10"/>
              </w:rPr>
            </w:pPr>
            <w:r>
              <w:rPr>
                <w:rFonts w:hint="eastAsia"/>
                <w:spacing w:val="-10"/>
              </w:rPr>
              <w:t>2100</w:t>
            </w:r>
          </w:p>
        </w:tc>
      </w:tr>
      <w:tr w14:paraId="17454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66" w:type="dxa"/>
            <w:vAlign w:val="center"/>
          </w:tcPr>
          <w:p w14:paraId="350FBB53">
            <w:pPr>
              <w:adjustRightInd w:val="0"/>
              <w:snapToGrid w:val="0"/>
              <w:rPr>
                <w:rFonts w:hint="eastAsia"/>
                <w:spacing w:val="-10"/>
              </w:rPr>
            </w:pPr>
            <w:r>
              <w:rPr>
                <w:rFonts w:hint="eastAsia"/>
                <w:spacing w:val="-10"/>
              </w:rPr>
              <w:t>3</w:t>
            </w:r>
          </w:p>
        </w:tc>
        <w:tc>
          <w:tcPr>
            <w:tcW w:w="2126" w:type="dxa"/>
            <w:vAlign w:val="center"/>
          </w:tcPr>
          <w:p w14:paraId="37922AC1">
            <w:pPr>
              <w:adjustRightInd w:val="0"/>
              <w:snapToGrid w:val="0"/>
              <w:rPr>
                <w:rFonts w:hint="eastAsia"/>
                <w:bCs/>
                <w:spacing w:val="-10"/>
              </w:rPr>
            </w:pPr>
            <w:r>
              <w:rPr>
                <w:rFonts w:hint="eastAsia"/>
                <w:bCs/>
                <w:spacing w:val="-10"/>
              </w:rPr>
              <w:t>混合芳烃（以甲苯计）</w:t>
            </w:r>
          </w:p>
        </w:tc>
        <w:tc>
          <w:tcPr>
            <w:tcW w:w="2835" w:type="dxa"/>
            <w:vAlign w:val="center"/>
          </w:tcPr>
          <w:p w14:paraId="7D7F1284">
            <w:pPr>
              <w:adjustRightInd w:val="0"/>
              <w:snapToGrid w:val="0"/>
              <w:rPr>
                <w:rFonts w:hint="eastAsia"/>
                <w:spacing w:val="-10"/>
              </w:rPr>
            </w:pPr>
            <w:r>
              <w:rPr>
                <w:rFonts w:hint="eastAsia"/>
                <w:spacing w:val="-10"/>
              </w:rPr>
              <w:t>14000</w:t>
            </w:r>
          </w:p>
        </w:tc>
        <w:tc>
          <w:tcPr>
            <w:tcW w:w="2509" w:type="dxa"/>
            <w:vAlign w:val="center"/>
          </w:tcPr>
          <w:p w14:paraId="0EF63B15">
            <w:pPr>
              <w:adjustRightInd w:val="0"/>
              <w:snapToGrid w:val="0"/>
              <w:rPr>
                <w:rFonts w:hint="eastAsia"/>
                <w:spacing w:val="-10"/>
              </w:rPr>
            </w:pPr>
            <w:r>
              <w:rPr>
                <w:rFonts w:hint="eastAsia"/>
                <w:spacing w:val="-10"/>
              </w:rPr>
              <w:t>2100</w:t>
            </w:r>
          </w:p>
        </w:tc>
      </w:tr>
    </w:tbl>
    <w:p w14:paraId="6298F299">
      <w:pPr>
        <w:adjustRightInd w:val="0"/>
        <w:snapToGrid w:val="0"/>
        <w:ind w:firstLine="440" w:firstLineChars="200"/>
        <w:rPr>
          <w:rFonts w:hint="eastAsia"/>
          <w:bCs/>
          <w:spacing w:val="-10"/>
        </w:rPr>
      </w:pPr>
    </w:p>
    <w:p w14:paraId="6C617DF6">
      <w:pPr>
        <w:adjustRightInd w:val="0"/>
        <w:snapToGrid w:val="0"/>
        <w:spacing w:line="360" w:lineRule="auto"/>
        <w:ind w:firstLine="440" w:firstLineChars="200"/>
        <w:rPr>
          <w:rFonts w:hint="eastAsia"/>
          <w:bCs/>
          <w:spacing w:val="-10"/>
        </w:rPr>
      </w:pPr>
      <w:r>
        <w:rPr>
          <w:bCs/>
          <w:spacing w:val="-10"/>
        </w:rPr>
        <w:t>根据预测方案，</w:t>
      </w:r>
      <w:r>
        <w:rPr>
          <w:rFonts w:hint="eastAsia"/>
          <w:bCs/>
          <w:spacing w:val="-10"/>
        </w:rPr>
        <w:t>MTBE</w:t>
      </w:r>
      <w:r>
        <w:rPr>
          <w:bCs/>
          <w:spacing w:val="-10"/>
        </w:rPr>
        <w:t>储罐泄漏事故预测结果见下表。</w:t>
      </w:r>
    </w:p>
    <w:p w14:paraId="732A363B">
      <w:pPr>
        <w:adjustRightInd w:val="0"/>
        <w:snapToGrid w:val="0"/>
        <w:jc w:val="center"/>
        <w:rPr>
          <w:rFonts w:hint="eastAsia"/>
          <w:b/>
          <w:bCs/>
          <w:spacing w:val="-10"/>
        </w:rPr>
      </w:pPr>
      <w:r>
        <w:rPr>
          <w:b/>
          <w:bCs/>
          <w:spacing w:val="-10"/>
        </w:rPr>
        <w:t>表</w:t>
      </w:r>
      <w:r>
        <w:rPr>
          <w:rFonts w:hint="eastAsia"/>
          <w:b/>
          <w:bCs/>
          <w:spacing w:val="-10"/>
        </w:rPr>
        <w:t>6</w:t>
      </w:r>
      <w:r>
        <w:rPr>
          <w:b/>
          <w:bCs/>
          <w:spacing w:val="-10"/>
        </w:rPr>
        <w:t>-</w:t>
      </w:r>
      <w:r>
        <w:rPr>
          <w:rFonts w:hint="eastAsia"/>
          <w:b/>
          <w:bCs/>
          <w:spacing w:val="-10"/>
        </w:rPr>
        <w:t>35</w:t>
      </w:r>
      <w:r>
        <w:rPr>
          <w:b/>
          <w:bCs/>
          <w:spacing w:val="-10"/>
        </w:rPr>
        <w:t xml:space="preserve">  </w:t>
      </w:r>
      <w:r>
        <w:rPr>
          <w:rFonts w:hint="eastAsia"/>
          <w:bCs/>
          <w:spacing w:val="-10"/>
        </w:rPr>
        <w:t>MTBE</w:t>
      </w:r>
      <w:r>
        <w:rPr>
          <w:b/>
          <w:bCs/>
          <w:spacing w:val="-10"/>
        </w:rPr>
        <w:t>储罐泄漏事故源项和后果基本信息表</w:t>
      </w:r>
    </w:p>
    <w:tbl>
      <w:tblPr>
        <w:tblStyle w:val="16"/>
        <w:tblW w:w="5011" w:type="pct"/>
        <w:jc w:val="center"/>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Layout w:type="autofit"/>
        <w:tblCellMar>
          <w:top w:w="0" w:type="dxa"/>
          <w:left w:w="108" w:type="dxa"/>
          <w:bottom w:w="0" w:type="dxa"/>
          <w:right w:w="108" w:type="dxa"/>
        </w:tblCellMar>
      </w:tblPr>
      <w:tblGrid>
        <w:gridCol w:w="436"/>
        <w:gridCol w:w="1076"/>
        <w:gridCol w:w="901"/>
        <w:gridCol w:w="1293"/>
        <w:gridCol w:w="405"/>
        <w:gridCol w:w="1125"/>
        <w:gridCol w:w="307"/>
        <w:gridCol w:w="933"/>
        <w:gridCol w:w="558"/>
        <w:gridCol w:w="57"/>
        <w:gridCol w:w="768"/>
        <w:gridCol w:w="974"/>
      </w:tblGrid>
      <w:tr w14:paraId="111A734A">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7" w:hRule="atLeast"/>
          <w:jc w:val="center"/>
        </w:trPr>
        <w:tc>
          <w:tcPr>
            <w:tcW w:w="5000" w:type="pct"/>
            <w:gridSpan w:val="12"/>
            <w:tcBorders>
              <w:bottom w:val="single" w:color="auto" w:sz="8" w:space="0"/>
            </w:tcBorders>
            <w:vAlign w:val="center"/>
          </w:tcPr>
          <w:p w14:paraId="356F7CFB">
            <w:pPr>
              <w:adjustRightInd w:val="0"/>
              <w:snapToGrid w:val="0"/>
              <w:rPr>
                <w:rFonts w:hint="eastAsia"/>
                <w:spacing w:val="-10"/>
                <w:vertAlign w:val="superscript"/>
              </w:rPr>
            </w:pPr>
            <w:r>
              <w:rPr>
                <w:spacing w:val="-10"/>
              </w:rPr>
              <w:t>风险事故情形分析</w:t>
            </w:r>
          </w:p>
        </w:tc>
      </w:tr>
      <w:tr w14:paraId="7366B022">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7" w:hRule="atLeast"/>
          <w:jc w:val="center"/>
        </w:trPr>
        <w:tc>
          <w:tcPr>
            <w:tcW w:w="1366" w:type="pct"/>
            <w:gridSpan w:val="3"/>
            <w:tcBorders>
              <w:top w:val="single" w:color="auto" w:sz="8" w:space="0"/>
              <w:bottom w:val="single" w:color="auto" w:sz="8" w:space="0"/>
              <w:right w:val="single" w:color="auto" w:sz="8" w:space="0"/>
            </w:tcBorders>
            <w:vAlign w:val="center"/>
          </w:tcPr>
          <w:p w14:paraId="3EC5AA03">
            <w:pPr>
              <w:adjustRightInd w:val="0"/>
              <w:snapToGrid w:val="0"/>
              <w:rPr>
                <w:rFonts w:hint="eastAsia"/>
                <w:spacing w:val="-10"/>
              </w:rPr>
            </w:pPr>
            <w:r>
              <w:rPr>
                <w:spacing w:val="-10"/>
              </w:rPr>
              <w:t>代表性风险事故情形描述</w:t>
            </w:r>
          </w:p>
        </w:tc>
        <w:tc>
          <w:tcPr>
            <w:tcW w:w="3634" w:type="pct"/>
            <w:gridSpan w:val="9"/>
            <w:tcBorders>
              <w:top w:val="single" w:color="auto" w:sz="8" w:space="0"/>
              <w:left w:val="single" w:color="auto" w:sz="8" w:space="0"/>
              <w:bottom w:val="single" w:color="auto" w:sz="8" w:space="0"/>
            </w:tcBorders>
            <w:vAlign w:val="center"/>
          </w:tcPr>
          <w:p w14:paraId="4017FD8C">
            <w:pPr>
              <w:adjustRightInd w:val="0"/>
              <w:snapToGrid w:val="0"/>
              <w:rPr>
                <w:rFonts w:hint="eastAsia"/>
                <w:spacing w:val="-10"/>
              </w:rPr>
            </w:pPr>
            <w:r>
              <w:rPr>
                <w:rFonts w:hint="eastAsia"/>
                <w:bCs/>
                <w:spacing w:val="-10"/>
              </w:rPr>
              <w:t>MTBE</w:t>
            </w:r>
            <w:r>
              <w:rPr>
                <w:spacing w:val="-10"/>
              </w:rPr>
              <w:t>储罐泄漏后液池蒸发</w:t>
            </w:r>
          </w:p>
        </w:tc>
      </w:tr>
      <w:tr w14:paraId="44F9F344">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7" w:hRule="atLeast"/>
          <w:jc w:val="center"/>
        </w:trPr>
        <w:tc>
          <w:tcPr>
            <w:tcW w:w="1366" w:type="pct"/>
            <w:gridSpan w:val="3"/>
            <w:tcBorders>
              <w:top w:val="single" w:color="auto" w:sz="8" w:space="0"/>
              <w:bottom w:val="single" w:color="auto" w:sz="8" w:space="0"/>
              <w:right w:val="single" w:color="auto" w:sz="8" w:space="0"/>
            </w:tcBorders>
            <w:vAlign w:val="center"/>
          </w:tcPr>
          <w:p w14:paraId="4580051B">
            <w:pPr>
              <w:adjustRightInd w:val="0"/>
              <w:snapToGrid w:val="0"/>
              <w:rPr>
                <w:rFonts w:hint="eastAsia"/>
                <w:spacing w:val="-10"/>
              </w:rPr>
            </w:pPr>
            <w:r>
              <w:rPr>
                <w:spacing w:val="-10"/>
              </w:rPr>
              <w:t>环境风险类型</w:t>
            </w:r>
          </w:p>
        </w:tc>
        <w:tc>
          <w:tcPr>
            <w:tcW w:w="3634" w:type="pct"/>
            <w:gridSpan w:val="9"/>
            <w:tcBorders>
              <w:top w:val="single" w:color="auto" w:sz="8" w:space="0"/>
              <w:left w:val="single" w:color="auto" w:sz="8" w:space="0"/>
              <w:bottom w:val="single" w:color="auto" w:sz="8" w:space="0"/>
            </w:tcBorders>
            <w:vAlign w:val="center"/>
          </w:tcPr>
          <w:p w14:paraId="5B50C748">
            <w:pPr>
              <w:adjustRightInd w:val="0"/>
              <w:snapToGrid w:val="0"/>
              <w:rPr>
                <w:rFonts w:hint="eastAsia"/>
                <w:spacing w:val="-10"/>
              </w:rPr>
            </w:pPr>
            <w:r>
              <w:rPr>
                <w:spacing w:val="-10"/>
              </w:rPr>
              <w:t>泄漏</w:t>
            </w:r>
          </w:p>
        </w:tc>
      </w:tr>
      <w:tr w14:paraId="302EF9F1">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7" w:hRule="atLeast"/>
          <w:jc w:val="center"/>
        </w:trPr>
        <w:tc>
          <w:tcPr>
            <w:tcW w:w="1366" w:type="pct"/>
            <w:gridSpan w:val="3"/>
            <w:tcBorders>
              <w:top w:val="single" w:color="auto" w:sz="8" w:space="0"/>
              <w:bottom w:val="single" w:color="auto" w:sz="8" w:space="0"/>
              <w:right w:val="single" w:color="auto" w:sz="8" w:space="0"/>
            </w:tcBorders>
            <w:vAlign w:val="center"/>
          </w:tcPr>
          <w:p w14:paraId="43F656F0">
            <w:pPr>
              <w:adjustRightInd w:val="0"/>
              <w:snapToGrid w:val="0"/>
              <w:rPr>
                <w:rFonts w:hint="eastAsia"/>
                <w:spacing w:val="-10"/>
              </w:rPr>
            </w:pPr>
            <w:r>
              <w:rPr>
                <w:spacing w:val="-10"/>
              </w:rPr>
              <w:t>泄漏设备类型</w:t>
            </w:r>
          </w:p>
        </w:tc>
        <w:tc>
          <w:tcPr>
            <w:tcW w:w="961" w:type="pct"/>
            <w:gridSpan w:val="2"/>
            <w:tcBorders>
              <w:top w:val="single" w:color="auto" w:sz="8" w:space="0"/>
              <w:left w:val="single" w:color="auto" w:sz="8" w:space="0"/>
              <w:bottom w:val="single" w:color="auto" w:sz="8" w:space="0"/>
              <w:right w:val="single" w:color="auto" w:sz="8" w:space="0"/>
            </w:tcBorders>
            <w:vAlign w:val="center"/>
          </w:tcPr>
          <w:p w14:paraId="5C7209DB">
            <w:pPr>
              <w:adjustRightInd w:val="0"/>
              <w:snapToGrid w:val="0"/>
              <w:rPr>
                <w:rFonts w:hint="eastAsia"/>
                <w:spacing w:val="-10"/>
              </w:rPr>
            </w:pPr>
            <w:r>
              <w:rPr>
                <w:spacing w:val="-10"/>
              </w:rPr>
              <w:t>工艺储罐</w:t>
            </w:r>
          </w:p>
        </w:tc>
        <w:tc>
          <w:tcPr>
            <w:tcW w:w="811" w:type="pct"/>
            <w:gridSpan w:val="2"/>
            <w:tcBorders>
              <w:top w:val="single" w:color="auto" w:sz="8" w:space="0"/>
              <w:left w:val="single" w:color="auto" w:sz="8" w:space="0"/>
              <w:bottom w:val="single" w:color="auto" w:sz="8" w:space="0"/>
              <w:right w:val="single" w:color="auto" w:sz="8" w:space="0"/>
            </w:tcBorders>
            <w:vAlign w:val="center"/>
          </w:tcPr>
          <w:p w14:paraId="1DF0FA24">
            <w:pPr>
              <w:adjustRightInd w:val="0"/>
              <w:snapToGrid w:val="0"/>
              <w:rPr>
                <w:rFonts w:hint="eastAsia"/>
                <w:spacing w:val="-10"/>
              </w:rPr>
            </w:pPr>
            <w:r>
              <w:rPr>
                <w:spacing w:val="-10"/>
              </w:rPr>
              <w:t>操作温度/℃</w:t>
            </w:r>
          </w:p>
        </w:tc>
        <w:tc>
          <w:tcPr>
            <w:tcW w:w="528" w:type="pct"/>
            <w:tcBorders>
              <w:top w:val="single" w:color="auto" w:sz="8" w:space="0"/>
              <w:left w:val="single" w:color="auto" w:sz="8" w:space="0"/>
              <w:bottom w:val="single" w:color="auto" w:sz="8" w:space="0"/>
              <w:right w:val="single" w:color="auto" w:sz="8" w:space="0"/>
            </w:tcBorders>
            <w:vAlign w:val="center"/>
          </w:tcPr>
          <w:p w14:paraId="40B8F9EA">
            <w:pPr>
              <w:adjustRightInd w:val="0"/>
              <w:snapToGrid w:val="0"/>
              <w:rPr>
                <w:rFonts w:hint="eastAsia"/>
                <w:spacing w:val="-10"/>
              </w:rPr>
            </w:pPr>
            <w:r>
              <w:rPr>
                <w:spacing w:val="-10"/>
              </w:rPr>
              <w:t>25</w:t>
            </w:r>
          </w:p>
        </w:tc>
        <w:tc>
          <w:tcPr>
            <w:tcW w:w="783" w:type="pct"/>
            <w:gridSpan w:val="3"/>
            <w:tcBorders>
              <w:top w:val="single" w:color="auto" w:sz="8" w:space="0"/>
              <w:left w:val="single" w:color="auto" w:sz="8" w:space="0"/>
              <w:bottom w:val="single" w:color="auto" w:sz="8" w:space="0"/>
              <w:right w:val="single" w:color="auto" w:sz="8" w:space="0"/>
            </w:tcBorders>
            <w:vAlign w:val="center"/>
          </w:tcPr>
          <w:p w14:paraId="135860C0">
            <w:pPr>
              <w:adjustRightInd w:val="0"/>
              <w:snapToGrid w:val="0"/>
              <w:rPr>
                <w:rFonts w:hint="eastAsia"/>
                <w:spacing w:val="-10"/>
              </w:rPr>
            </w:pPr>
            <w:r>
              <w:rPr>
                <w:spacing w:val="-10"/>
              </w:rPr>
              <w:t>操作压力/MPa</w:t>
            </w:r>
          </w:p>
        </w:tc>
        <w:tc>
          <w:tcPr>
            <w:tcW w:w="551" w:type="pct"/>
            <w:tcBorders>
              <w:top w:val="single" w:color="auto" w:sz="8" w:space="0"/>
              <w:left w:val="single" w:color="auto" w:sz="8" w:space="0"/>
              <w:bottom w:val="single" w:color="auto" w:sz="8" w:space="0"/>
            </w:tcBorders>
            <w:vAlign w:val="center"/>
          </w:tcPr>
          <w:p w14:paraId="408457F4">
            <w:pPr>
              <w:adjustRightInd w:val="0"/>
              <w:snapToGrid w:val="0"/>
              <w:rPr>
                <w:rFonts w:hint="eastAsia"/>
                <w:spacing w:val="-10"/>
              </w:rPr>
            </w:pPr>
            <w:r>
              <w:rPr>
                <w:spacing w:val="-10"/>
              </w:rPr>
              <w:t>0.1</w:t>
            </w:r>
          </w:p>
        </w:tc>
      </w:tr>
      <w:tr w14:paraId="198E8F57">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7" w:hRule="atLeast"/>
          <w:jc w:val="center"/>
        </w:trPr>
        <w:tc>
          <w:tcPr>
            <w:tcW w:w="1366" w:type="pct"/>
            <w:gridSpan w:val="3"/>
            <w:tcBorders>
              <w:top w:val="single" w:color="auto" w:sz="8" w:space="0"/>
              <w:bottom w:val="single" w:color="auto" w:sz="8" w:space="0"/>
              <w:right w:val="single" w:color="auto" w:sz="8" w:space="0"/>
            </w:tcBorders>
            <w:vAlign w:val="center"/>
          </w:tcPr>
          <w:p w14:paraId="15376546">
            <w:pPr>
              <w:adjustRightInd w:val="0"/>
              <w:snapToGrid w:val="0"/>
              <w:rPr>
                <w:rFonts w:hint="eastAsia"/>
                <w:spacing w:val="-10"/>
              </w:rPr>
            </w:pPr>
            <w:r>
              <w:rPr>
                <w:spacing w:val="-10"/>
              </w:rPr>
              <w:t>泄漏危险物质</w:t>
            </w:r>
          </w:p>
        </w:tc>
        <w:tc>
          <w:tcPr>
            <w:tcW w:w="961" w:type="pct"/>
            <w:gridSpan w:val="2"/>
            <w:tcBorders>
              <w:top w:val="single" w:color="auto" w:sz="8" w:space="0"/>
              <w:left w:val="single" w:color="auto" w:sz="8" w:space="0"/>
              <w:bottom w:val="single" w:color="auto" w:sz="8" w:space="0"/>
              <w:right w:val="single" w:color="auto" w:sz="8" w:space="0"/>
            </w:tcBorders>
            <w:vAlign w:val="center"/>
          </w:tcPr>
          <w:p w14:paraId="0934F64A">
            <w:pPr>
              <w:adjustRightInd w:val="0"/>
              <w:snapToGrid w:val="0"/>
              <w:rPr>
                <w:rFonts w:hint="eastAsia"/>
                <w:spacing w:val="-10"/>
              </w:rPr>
            </w:pPr>
            <w:r>
              <w:rPr>
                <w:rFonts w:hint="eastAsia"/>
                <w:bCs/>
                <w:spacing w:val="-10"/>
              </w:rPr>
              <w:t>MTBE</w:t>
            </w:r>
          </w:p>
        </w:tc>
        <w:tc>
          <w:tcPr>
            <w:tcW w:w="811" w:type="pct"/>
            <w:gridSpan w:val="2"/>
            <w:tcBorders>
              <w:top w:val="single" w:color="auto" w:sz="8" w:space="0"/>
              <w:left w:val="single" w:color="auto" w:sz="8" w:space="0"/>
              <w:bottom w:val="single" w:color="auto" w:sz="8" w:space="0"/>
              <w:right w:val="single" w:color="auto" w:sz="8" w:space="0"/>
            </w:tcBorders>
            <w:vAlign w:val="center"/>
          </w:tcPr>
          <w:p w14:paraId="4FD92FC7">
            <w:pPr>
              <w:adjustRightInd w:val="0"/>
              <w:snapToGrid w:val="0"/>
              <w:rPr>
                <w:rFonts w:hint="eastAsia"/>
                <w:spacing w:val="-10"/>
              </w:rPr>
            </w:pPr>
            <w:r>
              <w:rPr>
                <w:spacing w:val="-10"/>
              </w:rPr>
              <w:t>泄漏高度/m</w:t>
            </w:r>
          </w:p>
        </w:tc>
        <w:tc>
          <w:tcPr>
            <w:tcW w:w="528" w:type="pct"/>
            <w:tcBorders>
              <w:top w:val="single" w:color="auto" w:sz="8" w:space="0"/>
              <w:left w:val="single" w:color="auto" w:sz="8" w:space="0"/>
              <w:bottom w:val="single" w:color="auto" w:sz="8" w:space="0"/>
              <w:right w:val="single" w:color="auto" w:sz="8" w:space="0"/>
            </w:tcBorders>
            <w:vAlign w:val="center"/>
          </w:tcPr>
          <w:p w14:paraId="5A0AB64A">
            <w:pPr>
              <w:adjustRightInd w:val="0"/>
              <w:snapToGrid w:val="0"/>
              <w:rPr>
                <w:rFonts w:hint="eastAsia"/>
                <w:spacing w:val="-10"/>
              </w:rPr>
            </w:pPr>
            <w:r>
              <w:rPr>
                <w:rFonts w:hint="eastAsia"/>
                <w:spacing w:val="-10"/>
              </w:rPr>
              <w:t>2</w:t>
            </w:r>
          </w:p>
        </w:tc>
        <w:tc>
          <w:tcPr>
            <w:tcW w:w="783" w:type="pct"/>
            <w:gridSpan w:val="3"/>
            <w:tcBorders>
              <w:top w:val="single" w:color="auto" w:sz="8" w:space="0"/>
              <w:left w:val="single" w:color="auto" w:sz="8" w:space="0"/>
              <w:bottom w:val="single" w:color="auto" w:sz="8" w:space="0"/>
              <w:right w:val="single" w:color="auto" w:sz="8" w:space="0"/>
            </w:tcBorders>
            <w:vAlign w:val="center"/>
          </w:tcPr>
          <w:p w14:paraId="68001C48">
            <w:pPr>
              <w:adjustRightInd w:val="0"/>
              <w:snapToGrid w:val="0"/>
              <w:rPr>
                <w:rFonts w:hint="eastAsia"/>
                <w:spacing w:val="-10"/>
              </w:rPr>
            </w:pPr>
            <w:r>
              <w:rPr>
                <w:spacing w:val="-10"/>
              </w:rPr>
              <w:t>泄漏孔径/mm</w:t>
            </w:r>
          </w:p>
        </w:tc>
        <w:tc>
          <w:tcPr>
            <w:tcW w:w="551" w:type="pct"/>
            <w:tcBorders>
              <w:top w:val="single" w:color="auto" w:sz="8" w:space="0"/>
              <w:left w:val="single" w:color="auto" w:sz="8" w:space="0"/>
              <w:bottom w:val="single" w:color="auto" w:sz="8" w:space="0"/>
            </w:tcBorders>
            <w:vAlign w:val="center"/>
          </w:tcPr>
          <w:p w14:paraId="6749E978">
            <w:pPr>
              <w:adjustRightInd w:val="0"/>
              <w:snapToGrid w:val="0"/>
              <w:rPr>
                <w:rFonts w:hint="eastAsia"/>
                <w:spacing w:val="-10"/>
              </w:rPr>
            </w:pPr>
            <w:r>
              <w:rPr>
                <w:rFonts w:hint="eastAsia"/>
                <w:spacing w:val="-10"/>
              </w:rPr>
              <w:t>10</w:t>
            </w:r>
          </w:p>
        </w:tc>
      </w:tr>
      <w:tr w14:paraId="3700CF01">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7" w:hRule="atLeast"/>
          <w:jc w:val="center"/>
        </w:trPr>
        <w:tc>
          <w:tcPr>
            <w:tcW w:w="1366" w:type="pct"/>
            <w:gridSpan w:val="3"/>
            <w:tcBorders>
              <w:top w:val="single" w:color="auto" w:sz="8" w:space="0"/>
              <w:bottom w:val="single" w:color="auto" w:sz="8" w:space="0"/>
              <w:right w:val="single" w:color="auto" w:sz="8" w:space="0"/>
            </w:tcBorders>
            <w:vAlign w:val="center"/>
          </w:tcPr>
          <w:p w14:paraId="0D1DC1EB">
            <w:pPr>
              <w:adjustRightInd w:val="0"/>
              <w:snapToGrid w:val="0"/>
              <w:rPr>
                <w:rFonts w:hint="eastAsia"/>
                <w:spacing w:val="-10"/>
              </w:rPr>
            </w:pPr>
            <w:r>
              <w:rPr>
                <w:spacing w:val="-10"/>
              </w:rPr>
              <w:t>泄漏速率(kg/s)</w:t>
            </w:r>
          </w:p>
        </w:tc>
        <w:tc>
          <w:tcPr>
            <w:tcW w:w="961" w:type="pct"/>
            <w:gridSpan w:val="2"/>
            <w:tcBorders>
              <w:top w:val="single" w:color="auto" w:sz="8" w:space="0"/>
              <w:left w:val="single" w:color="auto" w:sz="8" w:space="0"/>
              <w:bottom w:val="single" w:color="auto" w:sz="8" w:space="0"/>
              <w:right w:val="single" w:color="auto" w:sz="8" w:space="0"/>
            </w:tcBorders>
            <w:vAlign w:val="center"/>
          </w:tcPr>
          <w:p w14:paraId="49A50885">
            <w:pPr>
              <w:adjustRightInd w:val="0"/>
              <w:snapToGrid w:val="0"/>
              <w:rPr>
                <w:rFonts w:hint="eastAsia"/>
                <w:spacing w:val="-10"/>
              </w:rPr>
            </w:pPr>
            <w:r>
              <w:rPr>
                <w:rFonts w:hint="eastAsia"/>
                <w:bCs/>
                <w:spacing w:val="-10"/>
              </w:rPr>
              <w:t>0.056</w:t>
            </w:r>
          </w:p>
        </w:tc>
        <w:tc>
          <w:tcPr>
            <w:tcW w:w="811" w:type="pct"/>
            <w:gridSpan w:val="2"/>
            <w:tcBorders>
              <w:top w:val="single" w:color="auto" w:sz="8" w:space="0"/>
              <w:left w:val="single" w:color="auto" w:sz="8" w:space="0"/>
              <w:bottom w:val="single" w:color="auto" w:sz="8" w:space="0"/>
              <w:right w:val="single" w:color="auto" w:sz="8" w:space="0"/>
            </w:tcBorders>
            <w:vAlign w:val="center"/>
          </w:tcPr>
          <w:p w14:paraId="5B44C057">
            <w:pPr>
              <w:adjustRightInd w:val="0"/>
              <w:snapToGrid w:val="0"/>
              <w:rPr>
                <w:rFonts w:hint="eastAsia"/>
                <w:spacing w:val="-10"/>
              </w:rPr>
            </w:pPr>
            <w:r>
              <w:rPr>
                <w:spacing w:val="-10"/>
              </w:rPr>
              <w:t>蒸发速率(kg/s)</w:t>
            </w:r>
          </w:p>
        </w:tc>
        <w:tc>
          <w:tcPr>
            <w:tcW w:w="528" w:type="pct"/>
            <w:tcBorders>
              <w:top w:val="single" w:color="auto" w:sz="8" w:space="0"/>
              <w:left w:val="single" w:color="auto" w:sz="8" w:space="0"/>
              <w:bottom w:val="single" w:color="auto" w:sz="8" w:space="0"/>
              <w:right w:val="single" w:color="auto" w:sz="8" w:space="0"/>
            </w:tcBorders>
            <w:vAlign w:val="center"/>
          </w:tcPr>
          <w:p w14:paraId="7793A444">
            <w:pPr>
              <w:adjustRightInd w:val="0"/>
              <w:snapToGrid w:val="0"/>
              <w:rPr>
                <w:rFonts w:hint="eastAsia"/>
                <w:spacing w:val="-10"/>
              </w:rPr>
            </w:pPr>
            <w:r>
              <w:rPr>
                <w:rFonts w:hint="eastAsia"/>
                <w:bCs/>
                <w:spacing w:val="-10"/>
              </w:rPr>
              <w:t>0.0089</w:t>
            </w:r>
          </w:p>
        </w:tc>
        <w:tc>
          <w:tcPr>
            <w:tcW w:w="783" w:type="pct"/>
            <w:gridSpan w:val="3"/>
            <w:tcBorders>
              <w:top w:val="single" w:color="auto" w:sz="8" w:space="0"/>
              <w:left w:val="single" w:color="auto" w:sz="8" w:space="0"/>
              <w:bottom w:val="single" w:color="auto" w:sz="8" w:space="0"/>
              <w:right w:val="single" w:color="auto" w:sz="8" w:space="0"/>
            </w:tcBorders>
            <w:vAlign w:val="center"/>
          </w:tcPr>
          <w:p w14:paraId="7611BCA9">
            <w:pPr>
              <w:adjustRightInd w:val="0"/>
              <w:snapToGrid w:val="0"/>
              <w:rPr>
                <w:rFonts w:hint="eastAsia"/>
                <w:spacing w:val="-10"/>
              </w:rPr>
            </w:pPr>
          </w:p>
        </w:tc>
        <w:tc>
          <w:tcPr>
            <w:tcW w:w="551" w:type="pct"/>
            <w:tcBorders>
              <w:top w:val="single" w:color="auto" w:sz="8" w:space="0"/>
              <w:left w:val="single" w:color="auto" w:sz="8" w:space="0"/>
              <w:bottom w:val="single" w:color="auto" w:sz="8" w:space="0"/>
            </w:tcBorders>
            <w:vAlign w:val="center"/>
          </w:tcPr>
          <w:p w14:paraId="217F9842">
            <w:pPr>
              <w:adjustRightInd w:val="0"/>
              <w:snapToGrid w:val="0"/>
              <w:rPr>
                <w:rFonts w:hint="eastAsia"/>
                <w:spacing w:val="-10"/>
              </w:rPr>
            </w:pPr>
          </w:p>
        </w:tc>
      </w:tr>
      <w:tr w14:paraId="1485979C">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7" w:hRule="atLeast"/>
          <w:jc w:val="center"/>
        </w:trPr>
        <w:tc>
          <w:tcPr>
            <w:tcW w:w="5000" w:type="pct"/>
            <w:gridSpan w:val="12"/>
            <w:tcBorders>
              <w:top w:val="single" w:color="auto" w:sz="8" w:space="0"/>
              <w:bottom w:val="single" w:color="auto" w:sz="8" w:space="0"/>
            </w:tcBorders>
            <w:vAlign w:val="center"/>
          </w:tcPr>
          <w:p w14:paraId="35122797">
            <w:pPr>
              <w:adjustRightInd w:val="0"/>
              <w:snapToGrid w:val="0"/>
              <w:rPr>
                <w:rFonts w:hint="eastAsia"/>
                <w:spacing w:val="-10"/>
              </w:rPr>
            </w:pPr>
            <w:r>
              <w:rPr>
                <w:spacing w:val="-10"/>
              </w:rPr>
              <w:t>事故后果预测</w:t>
            </w:r>
          </w:p>
        </w:tc>
      </w:tr>
      <w:tr w14:paraId="083D09A7">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7" w:hRule="atLeast"/>
          <w:jc w:val="center"/>
        </w:trPr>
        <w:tc>
          <w:tcPr>
            <w:tcW w:w="247" w:type="pct"/>
            <w:vMerge w:val="restart"/>
            <w:tcBorders>
              <w:top w:val="single" w:color="auto" w:sz="8" w:space="0"/>
              <w:bottom w:val="nil"/>
              <w:right w:val="single" w:color="auto" w:sz="8" w:space="0"/>
            </w:tcBorders>
            <w:vAlign w:val="center"/>
          </w:tcPr>
          <w:p w14:paraId="641607A6">
            <w:pPr>
              <w:adjustRightInd w:val="0"/>
              <w:snapToGrid w:val="0"/>
              <w:rPr>
                <w:rFonts w:hint="eastAsia"/>
                <w:spacing w:val="-10"/>
              </w:rPr>
            </w:pPr>
            <w:r>
              <w:rPr>
                <w:spacing w:val="-10"/>
              </w:rPr>
              <w:t>大气</w:t>
            </w:r>
          </w:p>
        </w:tc>
        <w:tc>
          <w:tcPr>
            <w:tcW w:w="609" w:type="pct"/>
            <w:tcBorders>
              <w:top w:val="single" w:color="auto" w:sz="8" w:space="0"/>
              <w:left w:val="single" w:color="auto" w:sz="8" w:space="0"/>
              <w:bottom w:val="nil"/>
              <w:right w:val="single" w:color="auto" w:sz="8" w:space="0"/>
            </w:tcBorders>
            <w:vAlign w:val="center"/>
          </w:tcPr>
          <w:p w14:paraId="3C304C30">
            <w:pPr>
              <w:adjustRightInd w:val="0"/>
              <w:snapToGrid w:val="0"/>
              <w:rPr>
                <w:rFonts w:hint="eastAsia"/>
                <w:spacing w:val="-10"/>
              </w:rPr>
            </w:pPr>
            <w:r>
              <w:rPr>
                <w:spacing w:val="-10"/>
              </w:rPr>
              <w:t>危险物质</w:t>
            </w:r>
          </w:p>
        </w:tc>
        <w:tc>
          <w:tcPr>
            <w:tcW w:w="4144" w:type="pct"/>
            <w:gridSpan w:val="10"/>
            <w:tcBorders>
              <w:top w:val="single" w:color="auto" w:sz="8" w:space="0"/>
              <w:left w:val="single" w:color="auto" w:sz="8" w:space="0"/>
              <w:bottom w:val="nil"/>
            </w:tcBorders>
            <w:vAlign w:val="center"/>
          </w:tcPr>
          <w:p w14:paraId="23E7A1F5">
            <w:pPr>
              <w:adjustRightInd w:val="0"/>
              <w:snapToGrid w:val="0"/>
              <w:rPr>
                <w:rFonts w:hint="eastAsia"/>
                <w:spacing w:val="-10"/>
              </w:rPr>
            </w:pPr>
            <w:r>
              <w:rPr>
                <w:spacing w:val="-10"/>
              </w:rPr>
              <w:t>最不利气象条件下大气环境影响</w:t>
            </w:r>
          </w:p>
        </w:tc>
      </w:tr>
      <w:tr w14:paraId="7A3C9CB9">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7" w:hRule="atLeast"/>
          <w:jc w:val="center"/>
        </w:trPr>
        <w:tc>
          <w:tcPr>
            <w:tcW w:w="247" w:type="pct"/>
            <w:vMerge w:val="continue"/>
            <w:tcBorders>
              <w:top w:val="nil"/>
              <w:bottom w:val="nil"/>
              <w:right w:val="single" w:color="auto" w:sz="8" w:space="0"/>
            </w:tcBorders>
            <w:vAlign w:val="center"/>
          </w:tcPr>
          <w:p w14:paraId="28A7F062">
            <w:pPr>
              <w:adjustRightInd w:val="0"/>
              <w:snapToGrid w:val="0"/>
              <w:rPr>
                <w:rFonts w:hint="eastAsia"/>
                <w:spacing w:val="-10"/>
              </w:rPr>
            </w:pPr>
          </w:p>
        </w:tc>
        <w:tc>
          <w:tcPr>
            <w:tcW w:w="609" w:type="pct"/>
            <w:vMerge w:val="restart"/>
            <w:tcBorders>
              <w:top w:val="nil"/>
              <w:left w:val="single" w:color="auto" w:sz="8" w:space="0"/>
              <w:bottom w:val="nil"/>
              <w:right w:val="single" w:color="auto" w:sz="8" w:space="0"/>
            </w:tcBorders>
            <w:vAlign w:val="center"/>
          </w:tcPr>
          <w:p w14:paraId="4DBDB997">
            <w:pPr>
              <w:adjustRightInd w:val="0"/>
              <w:snapToGrid w:val="0"/>
              <w:rPr>
                <w:rFonts w:hint="eastAsia"/>
                <w:spacing w:val="-10"/>
              </w:rPr>
            </w:pPr>
            <w:r>
              <w:rPr>
                <w:rFonts w:hint="eastAsia"/>
                <w:bCs/>
                <w:spacing w:val="-10"/>
              </w:rPr>
              <w:t>MTBE</w:t>
            </w:r>
          </w:p>
        </w:tc>
        <w:tc>
          <w:tcPr>
            <w:tcW w:w="1242" w:type="pct"/>
            <w:gridSpan w:val="2"/>
            <w:tcBorders>
              <w:top w:val="single" w:color="auto" w:sz="8" w:space="0"/>
              <w:left w:val="single" w:color="auto" w:sz="8" w:space="0"/>
              <w:bottom w:val="single" w:color="auto" w:sz="8" w:space="0"/>
              <w:right w:val="single" w:color="auto" w:sz="8" w:space="0"/>
            </w:tcBorders>
            <w:vAlign w:val="center"/>
          </w:tcPr>
          <w:p w14:paraId="0285B578">
            <w:pPr>
              <w:adjustRightInd w:val="0"/>
              <w:snapToGrid w:val="0"/>
              <w:rPr>
                <w:rFonts w:hint="eastAsia"/>
                <w:spacing w:val="-10"/>
              </w:rPr>
            </w:pPr>
            <w:r>
              <w:rPr>
                <w:spacing w:val="-10"/>
              </w:rPr>
              <w:t>指标</w:t>
            </w:r>
          </w:p>
        </w:tc>
        <w:tc>
          <w:tcPr>
            <w:tcW w:w="866" w:type="pct"/>
            <w:gridSpan w:val="2"/>
            <w:tcBorders>
              <w:top w:val="single" w:color="auto" w:sz="8" w:space="0"/>
              <w:left w:val="single" w:color="auto" w:sz="8" w:space="0"/>
              <w:bottom w:val="single" w:color="auto" w:sz="8" w:space="0"/>
              <w:right w:val="single" w:color="auto" w:sz="8" w:space="0"/>
            </w:tcBorders>
            <w:vAlign w:val="center"/>
          </w:tcPr>
          <w:p w14:paraId="5E8F6760">
            <w:pPr>
              <w:adjustRightInd w:val="0"/>
              <w:snapToGrid w:val="0"/>
              <w:rPr>
                <w:rFonts w:hint="eastAsia"/>
                <w:spacing w:val="-10"/>
              </w:rPr>
            </w:pPr>
            <w:r>
              <w:rPr>
                <w:spacing w:val="-10"/>
              </w:rPr>
              <w:t>浓度值/(mg/m</w:t>
            </w:r>
            <w:r>
              <w:rPr>
                <w:spacing w:val="-10"/>
                <w:vertAlign w:val="superscript"/>
              </w:rPr>
              <w:t>3</w:t>
            </w:r>
            <w:r>
              <w:rPr>
                <w:spacing w:val="-10"/>
              </w:rPr>
              <w:t>)</w:t>
            </w:r>
          </w:p>
        </w:tc>
        <w:tc>
          <w:tcPr>
            <w:tcW w:w="1050" w:type="pct"/>
            <w:gridSpan w:val="4"/>
            <w:tcBorders>
              <w:top w:val="single" w:color="auto" w:sz="8" w:space="0"/>
              <w:left w:val="single" w:color="auto" w:sz="8" w:space="0"/>
              <w:bottom w:val="nil"/>
              <w:right w:val="single" w:color="auto" w:sz="8" w:space="0"/>
            </w:tcBorders>
            <w:vAlign w:val="center"/>
          </w:tcPr>
          <w:p w14:paraId="3E7DC337">
            <w:pPr>
              <w:adjustRightInd w:val="0"/>
              <w:snapToGrid w:val="0"/>
              <w:rPr>
                <w:rFonts w:hint="eastAsia"/>
                <w:spacing w:val="-10"/>
              </w:rPr>
            </w:pPr>
            <w:r>
              <w:rPr>
                <w:spacing w:val="-10"/>
              </w:rPr>
              <w:t>最远影响距离/m</w:t>
            </w:r>
          </w:p>
        </w:tc>
        <w:tc>
          <w:tcPr>
            <w:tcW w:w="986" w:type="pct"/>
            <w:gridSpan w:val="2"/>
            <w:tcBorders>
              <w:top w:val="single" w:color="auto" w:sz="8" w:space="0"/>
              <w:left w:val="single" w:color="auto" w:sz="8" w:space="0"/>
              <w:bottom w:val="single" w:color="auto" w:sz="8" w:space="0"/>
            </w:tcBorders>
            <w:vAlign w:val="center"/>
          </w:tcPr>
          <w:p w14:paraId="79B6F0B1">
            <w:pPr>
              <w:adjustRightInd w:val="0"/>
              <w:snapToGrid w:val="0"/>
              <w:rPr>
                <w:rFonts w:hint="eastAsia"/>
                <w:spacing w:val="-10"/>
              </w:rPr>
            </w:pPr>
            <w:r>
              <w:rPr>
                <w:spacing w:val="-10"/>
              </w:rPr>
              <w:t>到达时间/min</w:t>
            </w:r>
          </w:p>
        </w:tc>
      </w:tr>
      <w:tr w14:paraId="36A48C6B">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7" w:hRule="atLeast"/>
          <w:jc w:val="center"/>
        </w:trPr>
        <w:tc>
          <w:tcPr>
            <w:tcW w:w="247" w:type="pct"/>
            <w:vMerge w:val="continue"/>
            <w:tcBorders>
              <w:top w:val="nil"/>
              <w:bottom w:val="nil"/>
              <w:right w:val="single" w:color="auto" w:sz="8" w:space="0"/>
            </w:tcBorders>
            <w:vAlign w:val="center"/>
          </w:tcPr>
          <w:p w14:paraId="0255711A">
            <w:pPr>
              <w:adjustRightInd w:val="0"/>
              <w:snapToGrid w:val="0"/>
              <w:rPr>
                <w:rFonts w:hint="eastAsia"/>
                <w:spacing w:val="-10"/>
              </w:rPr>
            </w:pPr>
          </w:p>
        </w:tc>
        <w:tc>
          <w:tcPr>
            <w:tcW w:w="609" w:type="pct"/>
            <w:vMerge w:val="continue"/>
            <w:tcBorders>
              <w:top w:val="nil"/>
              <w:left w:val="single" w:color="auto" w:sz="8" w:space="0"/>
              <w:bottom w:val="nil"/>
              <w:right w:val="single" w:color="auto" w:sz="8" w:space="0"/>
            </w:tcBorders>
            <w:vAlign w:val="center"/>
          </w:tcPr>
          <w:p w14:paraId="22E0AAB8">
            <w:pPr>
              <w:adjustRightInd w:val="0"/>
              <w:snapToGrid w:val="0"/>
              <w:rPr>
                <w:rFonts w:hint="eastAsia"/>
                <w:spacing w:val="-10"/>
              </w:rPr>
            </w:pPr>
          </w:p>
        </w:tc>
        <w:tc>
          <w:tcPr>
            <w:tcW w:w="1242" w:type="pct"/>
            <w:gridSpan w:val="2"/>
            <w:tcBorders>
              <w:top w:val="single" w:color="auto" w:sz="8" w:space="0"/>
              <w:left w:val="single" w:color="auto" w:sz="8" w:space="0"/>
              <w:bottom w:val="single" w:color="auto" w:sz="8" w:space="0"/>
              <w:right w:val="single" w:color="auto" w:sz="8" w:space="0"/>
            </w:tcBorders>
            <w:vAlign w:val="center"/>
          </w:tcPr>
          <w:p w14:paraId="20021822">
            <w:pPr>
              <w:adjustRightInd w:val="0"/>
              <w:snapToGrid w:val="0"/>
              <w:rPr>
                <w:rFonts w:hint="eastAsia"/>
                <w:spacing w:val="-10"/>
              </w:rPr>
            </w:pPr>
            <w:r>
              <w:rPr>
                <w:spacing w:val="-10"/>
              </w:rPr>
              <w:t>大气毒性终点浓度-1</w:t>
            </w:r>
          </w:p>
        </w:tc>
        <w:tc>
          <w:tcPr>
            <w:tcW w:w="866" w:type="pct"/>
            <w:gridSpan w:val="2"/>
            <w:tcBorders>
              <w:top w:val="single" w:color="auto" w:sz="8" w:space="0"/>
              <w:left w:val="single" w:color="auto" w:sz="8" w:space="0"/>
              <w:bottom w:val="single" w:color="auto" w:sz="8" w:space="0"/>
              <w:right w:val="single" w:color="auto" w:sz="8" w:space="0"/>
            </w:tcBorders>
            <w:vAlign w:val="center"/>
          </w:tcPr>
          <w:p w14:paraId="0B649F2E">
            <w:pPr>
              <w:adjustRightInd w:val="0"/>
              <w:snapToGrid w:val="0"/>
              <w:rPr>
                <w:rFonts w:hint="eastAsia"/>
                <w:spacing w:val="-10"/>
              </w:rPr>
            </w:pPr>
            <w:r>
              <w:rPr>
                <w:rFonts w:hint="eastAsia"/>
                <w:spacing w:val="-10"/>
              </w:rPr>
              <w:t>190</w:t>
            </w:r>
            <w:r>
              <w:rPr>
                <w:spacing w:val="-10"/>
              </w:rPr>
              <w:t>00</w:t>
            </w:r>
          </w:p>
        </w:tc>
        <w:tc>
          <w:tcPr>
            <w:tcW w:w="2036" w:type="pct"/>
            <w:gridSpan w:val="6"/>
            <w:tcBorders>
              <w:top w:val="single" w:color="auto" w:sz="8" w:space="0"/>
              <w:left w:val="single" w:color="auto" w:sz="8" w:space="0"/>
              <w:bottom w:val="single" w:color="auto" w:sz="8" w:space="0"/>
            </w:tcBorders>
            <w:vAlign w:val="center"/>
          </w:tcPr>
          <w:p w14:paraId="2E3B5E7C">
            <w:pPr>
              <w:adjustRightInd w:val="0"/>
              <w:snapToGrid w:val="0"/>
              <w:rPr>
                <w:rFonts w:hint="eastAsia"/>
                <w:spacing w:val="-10"/>
              </w:rPr>
            </w:pPr>
            <w:r>
              <w:rPr>
                <w:rFonts w:hint="eastAsia"/>
                <w:bCs/>
                <w:spacing w:val="-10"/>
              </w:rPr>
              <w:t>此阈值及以上，无对应位置，因计算浓度均小于此阈值</w:t>
            </w:r>
          </w:p>
        </w:tc>
      </w:tr>
      <w:tr w14:paraId="49F71CB7">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7" w:hRule="atLeast"/>
          <w:jc w:val="center"/>
        </w:trPr>
        <w:tc>
          <w:tcPr>
            <w:tcW w:w="247" w:type="pct"/>
            <w:vMerge w:val="continue"/>
            <w:tcBorders>
              <w:top w:val="nil"/>
              <w:bottom w:val="nil"/>
              <w:right w:val="single" w:color="auto" w:sz="8" w:space="0"/>
            </w:tcBorders>
            <w:vAlign w:val="center"/>
          </w:tcPr>
          <w:p w14:paraId="61ABC8C0">
            <w:pPr>
              <w:adjustRightInd w:val="0"/>
              <w:snapToGrid w:val="0"/>
              <w:rPr>
                <w:rFonts w:hint="eastAsia"/>
                <w:spacing w:val="-10"/>
              </w:rPr>
            </w:pPr>
          </w:p>
        </w:tc>
        <w:tc>
          <w:tcPr>
            <w:tcW w:w="609" w:type="pct"/>
            <w:vMerge w:val="continue"/>
            <w:tcBorders>
              <w:top w:val="nil"/>
              <w:left w:val="single" w:color="auto" w:sz="8" w:space="0"/>
              <w:bottom w:val="nil"/>
              <w:right w:val="single" w:color="auto" w:sz="8" w:space="0"/>
            </w:tcBorders>
            <w:vAlign w:val="center"/>
          </w:tcPr>
          <w:p w14:paraId="16414C76">
            <w:pPr>
              <w:adjustRightInd w:val="0"/>
              <w:snapToGrid w:val="0"/>
              <w:rPr>
                <w:rFonts w:hint="eastAsia"/>
                <w:spacing w:val="-10"/>
              </w:rPr>
            </w:pPr>
          </w:p>
        </w:tc>
        <w:tc>
          <w:tcPr>
            <w:tcW w:w="1242" w:type="pct"/>
            <w:gridSpan w:val="2"/>
            <w:tcBorders>
              <w:top w:val="single" w:color="auto" w:sz="8" w:space="0"/>
              <w:left w:val="single" w:color="auto" w:sz="8" w:space="0"/>
              <w:bottom w:val="single" w:color="auto" w:sz="8" w:space="0"/>
              <w:right w:val="single" w:color="auto" w:sz="8" w:space="0"/>
            </w:tcBorders>
            <w:vAlign w:val="center"/>
          </w:tcPr>
          <w:p w14:paraId="621F151F">
            <w:pPr>
              <w:adjustRightInd w:val="0"/>
              <w:snapToGrid w:val="0"/>
              <w:rPr>
                <w:rFonts w:hint="eastAsia"/>
                <w:spacing w:val="-10"/>
              </w:rPr>
            </w:pPr>
            <w:r>
              <w:rPr>
                <w:spacing w:val="-10"/>
              </w:rPr>
              <w:t>指标</w:t>
            </w:r>
          </w:p>
        </w:tc>
        <w:tc>
          <w:tcPr>
            <w:tcW w:w="866" w:type="pct"/>
            <w:gridSpan w:val="2"/>
            <w:tcBorders>
              <w:top w:val="single" w:color="auto" w:sz="8" w:space="0"/>
              <w:left w:val="single" w:color="auto" w:sz="8" w:space="0"/>
              <w:bottom w:val="single" w:color="auto" w:sz="8" w:space="0"/>
              <w:right w:val="single" w:color="auto" w:sz="8" w:space="0"/>
            </w:tcBorders>
            <w:vAlign w:val="center"/>
          </w:tcPr>
          <w:p w14:paraId="5D7A2053">
            <w:pPr>
              <w:adjustRightInd w:val="0"/>
              <w:snapToGrid w:val="0"/>
              <w:rPr>
                <w:rFonts w:hint="eastAsia"/>
                <w:spacing w:val="-10"/>
                <w:vertAlign w:val="superscript"/>
              </w:rPr>
            </w:pPr>
            <w:r>
              <w:rPr>
                <w:spacing w:val="-10"/>
              </w:rPr>
              <w:t>浓度值/(mg/m</w:t>
            </w:r>
            <w:r>
              <w:rPr>
                <w:spacing w:val="-10"/>
                <w:vertAlign w:val="superscript"/>
              </w:rPr>
              <w:t>3</w:t>
            </w:r>
            <w:r>
              <w:rPr>
                <w:spacing w:val="-10"/>
              </w:rPr>
              <w:t>)</w:t>
            </w:r>
          </w:p>
        </w:tc>
        <w:tc>
          <w:tcPr>
            <w:tcW w:w="1050" w:type="pct"/>
            <w:gridSpan w:val="4"/>
            <w:tcBorders>
              <w:top w:val="nil"/>
              <w:left w:val="single" w:color="auto" w:sz="8" w:space="0"/>
              <w:bottom w:val="nil"/>
              <w:right w:val="single" w:color="auto" w:sz="8" w:space="0"/>
            </w:tcBorders>
            <w:vAlign w:val="center"/>
          </w:tcPr>
          <w:p w14:paraId="3136F6BB">
            <w:pPr>
              <w:adjustRightInd w:val="0"/>
              <w:snapToGrid w:val="0"/>
              <w:rPr>
                <w:rFonts w:hint="eastAsia"/>
                <w:spacing w:val="-10"/>
              </w:rPr>
            </w:pPr>
            <w:r>
              <w:rPr>
                <w:spacing w:val="-10"/>
              </w:rPr>
              <w:t>最远影响距离/m</w:t>
            </w:r>
          </w:p>
        </w:tc>
        <w:tc>
          <w:tcPr>
            <w:tcW w:w="986" w:type="pct"/>
            <w:gridSpan w:val="2"/>
            <w:tcBorders>
              <w:top w:val="single" w:color="auto" w:sz="8" w:space="0"/>
              <w:left w:val="single" w:color="auto" w:sz="8" w:space="0"/>
              <w:bottom w:val="single" w:color="auto" w:sz="8" w:space="0"/>
            </w:tcBorders>
            <w:vAlign w:val="center"/>
          </w:tcPr>
          <w:p w14:paraId="24A430F6">
            <w:pPr>
              <w:adjustRightInd w:val="0"/>
              <w:snapToGrid w:val="0"/>
              <w:rPr>
                <w:rFonts w:hint="eastAsia"/>
                <w:spacing w:val="-10"/>
              </w:rPr>
            </w:pPr>
            <w:r>
              <w:rPr>
                <w:spacing w:val="-10"/>
              </w:rPr>
              <w:t>到达时间/min</w:t>
            </w:r>
          </w:p>
        </w:tc>
      </w:tr>
      <w:tr w14:paraId="0000D6CD">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7" w:hRule="atLeast"/>
          <w:jc w:val="center"/>
        </w:trPr>
        <w:tc>
          <w:tcPr>
            <w:tcW w:w="247" w:type="pct"/>
            <w:vMerge w:val="continue"/>
            <w:tcBorders>
              <w:top w:val="nil"/>
              <w:bottom w:val="nil"/>
              <w:right w:val="single" w:color="auto" w:sz="8" w:space="0"/>
            </w:tcBorders>
            <w:vAlign w:val="center"/>
          </w:tcPr>
          <w:p w14:paraId="28158008">
            <w:pPr>
              <w:adjustRightInd w:val="0"/>
              <w:snapToGrid w:val="0"/>
              <w:rPr>
                <w:rFonts w:hint="eastAsia"/>
                <w:spacing w:val="-10"/>
              </w:rPr>
            </w:pPr>
          </w:p>
        </w:tc>
        <w:tc>
          <w:tcPr>
            <w:tcW w:w="609" w:type="pct"/>
            <w:vMerge w:val="continue"/>
            <w:tcBorders>
              <w:top w:val="nil"/>
              <w:left w:val="single" w:color="auto" w:sz="8" w:space="0"/>
              <w:bottom w:val="single" w:color="auto" w:sz="8" w:space="0"/>
              <w:right w:val="single" w:color="auto" w:sz="8" w:space="0"/>
            </w:tcBorders>
            <w:vAlign w:val="center"/>
          </w:tcPr>
          <w:p w14:paraId="5BDD8DCB">
            <w:pPr>
              <w:adjustRightInd w:val="0"/>
              <w:snapToGrid w:val="0"/>
              <w:rPr>
                <w:rFonts w:hint="eastAsia"/>
                <w:spacing w:val="-10"/>
              </w:rPr>
            </w:pPr>
          </w:p>
        </w:tc>
        <w:tc>
          <w:tcPr>
            <w:tcW w:w="1242" w:type="pct"/>
            <w:gridSpan w:val="2"/>
            <w:tcBorders>
              <w:top w:val="single" w:color="auto" w:sz="8" w:space="0"/>
              <w:left w:val="single" w:color="auto" w:sz="8" w:space="0"/>
              <w:bottom w:val="single" w:color="auto" w:sz="8" w:space="0"/>
              <w:right w:val="single" w:color="auto" w:sz="8" w:space="0"/>
            </w:tcBorders>
            <w:vAlign w:val="center"/>
          </w:tcPr>
          <w:p w14:paraId="5D958B3F">
            <w:pPr>
              <w:adjustRightInd w:val="0"/>
              <w:snapToGrid w:val="0"/>
              <w:rPr>
                <w:rFonts w:hint="eastAsia"/>
                <w:spacing w:val="-10"/>
              </w:rPr>
            </w:pPr>
            <w:r>
              <w:rPr>
                <w:spacing w:val="-10"/>
              </w:rPr>
              <w:t>大气毒性终点浓度-2</w:t>
            </w:r>
          </w:p>
        </w:tc>
        <w:tc>
          <w:tcPr>
            <w:tcW w:w="866" w:type="pct"/>
            <w:gridSpan w:val="2"/>
            <w:tcBorders>
              <w:top w:val="single" w:color="auto" w:sz="8" w:space="0"/>
              <w:left w:val="single" w:color="auto" w:sz="8" w:space="0"/>
              <w:bottom w:val="single" w:color="auto" w:sz="8" w:space="0"/>
              <w:right w:val="single" w:color="auto" w:sz="8" w:space="0"/>
            </w:tcBorders>
            <w:vAlign w:val="center"/>
          </w:tcPr>
          <w:p w14:paraId="4D0BDC4F">
            <w:pPr>
              <w:adjustRightInd w:val="0"/>
              <w:snapToGrid w:val="0"/>
              <w:rPr>
                <w:rFonts w:hint="eastAsia"/>
                <w:spacing w:val="-10"/>
              </w:rPr>
            </w:pPr>
            <w:r>
              <w:rPr>
                <w:rFonts w:hint="eastAsia"/>
                <w:spacing w:val="-10"/>
              </w:rPr>
              <w:t>21</w:t>
            </w:r>
            <w:r>
              <w:rPr>
                <w:spacing w:val="-10"/>
              </w:rPr>
              <w:t>00</w:t>
            </w:r>
          </w:p>
        </w:tc>
        <w:tc>
          <w:tcPr>
            <w:tcW w:w="2036" w:type="pct"/>
            <w:gridSpan w:val="6"/>
            <w:tcBorders>
              <w:top w:val="single" w:color="auto" w:sz="8" w:space="0"/>
              <w:left w:val="single" w:color="auto" w:sz="8" w:space="0"/>
              <w:bottom w:val="single" w:color="auto" w:sz="8" w:space="0"/>
            </w:tcBorders>
            <w:vAlign w:val="center"/>
          </w:tcPr>
          <w:p w14:paraId="5B0F962B">
            <w:pPr>
              <w:adjustRightInd w:val="0"/>
              <w:snapToGrid w:val="0"/>
              <w:rPr>
                <w:rFonts w:hint="eastAsia"/>
                <w:spacing w:val="-10"/>
              </w:rPr>
            </w:pPr>
            <w:r>
              <w:rPr>
                <w:bCs/>
                <w:spacing w:val="-10"/>
              </w:rPr>
              <w:t>此阈值及以上，无对应位置，因计算浓度均小于此阈值</w:t>
            </w:r>
          </w:p>
        </w:tc>
      </w:tr>
      <w:tr w14:paraId="09ADE9EC">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7" w:hRule="atLeast"/>
          <w:jc w:val="center"/>
        </w:trPr>
        <w:tc>
          <w:tcPr>
            <w:tcW w:w="247" w:type="pct"/>
            <w:vMerge w:val="continue"/>
            <w:tcBorders>
              <w:top w:val="nil"/>
              <w:bottom w:val="nil"/>
              <w:right w:val="single" w:color="auto" w:sz="8" w:space="0"/>
            </w:tcBorders>
            <w:vAlign w:val="center"/>
          </w:tcPr>
          <w:p w14:paraId="3B3D2E85">
            <w:pPr>
              <w:adjustRightInd w:val="0"/>
              <w:snapToGrid w:val="0"/>
              <w:rPr>
                <w:rFonts w:hint="eastAsia"/>
                <w:spacing w:val="-10"/>
              </w:rPr>
            </w:pPr>
          </w:p>
        </w:tc>
        <w:tc>
          <w:tcPr>
            <w:tcW w:w="609" w:type="pct"/>
            <w:tcBorders>
              <w:top w:val="single" w:color="auto" w:sz="8" w:space="0"/>
              <w:left w:val="single" w:color="auto" w:sz="8" w:space="0"/>
              <w:bottom w:val="single" w:color="auto" w:sz="8" w:space="0"/>
              <w:right w:val="single" w:color="auto" w:sz="8" w:space="0"/>
            </w:tcBorders>
            <w:vAlign w:val="center"/>
          </w:tcPr>
          <w:p w14:paraId="352E7910">
            <w:pPr>
              <w:adjustRightInd w:val="0"/>
              <w:snapToGrid w:val="0"/>
              <w:rPr>
                <w:rFonts w:hint="eastAsia"/>
                <w:spacing w:val="-10"/>
              </w:rPr>
            </w:pPr>
            <w:r>
              <w:rPr>
                <w:spacing w:val="-10"/>
              </w:rPr>
              <w:t>危险物质</w:t>
            </w:r>
          </w:p>
        </w:tc>
        <w:tc>
          <w:tcPr>
            <w:tcW w:w="4144" w:type="pct"/>
            <w:gridSpan w:val="10"/>
            <w:tcBorders>
              <w:top w:val="single" w:color="auto" w:sz="8" w:space="0"/>
              <w:left w:val="single" w:color="auto" w:sz="8" w:space="0"/>
              <w:bottom w:val="single" w:color="auto" w:sz="8" w:space="0"/>
            </w:tcBorders>
            <w:vAlign w:val="center"/>
          </w:tcPr>
          <w:p w14:paraId="52E72CC9">
            <w:pPr>
              <w:adjustRightInd w:val="0"/>
              <w:snapToGrid w:val="0"/>
              <w:rPr>
                <w:rFonts w:hint="eastAsia"/>
                <w:spacing w:val="-10"/>
              </w:rPr>
            </w:pPr>
            <w:r>
              <w:rPr>
                <w:spacing w:val="-10"/>
              </w:rPr>
              <w:t>最常见气象条件下大气环境影响</w:t>
            </w:r>
          </w:p>
        </w:tc>
      </w:tr>
      <w:tr w14:paraId="38C1B041">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7" w:hRule="atLeast"/>
          <w:jc w:val="center"/>
        </w:trPr>
        <w:tc>
          <w:tcPr>
            <w:tcW w:w="247" w:type="pct"/>
            <w:vMerge w:val="continue"/>
            <w:tcBorders>
              <w:top w:val="nil"/>
              <w:bottom w:val="nil"/>
              <w:right w:val="single" w:color="auto" w:sz="8" w:space="0"/>
            </w:tcBorders>
            <w:vAlign w:val="center"/>
          </w:tcPr>
          <w:p w14:paraId="6FF3C079">
            <w:pPr>
              <w:adjustRightInd w:val="0"/>
              <w:snapToGrid w:val="0"/>
              <w:rPr>
                <w:rFonts w:hint="eastAsia"/>
                <w:spacing w:val="-10"/>
              </w:rPr>
            </w:pPr>
          </w:p>
        </w:tc>
        <w:tc>
          <w:tcPr>
            <w:tcW w:w="609" w:type="pct"/>
            <w:vMerge w:val="restart"/>
            <w:tcBorders>
              <w:top w:val="single" w:color="auto" w:sz="8" w:space="0"/>
              <w:left w:val="single" w:color="auto" w:sz="8" w:space="0"/>
              <w:bottom w:val="single" w:color="auto" w:sz="8" w:space="0"/>
              <w:right w:val="single" w:color="auto" w:sz="8" w:space="0"/>
            </w:tcBorders>
            <w:vAlign w:val="center"/>
          </w:tcPr>
          <w:p w14:paraId="752BD592">
            <w:pPr>
              <w:adjustRightInd w:val="0"/>
              <w:snapToGrid w:val="0"/>
              <w:rPr>
                <w:rFonts w:hint="eastAsia"/>
                <w:spacing w:val="-10"/>
              </w:rPr>
            </w:pPr>
            <w:r>
              <w:rPr>
                <w:rFonts w:hint="eastAsia"/>
                <w:bCs/>
                <w:spacing w:val="-10"/>
              </w:rPr>
              <w:t>MTBE</w:t>
            </w:r>
          </w:p>
        </w:tc>
        <w:tc>
          <w:tcPr>
            <w:tcW w:w="1242" w:type="pct"/>
            <w:gridSpan w:val="2"/>
            <w:tcBorders>
              <w:top w:val="single" w:color="auto" w:sz="8" w:space="0"/>
              <w:left w:val="single" w:color="auto" w:sz="8" w:space="0"/>
              <w:bottom w:val="single" w:color="auto" w:sz="8" w:space="0"/>
              <w:right w:val="single" w:color="auto" w:sz="8" w:space="0"/>
            </w:tcBorders>
            <w:vAlign w:val="center"/>
          </w:tcPr>
          <w:p w14:paraId="2DAD265F">
            <w:pPr>
              <w:adjustRightInd w:val="0"/>
              <w:snapToGrid w:val="0"/>
              <w:rPr>
                <w:rFonts w:hint="eastAsia"/>
                <w:spacing w:val="-10"/>
              </w:rPr>
            </w:pPr>
            <w:r>
              <w:rPr>
                <w:spacing w:val="-10"/>
              </w:rPr>
              <w:t>指标</w:t>
            </w:r>
          </w:p>
        </w:tc>
        <w:tc>
          <w:tcPr>
            <w:tcW w:w="866" w:type="pct"/>
            <w:gridSpan w:val="2"/>
            <w:tcBorders>
              <w:top w:val="single" w:color="auto" w:sz="8" w:space="0"/>
              <w:left w:val="single" w:color="auto" w:sz="8" w:space="0"/>
              <w:bottom w:val="single" w:color="auto" w:sz="8" w:space="0"/>
              <w:right w:val="single" w:color="auto" w:sz="8" w:space="0"/>
            </w:tcBorders>
            <w:vAlign w:val="center"/>
          </w:tcPr>
          <w:p w14:paraId="66A5C661">
            <w:pPr>
              <w:adjustRightInd w:val="0"/>
              <w:snapToGrid w:val="0"/>
              <w:rPr>
                <w:rFonts w:hint="eastAsia"/>
                <w:spacing w:val="-10"/>
              </w:rPr>
            </w:pPr>
            <w:r>
              <w:rPr>
                <w:spacing w:val="-10"/>
              </w:rPr>
              <w:t>浓度值/(mg/m</w:t>
            </w:r>
            <w:r>
              <w:rPr>
                <w:spacing w:val="-10"/>
                <w:vertAlign w:val="superscript"/>
              </w:rPr>
              <w:t>3</w:t>
            </w:r>
            <w:r>
              <w:rPr>
                <w:spacing w:val="-10"/>
              </w:rPr>
              <w:t>)</w:t>
            </w:r>
          </w:p>
        </w:tc>
        <w:tc>
          <w:tcPr>
            <w:tcW w:w="1050" w:type="pct"/>
            <w:gridSpan w:val="4"/>
            <w:tcBorders>
              <w:top w:val="single" w:color="auto" w:sz="8" w:space="0"/>
              <w:left w:val="single" w:color="auto" w:sz="8" w:space="0"/>
              <w:bottom w:val="single" w:color="auto" w:sz="8" w:space="0"/>
              <w:right w:val="single" w:color="auto" w:sz="8" w:space="0"/>
            </w:tcBorders>
            <w:vAlign w:val="center"/>
          </w:tcPr>
          <w:p w14:paraId="00B8561A">
            <w:pPr>
              <w:adjustRightInd w:val="0"/>
              <w:snapToGrid w:val="0"/>
              <w:rPr>
                <w:rFonts w:hint="eastAsia"/>
                <w:spacing w:val="-10"/>
              </w:rPr>
            </w:pPr>
            <w:r>
              <w:rPr>
                <w:spacing w:val="-10"/>
              </w:rPr>
              <w:t>最远影响距离/m</w:t>
            </w:r>
          </w:p>
        </w:tc>
        <w:tc>
          <w:tcPr>
            <w:tcW w:w="986" w:type="pct"/>
            <w:gridSpan w:val="2"/>
            <w:tcBorders>
              <w:top w:val="single" w:color="auto" w:sz="8" w:space="0"/>
              <w:left w:val="single" w:color="auto" w:sz="8" w:space="0"/>
              <w:bottom w:val="single" w:color="auto" w:sz="8" w:space="0"/>
            </w:tcBorders>
            <w:vAlign w:val="center"/>
          </w:tcPr>
          <w:p w14:paraId="3ACBD546">
            <w:pPr>
              <w:adjustRightInd w:val="0"/>
              <w:snapToGrid w:val="0"/>
              <w:rPr>
                <w:rFonts w:hint="eastAsia"/>
                <w:spacing w:val="-10"/>
              </w:rPr>
            </w:pPr>
            <w:r>
              <w:rPr>
                <w:spacing w:val="-10"/>
              </w:rPr>
              <w:t>到达时间/min</w:t>
            </w:r>
          </w:p>
        </w:tc>
      </w:tr>
      <w:tr w14:paraId="2B12D317">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7" w:hRule="atLeast"/>
          <w:jc w:val="center"/>
        </w:trPr>
        <w:tc>
          <w:tcPr>
            <w:tcW w:w="247" w:type="pct"/>
            <w:vMerge w:val="continue"/>
            <w:tcBorders>
              <w:top w:val="nil"/>
              <w:bottom w:val="nil"/>
              <w:right w:val="single" w:color="auto" w:sz="8" w:space="0"/>
            </w:tcBorders>
            <w:vAlign w:val="center"/>
          </w:tcPr>
          <w:p w14:paraId="79937A09">
            <w:pPr>
              <w:adjustRightInd w:val="0"/>
              <w:snapToGrid w:val="0"/>
              <w:rPr>
                <w:rFonts w:hint="eastAsia"/>
                <w:spacing w:val="-10"/>
              </w:rPr>
            </w:pPr>
          </w:p>
        </w:tc>
        <w:tc>
          <w:tcPr>
            <w:tcW w:w="609" w:type="pct"/>
            <w:vMerge w:val="continue"/>
            <w:tcBorders>
              <w:top w:val="single" w:color="auto" w:sz="8" w:space="0"/>
              <w:left w:val="single" w:color="auto" w:sz="8" w:space="0"/>
              <w:bottom w:val="single" w:color="auto" w:sz="8" w:space="0"/>
              <w:right w:val="single" w:color="auto" w:sz="8" w:space="0"/>
            </w:tcBorders>
            <w:vAlign w:val="center"/>
          </w:tcPr>
          <w:p w14:paraId="29BDB5F7">
            <w:pPr>
              <w:adjustRightInd w:val="0"/>
              <w:snapToGrid w:val="0"/>
              <w:rPr>
                <w:rFonts w:hint="eastAsia"/>
                <w:spacing w:val="-10"/>
              </w:rPr>
            </w:pPr>
          </w:p>
        </w:tc>
        <w:tc>
          <w:tcPr>
            <w:tcW w:w="1242" w:type="pct"/>
            <w:gridSpan w:val="2"/>
            <w:tcBorders>
              <w:top w:val="single" w:color="auto" w:sz="8" w:space="0"/>
              <w:left w:val="single" w:color="auto" w:sz="8" w:space="0"/>
              <w:bottom w:val="single" w:color="auto" w:sz="8" w:space="0"/>
              <w:right w:val="single" w:color="auto" w:sz="8" w:space="0"/>
            </w:tcBorders>
            <w:vAlign w:val="center"/>
          </w:tcPr>
          <w:p w14:paraId="6DFA8098">
            <w:pPr>
              <w:adjustRightInd w:val="0"/>
              <w:snapToGrid w:val="0"/>
              <w:rPr>
                <w:rFonts w:hint="eastAsia"/>
                <w:spacing w:val="-10"/>
              </w:rPr>
            </w:pPr>
            <w:r>
              <w:rPr>
                <w:spacing w:val="-10"/>
              </w:rPr>
              <w:t>大气毒性终点浓度-1</w:t>
            </w:r>
          </w:p>
        </w:tc>
        <w:tc>
          <w:tcPr>
            <w:tcW w:w="866" w:type="pct"/>
            <w:gridSpan w:val="2"/>
            <w:tcBorders>
              <w:top w:val="single" w:color="auto" w:sz="8" w:space="0"/>
              <w:left w:val="single" w:color="auto" w:sz="8" w:space="0"/>
              <w:bottom w:val="single" w:color="auto" w:sz="8" w:space="0"/>
              <w:right w:val="single" w:color="auto" w:sz="8" w:space="0"/>
            </w:tcBorders>
            <w:vAlign w:val="center"/>
          </w:tcPr>
          <w:p w14:paraId="3E244C71">
            <w:pPr>
              <w:adjustRightInd w:val="0"/>
              <w:snapToGrid w:val="0"/>
              <w:rPr>
                <w:rFonts w:hint="eastAsia"/>
                <w:spacing w:val="-10"/>
              </w:rPr>
            </w:pPr>
            <w:r>
              <w:rPr>
                <w:rFonts w:hint="eastAsia"/>
                <w:spacing w:val="-10"/>
              </w:rPr>
              <w:t>190</w:t>
            </w:r>
            <w:r>
              <w:rPr>
                <w:spacing w:val="-10"/>
              </w:rPr>
              <w:t>00</w:t>
            </w:r>
          </w:p>
        </w:tc>
        <w:tc>
          <w:tcPr>
            <w:tcW w:w="2036" w:type="pct"/>
            <w:gridSpan w:val="6"/>
            <w:tcBorders>
              <w:top w:val="single" w:color="auto" w:sz="8" w:space="0"/>
              <w:left w:val="single" w:color="auto" w:sz="8" w:space="0"/>
              <w:bottom w:val="single" w:color="auto" w:sz="8" w:space="0"/>
            </w:tcBorders>
            <w:vAlign w:val="center"/>
          </w:tcPr>
          <w:p w14:paraId="11956365">
            <w:pPr>
              <w:adjustRightInd w:val="0"/>
              <w:snapToGrid w:val="0"/>
              <w:rPr>
                <w:rFonts w:hint="eastAsia"/>
                <w:spacing w:val="-10"/>
              </w:rPr>
            </w:pPr>
            <w:r>
              <w:rPr>
                <w:spacing w:val="-10"/>
              </w:rPr>
              <w:t>此阈值及以上，无对应位置，因计算浓度均小于此阈值</w:t>
            </w:r>
          </w:p>
        </w:tc>
      </w:tr>
      <w:tr w14:paraId="5727303F">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7" w:hRule="atLeast"/>
          <w:jc w:val="center"/>
        </w:trPr>
        <w:tc>
          <w:tcPr>
            <w:tcW w:w="247" w:type="pct"/>
            <w:vMerge w:val="continue"/>
            <w:tcBorders>
              <w:top w:val="nil"/>
              <w:bottom w:val="nil"/>
              <w:right w:val="single" w:color="auto" w:sz="8" w:space="0"/>
            </w:tcBorders>
            <w:vAlign w:val="center"/>
          </w:tcPr>
          <w:p w14:paraId="0C38D214">
            <w:pPr>
              <w:adjustRightInd w:val="0"/>
              <w:snapToGrid w:val="0"/>
              <w:rPr>
                <w:rFonts w:hint="eastAsia"/>
                <w:spacing w:val="-10"/>
              </w:rPr>
            </w:pPr>
          </w:p>
        </w:tc>
        <w:tc>
          <w:tcPr>
            <w:tcW w:w="609" w:type="pct"/>
            <w:vMerge w:val="continue"/>
            <w:tcBorders>
              <w:top w:val="single" w:color="auto" w:sz="8" w:space="0"/>
              <w:left w:val="single" w:color="auto" w:sz="8" w:space="0"/>
              <w:bottom w:val="single" w:color="auto" w:sz="8" w:space="0"/>
              <w:right w:val="single" w:color="auto" w:sz="8" w:space="0"/>
            </w:tcBorders>
            <w:vAlign w:val="center"/>
          </w:tcPr>
          <w:p w14:paraId="7AE00FFF">
            <w:pPr>
              <w:adjustRightInd w:val="0"/>
              <w:snapToGrid w:val="0"/>
              <w:rPr>
                <w:rFonts w:hint="eastAsia"/>
                <w:spacing w:val="-10"/>
              </w:rPr>
            </w:pPr>
          </w:p>
        </w:tc>
        <w:tc>
          <w:tcPr>
            <w:tcW w:w="1242" w:type="pct"/>
            <w:gridSpan w:val="2"/>
            <w:tcBorders>
              <w:top w:val="single" w:color="auto" w:sz="8" w:space="0"/>
              <w:left w:val="single" w:color="auto" w:sz="8" w:space="0"/>
              <w:bottom w:val="single" w:color="auto" w:sz="8" w:space="0"/>
              <w:right w:val="single" w:color="auto" w:sz="8" w:space="0"/>
            </w:tcBorders>
            <w:vAlign w:val="center"/>
          </w:tcPr>
          <w:p w14:paraId="00D29576">
            <w:pPr>
              <w:adjustRightInd w:val="0"/>
              <w:snapToGrid w:val="0"/>
              <w:rPr>
                <w:rFonts w:hint="eastAsia"/>
                <w:spacing w:val="-10"/>
              </w:rPr>
            </w:pPr>
            <w:r>
              <w:rPr>
                <w:spacing w:val="-10"/>
              </w:rPr>
              <w:t>指标</w:t>
            </w:r>
          </w:p>
        </w:tc>
        <w:tc>
          <w:tcPr>
            <w:tcW w:w="866" w:type="pct"/>
            <w:gridSpan w:val="2"/>
            <w:tcBorders>
              <w:top w:val="single" w:color="auto" w:sz="8" w:space="0"/>
              <w:left w:val="single" w:color="auto" w:sz="8" w:space="0"/>
              <w:bottom w:val="single" w:color="auto" w:sz="8" w:space="0"/>
              <w:right w:val="single" w:color="auto" w:sz="8" w:space="0"/>
            </w:tcBorders>
            <w:vAlign w:val="center"/>
          </w:tcPr>
          <w:p w14:paraId="29BC9208">
            <w:pPr>
              <w:adjustRightInd w:val="0"/>
              <w:snapToGrid w:val="0"/>
              <w:rPr>
                <w:rFonts w:hint="eastAsia"/>
                <w:spacing w:val="-10"/>
              </w:rPr>
            </w:pPr>
            <w:r>
              <w:rPr>
                <w:spacing w:val="-10"/>
              </w:rPr>
              <w:t>浓度值/(mg/m</w:t>
            </w:r>
            <w:r>
              <w:rPr>
                <w:spacing w:val="-10"/>
                <w:vertAlign w:val="superscript"/>
              </w:rPr>
              <w:t>3</w:t>
            </w:r>
            <w:r>
              <w:rPr>
                <w:spacing w:val="-10"/>
              </w:rPr>
              <w:t>)</w:t>
            </w:r>
          </w:p>
        </w:tc>
        <w:tc>
          <w:tcPr>
            <w:tcW w:w="1050" w:type="pct"/>
            <w:gridSpan w:val="4"/>
            <w:tcBorders>
              <w:top w:val="single" w:color="auto" w:sz="8" w:space="0"/>
              <w:left w:val="single" w:color="auto" w:sz="8" w:space="0"/>
              <w:bottom w:val="single" w:color="auto" w:sz="8" w:space="0"/>
              <w:right w:val="single" w:color="auto" w:sz="8" w:space="0"/>
            </w:tcBorders>
            <w:vAlign w:val="center"/>
          </w:tcPr>
          <w:p w14:paraId="423AFF4B">
            <w:pPr>
              <w:adjustRightInd w:val="0"/>
              <w:snapToGrid w:val="0"/>
              <w:rPr>
                <w:rFonts w:hint="eastAsia"/>
                <w:spacing w:val="-10"/>
              </w:rPr>
            </w:pPr>
            <w:r>
              <w:rPr>
                <w:spacing w:val="-10"/>
              </w:rPr>
              <w:t>最远影响距离/m</w:t>
            </w:r>
          </w:p>
        </w:tc>
        <w:tc>
          <w:tcPr>
            <w:tcW w:w="986" w:type="pct"/>
            <w:gridSpan w:val="2"/>
            <w:tcBorders>
              <w:top w:val="single" w:color="auto" w:sz="8" w:space="0"/>
              <w:left w:val="single" w:color="auto" w:sz="8" w:space="0"/>
              <w:bottom w:val="single" w:color="auto" w:sz="8" w:space="0"/>
            </w:tcBorders>
            <w:vAlign w:val="center"/>
          </w:tcPr>
          <w:p w14:paraId="6C60C309">
            <w:pPr>
              <w:adjustRightInd w:val="0"/>
              <w:snapToGrid w:val="0"/>
              <w:rPr>
                <w:rFonts w:hint="eastAsia"/>
                <w:spacing w:val="-10"/>
              </w:rPr>
            </w:pPr>
            <w:r>
              <w:rPr>
                <w:spacing w:val="-10"/>
              </w:rPr>
              <w:t>到达时间/min</w:t>
            </w:r>
          </w:p>
        </w:tc>
      </w:tr>
      <w:tr w14:paraId="1DEE3D7E">
        <w:tblPrEx>
          <w:tblBorders>
            <w:top w:val="single" w:color="auto" w:sz="12" w:space="0"/>
            <w:left w:val="single" w:color="auto" w:sz="12" w:space="0"/>
            <w:bottom w:val="single" w:color="auto" w:sz="12" w:space="0"/>
            <w:right w:val="single" w:color="auto" w:sz="12" w:space="0"/>
            <w:insideH w:val="none" w:color="auto" w:sz="0" w:space="0"/>
            <w:insideV w:val="single" w:color="auto" w:sz="12" w:space="0"/>
          </w:tblBorders>
          <w:tblCellMar>
            <w:top w:w="0" w:type="dxa"/>
            <w:left w:w="108" w:type="dxa"/>
            <w:bottom w:w="0" w:type="dxa"/>
            <w:right w:w="108" w:type="dxa"/>
          </w:tblCellMar>
        </w:tblPrEx>
        <w:trPr>
          <w:trHeight w:val="397" w:hRule="atLeast"/>
          <w:jc w:val="center"/>
        </w:trPr>
        <w:tc>
          <w:tcPr>
            <w:tcW w:w="247" w:type="pct"/>
            <w:vMerge w:val="continue"/>
            <w:tcBorders>
              <w:top w:val="nil"/>
              <w:bottom w:val="single" w:color="auto" w:sz="12" w:space="0"/>
              <w:right w:val="single" w:color="auto" w:sz="8" w:space="0"/>
            </w:tcBorders>
            <w:vAlign w:val="center"/>
          </w:tcPr>
          <w:p w14:paraId="1572C405">
            <w:pPr>
              <w:adjustRightInd w:val="0"/>
              <w:snapToGrid w:val="0"/>
              <w:rPr>
                <w:rFonts w:hint="eastAsia"/>
                <w:spacing w:val="-10"/>
              </w:rPr>
            </w:pPr>
          </w:p>
        </w:tc>
        <w:tc>
          <w:tcPr>
            <w:tcW w:w="609" w:type="pct"/>
            <w:vMerge w:val="continue"/>
            <w:tcBorders>
              <w:top w:val="single" w:color="auto" w:sz="8" w:space="0"/>
              <w:left w:val="single" w:color="auto" w:sz="8" w:space="0"/>
              <w:bottom w:val="single" w:color="auto" w:sz="12" w:space="0"/>
              <w:right w:val="single" w:color="auto" w:sz="8" w:space="0"/>
            </w:tcBorders>
            <w:vAlign w:val="center"/>
          </w:tcPr>
          <w:p w14:paraId="6ED6B334">
            <w:pPr>
              <w:adjustRightInd w:val="0"/>
              <w:snapToGrid w:val="0"/>
              <w:rPr>
                <w:rFonts w:hint="eastAsia"/>
                <w:spacing w:val="-10"/>
              </w:rPr>
            </w:pPr>
          </w:p>
        </w:tc>
        <w:tc>
          <w:tcPr>
            <w:tcW w:w="1242" w:type="pct"/>
            <w:gridSpan w:val="2"/>
            <w:tcBorders>
              <w:top w:val="single" w:color="auto" w:sz="8" w:space="0"/>
              <w:left w:val="single" w:color="auto" w:sz="8" w:space="0"/>
              <w:bottom w:val="single" w:color="auto" w:sz="12" w:space="0"/>
              <w:right w:val="single" w:color="auto" w:sz="8" w:space="0"/>
            </w:tcBorders>
            <w:vAlign w:val="center"/>
          </w:tcPr>
          <w:p w14:paraId="3DA5C55B">
            <w:pPr>
              <w:adjustRightInd w:val="0"/>
              <w:snapToGrid w:val="0"/>
              <w:rPr>
                <w:rFonts w:hint="eastAsia"/>
                <w:spacing w:val="-10"/>
              </w:rPr>
            </w:pPr>
            <w:r>
              <w:rPr>
                <w:spacing w:val="-10"/>
              </w:rPr>
              <w:t>大气毒性终点浓度-2</w:t>
            </w:r>
          </w:p>
        </w:tc>
        <w:tc>
          <w:tcPr>
            <w:tcW w:w="866" w:type="pct"/>
            <w:gridSpan w:val="2"/>
            <w:tcBorders>
              <w:top w:val="single" w:color="auto" w:sz="8" w:space="0"/>
              <w:left w:val="single" w:color="auto" w:sz="8" w:space="0"/>
              <w:bottom w:val="single" w:color="auto" w:sz="12" w:space="0"/>
              <w:right w:val="single" w:color="auto" w:sz="8" w:space="0"/>
            </w:tcBorders>
            <w:vAlign w:val="center"/>
          </w:tcPr>
          <w:p w14:paraId="1B910A74">
            <w:pPr>
              <w:adjustRightInd w:val="0"/>
              <w:snapToGrid w:val="0"/>
              <w:rPr>
                <w:rFonts w:hint="eastAsia"/>
                <w:spacing w:val="-10"/>
              </w:rPr>
            </w:pPr>
            <w:r>
              <w:rPr>
                <w:rFonts w:hint="eastAsia"/>
                <w:spacing w:val="-10"/>
              </w:rPr>
              <w:t>21</w:t>
            </w:r>
            <w:r>
              <w:rPr>
                <w:spacing w:val="-10"/>
              </w:rPr>
              <w:t>00</w:t>
            </w:r>
          </w:p>
        </w:tc>
        <w:tc>
          <w:tcPr>
            <w:tcW w:w="1018" w:type="pct"/>
            <w:gridSpan w:val="3"/>
            <w:tcBorders>
              <w:top w:val="single" w:color="auto" w:sz="8" w:space="0"/>
              <w:left w:val="single" w:color="auto" w:sz="8" w:space="0"/>
              <w:bottom w:val="single" w:color="auto" w:sz="12" w:space="0"/>
            </w:tcBorders>
            <w:vAlign w:val="center"/>
          </w:tcPr>
          <w:p w14:paraId="4ECE6564">
            <w:pPr>
              <w:adjustRightInd w:val="0"/>
              <w:snapToGrid w:val="0"/>
              <w:rPr>
                <w:rFonts w:hint="eastAsia"/>
                <w:spacing w:val="-10"/>
              </w:rPr>
            </w:pPr>
            <w:r>
              <w:rPr>
                <w:rFonts w:hint="eastAsia"/>
                <w:spacing w:val="-10"/>
              </w:rPr>
              <w:t>10</w:t>
            </w:r>
          </w:p>
        </w:tc>
        <w:tc>
          <w:tcPr>
            <w:tcW w:w="1018" w:type="pct"/>
            <w:gridSpan w:val="3"/>
            <w:tcBorders>
              <w:top w:val="single" w:color="auto" w:sz="8" w:space="0"/>
              <w:left w:val="single" w:color="auto" w:sz="8" w:space="0"/>
              <w:bottom w:val="single" w:color="auto" w:sz="12" w:space="0"/>
            </w:tcBorders>
            <w:vAlign w:val="center"/>
          </w:tcPr>
          <w:p w14:paraId="264AC82D">
            <w:pPr>
              <w:adjustRightInd w:val="0"/>
              <w:snapToGrid w:val="0"/>
              <w:rPr>
                <w:rFonts w:hint="eastAsia"/>
                <w:spacing w:val="-10"/>
              </w:rPr>
            </w:pPr>
            <w:r>
              <w:rPr>
                <w:rFonts w:hint="eastAsia"/>
                <w:spacing w:val="-10"/>
              </w:rPr>
              <w:t>7</w:t>
            </w:r>
          </w:p>
        </w:tc>
      </w:tr>
    </w:tbl>
    <w:p w14:paraId="55BEE4CB">
      <w:pPr>
        <w:adjustRightInd w:val="0"/>
        <w:snapToGrid w:val="0"/>
        <w:ind w:firstLine="440" w:firstLineChars="200"/>
        <w:rPr>
          <w:rFonts w:hint="eastAsia"/>
          <w:bCs/>
          <w:spacing w:val="-10"/>
        </w:rPr>
      </w:pPr>
    </w:p>
    <w:p w14:paraId="0D317E80">
      <w:pPr>
        <w:adjustRightInd w:val="0"/>
        <w:snapToGrid w:val="0"/>
        <w:spacing w:line="360" w:lineRule="auto"/>
        <w:ind w:firstLine="440" w:firstLineChars="200"/>
        <w:rPr>
          <w:rFonts w:hint="eastAsia"/>
          <w:bCs/>
          <w:spacing w:val="-10"/>
        </w:rPr>
      </w:pPr>
      <w:r>
        <w:rPr>
          <w:bCs/>
          <w:spacing w:val="-10"/>
        </w:rPr>
        <w:t>根据预测方案，</w:t>
      </w:r>
      <w:r>
        <w:rPr>
          <w:rFonts w:hint="eastAsia"/>
          <w:bCs/>
          <w:spacing w:val="-10"/>
        </w:rPr>
        <w:t>MTBE</w:t>
      </w:r>
      <w:r>
        <w:rPr>
          <w:bCs/>
          <w:spacing w:val="-10"/>
        </w:rPr>
        <w:t>储罐泄漏引发火灾事故预测结果见下表</w:t>
      </w:r>
      <w:r>
        <w:rPr>
          <w:rFonts w:hint="eastAsia"/>
          <w:bCs/>
          <w:spacing w:val="-10"/>
        </w:rPr>
        <w:t>。</w:t>
      </w:r>
    </w:p>
    <w:p w14:paraId="3ECEB53D">
      <w:pPr>
        <w:adjustRightInd w:val="0"/>
        <w:snapToGrid w:val="0"/>
        <w:jc w:val="center"/>
        <w:rPr>
          <w:rFonts w:hint="eastAsia"/>
          <w:color w:val="000000" w:themeColor="text1"/>
          <w14:textFill>
            <w14:solidFill>
              <w14:schemeClr w14:val="tx1"/>
            </w14:solidFill>
          </w14:textFill>
        </w:rPr>
      </w:pPr>
      <w:r>
        <w:rPr>
          <w:rFonts w:hint="eastAsia"/>
          <w:b/>
          <w:bCs/>
          <w:spacing w:val="-10"/>
        </w:rPr>
        <w:t>表6-36</w:t>
      </w:r>
      <w:r>
        <w:rPr>
          <w:b/>
          <w:bCs/>
          <w:spacing w:val="-10"/>
        </w:rPr>
        <w:t xml:space="preserve"> </w:t>
      </w:r>
      <w:r>
        <w:rPr>
          <w:rFonts w:hint="eastAsia"/>
          <w:b/>
          <w:bCs/>
          <w:spacing w:val="-10"/>
        </w:rPr>
        <w:t xml:space="preserve"> </w:t>
      </w:r>
      <w:r>
        <w:rPr>
          <w:rFonts w:hint="eastAsia"/>
          <w:bCs/>
          <w:spacing w:val="-10"/>
        </w:rPr>
        <w:t>MTBE</w:t>
      </w:r>
      <w:r>
        <w:rPr>
          <w:rFonts w:hint="eastAsia"/>
          <w:b/>
          <w:bCs/>
          <w:spacing w:val="-10"/>
        </w:rPr>
        <w:t>储罐泄漏发生火灾二次污染物CO泄漏源项和事故后果基本信息表</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5"/>
        <w:gridCol w:w="1028"/>
        <w:gridCol w:w="883"/>
        <w:gridCol w:w="1030"/>
        <w:gridCol w:w="316"/>
        <w:gridCol w:w="1300"/>
        <w:gridCol w:w="399"/>
        <w:gridCol w:w="389"/>
        <w:gridCol w:w="1369"/>
        <w:gridCol w:w="105"/>
        <w:gridCol w:w="1460"/>
      </w:tblGrid>
      <w:tr w14:paraId="2C4F3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11"/>
          </w:tcPr>
          <w:p w14:paraId="1B0BBC9B">
            <w:pPr>
              <w:pStyle w:val="51"/>
              <w:rPr>
                <w:sz w:val="21"/>
                <w:szCs w:val="21"/>
              </w:rPr>
            </w:pPr>
            <w:r>
              <w:rPr>
                <w:rFonts w:hint="eastAsia"/>
                <w:sz w:val="21"/>
                <w:szCs w:val="21"/>
              </w:rPr>
              <w:t>风险事故</w:t>
            </w:r>
            <w:r>
              <w:rPr>
                <w:sz w:val="21"/>
                <w:szCs w:val="21"/>
              </w:rPr>
              <w:t>情形分析</w:t>
            </w:r>
          </w:p>
        </w:tc>
      </w:tr>
      <w:tr w14:paraId="7AA95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96" w:type="pct"/>
            <w:gridSpan w:val="3"/>
          </w:tcPr>
          <w:p w14:paraId="7643475F">
            <w:pPr>
              <w:pStyle w:val="51"/>
              <w:rPr>
                <w:sz w:val="21"/>
                <w:szCs w:val="21"/>
              </w:rPr>
            </w:pPr>
            <w:r>
              <w:rPr>
                <w:rFonts w:hint="eastAsia"/>
                <w:sz w:val="21"/>
                <w:szCs w:val="21"/>
              </w:rPr>
              <w:t>代表性风险事故情形描述</w:t>
            </w:r>
          </w:p>
        </w:tc>
        <w:tc>
          <w:tcPr>
            <w:tcW w:w="3604" w:type="pct"/>
            <w:gridSpan w:val="8"/>
          </w:tcPr>
          <w:p w14:paraId="0E15F01D">
            <w:pPr>
              <w:pStyle w:val="51"/>
              <w:rPr>
                <w:sz w:val="21"/>
                <w:szCs w:val="21"/>
              </w:rPr>
            </w:pPr>
            <w:r>
              <w:rPr>
                <w:rFonts w:hint="eastAsia"/>
                <w:bCs/>
                <w:spacing w:val="-10"/>
                <w:sz w:val="24"/>
              </w:rPr>
              <w:t>MTBE</w:t>
            </w:r>
            <w:r>
              <w:rPr>
                <w:rFonts w:hint="eastAsia"/>
                <w:sz w:val="21"/>
                <w:szCs w:val="21"/>
              </w:rPr>
              <w:t>储罐泄漏发生火灾</w:t>
            </w:r>
          </w:p>
        </w:tc>
      </w:tr>
      <w:tr w14:paraId="4FE7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96" w:type="pct"/>
            <w:gridSpan w:val="3"/>
          </w:tcPr>
          <w:p w14:paraId="4CB76B00">
            <w:pPr>
              <w:pStyle w:val="51"/>
              <w:rPr>
                <w:sz w:val="21"/>
                <w:szCs w:val="21"/>
              </w:rPr>
            </w:pPr>
            <w:r>
              <w:rPr>
                <w:rFonts w:hint="eastAsia"/>
                <w:sz w:val="21"/>
                <w:szCs w:val="21"/>
              </w:rPr>
              <w:t>环境</w:t>
            </w:r>
            <w:r>
              <w:rPr>
                <w:sz w:val="21"/>
                <w:szCs w:val="21"/>
              </w:rPr>
              <w:t>风险</w:t>
            </w:r>
            <w:r>
              <w:rPr>
                <w:rFonts w:hint="eastAsia"/>
                <w:sz w:val="21"/>
                <w:szCs w:val="21"/>
              </w:rPr>
              <w:t>类型</w:t>
            </w:r>
          </w:p>
        </w:tc>
        <w:tc>
          <w:tcPr>
            <w:tcW w:w="3604" w:type="pct"/>
            <w:gridSpan w:val="8"/>
          </w:tcPr>
          <w:p w14:paraId="3390AA74">
            <w:pPr>
              <w:pStyle w:val="51"/>
              <w:rPr>
                <w:sz w:val="21"/>
                <w:szCs w:val="21"/>
              </w:rPr>
            </w:pPr>
            <w:r>
              <w:rPr>
                <w:rFonts w:hint="eastAsia"/>
                <w:sz w:val="21"/>
                <w:szCs w:val="21"/>
              </w:rPr>
              <w:t>C</w:t>
            </w:r>
            <w:r>
              <w:rPr>
                <w:sz w:val="21"/>
                <w:szCs w:val="21"/>
              </w:rPr>
              <w:t>O</w:t>
            </w:r>
            <w:r>
              <w:rPr>
                <w:rFonts w:hint="eastAsia"/>
                <w:sz w:val="21"/>
                <w:szCs w:val="21"/>
              </w:rPr>
              <w:t>扩散</w:t>
            </w:r>
          </w:p>
        </w:tc>
      </w:tr>
      <w:tr w14:paraId="7E17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96" w:type="pct"/>
            <w:gridSpan w:val="3"/>
          </w:tcPr>
          <w:p w14:paraId="1185FDAE">
            <w:pPr>
              <w:pStyle w:val="51"/>
              <w:rPr>
                <w:sz w:val="21"/>
                <w:szCs w:val="21"/>
              </w:rPr>
            </w:pPr>
            <w:r>
              <w:rPr>
                <w:rFonts w:hint="eastAsia"/>
                <w:sz w:val="21"/>
                <w:szCs w:val="21"/>
              </w:rPr>
              <w:t>C</w:t>
            </w:r>
            <w:r>
              <w:rPr>
                <w:sz w:val="21"/>
                <w:szCs w:val="21"/>
              </w:rPr>
              <w:t>O</w:t>
            </w:r>
            <w:r>
              <w:rPr>
                <w:rFonts w:hint="eastAsia"/>
                <w:sz w:val="21"/>
                <w:szCs w:val="21"/>
              </w:rPr>
              <w:t>产生量</w:t>
            </w:r>
          </w:p>
        </w:tc>
        <w:tc>
          <w:tcPr>
            <w:tcW w:w="583" w:type="pct"/>
          </w:tcPr>
          <w:p w14:paraId="5C61A8DE">
            <w:pPr>
              <w:pStyle w:val="51"/>
              <w:rPr>
                <w:sz w:val="21"/>
                <w:szCs w:val="21"/>
              </w:rPr>
            </w:pPr>
            <w:r>
              <w:rPr>
                <w:rFonts w:hint="eastAsia"/>
                <w:sz w:val="21"/>
                <w:szCs w:val="21"/>
              </w:rPr>
              <w:t>5.94</w:t>
            </w:r>
          </w:p>
        </w:tc>
        <w:tc>
          <w:tcPr>
            <w:tcW w:w="915" w:type="pct"/>
            <w:gridSpan w:val="2"/>
          </w:tcPr>
          <w:p w14:paraId="29983061">
            <w:pPr>
              <w:pStyle w:val="51"/>
              <w:rPr>
                <w:sz w:val="21"/>
                <w:szCs w:val="21"/>
              </w:rPr>
            </w:pPr>
            <w:r>
              <w:rPr>
                <w:rFonts w:hint="eastAsia"/>
                <w:sz w:val="21"/>
                <w:szCs w:val="21"/>
              </w:rPr>
              <w:t>扩散时间/min</w:t>
            </w:r>
          </w:p>
        </w:tc>
        <w:tc>
          <w:tcPr>
            <w:tcW w:w="446" w:type="pct"/>
            <w:gridSpan w:val="2"/>
          </w:tcPr>
          <w:p w14:paraId="4E84CA03">
            <w:pPr>
              <w:pStyle w:val="51"/>
              <w:rPr>
                <w:sz w:val="21"/>
                <w:szCs w:val="21"/>
              </w:rPr>
            </w:pPr>
            <w:r>
              <w:rPr>
                <w:rFonts w:hint="eastAsia"/>
                <w:sz w:val="21"/>
                <w:szCs w:val="21"/>
              </w:rPr>
              <w:t>30</w:t>
            </w:r>
          </w:p>
        </w:tc>
        <w:tc>
          <w:tcPr>
            <w:tcW w:w="834" w:type="pct"/>
            <w:gridSpan w:val="2"/>
          </w:tcPr>
          <w:p w14:paraId="5746A796">
            <w:pPr>
              <w:pStyle w:val="51"/>
              <w:rPr>
                <w:sz w:val="21"/>
                <w:szCs w:val="21"/>
              </w:rPr>
            </w:pPr>
          </w:p>
        </w:tc>
        <w:tc>
          <w:tcPr>
            <w:tcW w:w="827" w:type="pct"/>
          </w:tcPr>
          <w:p w14:paraId="4C97FECE">
            <w:pPr>
              <w:pStyle w:val="51"/>
              <w:rPr>
                <w:sz w:val="21"/>
                <w:szCs w:val="21"/>
              </w:rPr>
            </w:pPr>
          </w:p>
        </w:tc>
      </w:tr>
      <w:tr w14:paraId="6C986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11"/>
          </w:tcPr>
          <w:p w14:paraId="562BE260">
            <w:pPr>
              <w:pStyle w:val="51"/>
              <w:rPr>
                <w:sz w:val="21"/>
                <w:szCs w:val="21"/>
              </w:rPr>
            </w:pPr>
            <w:r>
              <w:rPr>
                <w:rFonts w:hint="eastAsia"/>
                <w:sz w:val="21"/>
                <w:szCs w:val="21"/>
              </w:rPr>
              <w:t>事故后果预测</w:t>
            </w:r>
          </w:p>
        </w:tc>
      </w:tr>
      <w:tr w14:paraId="2E142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4" w:type="pct"/>
            <w:vMerge w:val="restart"/>
          </w:tcPr>
          <w:p w14:paraId="2EE6D241">
            <w:pPr>
              <w:pStyle w:val="51"/>
              <w:rPr>
                <w:sz w:val="21"/>
                <w:szCs w:val="21"/>
              </w:rPr>
            </w:pPr>
            <w:r>
              <w:rPr>
                <w:rFonts w:hint="eastAsia"/>
                <w:sz w:val="21"/>
                <w:szCs w:val="21"/>
              </w:rPr>
              <w:t>大气</w:t>
            </w:r>
          </w:p>
        </w:tc>
        <w:tc>
          <w:tcPr>
            <w:tcW w:w="582" w:type="pct"/>
          </w:tcPr>
          <w:p w14:paraId="681CC248">
            <w:pPr>
              <w:pStyle w:val="51"/>
              <w:rPr>
                <w:sz w:val="21"/>
                <w:szCs w:val="21"/>
              </w:rPr>
            </w:pPr>
            <w:r>
              <w:rPr>
                <w:rFonts w:hint="eastAsia"/>
                <w:sz w:val="21"/>
                <w:szCs w:val="21"/>
              </w:rPr>
              <w:t>危险物质</w:t>
            </w:r>
          </w:p>
        </w:tc>
        <w:tc>
          <w:tcPr>
            <w:tcW w:w="4104" w:type="pct"/>
            <w:gridSpan w:val="9"/>
          </w:tcPr>
          <w:p w14:paraId="3256269D">
            <w:pPr>
              <w:pStyle w:val="51"/>
              <w:rPr>
                <w:sz w:val="21"/>
                <w:szCs w:val="21"/>
              </w:rPr>
            </w:pPr>
            <w:r>
              <w:rPr>
                <w:rFonts w:hint="eastAsia"/>
                <w:sz w:val="21"/>
                <w:szCs w:val="21"/>
              </w:rPr>
              <w:t>最不利气象条件下大气</w:t>
            </w:r>
            <w:r>
              <w:rPr>
                <w:sz w:val="21"/>
                <w:szCs w:val="21"/>
              </w:rPr>
              <w:t>环境影响</w:t>
            </w:r>
          </w:p>
        </w:tc>
      </w:tr>
      <w:tr w14:paraId="020CE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4" w:type="pct"/>
            <w:vMerge w:val="continue"/>
          </w:tcPr>
          <w:p w14:paraId="5579EE84">
            <w:pPr>
              <w:pStyle w:val="51"/>
              <w:rPr>
                <w:sz w:val="21"/>
                <w:szCs w:val="21"/>
              </w:rPr>
            </w:pPr>
          </w:p>
        </w:tc>
        <w:tc>
          <w:tcPr>
            <w:tcW w:w="582" w:type="pct"/>
            <w:vMerge w:val="restart"/>
          </w:tcPr>
          <w:p w14:paraId="41C010E6">
            <w:pPr>
              <w:pStyle w:val="51"/>
              <w:rPr>
                <w:sz w:val="21"/>
                <w:szCs w:val="21"/>
              </w:rPr>
            </w:pPr>
            <w:r>
              <w:rPr>
                <w:rFonts w:hint="eastAsia"/>
                <w:sz w:val="21"/>
                <w:szCs w:val="21"/>
              </w:rPr>
              <w:t>C</w:t>
            </w:r>
            <w:r>
              <w:rPr>
                <w:sz w:val="21"/>
                <w:szCs w:val="21"/>
              </w:rPr>
              <w:t>O</w:t>
            </w:r>
          </w:p>
        </w:tc>
        <w:tc>
          <w:tcPr>
            <w:tcW w:w="1262" w:type="pct"/>
            <w:gridSpan w:val="3"/>
          </w:tcPr>
          <w:p w14:paraId="00552452">
            <w:pPr>
              <w:pStyle w:val="51"/>
              <w:rPr>
                <w:sz w:val="21"/>
                <w:szCs w:val="21"/>
              </w:rPr>
            </w:pPr>
            <w:r>
              <w:rPr>
                <w:rFonts w:hint="eastAsia"/>
                <w:sz w:val="21"/>
                <w:szCs w:val="21"/>
              </w:rPr>
              <w:t>指标</w:t>
            </w:r>
          </w:p>
        </w:tc>
        <w:tc>
          <w:tcPr>
            <w:tcW w:w="962" w:type="pct"/>
            <w:gridSpan w:val="2"/>
          </w:tcPr>
          <w:p w14:paraId="5D5F0C51">
            <w:pPr>
              <w:pStyle w:val="51"/>
              <w:rPr>
                <w:sz w:val="21"/>
                <w:szCs w:val="21"/>
              </w:rPr>
            </w:pPr>
            <w:r>
              <w:rPr>
                <w:rFonts w:hint="eastAsia"/>
                <w:sz w:val="21"/>
                <w:szCs w:val="21"/>
              </w:rPr>
              <w:t>浓度值/</w:t>
            </w:r>
            <w:r>
              <w:rPr>
                <w:sz w:val="21"/>
                <w:szCs w:val="21"/>
              </w:rPr>
              <w:t>(</w:t>
            </w:r>
            <w:r>
              <w:rPr>
                <w:rFonts w:hint="eastAsia"/>
                <w:sz w:val="21"/>
                <w:szCs w:val="21"/>
              </w:rPr>
              <w:t>mg/m</w:t>
            </w:r>
            <w:r>
              <w:rPr>
                <w:rFonts w:hint="eastAsia"/>
                <w:sz w:val="21"/>
                <w:szCs w:val="21"/>
                <w:vertAlign w:val="superscript"/>
              </w:rPr>
              <w:t>3</w:t>
            </w:r>
            <w:r>
              <w:rPr>
                <w:rFonts w:hint="eastAsia"/>
                <w:sz w:val="21"/>
                <w:szCs w:val="21"/>
              </w:rPr>
              <w:t>)</w:t>
            </w:r>
          </w:p>
        </w:tc>
        <w:tc>
          <w:tcPr>
            <w:tcW w:w="995" w:type="pct"/>
            <w:gridSpan w:val="2"/>
          </w:tcPr>
          <w:p w14:paraId="226877EA">
            <w:pPr>
              <w:pStyle w:val="51"/>
              <w:rPr>
                <w:sz w:val="21"/>
                <w:szCs w:val="21"/>
              </w:rPr>
            </w:pPr>
            <w:r>
              <w:rPr>
                <w:rFonts w:hint="eastAsia"/>
                <w:sz w:val="21"/>
                <w:szCs w:val="21"/>
              </w:rPr>
              <w:t>最远影响距离/m</w:t>
            </w:r>
          </w:p>
        </w:tc>
        <w:tc>
          <w:tcPr>
            <w:tcW w:w="886" w:type="pct"/>
            <w:gridSpan w:val="2"/>
          </w:tcPr>
          <w:p w14:paraId="1CCD10DF">
            <w:pPr>
              <w:pStyle w:val="51"/>
              <w:rPr>
                <w:sz w:val="21"/>
                <w:szCs w:val="21"/>
              </w:rPr>
            </w:pPr>
            <w:r>
              <w:rPr>
                <w:rFonts w:hint="eastAsia"/>
                <w:sz w:val="21"/>
                <w:szCs w:val="21"/>
              </w:rPr>
              <w:t>到达时间/min</w:t>
            </w:r>
          </w:p>
        </w:tc>
      </w:tr>
      <w:tr w14:paraId="5495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4" w:type="pct"/>
            <w:vMerge w:val="continue"/>
          </w:tcPr>
          <w:p w14:paraId="44BBA7DE">
            <w:pPr>
              <w:pStyle w:val="51"/>
              <w:rPr>
                <w:sz w:val="21"/>
                <w:szCs w:val="21"/>
              </w:rPr>
            </w:pPr>
          </w:p>
        </w:tc>
        <w:tc>
          <w:tcPr>
            <w:tcW w:w="582" w:type="pct"/>
            <w:vMerge w:val="continue"/>
          </w:tcPr>
          <w:p w14:paraId="6E23C810">
            <w:pPr>
              <w:pStyle w:val="51"/>
              <w:rPr>
                <w:sz w:val="21"/>
                <w:szCs w:val="21"/>
              </w:rPr>
            </w:pPr>
          </w:p>
        </w:tc>
        <w:tc>
          <w:tcPr>
            <w:tcW w:w="1262" w:type="pct"/>
            <w:gridSpan w:val="3"/>
          </w:tcPr>
          <w:p w14:paraId="6DBF0B8A">
            <w:pPr>
              <w:pStyle w:val="51"/>
              <w:rPr>
                <w:sz w:val="21"/>
                <w:szCs w:val="21"/>
              </w:rPr>
            </w:pPr>
            <w:r>
              <w:rPr>
                <w:rFonts w:hint="eastAsia"/>
                <w:sz w:val="21"/>
                <w:szCs w:val="21"/>
              </w:rPr>
              <w:t>大气毒性终点浓度-1</w:t>
            </w:r>
          </w:p>
        </w:tc>
        <w:tc>
          <w:tcPr>
            <w:tcW w:w="962" w:type="pct"/>
            <w:gridSpan w:val="2"/>
          </w:tcPr>
          <w:p w14:paraId="552AA58B">
            <w:pPr>
              <w:pStyle w:val="51"/>
              <w:rPr>
                <w:sz w:val="21"/>
                <w:szCs w:val="21"/>
              </w:rPr>
            </w:pPr>
            <w:r>
              <w:rPr>
                <w:rFonts w:hint="eastAsia"/>
                <w:sz w:val="21"/>
                <w:szCs w:val="21"/>
              </w:rPr>
              <w:t>3</w:t>
            </w:r>
            <w:r>
              <w:rPr>
                <w:sz w:val="21"/>
                <w:szCs w:val="21"/>
              </w:rPr>
              <w:t>80</w:t>
            </w:r>
          </w:p>
        </w:tc>
        <w:tc>
          <w:tcPr>
            <w:tcW w:w="995" w:type="pct"/>
            <w:gridSpan w:val="2"/>
          </w:tcPr>
          <w:p w14:paraId="601D9B70">
            <w:pPr>
              <w:pStyle w:val="51"/>
              <w:rPr>
                <w:sz w:val="21"/>
                <w:szCs w:val="21"/>
              </w:rPr>
            </w:pPr>
            <w:r>
              <w:rPr>
                <w:rFonts w:hint="eastAsia"/>
                <w:sz w:val="21"/>
                <w:szCs w:val="21"/>
              </w:rPr>
              <w:t>40</w:t>
            </w:r>
          </w:p>
        </w:tc>
        <w:tc>
          <w:tcPr>
            <w:tcW w:w="886" w:type="pct"/>
            <w:gridSpan w:val="2"/>
          </w:tcPr>
          <w:p w14:paraId="6AE0FEA3">
            <w:pPr>
              <w:pStyle w:val="51"/>
              <w:rPr>
                <w:sz w:val="21"/>
                <w:szCs w:val="21"/>
              </w:rPr>
            </w:pPr>
            <w:r>
              <w:rPr>
                <w:rFonts w:hint="eastAsia"/>
                <w:sz w:val="21"/>
                <w:szCs w:val="21"/>
              </w:rPr>
              <w:t>0.4</w:t>
            </w:r>
          </w:p>
        </w:tc>
      </w:tr>
      <w:tr w14:paraId="41611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4" w:type="pct"/>
            <w:vMerge w:val="continue"/>
          </w:tcPr>
          <w:p w14:paraId="0B9E3DD0">
            <w:pPr>
              <w:pStyle w:val="51"/>
              <w:rPr>
                <w:sz w:val="21"/>
                <w:szCs w:val="21"/>
              </w:rPr>
            </w:pPr>
          </w:p>
        </w:tc>
        <w:tc>
          <w:tcPr>
            <w:tcW w:w="582" w:type="pct"/>
            <w:vMerge w:val="continue"/>
          </w:tcPr>
          <w:p w14:paraId="50B61E97">
            <w:pPr>
              <w:pStyle w:val="51"/>
              <w:rPr>
                <w:sz w:val="21"/>
                <w:szCs w:val="21"/>
              </w:rPr>
            </w:pPr>
          </w:p>
        </w:tc>
        <w:tc>
          <w:tcPr>
            <w:tcW w:w="1262" w:type="pct"/>
            <w:gridSpan w:val="3"/>
          </w:tcPr>
          <w:p w14:paraId="75C07260">
            <w:pPr>
              <w:pStyle w:val="51"/>
              <w:rPr>
                <w:sz w:val="21"/>
                <w:szCs w:val="21"/>
              </w:rPr>
            </w:pPr>
            <w:r>
              <w:rPr>
                <w:rFonts w:hint="eastAsia"/>
                <w:sz w:val="21"/>
                <w:szCs w:val="21"/>
              </w:rPr>
              <w:t>指标</w:t>
            </w:r>
          </w:p>
        </w:tc>
        <w:tc>
          <w:tcPr>
            <w:tcW w:w="962" w:type="pct"/>
            <w:gridSpan w:val="2"/>
          </w:tcPr>
          <w:p w14:paraId="72F0BFD0">
            <w:pPr>
              <w:pStyle w:val="51"/>
              <w:rPr>
                <w:sz w:val="21"/>
                <w:szCs w:val="21"/>
              </w:rPr>
            </w:pPr>
            <w:r>
              <w:rPr>
                <w:rFonts w:hint="eastAsia"/>
                <w:sz w:val="21"/>
                <w:szCs w:val="21"/>
              </w:rPr>
              <w:t>浓度值/</w:t>
            </w:r>
            <w:r>
              <w:rPr>
                <w:sz w:val="21"/>
                <w:szCs w:val="21"/>
              </w:rPr>
              <w:t>(</w:t>
            </w:r>
            <w:r>
              <w:rPr>
                <w:rFonts w:hint="eastAsia"/>
                <w:sz w:val="21"/>
                <w:szCs w:val="21"/>
              </w:rPr>
              <w:t>mg/m</w:t>
            </w:r>
            <w:r>
              <w:rPr>
                <w:rFonts w:hint="eastAsia"/>
                <w:sz w:val="21"/>
                <w:szCs w:val="21"/>
                <w:vertAlign w:val="superscript"/>
              </w:rPr>
              <w:t>3</w:t>
            </w:r>
            <w:r>
              <w:rPr>
                <w:rFonts w:hint="eastAsia"/>
                <w:sz w:val="21"/>
                <w:szCs w:val="21"/>
              </w:rPr>
              <w:t>)</w:t>
            </w:r>
          </w:p>
        </w:tc>
        <w:tc>
          <w:tcPr>
            <w:tcW w:w="995" w:type="pct"/>
            <w:gridSpan w:val="2"/>
          </w:tcPr>
          <w:p w14:paraId="18FB80FB">
            <w:pPr>
              <w:pStyle w:val="51"/>
              <w:rPr>
                <w:sz w:val="21"/>
                <w:szCs w:val="21"/>
              </w:rPr>
            </w:pPr>
            <w:r>
              <w:rPr>
                <w:rFonts w:hint="eastAsia"/>
                <w:sz w:val="21"/>
                <w:szCs w:val="21"/>
              </w:rPr>
              <w:t>最远影响距离/m</w:t>
            </w:r>
          </w:p>
        </w:tc>
        <w:tc>
          <w:tcPr>
            <w:tcW w:w="886" w:type="pct"/>
            <w:gridSpan w:val="2"/>
          </w:tcPr>
          <w:p w14:paraId="038FDEC0">
            <w:pPr>
              <w:pStyle w:val="51"/>
              <w:rPr>
                <w:sz w:val="21"/>
                <w:szCs w:val="21"/>
              </w:rPr>
            </w:pPr>
            <w:r>
              <w:rPr>
                <w:rFonts w:hint="eastAsia"/>
                <w:sz w:val="21"/>
                <w:szCs w:val="21"/>
              </w:rPr>
              <w:t>到达时间/min</w:t>
            </w:r>
          </w:p>
        </w:tc>
      </w:tr>
      <w:tr w14:paraId="69855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4" w:type="pct"/>
            <w:vMerge w:val="continue"/>
          </w:tcPr>
          <w:p w14:paraId="4598EA03">
            <w:pPr>
              <w:pStyle w:val="51"/>
              <w:rPr>
                <w:sz w:val="21"/>
                <w:szCs w:val="21"/>
              </w:rPr>
            </w:pPr>
          </w:p>
        </w:tc>
        <w:tc>
          <w:tcPr>
            <w:tcW w:w="582" w:type="pct"/>
            <w:vMerge w:val="continue"/>
          </w:tcPr>
          <w:p w14:paraId="16563D06">
            <w:pPr>
              <w:pStyle w:val="51"/>
              <w:rPr>
                <w:sz w:val="21"/>
                <w:szCs w:val="21"/>
              </w:rPr>
            </w:pPr>
          </w:p>
        </w:tc>
        <w:tc>
          <w:tcPr>
            <w:tcW w:w="1262" w:type="pct"/>
            <w:gridSpan w:val="3"/>
          </w:tcPr>
          <w:p w14:paraId="056FD10C">
            <w:pPr>
              <w:pStyle w:val="51"/>
              <w:rPr>
                <w:sz w:val="21"/>
                <w:szCs w:val="21"/>
              </w:rPr>
            </w:pPr>
            <w:r>
              <w:rPr>
                <w:rFonts w:hint="eastAsia"/>
                <w:sz w:val="21"/>
                <w:szCs w:val="21"/>
              </w:rPr>
              <w:t>大气毒性终点浓度-2</w:t>
            </w:r>
          </w:p>
        </w:tc>
        <w:tc>
          <w:tcPr>
            <w:tcW w:w="962" w:type="pct"/>
            <w:gridSpan w:val="2"/>
          </w:tcPr>
          <w:p w14:paraId="2DB35FE0">
            <w:pPr>
              <w:pStyle w:val="51"/>
              <w:rPr>
                <w:sz w:val="21"/>
                <w:szCs w:val="21"/>
              </w:rPr>
            </w:pPr>
            <w:r>
              <w:rPr>
                <w:rFonts w:hint="eastAsia"/>
                <w:sz w:val="21"/>
                <w:szCs w:val="21"/>
              </w:rPr>
              <w:t>9</w:t>
            </w:r>
            <w:r>
              <w:rPr>
                <w:sz w:val="21"/>
                <w:szCs w:val="21"/>
              </w:rPr>
              <w:t>5</w:t>
            </w:r>
          </w:p>
        </w:tc>
        <w:tc>
          <w:tcPr>
            <w:tcW w:w="995" w:type="pct"/>
            <w:gridSpan w:val="2"/>
          </w:tcPr>
          <w:p w14:paraId="5571D5C9">
            <w:pPr>
              <w:pStyle w:val="51"/>
              <w:rPr>
                <w:sz w:val="21"/>
                <w:szCs w:val="21"/>
              </w:rPr>
            </w:pPr>
            <w:r>
              <w:rPr>
                <w:rFonts w:hint="eastAsia"/>
                <w:sz w:val="21"/>
                <w:szCs w:val="21"/>
              </w:rPr>
              <w:t>110</w:t>
            </w:r>
          </w:p>
        </w:tc>
        <w:tc>
          <w:tcPr>
            <w:tcW w:w="886" w:type="pct"/>
            <w:gridSpan w:val="2"/>
          </w:tcPr>
          <w:p w14:paraId="0B236FD1">
            <w:pPr>
              <w:pStyle w:val="51"/>
              <w:rPr>
                <w:sz w:val="21"/>
                <w:szCs w:val="21"/>
              </w:rPr>
            </w:pPr>
            <w:r>
              <w:rPr>
                <w:rFonts w:hint="eastAsia"/>
                <w:sz w:val="21"/>
                <w:szCs w:val="21"/>
              </w:rPr>
              <w:t>1.2</w:t>
            </w:r>
          </w:p>
        </w:tc>
      </w:tr>
      <w:tr w14:paraId="6FA64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4" w:type="pct"/>
            <w:vMerge w:val="continue"/>
          </w:tcPr>
          <w:p w14:paraId="3BA8B893">
            <w:pPr>
              <w:pStyle w:val="51"/>
              <w:rPr>
                <w:sz w:val="21"/>
                <w:szCs w:val="21"/>
              </w:rPr>
            </w:pPr>
          </w:p>
        </w:tc>
        <w:tc>
          <w:tcPr>
            <w:tcW w:w="582" w:type="pct"/>
          </w:tcPr>
          <w:p w14:paraId="52BDA84F">
            <w:pPr>
              <w:pStyle w:val="51"/>
              <w:rPr>
                <w:sz w:val="21"/>
                <w:szCs w:val="21"/>
              </w:rPr>
            </w:pPr>
            <w:r>
              <w:rPr>
                <w:rFonts w:hint="eastAsia"/>
                <w:sz w:val="21"/>
                <w:szCs w:val="21"/>
              </w:rPr>
              <w:t>危险物质</w:t>
            </w:r>
          </w:p>
        </w:tc>
        <w:tc>
          <w:tcPr>
            <w:tcW w:w="4104" w:type="pct"/>
            <w:gridSpan w:val="9"/>
          </w:tcPr>
          <w:p w14:paraId="50EEAE6C">
            <w:pPr>
              <w:pStyle w:val="51"/>
              <w:rPr>
                <w:sz w:val="21"/>
                <w:szCs w:val="21"/>
              </w:rPr>
            </w:pPr>
            <w:r>
              <w:rPr>
                <w:rFonts w:hint="eastAsia"/>
                <w:sz w:val="21"/>
                <w:szCs w:val="21"/>
              </w:rPr>
              <w:t>最常见气象条件下大气环境影响</w:t>
            </w:r>
          </w:p>
        </w:tc>
      </w:tr>
      <w:tr w14:paraId="55AA9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4" w:type="pct"/>
            <w:vMerge w:val="continue"/>
          </w:tcPr>
          <w:p w14:paraId="59557BFC">
            <w:pPr>
              <w:pStyle w:val="51"/>
              <w:rPr>
                <w:sz w:val="21"/>
                <w:szCs w:val="21"/>
              </w:rPr>
            </w:pPr>
          </w:p>
        </w:tc>
        <w:tc>
          <w:tcPr>
            <w:tcW w:w="582" w:type="pct"/>
            <w:vMerge w:val="restart"/>
          </w:tcPr>
          <w:p w14:paraId="3F825B12">
            <w:pPr>
              <w:pStyle w:val="51"/>
              <w:rPr>
                <w:sz w:val="21"/>
                <w:szCs w:val="21"/>
              </w:rPr>
            </w:pPr>
            <w:r>
              <w:rPr>
                <w:rFonts w:hint="eastAsia"/>
                <w:sz w:val="21"/>
                <w:szCs w:val="21"/>
              </w:rPr>
              <w:t>C</w:t>
            </w:r>
            <w:r>
              <w:rPr>
                <w:sz w:val="21"/>
                <w:szCs w:val="21"/>
              </w:rPr>
              <w:t>O</w:t>
            </w:r>
          </w:p>
        </w:tc>
        <w:tc>
          <w:tcPr>
            <w:tcW w:w="1262" w:type="pct"/>
            <w:gridSpan w:val="3"/>
          </w:tcPr>
          <w:p w14:paraId="06ECAA4B">
            <w:pPr>
              <w:pStyle w:val="51"/>
              <w:rPr>
                <w:sz w:val="21"/>
                <w:szCs w:val="21"/>
              </w:rPr>
            </w:pPr>
            <w:r>
              <w:rPr>
                <w:rFonts w:hint="eastAsia"/>
                <w:sz w:val="21"/>
                <w:szCs w:val="21"/>
              </w:rPr>
              <w:t>指标</w:t>
            </w:r>
          </w:p>
        </w:tc>
        <w:tc>
          <w:tcPr>
            <w:tcW w:w="962" w:type="pct"/>
            <w:gridSpan w:val="2"/>
          </w:tcPr>
          <w:p w14:paraId="404DB02D">
            <w:pPr>
              <w:pStyle w:val="51"/>
              <w:rPr>
                <w:sz w:val="21"/>
                <w:szCs w:val="21"/>
              </w:rPr>
            </w:pPr>
            <w:r>
              <w:rPr>
                <w:rFonts w:hint="eastAsia"/>
                <w:sz w:val="21"/>
                <w:szCs w:val="21"/>
              </w:rPr>
              <w:t>浓度值/</w:t>
            </w:r>
            <w:r>
              <w:rPr>
                <w:sz w:val="21"/>
                <w:szCs w:val="21"/>
              </w:rPr>
              <w:t>(</w:t>
            </w:r>
            <w:r>
              <w:rPr>
                <w:rFonts w:hint="eastAsia"/>
                <w:sz w:val="21"/>
                <w:szCs w:val="21"/>
              </w:rPr>
              <w:t>mg/m</w:t>
            </w:r>
            <w:r>
              <w:rPr>
                <w:rFonts w:hint="eastAsia"/>
                <w:sz w:val="21"/>
                <w:szCs w:val="21"/>
                <w:vertAlign w:val="superscript"/>
              </w:rPr>
              <w:t>3</w:t>
            </w:r>
            <w:r>
              <w:rPr>
                <w:rFonts w:hint="eastAsia"/>
                <w:sz w:val="21"/>
                <w:szCs w:val="21"/>
              </w:rPr>
              <w:t>)</w:t>
            </w:r>
          </w:p>
        </w:tc>
        <w:tc>
          <w:tcPr>
            <w:tcW w:w="995" w:type="pct"/>
            <w:gridSpan w:val="2"/>
          </w:tcPr>
          <w:p w14:paraId="7F6C7946">
            <w:pPr>
              <w:pStyle w:val="51"/>
              <w:rPr>
                <w:sz w:val="21"/>
                <w:szCs w:val="21"/>
              </w:rPr>
            </w:pPr>
            <w:r>
              <w:rPr>
                <w:rFonts w:hint="eastAsia"/>
                <w:sz w:val="21"/>
                <w:szCs w:val="21"/>
              </w:rPr>
              <w:t>最远影响距离/m</w:t>
            </w:r>
          </w:p>
        </w:tc>
        <w:tc>
          <w:tcPr>
            <w:tcW w:w="886" w:type="pct"/>
            <w:gridSpan w:val="2"/>
          </w:tcPr>
          <w:p w14:paraId="7F7564D7">
            <w:pPr>
              <w:pStyle w:val="51"/>
              <w:rPr>
                <w:sz w:val="21"/>
                <w:szCs w:val="21"/>
              </w:rPr>
            </w:pPr>
            <w:r>
              <w:rPr>
                <w:rFonts w:hint="eastAsia"/>
                <w:sz w:val="21"/>
                <w:szCs w:val="21"/>
              </w:rPr>
              <w:t>到达时间/min</w:t>
            </w:r>
          </w:p>
        </w:tc>
      </w:tr>
      <w:tr w14:paraId="6B51C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4" w:type="pct"/>
            <w:vMerge w:val="continue"/>
          </w:tcPr>
          <w:p w14:paraId="0CF1EC23">
            <w:pPr>
              <w:pStyle w:val="51"/>
              <w:rPr>
                <w:sz w:val="21"/>
                <w:szCs w:val="21"/>
              </w:rPr>
            </w:pPr>
          </w:p>
        </w:tc>
        <w:tc>
          <w:tcPr>
            <w:tcW w:w="582" w:type="pct"/>
            <w:vMerge w:val="continue"/>
          </w:tcPr>
          <w:p w14:paraId="37FCAD38">
            <w:pPr>
              <w:pStyle w:val="51"/>
              <w:rPr>
                <w:sz w:val="21"/>
                <w:szCs w:val="21"/>
              </w:rPr>
            </w:pPr>
          </w:p>
        </w:tc>
        <w:tc>
          <w:tcPr>
            <w:tcW w:w="1262" w:type="pct"/>
            <w:gridSpan w:val="3"/>
          </w:tcPr>
          <w:p w14:paraId="738E0127">
            <w:pPr>
              <w:pStyle w:val="51"/>
              <w:rPr>
                <w:sz w:val="21"/>
                <w:szCs w:val="21"/>
              </w:rPr>
            </w:pPr>
            <w:r>
              <w:rPr>
                <w:rFonts w:hint="eastAsia"/>
                <w:sz w:val="21"/>
                <w:szCs w:val="21"/>
              </w:rPr>
              <w:t>大气毒性终点浓度-1</w:t>
            </w:r>
          </w:p>
        </w:tc>
        <w:tc>
          <w:tcPr>
            <w:tcW w:w="962" w:type="pct"/>
            <w:gridSpan w:val="2"/>
          </w:tcPr>
          <w:p w14:paraId="29CF1DC5">
            <w:pPr>
              <w:pStyle w:val="51"/>
              <w:rPr>
                <w:sz w:val="21"/>
                <w:szCs w:val="21"/>
              </w:rPr>
            </w:pPr>
            <w:r>
              <w:rPr>
                <w:rFonts w:hint="eastAsia"/>
                <w:sz w:val="21"/>
                <w:szCs w:val="21"/>
              </w:rPr>
              <w:t>3</w:t>
            </w:r>
            <w:r>
              <w:rPr>
                <w:sz w:val="21"/>
                <w:szCs w:val="21"/>
              </w:rPr>
              <w:t>80</w:t>
            </w:r>
          </w:p>
        </w:tc>
        <w:tc>
          <w:tcPr>
            <w:tcW w:w="995" w:type="pct"/>
            <w:gridSpan w:val="2"/>
          </w:tcPr>
          <w:p w14:paraId="09B5D7ED">
            <w:pPr>
              <w:pStyle w:val="51"/>
              <w:rPr>
                <w:sz w:val="21"/>
                <w:szCs w:val="21"/>
              </w:rPr>
            </w:pPr>
            <w:r>
              <w:rPr>
                <w:rFonts w:hint="eastAsia"/>
                <w:sz w:val="21"/>
                <w:szCs w:val="21"/>
              </w:rPr>
              <w:t>30</w:t>
            </w:r>
          </w:p>
        </w:tc>
        <w:tc>
          <w:tcPr>
            <w:tcW w:w="886" w:type="pct"/>
            <w:gridSpan w:val="2"/>
          </w:tcPr>
          <w:p w14:paraId="20294BE8">
            <w:pPr>
              <w:pStyle w:val="51"/>
              <w:rPr>
                <w:sz w:val="21"/>
                <w:szCs w:val="21"/>
              </w:rPr>
            </w:pPr>
            <w:r>
              <w:rPr>
                <w:rFonts w:hint="eastAsia"/>
                <w:sz w:val="21"/>
                <w:szCs w:val="21"/>
              </w:rPr>
              <w:t>0.2</w:t>
            </w:r>
          </w:p>
        </w:tc>
      </w:tr>
      <w:tr w14:paraId="0F82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4" w:type="pct"/>
            <w:vMerge w:val="continue"/>
          </w:tcPr>
          <w:p w14:paraId="3C6F1906">
            <w:pPr>
              <w:pStyle w:val="51"/>
              <w:rPr>
                <w:sz w:val="21"/>
                <w:szCs w:val="21"/>
              </w:rPr>
            </w:pPr>
          </w:p>
        </w:tc>
        <w:tc>
          <w:tcPr>
            <w:tcW w:w="582" w:type="pct"/>
            <w:vMerge w:val="continue"/>
          </w:tcPr>
          <w:p w14:paraId="0D1FCE6E">
            <w:pPr>
              <w:pStyle w:val="51"/>
              <w:rPr>
                <w:sz w:val="21"/>
                <w:szCs w:val="21"/>
              </w:rPr>
            </w:pPr>
          </w:p>
        </w:tc>
        <w:tc>
          <w:tcPr>
            <w:tcW w:w="1262" w:type="pct"/>
            <w:gridSpan w:val="3"/>
          </w:tcPr>
          <w:p w14:paraId="183EFDDF">
            <w:pPr>
              <w:pStyle w:val="51"/>
              <w:rPr>
                <w:sz w:val="21"/>
                <w:szCs w:val="21"/>
              </w:rPr>
            </w:pPr>
            <w:r>
              <w:rPr>
                <w:rFonts w:hint="eastAsia"/>
                <w:sz w:val="21"/>
                <w:szCs w:val="21"/>
              </w:rPr>
              <w:t>指标</w:t>
            </w:r>
          </w:p>
        </w:tc>
        <w:tc>
          <w:tcPr>
            <w:tcW w:w="962" w:type="pct"/>
            <w:gridSpan w:val="2"/>
          </w:tcPr>
          <w:p w14:paraId="439E186C">
            <w:pPr>
              <w:pStyle w:val="51"/>
              <w:rPr>
                <w:sz w:val="21"/>
                <w:szCs w:val="21"/>
              </w:rPr>
            </w:pPr>
            <w:r>
              <w:rPr>
                <w:rFonts w:hint="eastAsia"/>
                <w:sz w:val="21"/>
                <w:szCs w:val="21"/>
              </w:rPr>
              <w:t>浓度值/</w:t>
            </w:r>
            <w:r>
              <w:rPr>
                <w:sz w:val="21"/>
                <w:szCs w:val="21"/>
              </w:rPr>
              <w:t>(</w:t>
            </w:r>
            <w:r>
              <w:rPr>
                <w:rFonts w:hint="eastAsia"/>
                <w:sz w:val="21"/>
                <w:szCs w:val="21"/>
              </w:rPr>
              <w:t>mg/m</w:t>
            </w:r>
            <w:r>
              <w:rPr>
                <w:rFonts w:hint="eastAsia"/>
                <w:sz w:val="21"/>
                <w:szCs w:val="21"/>
                <w:vertAlign w:val="superscript"/>
              </w:rPr>
              <w:t>3</w:t>
            </w:r>
            <w:r>
              <w:rPr>
                <w:rFonts w:hint="eastAsia"/>
                <w:sz w:val="21"/>
                <w:szCs w:val="21"/>
              </w:rPr>
              <w:t>)</w:t>
            </w:r>
          </w:p>
        </w:tc>
        <w:tc>
          <w:tcPr>
            <w:tcW w:w="995" w:type="pct"/>
            <w:gridSpan w:val="2"/>
          </w:tcPr>
          <w:p w14:paraId="231BBADB">
            <w:pPr>
              <w:pStyle w:val="51"/>
              <w:rPr>
                <w:sz w:val="21"/>
                <w:szCs w:val="21"/>
              </w:rPr>
            </w:pPr>
            <w:r>
              <w:rPr>
                <w:rFonts w:hint="eastAsia"/>
                <w:sz w:val="21"/>
                <w:szCs w:val="21"/>
              </w:rPr>
              <w:t>最远影响距离/m</w:t>
            </w:r>
          </w:p>
        </w:tc>
        <w:tc>
          <w:tcPr>
            <w:tcW w:w="886" w:type="pct"/>
            <w:gridSpan w:val="2"/>
          </w:tcPr>
          <w:p w14:paraId="79DC324E">
            <w:pPr>
              <w:pStyle w:val="51"/>
              <w:rPr>
                <w:sz w:val="21"/>
                <w:szCs w:val="21"/>
              </w:rPr>
            </w:pPr>
            <w:r>
              <w:rPr>
                <w:rFonts w:hint="eastAsia"/>
                <w:sz w:val="21"/>
                <w:szCs w:val="21"/>
              </w:rPr>
              <w:t>到达时间/min</w:t>
            </w:r>
          </w:p>
        </w:tc>
      </w:tr>
      <w:tr w14:paraId="78461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4" w:type="pct"/>
            <w:vMerge w:val="continue"/>
          </w:tcPr>
          <w:p w14:paraId="2979D84B">
            <w:pPr>
              <w:pStyle w:val="51"/>
              <w:rPr>
                <w:sz w:val="21"/>
                <w:szCs w:val="21"/>
              </w:rPr>
            </w:pPr>
          </w:p>
        </w:tc>
        <w:tc>
          <w:tcPr>
            <w:tcW w:w="582" w:type="pct"/>
            <w:vMerge w:val="continue"/>
          </w:tcPr>
          <w:p w14:paraId="426B8053">
            <w:pPr>
              <w:pStyle w:val="51"/>
              <w:rPr>
                <w:sz w:val="21"/>
                <w:szCs w:val="21"/>
              </w:rPr>
            </w:pPr>
          </w:p>
        </w:tc>
        <w:tc>
          <w:tcPr>
            <w:tcW w:w="1262" w:type="pct"/>
            <w:gridSpan w:val="3"/>
          </w:tcPr>
          <w:p w14:paraId="3126CA24">
            <w:pPr>
              <w:pStyle w:val="51"/>
              <w:rPr>
                <w:sz w:val="21"/>
                <w:szCs w:val="21"/>
              </w:rPr>
            </w:pPr>
            <w:r>
              <w:rPr>
                <w:rFonts w:hint="eastAsia"/>
                <w:sz w:val="21"/>
                <w:szCs w:val="21"/>
              </w:rPr>
              <w:t>大气毒性终点浓度-2</w:t>
            </w:r>
          </w:p>
        </w:tc>
        <w:tc>
          <w:tcPr>
            <w:tcW w:w="962" w:type="pct"/>
            <w:gridSpan w:val="2"/>
          </w:tcPr>
          <w:p w14:paraId="3825A6B0">
            <w:pPr>
              <w:pStyle w:val="51"/>
              <w:rPr>
                <w:sz w:val="21"/>
                <w:szCs w:val="21"/>
              </w:rPr>
            </w:pPr>
            <w:r>
              <w:rPr>
                <w:rFonts w:hint="eastAsia"/>
                <w:sz w:val="21"/>
                <w:szCs w:val="21"/>
              </w:rPr>
              <w:t>9</w:t>
            </w:r>
            <w:r>
              <w:rPr>
                <w:sz w:val="21"/>
                <w:szCs w:val="21"/>
              </w:rPr>
              <w:t>5</w:t>
            </w:r>
          </w:p>
        </w:tc>
        <w:tc>
          <w:tcPr>
            <w:tcW w:w="995" w:type="pct"/>
            <w:gridSpan w:val="2"/>
          </w:tcPr>
          <w:p w14:paraId="17787F16">
            <w:pPr>
              <w:pStyle w:val="51"/>
              <w:rPr>
                <w:sz w:val="21"/>
                <w:szCs w:val="21"/>
              </w:rPr>
            </w:pPr>
            <w:r>
              <w:rPr>
                <w:rFonts w:hint="eastAsia"/>
                <w:sz w:val="21"/>
                <w:szCs w:val="21"/>
              </w:rPr>
              <w:t>80</w:t>
            </w:r>
          </w:p>
        </w:tc>
        <w:tc>
          <w:tcPr>
            <w:tcW w:w="886" w:type="pct"/>
            <w:gridSpan w:val="2"/>
          </w:tcPr>
          <w:p w14:paraId="04B03DF8">
            <w:pPr>
              <w:pStyle w:val="51"/>
              <w:rPr>
                <w:sz w:val="21"/>
                <w:szCs w:val="21"/>
              </w:rPr>
            </w:pPr>
            <w:r>
              <w:rPr>
                <w:rFonts w:hint="eastAsia"/>
                <w:sz w:val="21"/>
                <w:szCs w:val="21"/>
              </w:rPr>
              <w:t>0.5</w:t>
            </w:r>
          </w:p>
        </w:tc>
      </w:tr>
    </w:tbl>
    <w:p w14:paraId="340C02F8">
      <w:pPr>
        <w:adjustRightInd w:val="0"/>
        <w:snapToGrid w:val="0"/>
        <w:spacing w:line="480" w:lineRule="auto"/>
        <w:ind w:firstLine="440" w:firstLineChars="200"/>
        <w:rPr>
          <w:rFonts w:hint="eastAsia"/>
          <w:b/>
          <w:spacing w:val="-10"/>
        </w:rPr>
      </w:pPr>
      <w:r>
        <w:rPr>
          <w:bCs/>
          <w:spacing w:val="-10"/>
        </w:rPr>
        <w:t>预测结果显示，在最不利气象条件下，</w:t>
      </w:r>
      <w:r>
        <w:rPr>
          <w:rFonts w:hint="eastAsia"/>
          <w:bCs/>
          <w:spacing w:val="-10"/>
        </w:rPr>
        <w:t>MTBE</w:t>
      </w:r>
      <w:r>
        <w:rPr>
          <w:bCs/>
          <w:spacing w:val="-10"/>
        </w:rPr>
        <w:t>泄漏事故石油气预测浓度未达到1级大气毒性终点浓度值，</w:t>
      </w:r>
      <w:r>
        <w:rPr>
          <w:spacing w:val="-10"/>
        </w:rPr>
        <w:t>最常见气象条件下</w:t>
      </w:r>
      <w:r>
        <w:rPr>
          <w:rFonts w:hint="eastAsia"/>
          <w:spacing w:val="-10"/>
        </w:rPr>
        <w:t>最远影响10m达到</w:t>
      </w:r>
      <w:r>
        <w:rPr>
          <w:bCs/>
          <w:spacing w:val="-10"/>
        </w:rPr>
        <w:t>2级大气毒性终点浓度。储罐防火堤池火火灾事故伴生/次生污染物CO预测浓度</w:t>
      </w:r>
      <w:r>
        <w:rPr>
          <w:rFonts w:hint="eastAsia"/>
          <w:bCs/>
          <w:spacing w:val="-10"/>
        </w:rPr>
        <w:t>在最不利气象条件下最远影响距离40m</w:t>
      </w:r>
      <w:r>
        <w:rPr>
          <w:bCs/>
          <w:spacing w:val="-10"/>
        </w:rPr>
        <w:t>达到1级大气毒性终点浓度值</w:t>
      </w:r>
      <w:r>
        <w:rPr>
          <w:rFonts w:hint="eastAsia"/>
          <w:bCs/>
          <w:spacing w:val="-10"/>
        </w:rPr>
        <w:t>，最远影响距离110m</w:t>
      </w:r>
      <w:r>
        <w:rPr>
          <w:bCs/>
          <w:spacing w:val="-10"/>
        </w:rPr>
        <w:t>达到2级大气毒性终点浓度值。</w:t>
      </w:r>
    </w:p>
    <w:p w14:paraId="6BCB2BF0">
      <w:pPr>
        <w:adjustRightInd w:val="0"/>
        <w:snapToGrid w:val="0"/>
        <w:ind w:firstLine="440" w:firstLineChars="200"/>
        <w:rPr>
          <w:rFonts w:hint="eastAsia"/>
          <w:bCs/>
          <w:spacing w:val="-10"/>
        </w:rPr>
      </w:pPr>
    </w:p>
    <w:p w14:paraId="3F7A2738">
      <w:pPr>
        <w:adjustRightInd w:val="0"/>
        <w:snapToGrid w:val="0"/>
        <w:ind w:firstLine="442" w:firstLineChars="200"/>
        <w:jc w:val="center"/>
        <w:rPr>
          <w:rFonts w:hint="eastAsia"/>
          <w:b/>
          <w:spacing w:val="-10"/>
        </w:rPr>
      </w:pPr>
      <w:r>
        <w:rPr>
          <w:rFonts w:hint="eastAsia"/>
          <w:b/>
          <w:spacing w:val="-10"/>
        </w:rPr>
        <w:t>图6-3  最不利气象下MTBE泄漏浓度随距离变化曲线图</w:t>
      </w:r>
    </w:p>
    <w:p w14:paraId="246C3083">
      <w:pPr>
        <w:pStyle w:val="4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根据预测方案，混合芳烃储罐泄漏事故源项和后果计算结果见下表。</w:t>
      </w:r>
    </w:p>
    <w:p w14:paraId="658DC7FC">
      <w:pPr>
        <w:pStyle w:val="8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表</w:t>
      </w:r>
      <w:r>
        <w:rPr>
          <w:rFonts w:hint="eastAsia" w:ascii="宋体" w:hAnsi="宋体" w:eastAsia="宋体" w:cs="宋体"/>
          <w:bCs/>
          <w:snapToGrid/>
          <w:color w:val="auto"/>
          <w:spacing w:val="-10"/>
        </w:rPr>
        <w:t>6-37</w:t>
      </w:r>
      <w:r>
        <w:rPr>
          <w:rFonts w:ascii="宋体" w:hAnsi="宋体" w:eastAsia="宋体" w:cs="宋体"/>
          <w:bCs/>
          <w:snapToGrid/>
          <w:color w:val="auto"/>
          <w:spacing w:val="-10"/>
        </w:rPr>
        <w:t xml:space="preserve">    </w:t>
      </w:r>
      <w:r>
        <w:rPr>
          <w:rFonts w:hint="eastAsia" w:ascii="宋体" w:hAnsi="宋体" w:eastAsia="宋体" w:cs="宋体"/>
          <w:bCs/>
          <w:snapToGrid/>
          <w:color w:val="auto"/>
          <w:spacing w:val="-10"/>
        </w:rPr>
        <w:t>混合芳烃储罐泄漏事故源项和后果基本信息表</w:t>
      </w:r>
    </w:p>
    <w:tbl>
      <w:tblPr>
        <w:tblStyle w:val="16"/>
        <w:tblW w:w="50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
        <w:gridCol w:w="1172"/>
        <w:gridCol w:w="1466"/>
        <w:gridCol w:w="590"/>
        <w:gridCol w:w="467"/>
        <w:gridCol w:w="1000"/>
        <w:gridCol w:w="439"/>
        <w:gridCol w:w="861"/>
        <w:gridCol w:w="919"/>
        <w:gridCol w:w="12"/>
        <w:gridCol w:w="517"/>
        <w:gridCol w:w="989"/>
      </w:tblGrid>
      <w:tr w14:paraId="660AF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000" w:type="pct"/>
            <w:gridSpan w:val="12"/>
            <w:vAlign w:val="center"/>
          </w:tcPr>
          <w:p w14:paraId="0B3E09CF">
            <w:pPr>
              <w:pStyle w:val="51"/>
              <w:rPr>
                <w:vertAlign w:val="superscript"/>
              </w:rPr>
            </w:pPr>
            <w:r>
              <w:rPr>
                <w:rFonts w:hint="eastAsia"/>
              </w:rPr>
              <w:t>风险事故情形分析</w:t>
            </w:r>
          </w:p>
        </w:tc>
      </w:tr>
      <w:tr w14:paraId="4876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728" w:type="pct"/>
            <w:gridSpan w:val="3"/>
            <w:vAlign w:val="center"/>
          </w:tcPr>
          <w:p w14:paraId="4D8A94D7">
            <w:pPr>
              <w:pStyle w:val="51"/>
            </w:pPr>
            <w:r>
              <w:rPr>
                <w:rFonts w:hint="eastAsia"/>
              </w:rPr>
              <w:t>代表性风险事故情形描述</w:t>
            </w:r>
          </w:p>
        </w:tc>
        <w:tc>
          <w:tcPr>
            <w:tcW w:w="3272" w:type="pct"/>
            <w:gridSpan w:val="9"/>
            <w:vAlign w:val="center"/>
          </w:tcPr>
          <w:p w14:paraId="587CD7F7">
            <w:pPr>
              <w:pStyle w:val="51"/>
            </w:pPr>
            <w:r>
              <w:rPr>
                <w:rFonts w:hint="eastAsia"/>
              </w:rPr>
              <w:t>混合芳烃储罐泄漏后液池蒸发</w:t>
            </w:r>
          </w:p>
        </w:tc>
      </w:tr>
      <w:tr w14:paraId="328A0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728" w:type="pct"/>
            <w:gridSpan w:val="3"/>
            <w:vAlign w:val="center"/>
          </w:tcPr>
          <w:p w14:paraId="74C75CED">
            <w:pPr>
              <w:pStyle w:val="51"/>
            </w:pPr>
            <w:r>
              <w:rPr>
                <w:rFonts w:hint="eastAsia"/>
              </w:rPr>
              <w:t>环境风险类型</w:t>
            </w:r>
          </w:p>
        </w:tc>
        <w:tc>
          <w:tcPr>
            <w:tcW w:w="3272" w:type="pct"/>
            <w:gridSpan w:val="9"/>
            <w:vAlign w:val="center"/>
          </w:tcPr>
          <w:p w14:paraId="1F44EECE">
            <w:pPr>
              <w:pStyle w:val="51"/>
            </w:pPr>
            <w:r>
              <w:rPr>
                <w:rFonts w:hint="eastAsia"/>
              </w:rPr>
              <w:t>泄漏</w:t>
            </w:r>
          </w:p>
        </w:tc>
      </w:tr>
      <w:tr w14:paraId="0B5A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728" w:type="pct"/>
            <w:gridSpan w:val="3"/>
            <w:vAlign w:val="center"/>
          </w:tcPr>
          <w:p w14:paraId="7553AC63">
            <w:pPr>
              <w:pStyle w:val="51"/>
            </w:pPr>
            <w:r>
              <w:rPr>
                <w:rFonts w:hint="eastAsia"/>
              </w:rPr>
              <w:t>泄漏设备类型</w:t>
            </w:r>
          </w:p>
        </w:tc>
        <w:tc>
          <w:tcPr>
            <w:tcW w:w="597" w:type="pct"/>
            <w:gridSpan w:val="2"/>
            <w:vAlign w:val="center"/>
          </w:tcPr>
          <w:p w14:paraId="26093AF1">
            <w:pPr>
              <w:pStyle w:val="51"/>
            </w:pPr>
            <w:r>
              <w:rPr>
                <w:rFonts w:hint="eastAsia"/>
              </w:rPr>
              <w:t>工艺储罐</w:t>
            </w:r>
          </w:p>
        </w:tc>
        <w:tc>
          <w:tcPr>
            <w:tcW w:w="813" w:type="pct"/>
            <w:gridSpan w:val="2"/>
            <w:vAlign w:val="center"/>
          </w:tcPr>
          <w:p w14:paraId="4B26F575">
            <w:pPr>
              <w:pStyle w:val="51"/>
            </w:pPr>
            <w:r>
              <w:rPr>
                <w:rFonts w:hint="eastAsia"/>
              </w:rPr>
              <w:t>操作温度/℃</w:t>
            </w:r>
          </w:p>
        </w:tc>
        <w:tc>
          <w:tcPr>
            <w:tcW w:w="486" w:type="pct"/>
            <w:vAlign w:val="center"/>
          </w:tcPr>
          <w:p w14:paraId="30A37567">
            <w:pPr>
              <w:pStyle w:val="51"/>
            </w:pPr>
            <w:r>
              <w:rPr>
                <w:rFonts w:hint="eastAsia"/>
              </w:rPr>
              <w:t>2</w:t>
            </w:r>
            <w:r>
              <w:t>0</w:t>
            </w:r>
          </w:p>
        </w:tc>
        <w:tc>
          <w:tcPr>
            <w:tcW w:w="818" w:type="pct"/>
            <w:gridSpan w:val="3"/>
            <w:vAlign w:val="center"/>
          </w:tcPr>
          <w:p w14:paraId="09DBB97A">
            <w:pPr>
              <w:pStyle w:val="51"/>
            </w:pPr>
            <w:r>
              <w:rPr>
                <w:rFonts w:hint="eastAsia"/>
              </w:rPr>
              <w:t>操作压力/MPa</w:t>
            </w:r>
          </w:p>
        </w:tc>
        <w:tc>
          <w:tcPr>
            <w:tcW w:w="558" w:type="pct"/>
            <w:vAlign w:val="center"/>
          </w:tcPr>
          <w:p w14:paraId="4D67349E">
            <w:pPr>
              <w:pStyle w:val="51"/>
            </w:pPr>
            <w:r>
              <w:rPr>
                <w:rFonts w:hint="eastAsia"/>
              </w:rPr>
              <w:t>0</w:t>
            </w:r>
            <w:r>
              <w:t>.1</w:t>
            </w:r>
          </w:p>
        </w:tc>
      </w:tr>
      <w:tr w14:paraId="328A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728" w:type="pct"/>
            <w:gridSpan w:val="3"/>
            <w:vAlign w:val="center"/>
          </w:tcPr>
          <w:p w14:paraId="271B9179">
            <w:pPr>
              <w:pStyle w:val="51"/>
            </w:pPr>
            <w:r>
              <w:rPr>
                <w:rFonts w:hint="eastAsia"/>
              </w:rPr>
              <w:t>泄漏危险物质</w:t>
            </w:r>
          </w:p>
        </w:tc>
        <w:tc>
          <w:tcPr>
            <w:tcW w:w="597" w:type="pct"/>
            <w:gridSpan w:val="2"/>
            <w:vAlign w:val="center"/>
          </w:tcPr>
          <w:p w14:paraId="67A889EC">
            <w:pPr>
              <w:pStyle w:val="51"/>
            </w:pPr>
            <w:r>
              <w:rPr>
                <w:rFonts w:hint="eastAsia"/>
              </w:rPr>
              <w:t>甲苯</w:t>
            </w:r>
          </w:p>
        </w:tc>
        <w:tc>
          <w:tcPr>
            <w:tcW w:w="813" w:type="pct"/>
            <w:gridSpan w:val="2"/>
            <w:vAlign w:val="center"/>
          </w:tcPr>
          <w:p w14:paraId="47C02110">
            <w:pPr>
              <w:pStyle w:val="51"/>
            </w:pPr>
            <w:r>
              <w:rPr>
                <w:rFonts w:hint="eastAsia"/>
              </w:rPr>
              <w:t>泄漏高度/m</w:t>
            </w:r>
          </w:p>
        </w:tc>
        <w:tc>
          <w:tcPr>
            <w:tcW w:w="486" w:type="pct"/>
            <w:vAlign w:val="center"/>
          </w:tcPr>
          <w:p w14:paraId="30C14618">
            <w:pPr>
              <w:pStyle w:val="51"/>
            </w:pPr>
            <w:r>
              <w:rPr>
                <w:rFonts w:hint="eastAsia"/>
              </w:rPr>
              <w:t>5</w:t>
            </w:r>
          </w:p>
        </w:tc>
        <w:tc>
          <w:tcPr>
            <w:tcW w:w="818" w:type="pct"/>
            <w:gridSpan w:val="3"/>
            <w:vAlign w:val="center"/>
          </w:tcPr>
          <w:p w14:paraId="01AAD40D">
            <w:pPr>
              <w:pStyle w:val="51"/>
            </w:pPr>
            <w:r>
              <w:rPr>
                <w:rFonts w:hint="eastAsia"/>
              </w:rPr>
              <w:t>泄漏孔径/mm</w:t>
            </w:r>
          </w:p>
        </w:tc>
        <w:tc>
          <w:tcPr>
            <w:tcW w:w="558" w:type="pct"/>
            <w:vAlign w:val="center"/>
          </w:tcPr>
          <w:p w14:paraId="11959539">
            <w:pPr>
              <w:pStyle w:val="51"/>
            </w:pPr>
            <w:r>
              <w:rPr>
                <w:rFonts w:hint="eastAsia"/>
              </w:rPr>
              <w:t>100</w:t>
            </w:r>
          </w:p>
        </w:tc>
      </w:tr>
      <w:tr w14:paraId="032D3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728" w:type="pct"/>
            <w:gridSpan w:val="3"/>
            <w:vAlign w:val="center"/>
          </w:tcPr>
          <w:p w14:paraId="01081B8A">
            <w:pPr>
              <w:pStyle w:val="51"/>
            </w:pPr>
            <w:r>
              <w:rPr>
                <w:rFonts w:hint="eastAsia"/>
              </w:rPr>
              <w:t>泄漏速率(kg/s)</w:t>
            </w:r>
          </w:p>
        </w:tc>
        <w:tc>
          <w:tcPr>
            <w:tcW w:w="597" w:type="pct"/>
            <w:gridSpan w:val="2"/>
            <w:vAlign w:val="center"/>
          </w:tcPr>
          <w:p w14:paraId="2F15261F">
            <w:pPr>
              <w:pStyle w:val="51"/>
            </w:pPr>
            <w:r>
              <w:rPr>
                <w:rFonts w:hint="eastAsia"/>
              </w:rPr>
              <w:t>0.075</w:t>
            </w:r>
          </w:p>
        </w:tc>
        <w:tc>
          <w:tcPr>
            <w:tcW w:w="813" w:type="pct"/>
            <w:gridSpan w:val="2"/>
            <w:vAlign w:val="center"/>
          </w:tcPr>
          <w:p w14:paraId="59643473">
            <w:pPr>
              <w:pStyle w:val="51"/>
            </w:pPr>
            <w:r>
              <w:rPr>
                <w:rFonts w:hint="eastAsia"/>
              </w:rPr>
              <w:t>蒸发速率(kg/s)</w:t>
            </w:r>
          </w:p>
        </w:tc>
        <w:tc>
          <w:tcPr>
            <w:tcW w:w="486" w:type="pct"/>
            <w:vAlign w:val="center"/>
          </w:tcPr>
          <w:p w14:paraId="743D062A">
            <w:pPr>
              <w:pStyle w:val="51"/>
            </w:pPr>
            <w:r>
              <w:rPr>
                <w:rFonts w:hint="eastAsia"/>
              </w:rPr>
              <w:t>0.0104</w:t>
            </w:r>
          </w:p>
        </w:tc>
        <w:tc>
          <w:tcPr>
            <w:tcW w:w="818" w:type="pct"/>
            <w:gridSpan w:val="3"/>
            <w:vAlign w:val="center"/>
          </w:tcPr>
          <w:p w14:paraId="64226E72">
            <w:pPr>
              <w:pStyle w:val="51"/>
            </w:pPr>
          </w:p>
        </w:tc>
        <w:tc>
          <w:tcPr>
            <w:tcW w:w="558" w:type="pct"/>
            <w:vAlign w:val="center"/>
          </w:tcPr>
          <w:p w14:paraId="17F3E88D">
            <w:pPr>
              <w:pStyle w:val="51"/>
            </w:pPr>
          </w:p>
        </w:tc>
      </w:tr>
      <w:tr w14:paraId="6ABC4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000" w:type="pct"/>
            <w:gridSpan w:val="12"/>
            <w:vAlign w:val="center"/>
          </w:tcPr>
          <w:p w14:paraId="792DBD18">
            <w:pPr>
              <w:pStyle w:val="51"/>
            </w:pPr>
            <w:r>
              <w:rPr>
                <w:rFonts w:hint="eastAsia"/>
              </w:rPr>
              <w:t>事故后果预测</w:t>
            </w:r>
          </w:p>
        </w:tc>
      </w:tr>
      <w:tr w14:paraId="7CB34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8" w:type="pct"/>
            <w:vMerge w:val="restart"/>
            <w:vAlign w:val="center"/>
          </w:tcPr>
          <w:p w14:paraId="53F4BB14">
            <w:pPr>
              <w:pStyle w:val="51"/>
            </w:pPr>
            <w:r>
              <w:rPr>
                <w:rFonts w:hint="eastAsia"/>
              </w:rPr>
              <w:t>大气</w:t>
            </w:r>
          </w:p>
        </w:tc>
        <w:tc>
          <w:tcPr>
            <w:tcW w:w="662" w:type="pct"/>
            <w:vAlign w:val="center"/>
          </w:tcPr>
          <w:p w14:paraId="6EB9C63B">
            <w:pPr>
              <w:pStyle w:val="51"/>
            </w:pPr>
            <w:r>
              <w:rPr>
                <w:rFonts w:hint="eastAsia"/>
              </w:rPr>
              <w:t>危险物质</w:t>
            </w:r>
          </w:p>
        </w:tc>
        <w:tc>
          <w:tcPr>
            <w:tcW w:w="4100" w:type="pct"/>
            <w:gridSpan w:val="10"/>
            <w:vAlign w:val="center"/>
          </w:tcPr>
          <w:p w14:paraId="67F6A8B6">
            <w:pPr>
              <w:pStyle w:val="51"/>
            </w:pPr>
            <w:r>
              <w:rPr>
                <w:rFonts w:hint="eastAsia"/>
              </w:rPr>
              <w:t>最不利气象条件下大气环境影响</w:t>
            </w:r>
          </w:p>
        </w:tc>
      </w:tr>
      <w:tr w14:paraId="08A6C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8" w:type="pct"/>
            <w:vMerge w:val="continue"/>
            <w:vAlign w:val="center"/>
          </w:tcPr>
          <w:p w14:paraId="03F346EF">
            <w:pPr>
              <w:pStyle w:val="51"/>
            </w:pPr>
          </w:p>
        </w:tc>
        <w:tc>
          <w:tcPr>
            <w:tcW w:w="662" w:type="pct"/>
            <w:vMerge w:val="restart"/>
            <w:vAlign w:val="center"/>
          </w:tcPr>
          <w:p w14:paraId="26F4EB69">
            <w:pPr>
              <w:pStyle w:val="51"/>
            </w:pPr>
            <w:r>
              <w:rPr>
                <w:rFonts w:hint="eastAsia"/>
              </w:rPr>
              <w:t>甲苯</w:t>
            </w:r>
          </w:p>
        </w:tc>
        <w:tc>
          <w:tcPr>
            <w:tcW w:w="1161" w:type="pct"/>
            <w:gridSpan w:val="2"/>
            <w:vAlign w:val="center"/>
          </w:tcPr>
          <w:p w14:paraId="1CF7D18C">
            <w:pPr>
              <w:pStyle w:val="51"/>
            </w:pPr>
            <w:r>
              <w:rPr>
                <w:rFonts w:hint="eastAsia"/>
              </w:rPr>
              <w:t>指标</w:t>
            </w:r>
          </w:p>
        </w:tc>
        <w:tc>
          <w:tcPr>
            <w:tcW w:w="829" w:type="pct"/>
            <w:gridSpan w:val="2"/>
            <w:vAlign w:val="center"/>
          </w:tcPr>
          <w:p w14:paraId="6A2E9663">
            <w:pPr>
              <w:pStyle w:val="51"/>
            </w:pPr>
            <w:r>
              <w:rPr>
                <w:rFonts w:hint="eastAsia"/>
              </w:rPr>
              <w:t>浓度值/(mg/m</w:t>
            </w:r>
            <w:r>
              <w:rPr>
                <w:rFonts w:hint="eastAsia"/>
                <w:vertAlign w:val="superscript"/>
              </w:rPr>
              <w:t>3</w:t>
            </w:r>
            <w:r>
              <w:rPr>
                <w:rFonts w:hint="eastAsia"/>
              </w:rPr>
              <w:t>)</w:t>
            </w:r>
          </w:p>
        </w:tc>
        <w:tc>
          <w:tcPr>
            <w:tcW w:w="1253" w:type="pct"/>
            <w:gridSpan w:val="3"/>
            <w:vAlign w:val="center"/>
          </w:tcPr>
          <w:p w14:paraId="184C4C74">
            <w:pPr>
              <w:pStyle w:val="51"/>
            </w:pPr>
            <w:r>
              <w:rPr>
                <w:rFonts w:hint="eastAsia"/>
              </w:rPr>
              <w:t>最远影响距离/m</w:t>
            </w:r>
          </w:p>
        </w:tc>
        <w:tc>
          <w:tcPr>
            <w:tcW w:w="857" w:type="pct"/>
            <w:gridSpan w:val="3"/>
            <w:vAlign w:val="center"/>
          </w:tcPr>
          <w:p w14:paraId="421DB49D">
            <w:pPr>
              <w:pStyle w:val="51"/>
            </w:pPr>
            <w:r>
              <w:rPr>
                <w:rFonts w:hint="eastAsia"/>
              </w:rPr>
              <w:t>到达时间/min</w:t>
            </w:r>
          </w:p>
        </w:tc>
      </w:tr>
      <w:tr w14:paraId="66D9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8" w:type="pct"/>
            <w:vMerge w:val="continue"/>
            <w:vAlign w:val="center"/>
          </w:tcPr>
          <w:p w14:paraId="0129338F">
            <w:pPr>
              <w:pStyle w:val="51"/>
            </w:pPr>
          </w:p>
        </w:tc>
        <w:tc>
          <w:tcPr>
            <w:tcW w:w="662" w:type="pct"/>
            <w:vMerge w:val="continue"/>
            <w:vAlign w:val="center"/>
          </w:tcPr>
          <w:p w14:paraId="24ABABCC">
            <w:pPr>
              <w:pStyle w:val="51"/>
            </w:pPr>
          </w:p>
        </w:tc>
        <w:tc>
          <w:tcPr>
            <w:tcW w:w="1161" w:type="pct"/>
            <w:gridSpan w:val="2"/>
            <w:vAlign w:val="center"/>
          </w:tcPr>
          <w:p w14:paraId="68EA8973">
            <w:pPr>
              <w:pStyle w:val="51"/>
            </w:pPr>
            <w:r>
              <w:rPr>
                <w:rFonts w:hint="eastAsia"/>
              </w:rPr>
              <w:t>大气毒性终点浓度-1</w:t>
            </w:r>
          </w:p>
        </w:tc>
        <w:tc>
          <w:tcPr>
            <w:tcW w:w="829" w:type="pct"/>
            <w:gridSpan w:val="2"/>
            <w:vAlign w:val="center"/>
          </w:tcPr>
          <w:p w14:paraId="08A7EC0A">
            <w:pPr>
              <w:pStyle w:val="51"/>
            </w:pPr>
            <w:r>
              <w:rPr>
                <w:rFonts w:hint="eastAsia"/>
              </w:rPr>
              <w:t>14000</w:t>
            </w:r>
          </w:p>
        </w:tc>
        <w:tc>
          <w:tcPr>
            <w:tcW w:w="2110" w:type="pct"/>
            <w:gridSpan w:val="6"/>
            <w:vAlign w:val="center"/>
          </w:tcPr>
          <w:p w14:paraId="2D1702F7">
            <w:pPr>
              <w:pStyle w:val="51"/>
            </w:pPr>
            <w:r>
              <w:rPr>
                <w:rFonts w:hint="eastAsia"/>
              </w:rPr>
              <w:t>此阈值及以上，无对应位置，因计算浓度均小于此阈值</w:t>
            </w:r>
          </w:p>
        </w:tc>
      </w:tr>
      <w:tr w14:paraId="601CA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8" w:type="pct"/>
            <w:vMerge w:val="continue"/>
            <w:vAlign w:val="center"/>
          </w:tcPr>
          <w:p w14:paraId="442592E2">
            <w:pPr>
              <w:pStyle w:val="51"/>
            </w:pPr>
          </w:p>
        </w:tc>
        <w:tc>
          <w:tcPr>
            <w:tcW w:w="662" w:type="pct"/>
            <w:vMerge w:val="continue"/>
            <w:vAlign w:val="center"/>
          </w:tcPr>
          <w:p w14:paraId="7080CCE1">
            <w:pPr>
              <w:pStyle w:val="51"/>
            </w:pPr>
          </w:p>
        </w:tc>
        <w:tc>
          <w:tcPr>
            <w:tcW w:w="1161" w:type="pct"/>
            <w:gridSpan w:val="2"/>
            <w:vAlign w:val="center"/>
          </w:tcPr>
          <w:p w14:paraId="1840B958">
            <w:pPr>
              <w:pStyle w:val="51"/>
            </w:pPr>
            <w:r>
              <w:rPr>
                <w:rFonts w:hint="eastAsia"/>
              </w:rPr>
              <w:t>指标</w:t>
            </w:r>
          </w:p>
        </w:tc>
        <w:tc>
          <w:tcPr>
            <w:tcW w:w="829" w:type="pct"/>
            <w:gridSpan w:val="2"/>
            <w:vAlign w:val="center"/>
          </w:tcPr>
          <w:p w14:paraId="06132423">
            <w:pPr>
              <w:pStyle w:val="51"/>
            </w:pPr>
            <w:r>
              <w:rPr>
                <w:rFonts w:hint="eastAsia"/>
              </w:rPr>
              <w:t>浓度值/(mg/m</w:t>
            </w:r>
            <w:r>
              <w:rPr>
                <w:rFonts w:hint="eastAsia"/>
                <w:vertAlign w:val="superscript"/>
              </w:rPr>
              <w:t>3</w:t>
            </w:r>
            <w:r>
              <w:rPr>
                <w:rFonts w:hint="eastAsia"/>
              </w:rPr>
              <w:t>)</w:t>
            </w:r>
          </w:p>
        </w:tc>
        <w:tc>
          <w:tcPr>
            <w:tcW w:w="1253" w:type="pct"/>
            <w:gridSpan w:val="3"/>
            <w:vAlign w:val="center"/>
          </w:tcPr>
          <w:p w14:paraId="275E0AEA">
            <w:pPr>
              <w:pStyle w:val="51"/>
            </w:pPr>
            <w:r>
              <w:rPr>
                <w:rFonts w:hint="eastAsia"/>
              </w:rPr>
              <w:t>最远影响距离/m</w:t>
            </w:r>
          </w:p>
        </w:tc>
        <w:tc>
          <w:tcPr>
            <w:tcW w:w="857" w:type="pct"/>
            <w:gridSpan w:val="3"/>
            <w:vAlign w:val="center"/>
          </w:tcPr>
          <w:p w14:paraId="5DD56F53">
            <w:pPr>
              <w:pStyle w:val="51"/>
            </w:pPr>
            <w:r>
              <w:rPr>
                <w:rFonts w:hint="eastAsia"/>
              </w:rPr>
              <w:t>到达时间/min</w:t>
            </w:r>
          </w:p>
        </w:tc>
      </w:tr>
      <w:tr w14:paraId="1A4B8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8" w:type="pct"/>
            <w:vMerge w:val="continue"/>
            <w:vAlign w:val="center"/>
          </w:tcPr>
          <w:p w14:paraId="46045F55">
            <w:pPr>
              <w:pStyle w:val="51"/>
            </w:pPr>
          </w:p>
        </w:tc>
        <w:tc>
          <w:tcPr>
            <w:tcW w:w="662" w:type="pct"/>
            <w:vMerge w:val="continue"/>
            <w:vAlign w:val="center"/>
          </w:tcPr>
          <w:p w14:paraId="30CA13F3">
            <w:pPr>
              <w:pStyle w:val="51"/>
            </w:pPr>
          </w:p>
        </w:tc>
        <w:tc>
          <w:tcPr>
            <w:tcW w:w="1161" w:type="pct"/>
            <w:gridSpan w:val="2"/>
            <w:vAlign w:val="center"/>
          </w:tcPr>
          <w:p w14:paraId="536C2379">
            <w:pPr>
              <w:pStyle w:val="51"/>
            </w:pPr>
            <w:r>
              <w:rPr>
                <w:rFonts w:hint="eastAsia"/>
              </w:rPr>
              <w:t>大气毒性终点浓度-2</w:t>
            </w:r>
          </w:p>
        </w:tc>
        <w:tc>
          <w:tcPr>
            <w:tcW w:w="829" w:type="pct"/>
            <w:gridSpan w:val="2"/>
            <w:vAlign w:val="center"/>
          </w:tcPr>
          <w:p w14:paraId="7699BCC2">
            <w:pPr>
              <w:pStyle w:val="51"/>
            </w:pPr>
            <w:r>
              <w:rPr>
                <w:rFonts w:hint="eastAsia"/>
              </w:rPr>
              <w:t>2100</w:t>
            </w:r>
          </w:p>
        </w:tc>
        <w:tc>
          <w:tcPr>
            <w:tcW w:w="2110" w:type="pct"/>
            <w:gridSpan w:val="6"/>
            <w:vAlign w:val="center"/>
          </w:tcPr>
          <w:p w14:paraId="02EB5C96">
            <w:pPr>
              <w:pStyle w:val="51"/>
            </w:pPr>
            <w:r>
              <w:rPr>
                <w:rFonts w:hint="eastAsia"/>
              </w:rPr>
              <w:t>此阈值及以上，无对应位置，因计算浓度均小于此阈值</w:t>
            </w:r>
          </w:p>
        </w:tc>
      </w:tr>
      <w:tr w14:paraId="50C8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8" w:type="pct"/>
            <w:vMerge w:val="continue"/>
            <w:vAlign w:val="center"/>
          </w:tcPr>
          <w:p w14:paraId="5FA9A46D">
            <w:pPr>
              <w:pStyle w:val="51"/>
            </w:pPr>
          </w:p>
        </w:tc>
        <w:tc>
          <w:tcPr>
            <w:tcW w:w="662" w:type="pct"/>
            <w:vAlign w:val="center"/>
          </w:tcPr>
          <w:p w14:paraId="0A15C038">
            <w:pPr>
              <w:pStyle w:val="51"/>
            </w:pPr>
            <w:r>
              <w:rPr>
                <w:rFonts w:hint="eastAsia"/>
              </w:rPr>
              <w:t>危险物质</w:t>
            </w:r>
          </w:p>
        </w:tc>
        <w:tc>
          <w:tcPr>
            <w:tcW w:w="3250" w:type="pct"/>
            <w:gridSpan w:val="8"/>
            <w:vAlign w:val="center"/>
          </w:tcPr>
          <w:p w14:paraId="7F7BD6EB">
            <w:pPr>
              <w:pStyle w:val="51"/>
            </w:pPr>
            <w:r>
              <w:rPr>
                <w:rFonts w:hint="eastAsia"/>
              </w:rPr>
              <w:t>最常见气象条件下大气环境影响</w:t>
            </w:r>
          </w:p>
        </w:tc>
        <w:tc>
          <w:tcPr>
            <w:tcW w:w="850" w:type="pct"/>
            <w:gridSpan w:val="2"/>
            <w:vAlign w:val="center"/>
          </w:tcPr>
          <w:p w14:paraId="4CF0E683">
            <w:pPr>
              <w:pStyle w:val="51"/>
            </w:pPr>
          </w:p>
        </w:tc>
      </w:tr>
      <w:tr w14:paraId="315C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8" w:type="pct"/>
            <w:vMerge w:val="continue"/>
            <w:vAlign w:val="center"/>
          </w:tcPr>
          <w:p w14:paraId="26BC8003">
            <w:pPr>
              <w:pStyle w:val="51"/>
            </w:pPr>
          </w:p>
        </w:tc>
        <w:tc>
          <w:tcPr>
            <w:tcW w:w="662" w:type="pct"/>
            <w:vMerge w:val="restart"/>
            <w:vAlign w:val="center"/>
          </w:tcPr>
          <w:p w14:paraId="2887BA80">
            <w:pPr>
              <w:pStyle w:val="51"/>
            </w:pPr>
            <w:r>
              <w:rPr>
                <w:rFonts w:hint="eastAsia"/>
              </w:rPr>
              <w:t>甲苯</w:t>
            </w:r>
          </w:p>
        </w:tc>
        <w:tc>
          <w:tcPr>
            <w:tcW w:w="1161" w:type="pct"/>
            <w:gridSpan w:val="2"/>
            <w:vAlign w:val="center"/>
          </w:tcPr>
          <w:p w14:paraId="7A0A77F2">
            <w:pPr>
              <w:pStyle w:val="51"/>
            </w:pPr>
            <w:r>
              <w:rPr>
                <w:rFonts w:hint="eastAsia"/>
              </w:rPr>
              <w:t>指标</w:t>
            </w:r>
          </w:p>
        </w:tc>
        <w:tc>
          <w:tcPr>
            <w:tcW w:w="829" w:type="pct"/>
            <w:gridSpan w:val="2"/>
            <w:vAlign w:val="center"/>
          </w:tcPr>
          <w:p w14:paraId="7EA868A2">
            <w:pPr>
              <w:pStyle w:val="51"/>
            </w:pPr>
            <w:r>
              <w:rPr>
                <w:rFonts w:hint="eastAsia"/>
              </w:rPr>
              <w:t>浓度值/(mg/m</w:t>
            </w:r>
            <w:r>
              <w:rPr>
                <w:rFonts w:hint="eastAsia"/>
                <w:vertAlign w:val="superscript"/>
              </w:rPr>
              <w:t>3</w:t>
            </w:r>
            <w:r>
              <w:rPr>
                <w:rFonts w:hint="eastAsia"/>
              </w:rPr>
              <w:t>)</w:t>
            </w:r>
          </w:p>
        </w:tc>
        <w:tc>
          <w:tcPr>
            <w:tcW w:w="1260" w:type="pct"/>
            <w:gridSpan w:val="4"/>
            <w:vAlign w:val="center"/>
          </w:tcPr>
          <w:p w14:paraId="1DC31A72">
            <w:pPr>
              <w:pStyle w:val="51"/>
            </w:pPr>
            <w:r>
              <w:rPr>
                <w:rFonts w:hint="eastAsia"/>
              </w:rPr>
              <w:t>最远影响距离/m</w:t>
            </w:r>
          </w:p>
        </w:tc>
        <w:tc>
          <w:tcPr>
            <w:tcW w:w="850" w:type="pct"/>
            <w:gridSpan w:val="2"/>
            <w:vAlign w:val="center"/>
          </w:tcPr>
          <w:p w14:paraId="60DA4A2C">
            <w:pPr>
              <w:pStyle w:val="51"/>
            </w:pPr>
            <w:r>
              <w:rPr>
                <w:rFonts w:hint="eastAsia"/>
              </w:rPr>
              <w:t>到达时间/min</w:t>
            </w:r>
          </w:p>
        </w:tc>
      </w:tr>
      <w:tr w14:paraId="6A86E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8" w:type="pct"/>
            <w:vMerge w:val="continue"/>
            <w:vAlign w:val="center"/>
          </w:tcPr>
          <w:p w14:paraId="42DF7F96">
            <w:pPr>
              <w:pStyle w:val="51"/>
            </w:pPr>
          </w:p>
        </w:tc>
        <w:tc>
          <w:tcPr>
            <w:tcW w:w="662" w:type="pct"/>
            <w:vMerge w:val="continue"/>
            <w:vAlign w:val="center"/>
          </w:tcPr>
          <w:p w14:paraId="132E6B6C">
            <w:pPr>
              <w:pStyle w:val="51"/>
            </w:pPr>
          </w:p>
        </w:tc>
        <w:tc>
          <w:tcPr>
            <w:tcW w:w="1161" w:type="pct"/>
            <w:gridSpan w:val="2"/>
            <w:vAlign w:val="center"/>
          </w:tcPr>
          <w:p w14:paraId="76DBBE1C">
            <w:pPr>
              <w:pStyle w:val="51"/>
            </w:pPr>
            <w:r>
              <w:rPr>
                <w:rFonts w:hint="eastAsia"/>
              </w:rPr>
              <w:t>大气毒性终点浓度-1</w:t>
            </w:r>
          </w:p>
        </w:tc>
        <w:tc>
          <w:tcPr>
            <w:tcW w:w="829" w:type="pct"/>
            <w:gridSpan w:val="2"/>
            <w:vAlign w:val="center"/>
          </w:tcPr>
          <w:p w14:paraId="67193AFF">
            <w:pPr>
              <w:pStyle w:val="51"/>
            </w:pPr>
            <w:r>
              <w:rPr>
                <w:rFonts w:hint="eastAsia"/>
              </w:rPr>
              <w:t>14000</w:t>
            </w:r>
          </w:p>
        </w:tc>
        <w:tc>
          <w:tcPr>
            <w:tcW w:w="2110" w:type="pct"/>
            <w:gridSpan w:val="6"/>
            <w:vAlign w:val="center"/>
          </w:tcPr>
          <w:p w14:paraId="4DF9282B">
            <w:pPr>
              <w:pStyle w:val="51"/>
            </w:pPr>
            <w:r>
              <w:rPr>
                <w:rFonts w:hint="eastAsia"/>
              </w:rPr>
              <w:t>此阈值及以上，无对应位置，因计算浓度均小于此阈值</w:t>
            </w:r>
          </w:p>
        </w:tc>
      </w:tr>
      <w:tr w14:paraId="075B6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8" w:type="pct"/>
            <w:vMerge w:val="continue"/>
            <w:vAlign w:val="center"/>
          </w:tcPr>
          <w:p w14:paraId="54D2205A">
            <w:pPr>
              <w:pStyle w:val="51"/>
            </w:pPr>
          </w:p>
        </w:tc>
        <w:tc>
          <w:tcPr>
            <w:tcW w:w="662" w:type="pct"/>
            <w:vMerge w:val="continue"/>
            <w:vAlign w:val="center"/>
          </w:tcPr>
          <w:p w14:paraId="1C300765">
            <w:pPr>
              <w:pStyle w:val="51"/>
            </w:pPr>
          </w:p>
        </w:tc>
        <w:tc>
          <w:tcPr>
            <w:tcW w:w="1161" w:type="pct"/>
            <w:gridSpan w:val="2"/>
            <w:vAlign w:val="center"/>
          </w:tcPr>
          <w:p w14:paraId="79987A57">
            <w:pPr>
              <w:pStyle w:val="51"/>
            </w:pPr>
            <w:r>
              <w:rPr>
                <w:rFonts w:hint="eastAsia"/>
              </w:rPr>
              <w:t>指标</w:t>
            </w:r>
          </w:p>
        </w:tc>
        <w:tc>
          <w:tcPr>
            <w:tcW w:w="829" w:type="pct"/>
            <w:gridSpan w:val="2"/>
            <w:vAlign w:val="center"/>
          </w:tcPr>
          <w:p w14:paraId="699A54D6">
            <w:pPr>
              <w:pStyle w:val="51"/>
            </w:pPr>
            <w:r>
              <w:rPr>
                <w:rFonts w:hint="eastAsia"/>
              </w:rPr>
              <w:t>浓度值/(mg/m</w:t>
            </w:r>
            <w:r>
              <w:rPr>
                <w:rFonts w:hint="eastAsia"/>
                <w:vertAlign w:val="superscript"/>
              </w:rPr>
              <w:t>3</w:t>
            </w:r>
            <w:r>
              <w:rPr>
                <w:rFonts w:hint="eastAsia"/>
              </w:rPr>
              <w:t>)</w:t>
            </w:r>
          </w:p>
        </w:tc>
        <w:tc>
          <w:tcPr>
            <w:tcW w:w="1260" w:type="pct"/>
            <w:gridSpan w:val="4"/>
            <w:vAlign w:val="center"/>
          </w:tcPr>
          <w:p w14:paraId="60B5920C">
            <w:pPr>
              <w:pStyle w:val="51"/>
            </w:pPr>
            <w:r>
              <w:rPr>
                <w:rFonts w:hint="eastAsia"/>
              </w:rPr>
              <w:t>最远影响距离/m</w:t>
            </w:r>
          </w:p>
        </w:tc>
        <w:tc>
          <w:tcPr>
            <w:tcW w:w="850" w:type="pct"/>
            <w:gridSpan w:val="2"/>
            <w:vAlign w:val="center"/>
          </w:tcPr>
          <w:p w14:paraId="30B0BD50">
            <w:pPr>
              <w:pStyle w:val="51"/>
            </w:pPr>
            <w:r>
              <w:rPr>
                <w:rFonts w:hint="eastAsia"/>
              </w:rPr>
              <w:t>到达时间/min</w:t>
            </w:r>
          </w:p>
        </w:tc>
      </w:tr>
      <w:tr w14:paraId="73059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8" w:type="pct"/>
            <w:vMerge w:val="continue"/>
            <w:vAlign w:val="center"/>
          </w:tcPr>
          <w:p w14:paraId="59D3EEC8">
            <w:pPr>
              <w:pStyle w:val="51"/>
            </w:pPr>
          </w:p>
        </w:tc>
        <w:tc>
          <w:tcPr>
            <w:tcW w:w="662" w:type="pct"/>
            <w:vMerge w:val="continue"/>
            <w:vAlign w:val="center"/>
          </w:tcPr>
          <w:p w14:paraId="327C5815">
            <w:pPr>
              <w:pStyle w:val="51"/>
            </w:pPr>
          </w:p>
        </w:tc>
        <w:tc>
          <w:tcPr>
            <w:tcW w:w="1161" w:type="pct"/>
            <w:gridSpan w:val="2"/>
            <w:vAlign w:val="center"/>
          </w:tcPr>
          <w:p w14:paraId="674BE6E8">
            <w:pPr>
              <w:pStyle w:val="51"/>
            </w:pPr>
            <w:r>
              <w:rPr>
                <w:rFonts w:hint="eastAsia"/>
              </w:rPr>
              <w:t>大气毒性终点浓度-2</w:t>
            </w:r>
          </w:p>
        </w:tc>
        <w:tc>
          <w:tcPr>
            <w:tcW w:w="829" w:type="pct"/>
            <w:gridSpan w:val="2"/>
            <w:vAlign w:val="center"/>
          </w:tcPr>
          <w:p w14:paraId="65E644D8">
            <w:pPr>
              <w:pStyle w:val="51"/>
            </w:pPr>
            <w:r>
              <w:rPr>
                <w:rFonts w:hint="eastAsia"/>
              </w:rPr>
              <w:t>2100</w:t>
            </w:r>
          </w:p>
        </w:tc>
        <w:tc>
          <w:tcPr>
            <w:tcW w:w="2110" w:type="pct"/>
            <w:gridSpan w:val="6"/>
            <w:vAlign w:val="center"/>
          </w:tcPr>
          <w:p w14:paraId="4DEC0841">
            <w:pPr>
              <w:pStyle w:val="51"/>
            </w:pPr>
            <w:r>
              <w:rPr>
                <w:rFonts w:hint="eastAsia"/>
              </w:rPr>
              <w:t>此阈值及以上，无对应位置，因计算浓度均小于此阈值</w:t>
            </w:r>
          </w:p>
        </w:tc>
      </w:tr>
    </w:tbl>
    <w:p w14:paraId="0FD526C2">
      <w:pPr>
        <w:adjustRightInd w:val="0"/>
        <w:snapToGrid w:val="0"/>
        <w:ind w:firstLine="442" w:firstLineChars="200"/>
        <w:jc w:val="center"/>
        <w:rPr>
          <w:rFonts w:hint="eastAsia"/>
          <w:b/>
          <w:spacing w:val="-10"/>
        </w:rPr>
      </w:pPr>
    </w:p>
    <w:p w14:paraId="75C245DD">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根据预测方案，</w:t>
      </w:r>
      <w:r>
        <w:rPr>
          <w:rFonts w:hint="eastAsia"/>
          <w:color w:val="000000" w:themeColor="text1"/>
          <w14:textFill>
            <w14:solidFill>
              <w14:schemeClr w14:val="tx1"/>
            </w14:solidFill>
          </w14:textFill>
        </w:rPr>
        <w:t>混合芳烃储罐泄漏引发火灾事故</w:t>
      </w:r>
      <w:r>
        <w:rPr>
          <w:rFonts w:hint="eastAsia" w:ascii="宋体" w:hAnsi="宋体" w:cs="宋体"/>
          <w:color w:val="000000" w:themeColor="text1"/>
          <w14:textFill>
            <w14:solidFill>
              <w14:schemeClr w14:val="tx1"/>
            </w14:solidFill>
          </w14:textFill>
        </w:rPr>
        <w:t>预测结果见下表。</w:t>
      </w:r>
    </w:p>
    <w:p w14:paraId="38FF145D">
      <w:pPr>
        <w:pStyle w:val="8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表6-38   混合芳烃储罐泄漏发生火灾二次污染物CO泄漏源项和事故后果基本信息表</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0"/>
        <w:gridCol w:w="1027"/>
        <w:gridCol w:w="882"/>
        <w:gridCol w:w="1030"/>
        <w:gridCol w:w="140"/>
        <w:gridCol w:w="1477"/>
        <w:gridCol w:w="134"/>
        <w:gridCol w:w="654"/>
        <w:gridCol w:w="958"/>
        <w:gridCol w:w="516"/>
        <w:gridCol w:w="1466"/>
      </w:tblGrid>
      <w:tr w14:paraId="6BF44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11"/>
            <w:vAlign w:val="center"/>
          </w:tcPr>
          <w:p w14:paraId="2CBD0EF9">
            <w:pPr>
              <w:pStyle w:val="51"/>
            </w:pPr>
            <w:r>
              <w:rPr>
                <w:rFonts w:hint="eastAsia"/>
              </w:rPr>
              <w:t>风险事故</w:t>
            </w:r>
            <w:r>
              <w:t>情形分析</w:t>
            </w:r>
          </w:p>
        </w:tc>
      </w:tr>
      <w:tr w14:paraId="3279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392" w:type="pct"/>
            <w:gridSpan w:val="3"/>
            <w:vAlign w:val="center"/>
          </w:tcPr>
          <w:p w14:paraId="14A6D189">
            <w:pPr>
              <w:pStyle w:val="51"/>
            </w:pPr>
            <w:r>
              <w:rPr>
                <w:rFonts w:hint="eastAsia"/>
              </w:rPr>
              <w:t>代表性风险事故情形描述</w:t>
            </w:r>
          </w:p>
        </w:tc>
        <w:tc>
          <w:tcPr>
            <w:tcW w:w="3608" w:type="pct"/>
            <w:gridSpan w:val="8"/>
            <w:vAlign w:val="center"/>
          </w:tcPr>
          <w:p w14:paraId="5EC12373">
            <w:pPr>
              <w:pStyle w:val="51"/>
            </w:pPr>
            <w:r>
              <w:rPr>
                <w:rFonts w:hint="eastAsia"/>
                <w:color w:val="000000" w:themeColor="text1"/>
                <w14:textFill>
                  <w14:solidFill>
                    <w14:schemeClr w14:val="tx1"/>
                  </w14:solidFill>
                </w14:textFill>
              </w:rPr>
              <w:t>混合芳烃</w:t>
            </w:r>
            <w:r>
              <w:rPr>
                <w:rFonts w:hint="eastAsia"/>
              </w:rPr>
              <w:t>储罐泄漏发生火灾</w:t>
            </w:r>
          </w:p>
        </w:tc>
      </w:tr>
      <w:tr w14:paraId="1A61A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392" w:type="pct"/>
            <w:gridSpan w:val="3"/>
            <w:vAlign w:val="center"/>
          </w:tcPr>
          <w:p w14:paraId="069A3057">
            <w:pPr>
              <w:pStyle w:val="51"/>
            </w:pPr>
            <w:r>
              <w:rPr>
                <w:rFonts w:hint="eastAsia"/>
              </w:rPr>
              <w:t>环境</w:t>
            </w:r>
            <w:r>
              <w:t>风险</w:t>
            </w:r>
            <w:r>
              <w:rPr>
                <w:rFonts w:hint="eastAsia"/>
              </w:rPr>
              <w:t>类型</w:t>
            </w:r>
          </w:p>
        </w:tc>
        <w:tc>
          <w:tcPr>
            <w:tcW w:w="3608" w:type="pct"/>
            <w:gridSpan w:val="8"/>
            <w:vAlign w:val="center"/>
          </w:tcPr>
          <w:p w14:paraId="643D2FDA">
            <w:pPr>
              <w:pStyle w:val="51"/>
            </w:pPr>
            <w:r>
              <w:rPr>
                <w:rFonts w:hint="eastAsia"/>
              </w:rPr>
              <w:t>C</w:t>
            </w:r>
            <w:r>
              <w:t>O</w:t>
            </w:r>
            <w:r>
              <w:rPr>
                <w:rFonts w:hint="eastAsia"/>
              </w:rPr>
              <w:t>扩散</w:t>
            </w:r>
          </w:p>
        </w:tc>
      </w:tr>
      <w:tr w14:paraId="53480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392" w:type="pct"/>
            <w:gridSpan w:val="3"/>
            <w:vAlign w:val="center"/>
          </w:tcPr>
          <w:p w14:paraId="2FFDC151">
            <w:pPr>
              <w:pStyle w:val="51"/>
            </w:pPr>
            <w:r>
              <w:rPr>
                <w:rFonts w:hint="eastAsia"/>
              </w:rPr>
              <w:t>C</w:t>
            </w:r>
            <w:r>
              <w:t>O</w:t>
            </w:r>
            <w:r>
              <w:rPr>
                <w:rFonts w:hint="eastAsia"/>
              </w:rPr>
              <w:t>产生量</w:t>
            </w:r>
          </w:p>
        </w:tc>
        <w:tc>
          <w:tcPr>
            <w:tcW w:w="583" w:type="pct"/>
            <w:vAlign w:val="center"/>
          </w:tcPr>
          <w:p w14:paraId="34EE1C83">
            <w:pPr>
              <w:pStyle w:val="51"/>
            </w:pPr>
            <w:r>
              <w:rPr>
                <w:rFonts w:hint="eastAsia"/>
              </w:rPr>
              <w:t>1.79</w:t>
            </w:r>
          </w:p>
        </w:tc>
        <w:tc>
          <w:tcPr>
            <w:tcW w:w="915" w:type="pct"/>
            <w:gridSpan w:val="2"/>
            <w:vAlign w:val="center"/>
          </w:tcPr>
          <w:p w14:paraId="2DC8B07F">
            <w:pPr>
              <w:pStyle w:val="51"/>
            </w:pPr>
            <w:r>
              <w:rPr>
                <w:rFonts w:hint="eastAsia"/>
              </w:rPr>
              <w:t>扩散时间/min</w:t>
            </w:r>
          </w:p>
        </w:tc>
        <w:tc>
          <w:tcPr>
            <w:tcW w:w="446" w:type="pct"/>
            <w:gridSpan w:val="2"/>
            <w:vAlign w:val="center"/>
          </w:tcPr>
          <w:p w14:paraId="0727C8FD">
            <w:pPr>
              <w:pStyle w:val="51"/>
            </w:pPr>
            <w:r>
              <w:rPr>
                <w:rFonts w:hint="eastAsia"/>
              </w:rPr>
              <w:t>30</w:t>
            </w:r>
          </w:p>
        </w:tc>
        <w:tc>
          <w:tcPr>
            <w:tcW w:w="834" w:type="pct"/>
            <w:gridSpan w:val="2"/>
            <w:vAlign w:val="center"/>
          </w:tcPr>
          <w:p w14:paraId="1C564504">
            <w:pPr>
              <w:pStyle w:val="51"/>
            </w:pPr>
          </w:p>
        </w:tc>
        <w:tc>
          <w:tcPr>
            <w:tcW w:w="829" w:type="pct"/>
            <w:vAlign w:val="center"/>
          </w:tcPr>
          <w:p w14:paraId="34A25949">
            <w:pPr>
              <w:pStyle w:val="51"/>
            </w:pPr>
          </w:p>
        </w:tc>
      </w:tr>
      <w:tr w14:paraId="7D699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11"/>
            <w:vAlign w:val="center"/>
          </w:tcPr>
          <w:p w14:paraId="0E2D5D86">
            <w:pPr>
              <w:pStyle w:val="51"/>
            </w:pPr>
            <w:r>
              <w:rPr>
                <w:rFonts w:hint="eastAsia"/>
              </w:rPr>
              <w:t>事故后果预测</w:t>
            </w:r>
          </w:p>
        </w:tc>
      </w:tr>
      <w:tr w14:paraId="1BB8D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12" w:type="pct"/>
            <w:vMerge w:val="restart"/>
            <w:vAlign w:val="center"/>
          </w:tcPr>
          <w:p w14:paraId="56799720">
            <w:pPr>
              <w:pStyle w:val="51"/>
            </w:pPr>
            <w:r>
              <w:rPr>
                <w:rFonts w:hint="eastAsia"/>
              </w:rPr>
              <w:t>大气</w:t>
            </w:r>
          </w:p>
        </w:tc>
        <w:tc>
          <w:tcPr>
            <w:tcW w:w="581" w:type="pct"/>
            <w:vAlign w:val="center"/>
          </w:tcPr>
          <w:p w14:paraId="11A77E38">
            <w:pPr>
              <w:pStyle w:val="51"/>
            </w:pPr>
            <w:r>
              <w:rPr>
                <w:rFonts w:hint="eastAsia"/>
              </w:rPr>
              <w:t>危险物质</w:t>
            </w:r>
          </w:p>
        </w:tc>
        <w:tc>
          <w:tcPr>
            <w:tcW w:w="4107" w:type="pct"/>
            <w:gridSpan w:val="9"/>
            <w:vAlign w:val="center"/>
          </w:tcPr>
          <w:p w14:paraId="61A1EAC8">
            <w:pPr>
              <w:pStyle w:val="51"/>
            </w:pPr>
            <w:r>
              <w:rPr>
                <w:rFonts w:hint="eastAsia"/>
              </w:rPr>
              <w:t>最常见气象条件下大气</w:t>
            </w:r>
            <w:r>
              <w:t>环境影响</w:t>
            </w:r>
          </w:p>
        </w:tc>
      </w:tr>
      <w:tr w14:paraId="6AC9C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12" w:type="pct"/>
            <w:vMerge w:val="continue"/>
            <w:vAlign w:val="center"/>
          </w:tcPr>
          <w:p w14:paraId="1DF34FD8">
            <w:pPr>
              <w:pStyle w:val="51"/>
            </w:pPr>
          </w:p>
        </w:tc>
        <w:tc>
          <w:tcPr>
            <w:tcW w:w="581" w:type="pct"/>
            <w:vMerge w:val="restart"/>
            <w:vAlign w:val="center"/>
          </w:tcPr>
          <w:p w14:paraId="1A4AD3C8">
            <w:pPr>
              <w:pStyle w:val="51"/>
            </w:pPr>
            <w:r>
              <w:rPr>
                <w:rFonts w:hint="eastAsia"/>
              </w:rPr>
              <w:t>C</w:t>
            </w:r>
            <w:r>
              <w:t>O</w:t>
            </w:r>
          </w:p>
        </w:tc>
        <w:tc>
          <w:tcPr>
            <w:tcW w:w="1161" w:type="pct"/>
            <w:gridSpan w:val="3"/>
            <w:vAlign w:val="center"/>
          </w:tcPr>
          <w:p w14:paraId="43AB6FFB">
            <w:pPr>
              <w:pStyle w:val="51"/>
            </w:pPr>
            <w:r>
              <w:rPr>
                <w:rFonts w:hint="eastAsia"/>
              </w:rPr>
              <w:t>指标</w:t>
            </w:r>
          </w:p>
        </w:tc>
        <w:tc>
          <w:tcPr>
            <w:tcW w:w="912" w:type="pct"/>
            <w:gridSpan w:val="2"/>
            <w:vAlign w:val="center"/>
          </w:tcPr>
          <w:p w14:paraId="22F3BF3C">
            <w:pPr>
              <w:pStyle w:val="51"/>
            </w:pPr>
            <w:r>
              <w:rPr>
                <w:rFonts w:hint="eastAsia"/>
              </w:rPr>
              <w:t>浓度值/</w:t>
            </w:r>
            <w:r>
              <w:t>(</w:t>
            </w:r>
            <w:r>
              <w:rPr>
                <w:rFonts w:hint="eastAsia"/>
              </w:rPr>
              <w:t>mg/m</w:t>
            </w:r>
            <w:r>
              <w:rPr>
                <w:rFonts w:hint="eastAsia"/>
                <w:vertAlign w:val="superscript"/>
              </w:rPr>
              <w:t>3</w:t>
            </w:r>
            <w:r>
              <w:rPr>
                <w:rFonts w:hint="eastAsia"/>
              </w:rPr>
              <w:t>)</w:t>
            </w:r>
          </w:p>
        </w:tc>
        <w:tc>
          <w:tcPr>
            <w:tcW w:w="912" w:type="pct"/>
            <w:gridSpan w:val="2"/>
            <w:vAlign w:val="center"/>
          </w:tcPr>
          <w:p w14:paraId="7BFC2C79">
            <w:pPr>
              <w:pStyle w:val="51"/>
            </w:pPr>
            <w:r>
              <w:rPr>
                <w:rFonts w:hint="eastAsia"/>
              </w:rPr>
              <w:t>最远影响距离/m</w:t>
            </w:r>
          </w:p>
        </w:tc>
        <w:tc>
          <w:tcPr>
            <w:tcW w:w="1121" w:type="pct"/>
            <w:gridSpan w:val="2"/>
            <w:vAlign w:val="center"/>
          </w:tcPr>
          <w:p w14:paraId="14430955">
            <w:pPr>
              <w:pStyle w:val="51"/>
            </w:pPr>
            <w:r>
              <w:rPr>
                <w:rFonts w:hint="eastAsia"/>
              </w:rPr>
              <w:t>到达时间/min</w:t>
            </w:r>
          </w:p>
        </w:tc>
      </w:tr>
      <w:tr w14:paraId="1722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12" w:type="pct"/>
            <w:vMerge w:val="continue"/>
            <w:vAlign w:val="center"/>
          </w:tcPr>
          <w:p w14:paraId="58EE6255">
            <w:pPr>
              <w:pStyle w:val="51"/>
            </w:pPr>
          </w:p>
        </w:tc>
        <w:tc>
          <w:tcPr>
            <w:tcW w:w="581" w:type="pct"/>
            <w:vMerge w:val="continue"/>
            <w:vAlign w:val="center"/>
          </w:tcPr>
          <w:p w14:paraId="4C3F2BEC">
            <w:pPr>
              <w:pStyle w:val="51"/>
            </w:pPr>
          </w:p>
        </w:tc>
        <w:tc>
          <w:tcPr>
            <w:tcW w:w="1161" w:type="pct"/>
            <w:gridSpan w:val="3"/>
            <w:vAlign w:val="center"/>
          </w:tcPr>
          <w:p w14:paraId="2E84DCCB">
            <w:pPr>
              <w:pStyle w:val="51"/>
            </w:pPr>
            <w:r>
              <w:rPr>
                <w:rFonts w:hint="eastAsia"/>
              </w:rPr>
              <w:t>大气毒性终点浓度-1</w:t>
            </w:r>
          </w:p>
        </w:tc>
        <w:tc>
          <w:tcPr>
            <w:tcW w:w="912" w:type="pct"/>
            <w:gridSpan w:val="2"/>
            <w:vAlign w:val="center"/>
          </w:tcPr>
          <w:p w14:paraId="3A172C57">
            <w:pPr>
              <w:pStyle w:val="51"/>
            </w:pPr>
            <w:r>
              <w:rPr>
                <w:rFonts w:hint="eastAsia"/>
              </w:rPr>
              <w:t>3</w:t>
            </w:r>
            <w:r>
              <w:t>80</w:t>
            </w:r>
          </w:p>
        </w:tc>
        <w:tc>
          <w:tcPr>
            <w:tcW w:w="912" w:type="pct"/>
            <w:gridSpan w:val="2"/>
            <w:vAlign w:val="center"/>
          </w:tcPr>
          <w:p w14:paraId="260CE238">
            <w:pPr>
              <w:pStyle w:val="51"/>
            </w:pPr>
            <w:r>
              <w:rPr>
                <w:rFonts w:hint="eastAsia"/>
              </w:rPr>
              <w:t>970</w:t>
            </w:r>
          </w:p>
        </w:tc>
        <w:tc>
          <w:tcPr>
            <w:tcW w:w="1121" w:type="pct"/>
            <w:gridSpan w:val="2"/>
            <w:vAlign w:val="center"/>
          </w:tcPr>
          <w:p w14:paraId="574F454D">
            <w:pPr>
              <w:pStyle w:val="51"/>
            </w:pPr>
            <w:r>
              <w:rPr>
                <w:rFonts w:hint="eastAsia"/>
              </w:rPr>
              <w:t>12.78</w:t>
            </w:r>
          </w:p>
        </w:tc>
      </w:tr>
      <w:tr w14:paraId="273D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12" w:type="pct"/>
            <w:vMerge w:val="continue"/>
            <w:vAlign w:val="center"/>
          </w:tcPr>
          <w:p w14:paraId="1FFC4055">
            <w:pPr>
              <w:pStyle w:val="51"/>
            </w:pPr>
          </w:p>
        </w:tc>
        <w:tc>
          <w:tcPr>
            <w:tcW w:w="581" w:type="pct"/>
            <w:vMerge w:val="continue"/>
            <w:vAlign w:val="center"/>
          </w:tcPr>
          <w:p w14:paraId="2B3CB96C">
            <w:pPr>
              <w:pStyle w:val="51"/>
            </w:pPr>
          </w:p>
        </w:tc>
        <w:tc>
          <w:tcPr>
            <w:tcW w:w="1161" w:type="pct"/>
            <w:gridSpan w:val="3"/>
            <w:vAlign w:val="center"/>
          </w:tcPr>
          <w:p w14:paraId="53A23515">
            <w:pPr>
              <w:pStyle w:val="51"/>
            </w:pPr>
            <w:r>
              <w:rPr>
                <w:rFonts w:hint="eastAsia"/>
              </w:rPr>
              <w:t>指标</w:t>
            </w:r>
          </w:p>
        </w:tc>
        <w:tc>
          <w:tcPr>
            <w:tcW w:w="912" w:type="pct"/>
            <w:gridSpan w:val="2"/>
            <w:vAlign w:val="center"/>
          </w:tcPr>
          <w:p w14:paraId="10DB4019">
            <w:pPr>
              <w:pStyle w:val="51"/>
            </w:pPr>
            <w:r>
              <w:rPr>
                <w:rFonts w:hint="eastAsia"/>
              </w:rPr>
              <w:t>浓度值/</w:t>
            </w:r>
            <w:r>
              <w:t>(</w:t>
            </w:r>
            <w:r>
              <w:rPr>
                <w:rFonts w:hint="eastAsia"/>
              </w:rPr>
              <w:t>mg/m</w:t>
            </w:r>
            <w:r>
              <w:rPr>
                <w:rFonts w:hint="eastAsia"/>
                <w:vertAlign w:val="superscript"/>
              </w:rPr>
              <w:t>3</w:t>
            </w:r>
            <w:r>
              <w:rPr>
                <w:rFonts w:hint="eastAsia"/>
              </w:rPr>
              <w:t>)</w:t>
            </w:r>
          </w:p>
        </w:tc>
        <w:tc>
          <w:tcPr>
            <w:tcW w:w="912" w:type="pct"/>
            <w:gridSpan w:val="2"/>
            <w:vAlign w:val="center"/>
          </w:tcPr>
          <w:p w14:paraId="4636ADEA">
            <w:pPr>
              <w:pStyle w:val="51"/>
            </w:pPr>
            <w:r>
              <w:rPr>
                <w:rFonts w:hint="eastAsia"/>
              </w:rPr>
              <w:t>最远影响距离/m</w:t>
            </w:r>
          </w:p>
        </w:tc>
        <w:tc>
          <w:tcPr>
            <w:tcW w:w="1121" w:type="pct"/>
            <w:gridSpan w:val="2"/>
            <w:vAlign w:val="center"/>
          </w:tcPr>
          <w:p w14:paraId="3ABAB1A4">
            <w:pPr>
              <w:pStyle w:val="51"/>
            </w:pPr>
            <w:r>
              <w:rPr>
                <w:rFonts w:hint="eastAsia"/>
              </w:rPr>
              <w:t>到达时间/min</w:t>
            </w:r>
          </w:p>
        </w:tc>
      </w:tr>
      <w:tr w14:paraId="3001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12" w:type="pct"/>
            <w:vMerge w:val="continue"/>
            <w:vAlign w:val="center"/>
          </w:tcPr>
          <w:p w14:paraId="042003D3">
            <w:pPr>
              <w:pStyle w:val="51"/>
            </w:pPr>
          </w:p>
        </w:tc>
        <w:tc>
          <w:tcPr>
            <w:tcW w:w="581" w:type="pct"/>
            <w:vMerge w:val="continue"/>
            <w:vAlign w:val="center"/>
          </w:tcPr>
          <w:p w14:paraId="5B3F7591">
            <w:pPr>
              <w:pStyle w:val="51"/>
            </w:pPr>
          </w:p>
        </w:tc>
        <w:tc>
          <w:tcPr>
            <w:tcW w:w="1161" w:type="pct"/>
            <w:gridSpan w:val="3"/>
            <w:vAlign w:val="center"/>
          </w:tcPr>
          <w:p w14:paraId="2C8E1332">
            <w:pPr>
              <w:pStyle w:val="51"/>
            </w:pPr>
            <w:r>
              <w:rPr>
                <w:rFonts w:hint="eastAsia"/>
              </w:rPr>
              <w:t>大气毒性终点浓度-2</w:t>
            </w:r>
          </w:p>
        </w:tc>
        <w:tc>
          <w:tcPr>
            <w:tcW w:w="912" w:type="pct"/>
            <w:gridSpan w:val="2"/>
            <w:vAlign w:val="center"/>
          </w:tcPr>
          <w:p w14:paraId="61831EA2">
            <w:pPr>
              <w:pStyle w:val="51"/>
            </w:pPr>
            <w:r>
              <w:rPr>
                <w:rFonts w:hint="eastAsia"/>
              </w:rPr>
              <w:t>9</w:t>
            </w:r>
            <w:r>
              <w:t>5</w:t>
            </w:r>
          </w:p>
        </w:tc>
        <w:tc>
          <w:tcPr>
            <w:tcW w:w="912" w:type="pct"/>
            <w:gridSpan w:val="2"/>
            <w:vAlign w:val="center"/>
          </w:tcPr>
          <w:p w14:paraId="7E3B12E7">
            <w:pPr>
              <w:pStyle w:val="51"/>
            </w:pPr>
            <w:r>
              <w:rPr>
                <w:rFonts w:hint="eastAsia"/>
              </w:rPr>
              <w:t>2490</w:t>
            </w:r>
          </w:p>
        </w:tc>
        <w:tc>
          <w:tcPr>
            <w:tcW w:w="1121" w:type="pct"/>
            <w:gridSpan w:val="2"/>
            <w:vAlign w:val="center"/>
          </w:tcPr>
          <w:p w14:paraId="3B5110E5">
            <w:pPr>
              <w:pStyle w:val="51"/>
            </w:pPr>
            <w:r>
              <w:rPr>
                <w:rFonts w:hint="eastAsia"/>
              </w:rPr>
              <w:t>32.67</w:t>
            </w:r>
          </w:p>
        </w:tc>
      </w:tr>
      <w:tr w14:paraId="5FD2B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12" w:type="pct"/>
            <w:vMerge w:val="continue"/>
            <w:vAlign w:val="center"/>
          </w:tcPr>
          <w:p w14:paraId="540B95FA">
            <w:pPr>
              <w:pStyle w:val="51"/>
            </w:pPr>
          </w:p>
        </w:tc>
        <w:tc>
          <w:tcPr>
            <w:tcW w:w="581" w:type="pct"/>
            <w:vAlign w:val="center"/>
          </w:tcPr>
          <w:p w14:paraId="5B85873D">
            <w:pPr>
              <w:pStyle w:val="51"/>
            </w:pPr>
            <w:r>
              <w:rPr>
                <w:rFonts w:hint="eastAsia"/>
              </w:rPr>
              <w:t>危险物质</w:t>
            </w:r>
          </w:p>
        </w:tc>
        <w:tc>
          <w:tcPr>
            <w:tcW w:w="4107" w:type="pct"/>
            <w:gridSpan w:val="9"/>
            <w:vAlign w:val="center"/>
          </w:tcPr>
          <w:p w14:paraId="2CA20CD2">
            <w:pPr>
              <w:pStyle w:val="51"/>
            </w:pPr>
            <w:r>
              <w:rPr>
                <w:rFonts w:hint="eastAsia"/>
              </w:rPr>
              <w:t>最不利气象条件下大气环境影响</w:t>
            </w:r>
          </w:p>
        </w:tc>
      </w:tr>
      <w:tr w14:paraId="330C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12" w:type="pct"/>
            <w:vMerge w:val="continue"/>
            <w:vAlign w:val="center"/>
          </w:tcPr>
          <w:p w14:paraId="30B9B64D">
            <w:pPr>
              <w:pStyle w:val="51"/>
            </w:pPr>
          </w:p>
        </w:tc>
        <w:tc>
          <w:tcPr>
            <w:tcW w:w="581" w:type="pct"/>
            <w:vMerge w:val="restart"/>
            <w:vAlign w:val="center"/>
          </w:tcPr>
          <w:p w14:paraId="5F9362F1">
            <w:pPr>
              <w:pStyle w:val="51"/>
            </w:pPr>
            <w:r>
              <w:rPr>
                <w:rFonts w:hint="eastAsia"/>
              </w:rPr>
              <w:t>C</w:t>
            </w:r>
            <w:r>
              <w:t>O</w:t>
            </w:r>
          </w:p>
        </w:tc>
        <w:tc>
          <w:tcPr>
            <w:tcW w:w="1161" w:type="pct"/>
            <w:gridSpan w:val="3"/>
            <w:vAlign w:val="center"/>
          </w:tcPr>
          <w:p w14:paraId="34478F85">
            <w:pPr>
              <w:pStyle w:val="51"/>
            </w:pPr>
            <w:r>
              <w:rPr>
                <w:rFonts w:hint="eastAsia"/>
              </w:rPr>
              <w:t>指标</w:t>
            </w:r>
          </w:p>
        </w:tc>
        <w:tc>
          <w:tcPr>
            <w:tcW w:w="912" w:type="pct"/>
            <w:gridSpan w:val="2"/>
            <w:vAlign w:val="center"/>
          </w:tcPr>
          <w:p w14:paraId="38599E3C">
            <w:pPr>
              <w:pStyle w:val="51"/>
            </w:pPr>
            <w:r>
              <w:rPr>
                <w:rFonts w:hint="eastAsia"/>
              </w:rPr>
              <w:t>浓度值/</w:t>
            </w:r>
            <w:r>
              <w:t>(</w:t>
            </w:r>
            <w:r>
              <w:rPr>
                <w:rFonts w:hint="eastAsia"/>
              </w:rPr>
              <w:t>mg/m</w:t>
            </w:r>
            <w:r>
              <w:rPr>
                <w:rFonts w:hint="eastAsia"/>
                <w:vertAlign w:val="superscript"/>
              </w:rPr>
              <w:t>3</w:t>
            </w:r>
            <w:r>
              <w:rPr>
                <w:rFonts w:hint="eastAsia"/>
              </w:rPr>
              <w:t>)</w:t>
            </w:r>
          </w:p>
        </w:tc>
        <w:tc>
          <w:tcPr>
            <w:tcW w:w="912" w:type="pct"/>
            <w:gridSpan w:val="2"/>
            <w:vAlign w:val="center"/>
          </w:tcPr>
          <w:p w14:paraId="6118311F">
            <w:pPr>
              <w:pStyle w:val="51"/>
            </w:pPr>
            <w:r>
              <w:rPr>
                <w:rFonts w:hint="eastAsia"/>
              </w:rPr>
              <w:t>最远影响距离/m</w:t>
            </w:r>
          </w:p>
        </w:tc>
        <w:tc>
          <w:tcPr>
            <w:tcW w:w="1121" w:type="pct"/>
            <w:gridSpan w:val="2"/>
            <w:vAlign w:val="center"/>
          </w:tcPr>
          <w:p w14:paraId="78215D7B">
            <w:pPr>
              <w:pStyle w:val="51"/>
            </w:pPr>
            <w:r>
              <w:rPr>
                <w:rFonts w:hint="eastAsia"/>
              </w:rPr>
              <w:t>到达时间/min</w:t>
            </w:r>
          </w:p>
        </w:tc>
      </w:tr>
      <w:tr w14:paraId="2266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12" w:type="pct"/>
            <w:vMerge w:val="continue"/>
            <w:vAlign w:val="center"/>
          </w:tcPr>
          <w:p w14:paraId="765E7612">
            <w:pPr>
              <w:pStyle w:val="51"/>
            </w:pPr>
          </w:p>
        </w:tc>
        <w:tc>
          <w:tcPr>
            <w:tcW w:w="581" w:type="pct"/>
            <w:vMerge w:val="continue"/>
            <w:vAlign w:val="center"/>
          </w:tcPr>
          <w:p w14:paraId="20E476E5">
            <w:pPr>
              <w:pStyle w:val="51"/>
            </w:pPr>
          </w:p>
        </w:tc>
        <w:tc>
          <w:tcPr>
            <w:tcW w:w="1161" w:type="pct"/>
            <w:gridSpan w:val="3"/>
            <w:vAlign w:val="center"/>
          </w:tcPr>
          <w:p w14:paraId="77B1E776">
            <w:pPr>
              <w:pStyle w:val="51"/>
            </w:pPr>
            <w:r>
              <w:rPr>
                <w:rFonts w:hint="eastAsia"/>
              </w:rPr>
              <w:t>大气毒性终点浓度-1</w:t>
            </w:r>
          </w:p>
        </w:tc>
        <w:tc>
          <w:tcPr>
            <w:tcW w:w="912" w:type="pct"/>
            <w:gridSpan w:val="2"/>
            <w:vAlign w:val="center"/>
          </w:tcPr>
          <w:p w14:paraId="7F098383">
            <w:pPr>
              <w:pStyle w:val="51"/>
            </w:pPr>
            <w:r>
              <w:rPr>
                <w:rFonts w:hint="eastAsia"/>
              </w:rPr>
              <w:t>3</w:t>
            </w:r>
            <w:r>
              <w:t>80</w:t>
            </w:r>
          </w:p>
        </w:tc>
        <w:tc>
          <w:tcPr>
            <w:tcW w:w="912" w:type="pct"/>
            <w:gridSpan w:val="2"/>
            <w:vAlign w:val="center"/>
          </w:tcPr>
          <w:p w14:paraId="2B073D4A">
            <w:pPr>
              <w:pStyle w:val="51"/>
            </w:pPr>
            <w:r>
              <w:rPr>
                <w:rFonts w:hint="eastAsia"/>
              </w:rPr>
              <w:t>350</w:t>
            </w:r>
          </w:p>
        </w:tc>
        <w:tc>
          <w:tcPr>
            <w:tcW w:w="1121" w:type="pct"/>
            <w:gridSpan w:val="2"/>
            <w:vAlign w:val="center"/>
          </w:tcPr>
          <w:p w14:paraId="4FC70DBC">
            <w:pPr>
              <w:pStyle w:val="51"/>
            </w:pPr>
            <w:r>
              <w:rPr>
                <w:rFonts w:hint="eastAsia"/>
              </w:rPr>
              <w:t>2.62</w:t>
            </w:r>
          </w:p>
        </w:tc>
      </w:tr>
      <w:tr w14:paraId="36376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12" w:type="pct"/>
            <w:vMerge w:val="continue"/>
            <w:vAlign w:val="center"/>
          </w:tcPr>
          <w:p w14:paraId="592A259F">
            <w:pPr>
              <w:pStyle w:val="51"/>
            </w:pPr>
          </w:p>
        </w:tc>
        <w:tc>
          <w:tcPr>
            <w:tcW w:w="581" w:type="pct"/>
            <w:vMerge w:val="continue"/>
            <w:vAlign w:val="center"/>
          </w:tcPr>
          <w:p w14:paraId="40F223C5">
            <w:pPr>
              <w:pStyle w:val="51"/>
            </w:pPr>
          </w:p>
        </w:tc>
        <w:tc>
          <w:tcPr>
            <w:tcW w:w="1161" w:type="pct"/>
            <w:gridSpan w:val="3"/>
            <w:vAlign w:val="center"/>
          </w:tcPr>
          <w:p w14:paraId="245322B2">
            <w:pPr>
              <w:pStyle w:val="51"/>
            </w:pPr>
            <w:r>
              <w:rPr>
                <w:rFonts w:hint="eastAsia"/>
              </w:rPr>
              <w:t>指标</w:t>
            </w:r>
          </w:p>
        </w:tc>
        <w:tc>
          <w:tcPr>
            <w:tcW w:w="912" w:type="pct"/>
            <w:gridSpan w:val="2"/>
            <w:vAlign w:val="center"/>
          </w:tcPr>
          <w:p w14:paraId="2466D03F">
            <w:pPr>
              <w:pStyle w:val="51"/>
            </w:pPr>
            <w:r>
              <w:rPr>
                <w:rFonts w:hint="eastAsia"/>
              </w:rPr>
              <w:t>浓度值/</w:t>
            </w:r>
            <w:r>
              <w:t>(</w:t>
            </w:r>
            <w:r>
              <w:rPr>
                <w:rFonts w:hint="eastAsia"/>
              </w:rPr>
              <w:t>mg/m</w:t>
            </w:r>
            <w:r>
              <w:rPr>
                <w:rFonts w:hint="eastAsia"/>
                <w:vertAlign w:val="superscript"/>
              </w:rPr>
              <w:t>3</w:t>
            </w:r>
            <w:r>
              <w:rPr>
                <w:rFonts w:hint="eastAsia"/>
              </w:rPr>
              <w:t>)</w:t>
            </w:r>
          </w:p>
        </w:tc>
        <w:tc>
          <w:tcPr>
            <w:tcW w:w="912" w:type="pct"/>
            <w:gridSpan w:val="2"/>
            <w:vAlign w:val="center"/>
          </w:tcPr>
          <w:p w14:paraId="174FC29A">
            <w:pPr>
              <w:pStyle w:val="51"/>
            </w:pPr>
            <w:r>
              <w:rPr>
                <w:rFonts w:hint="eastAsia"/>
              </w:rPr>
              <w:t>最远影响距离/m</w:t>
            </w:r>
          </w:p>
        </w:tc>
        <w:tc>
          <w:tcPr>
            <w:tcW w:w="1121" w:type="pct"/>
            <w:gridSpan w:val="2"/>
            <w:vAlign w:val="center"/>
          </w:tcPr>
          <w:p w14:paraId="69E94CE2">
            <w:pPr>
              <w:pStyle w:val="51"/>
            </w:pPr>
            <w:r>
              <w:rPr>
                <w:rFonts w:hint="eastAsia"/>
              </w:rPr>
              <w:t>到达时间/min</w:t>
            </w:r>
          </w:p>
        </w:tc>
      </w:tr>
      <w:tr w14:paraId="3B01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12" w:type="pct"/>
            <w:vMerge w:val="continue"/>
            <w:vAlign w:val="center"/>
          </w:tcPr>
          <w:p w14:paraId="06EEEFF2">
            <w:pPr>
              <w:pStyle w:val="51"/>
            </w:pPr>
          </w:p>
        </w:tc>
        <w:tc>
          <w:tcPr>
            <w:tcW w:w="581" w:type="pct"/>
            <w:vMerge w:val="continue"/>
            <w:vAlign w:val="center"/>
          </w:tcPr>
          <w:p w14:paraId="1777D1BC">
            <w:pPr>
              <w:pStyle w:val="51"/>
            </w:pPr>
          </w:p>
        </w:tc>
        <w:tc>
          <w:tcPr>
            <w:tcW w:w="1161" w:type="pct"/>
            <w:gridSpan w:val="3"/>
            <w:vAlign w:val="center"/>
          </w:tcPr>
          <w:p w14:paraId="6AB5E353">
            <w:pPr>
              <w:pStyle w:val="51"/>
            </w:pPr>
            <w:r>
              <w:rPr>
                <w:rFonts w:hint="eastAsia"/>
              </w:rPr>
              <w:t>大气毒性终点浓度-2</w:t>
            </w:r>
          </w:p>
        </w:tc>
        <w:tc>
          <w:tcPr>
            <w:tcW w:w="912" w:type="pct"/>
            <w:gridSpan w:val="2"/>
            <w:vAlign w:val="center"/>
          </w:tcPr>
          <w:p w14:paraId="5EDED2AC">
            <w:pPr>
              <w:pStyle w:val="51"/>
            </w:pPr>
            <w:r>
              <w:rPr>
                <w:rFonts w:hint="eastAsia"/>
              </w:rPr>
              <w:t>9</w:t>
            </w:r>
            <w:r>
              <w:t>5</w:t>
            </w:r>
          </w:p>
        </w:tc>
        <w:tc>
          <w:tcPr>
            <w:tcW w:w="912" w:type="pct"/>
            <w:gridSpan w:val="2"/>
            <w:vAlign w:val="center"/>
          </w:tcPr>
          <w:p w14:paraId="2545036D">
            <w:pPr>
              <w:pStyle w:val="51"/>
            </w:pPr>
            <w:r>
              <w:rPr>
                <w:rFonts w:hint="eastAsia"/>
              </w:rPr>
              <w:t>780</w:t>
            </w:r>
          </w:p>
        </w:tc>
        <w:tc>
          <w:tcPr>
            <w:tcW w:w="1121" w:type="pct"/>
            <w:gridSpan w:val="2"/>
            <w:vAlign w:val="center"/>
          </w:tcPr>
          <w:p w14:paraId="63A13880">
            <w:pPr>
              <w:pStyle w:val="51"/>
            </w:pPr>
            <w:r>
              <w:rPr>
                <w:rFonts w:hint="eastAsia"/>
              </w:rPr>
              <w:t>5.83</w:t>
            </w:r>
          </w:p>
        </w:tc>
      </w:tr>
    </w:tbl>
    <w:p w14:paraId="71EE5341">
      <w:pPr>
        <w:adjustRightInd w:val="0"/>
        <w:snapToGrid w:val="0"/>
        <w:spacing w:line="480" w:lineRule="auto"/>
        <w:ind w:firstLine="440" w:firstLineChars="200"/>
        <w:rPr>
          <w:rFonts w:hint="eastAsia"/>
          <w:b/>
          <w:spacing w:val="-10"/>
        </w:rPr>
      </w:pPr>
      <w:r>
        <w:rPr>
          <w:bCs/>
          <w:spacing w:val="-10"/>
        </w:rPr>
        <w:t>预测结果显示，在最不利气象条件下，</w:t>
      </w:r>
      <w:r>
        <w:rPr>
          <w:rFonts w:hint="eastAsia"/>
          <w:color w:val="000000" w:themeColor="text1"/>
          <w14:textFill>
            <w14:solidFill>
              <w14:schemeClr w14:val="tx1"/>
            </w14:solidFill>
          </w14:textFill>
        </w:rPr>
        <w:t>混合芳烃</w:t>
      </w:r>
      <w:r>
        <w:rPr>
          <w:bCs/>
          <w:spacing w:val="-10"/>
        </w:rPr>
        <w:t>泄漏事故</w:t>
      </w:r>
      <w:r>
        <w:rPr>
          <w:rFonts w:hint="eastAsia"/>
          <w:bCs/>
          <w:spacing w:val="-10"/>
        </w:rPr>
        <w:t>甲苯</w:t>
      </w:r>
      <w:r>
        <w:rPr>
          <w:bCs/>
          <w:spacing w:val="-10"/>
        </w:rPr>
        <w:t>预测浓度</w:t>
      </w:r>
      <w:r>
        <w:rPr>
          <w:rFonts w:hint="eastAsia"/>
          <w:bCs/>
          <w:spacing w:val="-10"/>
        </w:rPr>
        <w:t>在最不利气象条件下最远影响距离970m</w:t>
      </w:r>
      <w:r>
        <w:rPr>
          <w:bCs/>
          <w:spacing w:val="-10"/>
        </w:rPr>
        <w:t>达到1级大气毒性终点浓度值</w:t>
      </w:r>
      <w:r>
        <w:rPr>
          <w:rFonts w:hint="eastAsia"/>
          <w:bCs/>
          <w:spacing w:val="-10"/>
        </w:rPr>
        <w:t>，最远影响距离2490m</w:t>
      </w:r>
      <w:r>
        <w:rPr>
          <w:bCs/>
          <w:spacing w:val="-10"/>
        </w:rPr>
        <w:t>达到2级大气毒性终点浓度值。</w:t>
      </w:r>
      <w:r>
        <w:rPr>
          <w:rFonts w:hint="eastAsia"/>
          <w:bCs/>
          <w:spacing w:val="-10"/>
        </w:rPr>
        <w:t>最不利气象条件下最远影响距离350m</w:t>
      </w:r>
      <w:r>
        <w:rPr>
          <w:bCs/>
          <w:spacing w:val="-10"/>
        </w:rPr>
        <w:t>达到1级大气毒性终点浓度值</w:t>
      </w:r>
      <w:r>
        <w:rPr>
          <w:rFonts w:hint="eastAsia"/>
          <w:bCs/>
          <w:spacing w:val="-10"/>
        </w:rPr>
        <w:t>，最远影响距离780m</w:t>
      </w:r>
      <w:r>
        <w:rPr>
          <w:bCs/>
          <w:spacing w:val="-10"/>
        </w:rPr>
        <w:t>达到2级大气毒性终点浓度值。</w:t>
      </w:r>
    </w:p>
    <w:p w14:paraId="55F966AA">
      <w:pPr>
        <w:adjustRightInd w:val="0"/>
        <w:snapToGrid w:val="0"/>
        <w:ind w:firstLine="442" w:firstLineChars="200"/>
        <w:jc w:val="center"/>
        <w:rPr>
          <w:rFonts w:hint="eastAsia"/>
          <w:b/>
          <w:spacing w:val="-10"/>
        </w:rPr>
      </w:pPr>
    </w:p>
    <w:p w14:paraId="61C47FAA">
      <w:pPr>
        <w:adjustRightInd w:val="0"/>
        <w:snapToGrid w:val="0"/>
        <w:ind w:firstLine="442" w:firstLineChars="200"/>
        <w:jc w:val="center"/>
        <w:rPr>
          <w:rFonts w:hint="eastAsia"/>
          <w:b/>
          <w:spacing w:val="-10"/>
        </w:rPr>
      </w:pPr>
      <w:r>
        <w:rPr>
          <w:rFonts w:hint="eastAsia"/>
          <w:b/>
          <w:spacing w:val="-10"/>
        </w:rPr>
        <w:t>图6-4  最不利气象下混合芳烃泄漏浓度随距离变化曲线图</w:t>
      </w:r>
    </w:p>
    <w:p w14:paraId="209FCC3F">
      <w:pPr>
        <w:adjustRightInd w:val="0"/>
        <w:snapToGrid w:val="0"/>
        <w:spacing w:line="360" w:lineRule="auto"/>
        <w:rPr>
          <w:rFonts w:hint="eastAsia"/>
          <w:b/>
          <w:spacing w:val="-10"/>
        </w:rPr>
      </w:pPr>
      <w:r>
        <w:rPr>
          <w:b/>
          <w:spacing w:val="-10"/>
        </w:rPr>
        <w:t>9.2</w:t>
      </w:r>
      <w:r>
        <w:rPr>
          <w:rFonts w:hint="eastAsia"/>
          <w:b/>
          <w:spacing w:val="-10"/>
        </w:rPr>
        <w:t>地表</w:t>
      </w:r>
      <w:r>
        <w:rPr>
          <w:b/>
          <w:spacing w:val="-10"/>
        </w:rPr>
        <w:t>水环境风险分析</w:t>
      </w:r>
    </w:p>
    <w:p w14:paraId="743BF3AC">
      <w:pPr>
        <w:adjustRightInd w:val="0"/>
        <w:snapToGrid w:val="0"/>
        <w:spacing w:line="360" w:lineRule="auto"/>
        <w:ind w:firstLine="440" w:firstLineChars="200"/>
        <w:rPr>
          <w:rFonts w:hint="eastAsia"/>
          <w:b/>
          <w:spacing w:val="-10"/>
        </w:rPr>
      </w:pPr>
      <w:r>
        <w:rPr>
          <w:bCs/>
          <w:spacing w:val="-10"/>
        </w:rPr>
        <w:t>罐区设置了防火堤、防渗围堰及事故废水导排系统，围堰有效容积大于本次事故情形下的物料泄漏量及消防废水产生量，可完全收纳泄漏物料及消防废水，不会外排至厂区外沟渠或地表水体。项目依托工程设置了有效容积</w:t>
      </w:r>
      <w:r>
        <w:rPr>
          <w:rFonts w:hint="eastAsia"/>
          <w:bCs/>
          <w:spacing w:val="-10"/>
        </w:rPr>
        <w:t>66</w:t>
      </w:r>
      <w:r>
        <w:rPr>
          <w:bCs/>
          <w:spacing w:val="-10"/>
        </w:rPr>
        <w:t>00m³的事故应急池，可将事故废水收集处理，不外排，因此对周边地表水环境无影响。</w:t>
      </w:r>
    </w:p>
    <w:p w14:paraId="2D6B5F9C">
      <w:pPr>
        <w:adjustRightInd w:val="0"/>
        <w:snapToGrid w:val="0"/>
        <w:spacing w:line="360" w:lineRule="auto"/>
        <w:ind w:firstLine="440" w:firstLineChars="200"/>
        <w:rPr>
          <w:rFonts w:hint="eastAsia"/>
          <w:bCs/>
          <w:spacing w:val="-10"/>
        </w:rPr>
      </w:pPr>
      <w:bookmarkStart w:id="26" w:name="_Hlk151458470"/>
      <w:r>
        <w:rPr>
          <w:rFonts w:hint="eastAsia"/>
          <w:bCs/>
          <w:spacing w:val="-10"/>
        </w:rPr>
        <w:t>①</w:t>
      </w:r>
      <w:r>
        <w:rPr>
          <w:bCs/>
          <w:spacing w:val="-10"/>
        </w:rPr>
        <w:t>应急事故池容积</w:t>
      </w:r>
    </w:p>
    <w:p w14:paraId="0B3FAB88">
      <w:pPr>
        <w:adjustRightInd w:val="0"/>
        <w:snapToGrid w:val="0"/>
        <w:spacing w:line="360" w:lineRule="auto"/>
        <w:ind w:firstLine="440" w:firstLineChars="200"/>
        <w:rPr>
          <w:rFonts w:hint="eastAsia"/>
          <w:bCs/>
          <w:spacing w:val="-10"/>
        </w:rPr>
      </w:pPr>
      <w:r>
        <w:rPr>
          <w:bCs/>
          <w:spacing w:val="-10"/>
        </w:rPr>
        <w:t>本项目一旦发生事故，在火灾扑救过程中，消防水携带油污形成污染水。由于消防水瞬间用量较大，污染消防水的产生量也相应较多，直接排放会对区域地下水造成污染。根据</w:t>
      </w:r>
      <w:r>
        <w:rPr>
          <w:spacing w:val="-10"/>
        </w:rPr>
        <w:t>《化工建设项目环境保护工程设计标准》（GB/T54083-2019）</w:t>
      </w:r>
      <w:r>
        <w:rPr>
          <w:bCs/>
          <w:spacing w:val="-10"/>
        </w:rPr>
        <w:t>要求，应急事故废水池容量应根据发生事故的设备容量、事故时消防用水量及可能进入应急事故池的降水量等因素综合确定。</w:t>
      </w:r>
    </w:p>
    <w:bookmarkEnd w:id="26"/>
    <w:p w14:paraId="24A43B4D">
      <w:pPr>
        <w:adjustRightInd w:val="0"/>
        <w:snapToGrid w:val="0"/>
        <w:spacing w:line="360" w:lineRule="auto"/>
        <w:ind w:firstLine="440" w:firstLineChars="200"/>
        <w:rPr>
          <w:rFonts w:hint="eastAsia"/>
          <w:bCs/>
          <w:spacing w:val="-10"/>
        </w:rPr>
      </w:pPr>
      <w:r>
        <w:rPr>
          <w:bCs/>
          <w:spacing w:val="-10"/>
        </w:rPr>
        <w:t>参照《中国石油化工集团公司水体环境风险防控要点（试行）》和中国石油天然气集团公司企业标准《事故状态下水头污染的预防与控制技术要求》（Q/SY1190-2009）事故池按以下公式计算容积：</w:t>
      </w:r>
    </w:p>
    <w:p w14:paraId="4B83C9F8">
      <w:pPr>
        <w:adjustRightInd w:val="0"/>
        <w:snapToGrid w:val="0"/>
        <w:ind w:firstLine="440" w:firstLineChars="200"/>
        <w:jc w:val="center"/>
        <w:rPr>
          <w:rFonts w:hint="eastAsia"/>
          <w:bCs/>
          <w:spacing w:val="-10"/>
        </w:rPr>
      </w:pPr>
      <w:r>
        <w:rPr>
          <w:bCs/>
          <w:spacing w:val="-10"/>
        </w:rPr>
        <w:t>V</w:t>
      </w:r>
      <w:r>
        <w:rPr>
          <w:bCs/>
          <w:spacing w:val="-10"/>
          <w:vertAlign w:val="subscript"/>
        </w:rPr>
        <w:t>总</w:t>
      </w:r>
      <w:r>
        <w:rPr>
          <w:bCs/>
          <w:spacing w:val="-10"/>
        </w:rPr>
        <w:t>＝（V</w:t>
      </w:r>
      <w:r>
        <w:rPr>
          <w:bCs/>
          <w:spacing w:val="-10"/>
          <w:vertAlign w:val="subscript"/>
        </w:rPr>
        <w:t>1</w:t>
      </w:r>
      <w:r>
        <w:rPr>
          <w:bCs/>
          <w:spacing w:val="-10"/>
        </w:rPr>
        <w:t>＋V</w:t>
      </w:r>
      <w:r>
        <w:rPr>
          <w:bCs/>
          <w:spacing w:val="-10"/>
          <w:vertAlign w:val="subscript"/>
        </w:rPr>
        <w:t>2</w:t>
      </w:r>
      <w:r>
        <w:rPr>
          <w:bCs/>
          <w:spacing w:val="-10"/>
        </w:rPr>
        <w:t>－V</w:t>
      </w:r>
      <w:r>
        <w:rPr>
          <w:bCs/>
          <w:spacing w:val="-10"/>
          <w:vertAlign w:val="subscript"/>
        </w:rPr>
        <w:t>3</w:t>
      </w:r>
      <w:r>
        <w:rPr>
          <w:bCs/>
          <w:spacing w:val="-10"/>
        </w:rPr>
        <w:t>）</w:t>
      </w:r>
      <w:r>
        <w:rPr>
          <w:bCs/>
          <w:spacing w:val="-10"/>
          <w:vertAlign w:val="subscript"/>
        </w:rPr>
        <w:t>max</w:t>
      </w:r>
      <w:r>
        <w:rPr>
          <w:bCs/>
          <w:spacing w:val="-10"/>
        </w:rPr>
        <w:t>＋V</w:t>
      </w:r>
      <w:r>
        <w:rPr>
          <w:bCs/>
          <w:spacing w:val="-10"/>
          <w:vertAlign w:val="subscript"/>
        </w:rPr>
        <w:t>4</w:t>
      </w:r>
      <w:r>
        <w:rPr>
          <w:bCs/>
          <w:spacing w:val="-10"/>
        </w:rPr>
        <w:t>＋V</w:t>
      </w:r>
      <w:r>
        <w:rPr>
          <w:bCs/>
          <w:spacing w:val="-10"/>
          <w:vertAlign w:val="subscript"/>
        </w:rPr>
        <w:t>5</w:t>
      </w:r>
    </w:p>
    <w:p w14:paraId="71F62A71">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式中：</w:t>
      </w:r>
    </w:p>
    <w:p w14:paraId="0BC72BF0">
      <w:pPr>
        <w:pStyle w:val="42"/>
        <w:ind w:firstLine="1050" w:firstLineChars="500"/>
        <w:rPr>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V—</w:t>
      </w:r>
      <w:r>
        <w:rPr>
          <w:rFonts w:hint="eastAsia" w:ascii="宋体" w:hAnsi="宋体" w:cs="宋体"/>
          <w:color w:val="000000" w:themeColor="text1"/>
          <w:sz w:val="21"/>
          <w14:textFill>
            <w14:solidFill>
              <w14:schemeClr w14:val="tx1"/>
            </w14:solidFill>
          </w14:textFill>
        </w:rPr>
        <w:t>事故水池的有效容积（</w:t>
      </w:r>
      <w:r>
        <w:rPr>
          <w:rFonts w:hint="eastAsia"/>
          <w:color w:val="000000" w:themeColor="text1"/>
          <w:sz w:val="21"/>
          <w14:textFill>
            <w14:solidFill>
              <w14:schemeClr w14:val="tx1"/>
            </w14:solidFill>
          </w14:textFill>
        </w:rPr>
        <w:t>m</w:t>
      </w:r>
      <w:r>
        <w:rPr>
          <w:rFonts w:hint="eastAsia"/>
          <w:color w:val="000000" w:themeColor="text1"/>
          <w:sz w:val="21"/>
          <w:vertAlign w:val="superscript"/>
          <w14:textFill>
            <w14:solidFill>
              <w14:schemeClr w14:val="tx1"/>
            </w14:solidFill>
          </w14:textFill>
        </w:rPr>
        <w:t>3</w:t>
      </w:r>
      <w:r>
        <w:rPr>
          <w:rFonts w:hint="eastAsia" w:ascii="宋体" w:hAnsi="宋体" w:cs="宋体"/>
          <w:color w:val="000000" w:themeColor="text1"/>
          <w:sz w:val="21"/>
          <w14:textFill>
            <w14:solidFill>
              <w14:schemeClr w14:val="tx1"/>
            </w14:solidFill>
          </w14:textFill>
        </w:rPr>
        <w:t>）</w:t>
      </w:r>
    </w:p>
    <w:p w14:paraId="72ED4577">
      <w:pPr>
        <w:pStyle w:val="42"/>
        <w:ind w:firstLine="1050" w:firstLineChars="500"/>
        <w:rPr>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V</w:t>
      </w:r>
      <w:r>
        <w:rPr>
          <w:rFonts w:hint="eastAsia"/>
          <w:color w:val="000000" w:themeColor="text1"/>
          <w:sz w:val="21"/>
          <w:vertAlign w:val="subscript"/>
          <w14:textFill>
            <w14:solidFill>
              <w14:schemeClr w14:val="tx1"/>
            </w14:solidFill>
          </w14:textFill>
        </w:rPr>
        <w:t>l</w:t>
      </w:r>
      <w:r>
        <w:rPr>
          <w:rFonts w:hint="eastAsia"/>
          <w:color w:val="000000" w:themeColor="text1"/>
          <w:sz w:val="21"/>
          <w14:textFill>
            <w14:solidFill>
              <w14:schemeClr w14:val="tx1"/>
            </w14:solidFill>
          </w14:textFill>
        </w:rPr>
        <w:t>—</w:t>
      </w:r>
      <w:r>
        <w:rPr>
          <w:rFonts w:hint="eastAsia" w:ascii="宋体" w:hAnsi="宋体" w:cs="宋体"/>
          <w:color w:val="000000" w:themeColor="text1"/>
          <w:sz w:val="21"/>
          <w14:textFill>
            <w14:solidFill>
              <w14:schemeClr w14:val="tx1"/>
            </w14:solidFill>
          </w14:textFill>
        </w:rPr>
        <w:t>收集系统范围内发生事故的物料量（</w:t>
      </w:r>
      <w:r>
        <w:rPr>
          <w:rFonts w:hint="eastAsia"/>
          <w:color w:val="000000" w:themeColor="text1"/>
          <w:sz w:val="21"/>
          <w14:textFill>
            <w14:solidFill>
              <w14:schemeClr w14:val="tx1"/>
            </w14:solidFill>
          </w14:textFill>
        </w:rPr>
        <w:t>m</w:t>
      </w:r>
      <w:r>
        <w:rPr>
          <w:rFonts w:hint="eastAsia"/>
          <w:color w:val="000000" w:themeColor="text1"/>
          <w:sz w:val="21"/>
          <w:vertAlign w:val="superscript"/>
          <w14:textFill>
            <w14:solidFill>
              <w14:schemeClr w14:val="tx1"/>
            </w14:solidFill>
          </w14:textFill>
        </w:rPr>
        <w:t>3</w:t>
      </w:r>
      <w:r>
        <w:rPr>
          <w:rFonts w:hint="eastAsia" w:ascii="宋体" w:hAnsi="宋体" w:cs="宋体"/>
          <w:color w:val="000000" w:themeColor="text1"/>
          <w:sz w:val="21"/>
          <w14:textFill>
            <w14:solidFill>
              <w14:schemeClr w14:val="tx1"/>
            </w14:solidFill>
          </w14:textFill>
        </w:rPr>
        <w:t>）；</w:t>
      </w:r>
    </w:p>
    <w:p w14:paraId="138ED7AD">
      <w:pPr>
        <w:pStyle w:val="42"/>
        <w:ind w:firstLine="1050" w:firstLineChars="500"/>
        <w:rPr>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V</w:t>
      </w:r>
      <w:r>
        <w:rPr>
          <w:rFonts w:hint="eastAsia"/>
          <w:color w:val="000000" w:themeColor="text1"/>
          <w:sz w:val="21"/>
          <w:vertAlign w:val="subscript"/>
          <w14:textFill>
            <w14:solidFill>
              <w14:schemeClr w14:val="tx1"/>
            </w14:solidFill>
          </w14:textFill>
        </w:rPr>
        <w:t>2</w:t>
      </w:r>
      <w:r>
        <w:rPr>
          <w:rFonts w:hint="eastAsia"/>
          <w:color w:val="000000" w:themeColor="text1"/>
          <w:sz w:val="21"/>
          <w14:textFill>
            <w14:solidFill>
              <w14:schemeClr w14:val="tx1"/>
            </w14:solidFill>
          </w14:textFill>
        </w:rPr>
        <w:t>—</w:t>
      </w:r>
      <w:r>
        <w:rPr>
          <w:rFonts w:hint="eastAsia" w:ascii="宋体" w:hAnsi="宋体" w:cs="宋体"/>
          <w:color w:val="000000" w:themeColor="text1"/>
          <w:sz w:val="21"/>
          <w14:textFill>
            <w14:solidFill>
              <w14:schemeClr w14:val="tx1"/>
            </w14:solidFill>
          </w14:textFill>
        </w:rPr>
        <w:t>发生事故的储罐、装置或铁路、汽车装卸区的消防水量（</w:t>
      </w:r>
      <w:r>
        <w:rPr>
          <w:rFonts w:hint="eastAsia"/>
          <w:color w:val="000000" w:themeColor="text1"/>
          <w:sz w:val="21"/>
          <w14:textFill>
            <w14:solidFill>
              <w14:schemeClr w14:val="tx1"/>
            </w14:solidFill>
          </w14:textFill>
        </w:rPr>
        <w:t>m</w:t>
      </w:r>
      <w:r>
        <w:rPr>
          <w:rFonts w:hint="eastAsia"/>
          <w:color w:val="000000" w:themeColor="text1"/>
          <w:sz w:val="21"/>
          <w:vertAlign w:val="superscript"/>
          <w14:textFill>
            <w14:solidFill>
              <w14:schemeClr w14:val="tx1"/>
            </w14:solidFill>
          </w14:textFill>
        </w:rPr>
        <w:t>3</w:t>
      </w:r>
      <w:r>
        <w:rPr>
          <w:rFonts w:hint="eastAsia" w:ascii="宋体" w:hAnsi="宋体" w:cs="宋体"/>
          <w:color w:val="000000" w:themeColor="text1"/>
          <w:sz w:val="21"/>
          <w14:textFill>
            <w14:solidFill>
              <w14:schemeClr w14:val="tx1"/>
            </w14:solidFill>
          </w14:textFill>
        </w:rPr>
        <w:t>）；</w:t>
      </w:r>
    </w:p>
    <w:p w14:paraId="69F4BB9F">
      <w:pPr>
        <w:pStyle w:val="42"/>
        <w:ind w:firstLine="1050" w:firstLineChars="500"/>
        <w:rPr>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V</w:t>
      </w:r>
      <w:r>
        <w:rPr>
          <w:rFonts w:hint="eastAsia"/>
          <w:color w:val="000000" w:themeColor="text1"/>
          <w:sz w:val="21"/>
          <w:vertAlign w:val="subscript"/>
          <w14:textFill>
            <w14:solidFill>
              <w14:schemeClr w14:val="tx1"/>
            </w14:solidFill>
          </w14:textFill>
        </w:rPr>
        <w:t>3</w:t>
      </w:r>
      <w:r>
        <w:rPr>
          <w:rFonts w:hint="eastAsia"/>
          <w:color w:val="000000" w:themeColor="text1"/>
          <w:sz w:val="21"/>
          <w14:textFill>
            <w14:solidFill>
              <w14:schemeClr w14:val="tx1"/>
            </w14:solidFill>
          </w14:textFill>
        </w:rPr>
        <w:t>—</w:t>
      </w:r>
      <w:r>
        <w:rPr>
          <w:rFonts w:hint="eastAsia" w:ascii="宋体" w:hAnsi="宋体" w:cs="宋体"/>
          <w:color w:val="000000" w:themeColor="text1"/>
          <w:sz w:val="21"/>
          <w14:textFill>
            <w14:solidFill>
              <w14:schemeClr w14:val="tx1"/>
            </w14:solidFill>
          </w14:textFill>
        </w:rPr>
        <w:t>发生事故时可以转输到其他储存或处理设施的物料量（</w:t>
      </w:r>
      <w:r>
        <w:rPr>
          <w:rFonts w:hint="eastAsia"/>
          <w:color w:val="000000" w:themeColor="text1"/>
          <w:sz w:val="21"/>
          <w14:textFill>
            <w14:solidFill>
              <w14:schemeClr w14:val="tx1"/>
            </w14:solidFill>
          </w14:textFill>
        </w:rPr>
        <w:t>m</w:t>
      </w:r>
      <w:r>
        <w:rPr>
          <w:rFonts w:hint="eastAsia"/>
          <w:color w:val="000000" w:themeColor="text1"/>
          <w:sz w:val="21"/>
          <w:vertAlign w:val="superscript"/>
          <w14:textFill>
            <w14:solidFill>
              <w14:schemeClr w14:val="tx1"/>
            </w14:solidFill>
          </w14:textFill>
        </w:rPr>
        <w:t>3</w:t>
      </w:r>
      <w:r>
        <w:rPr>
          <w:rFonts w:hint="eastAsia" w:ascii="宋体" w:hAnsi="宋体" w:cs="宋体"/>
          <w:color w:val="000000" w:themeColor="text1"/>
          <w:sz w:val="21"/>
          <w14:textFill>
            <w14:solidFill>
              <w14:schemeClr w14:val="tx1"/>
            </w14:solidFill>
          </w14:textFill>
        </w:rPr>
        <w:t>）；</w:t>
      </w:r>
    </w:p>
    <w:p w14:paraId="6CCEB04E">
      <w:pPr>
        <w:pStyle w:val="42"/>
        <w:ind w:firstLine="1050" w:firstLineChars="500"/>
        <w:rPr>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V</w:t>
      </w:r>
      <w:r>
        <w:rPr>
          <w:rFonts w:hint="eastAsia"/>
          <w:color w:val="000000" w:themeColor="text1"/>
          <w:sz w:val="21"/>
          <w:vertAlign w:val="subscript"/>
          <w14:textFill>
            <w14:solidFill>
              <w14:schemeClr w14:val="tx1"/>
            </w14:solidFill>
          </w14:textFill>
        </w:rPr>
        <w:t>4</w:t>
      </w:r>
      <w:r>
        <w:rPr>
          <w:rFonts w:hint="eastAsia"/>
          <w:color w:val="000000" w:themeColor="text1"/>
          <w:sz w:val="21"/>
          <w14:textFill>
            <w14:solidFill>
              <w14:schemeClr w14:val="tx1"/>
            </w14:solidFill>
          </w14:textFill>
        </w:rPr>
        <w:t>—</w:t>
      </w:r>
      <w:r>
        <w:rPr>
          <w:rFonts w:hint="eastAsia" w:ascii="宋体" w:hAnsi="宋体" w:cs="宋体"/>
          <w:color w:val="000000" w:themeColor="text1"/>
          <w:sz w:val="21"/>
          <w14:textFill>
            <w14:solidFill>
              <w14:schemeClr w14:val="tx1"/>
            </w14:solidFill>
          </w14:textFill>
        </w:rPr>
        <w:t>发生事故时仍必须进入该收集系统的生产废水量（</w:t>
      </w:r>
      <w:r>
        <w:rPr>
          <w:rFonts w:hint="eastAsia"/>
          <w:color w:val="000000" w:themeColor="text1"/>
          <w:sz w:val="21"/>
          <w14:textFill>
            <w14:solidFill>
              <w14:schemeClr w14:val="tx1"/>
            </w14:solidFill>
          </w14:textFill>
        </w:rPr>
        <w:t>m</w:t>
      </w:r>
      <w:r>
        <w:rPr>
          <w:rFonts w:hint="eastAsia"/>
          <w:color w:val="000000" w:themeColor="text1"/>
          <w:sz w:val="21"/>
          <w:vertAlign w:val="superscript"/>
          <w14:textFill>
            <w14:solidFill>
              <w14:schemeClr w14:val="tx1"/>
            </w14:solidFill>
          </w14:textFill>
        </w:rPr>
        <w:t>3</w:t>
      </w:r>
      <w:r>
        <w:rPr>
          <w:rFonts w:hint="eastAsia" w:ascii="宋体" w:hAnsi="宋体" w:cs="宋体"/>
          <w:color w:val="000000" w:themeColor="text1"/>
          <w:sz w:val="21"/>
          <w14:textFill>
            <w14:solidFill>
              <w14:schemeClr w14:val="tx1"/>
            </w14:solidFill>
          </w14:textFill>
        </w:rPr>
        <w:t>）；</w:t>
      </w:r>
    </w:p>
    <w:p w14:paraId="504E8F9B">
      <w:pPr>
        <w:pStyle w:val="42"/>
        <w:ind w:firstLine="1050" w:firstLineChars="500"/>
        <w:rPr>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V</w:t>
      </w:r>
      <w:r>
        <w:rPr>
          <w:rFonts w:hint="eastAsia"/>
          <w:color w:val="000000" w:themeColor="text1"/>
          <w:sz w:val="21"/>
          <w:vertAlign w:val="subscript"/>
          <w14:textFill>
            <w14:solidFill>
              <w14:schemeClr w14:val="tx1"/>
            </w14:solidFill>
          </w14:textFill>
        </w:rPr>
        <w:t>5</w:t>
      </w:r>
      <w:r>
        <w:rPr>
          <w:rFonts w:hint="eastAsia"/>
          <w:color w:val="000000" w:themeColor="text1"/>
          <w:sz w:val="21"/>
          <w14:textFill>
            <w14:solidFill>
              <w14:schemeClr w14:val="tx1"/>
            </w14:solidFill>
          </w14:textFill>
        </w:rPr>
        <w:t>—</w:t>
      </w:r>
      <w:r>
        <w:rPr>
          <w:rFonts w:hint="eastAsia" w:ascii="宋体" w:hAnsi="宋体" w:cs="宋体"/>
          <w:color w:val="000000" w:themeColor="text1"/>
          <w:sz w:val="21"/>
          <w14:textFill>
            <w14:solidFill>
              <w14:schemeClr w14:val="tx1"/>
            </w14:solidFill>
          </w14:textFill>
        </w:rPr>
        <w:t>发生事故时可能进入该收集系统的降雨量（</w:t>
      </w:r>
      <w:r>
        <w:rPr>
          <w:rFonts w:hint="eastAsia"/>
          <w:color w:val="000000" w:themeColor="text1"/>
          <w:sz w:val="21"/>
          <w14:textFill>
            <w14:solidFill>
              <w14:schemeClr w14:val="tx1"/>
            </w14:solidFill>
          </w14:textFill>
        </w:rPr>
        <w:t>m</w:t>
      </w:r>
      <w:r>
        <w:rPr>
          <w:rFonts w:hint="eastAsia"/>
          <w:color w:val="000000" w:themeColor="text1"/>
          <w:sz w:val="21"/>
          <w:vertAlign w:val="superscript"/>
          <w14:textFill>
            <w14:solidFill>
              <w14:schemeClr w14:val="tx1"/>
            </w14:solidFill>
          </w14:textFill>
        </w:rPr>
        <w:t>3</w:t>
      </w:r>
      <w:r>
        <w:rPr>
          <w:rFonts w:hint="eastAsia" w:ascii="宋体" w:hAnsi="宋体" w:cs="宋体"/>
          <w:color w:val="000000" w:themeColor="text1"/>
          <w:sz w:val="21"/>
          <w14:textFill>
            <w14:solidFill>
              <w14:schemeClr w14:val="tx1"/>
            </w14:solidFill>
          </w14:textFill>
        </w:rPr>
        <w:t>）。</w:t>
      </w:r>
    </w:p>
    <w:p w14:paraId="70E7FD1B">
      <w:pPr>
        <w:pStyle w:val="42"/>
        <w:ind w:firstLine="1050" w:firstLineChars="500"/>
        <w:rPr>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V</w:t>
      </w:r>
      <w:r>
        <w:rPr>
          <w:rFonts w:hint="eastAsia"/>
          <w:color w:val="000000" w:themeColor="text1"/>
          <w:sz w:val="21"/>
          <w:vertAlign w:val="subscript"/>
          <w14:textFill>
            <w14:solidFill>
              <w14:schemeClr w14:val="tx1"/>
            </w14:solidFill>
          </w14:textFill>
        </w:rPr>
        <w:t>5</w:t>
      </w:r>
      <w:r>
        <w:rPr>
          <w:rFonts w:hint="eastAsia"/>
          <w:color w:val="000000" w:themeColor="text1"/>
          <w:sz w:val="21"/>
          <w14:textFill>
            <w14:solidFill>
              <w14:schemeClr w14:val="tx1"/>
            </w14:solidFill>
          </w14:textFill>
        </w:rPr>
        <w:t>=10×q×F</w:t>
      </w:r>
    </w:p>
    <w:p w14:paraId="0EE5DFCF">
      <w:pPr>
        <w:pStyle w:val="42"/>
        <w:ind w:firstLine="1050" w:firstLineChars="500"/>
        <w:rPr>
          <w:color w:val="000000" w:themeColor="text1"/>
          <w:sz w:val="21"/>
          <w14:textFill>
            <w14:solidFill>
              <w14:schemeClr w14:val="tx1"/>
            </w14:solidFill>
          </w14:textFill>
        </w:rPr>
      </w:pPr>
      <w:r>
        <w:rPr>
          <w:rFonts w:hint="eastAsia" w:ascii="宋体" w:hAnsi="宋体" w:cs="宋体"/>
          <w:color w:val="000000" w:themeColor="text1"/>
          <w:sz w:val="21"/>
          <w14:textFill>
            <w14:solidFill>
              <w14:schemeClr w14:val="tx1"/>
            </w14:solidFill>
          </w14:textFill>
        </w:rPr>
        <w:t>式中：</w:t>
      </w:r>
      <w:r>
        <w:rPr>
          <w:rFonts w:hint="eastAsia"/>
          <w:color w:val="000000" w:themeColor="text1"/>
          <w:sz w:val="21"/>
          <w14:textFill>
            <w14:solidFill>
              <w14:schemeClr w14:val="tx1"/>
            </w14:solidFill>
          </w14:textFill>
        </w:rPr>
        <w:t>q—</w:t>
      </w:r>
      <w:r>
        <w:rPr>
          <w:rFonts w:hint="eastAsia" w:ascii="宋体" w:hAnsi="宋体" w:cs="宋体"/>
          <w:color w:val="000000" w:themeColor="text1"/>
          <w:sz w:val="21"/>
          <w14:textFill>
            <w14:solidFill>
              <w14:schemeClr w14:val="tx1"/>
            </w14:solidFill>
          </w14:textFill>
        </w:rPr>
        <w:t>降雨强度（</w:t>
      </w:r>
      <w:r>
        <w:rPr>
          <w:rFonts w:hint="eastAsia"/>
          <w:color w:val="000000" w:themeColor="text1"/>
          <w:sz w:val="21"/>
          <w14:textFill>
            <w14:solidFill>
              <w14:schemeClr w14:val="tx1"/>
            </w14:solidFill>
          </w14:textFill>
        </w:rPr>
        <w:t>mm</w:t>
      </w:r>
      <w:r>
        <w:rPr>
          <w:rFonts w:hint="eastAsia" w:ascii="宋体" w:hAnsi="宋体" w:cs="宋体"/>
          <w:color w:val="000000" w:themeColor="text1"/>
          <w:sz w:val="21"/>
          <w14:textFill>
            <w14:solidFill>
              <w14:schemeClr w14:val="tx1"/>
            </w14:solidFill>
          </w14:textFill>
        </w:rPr>
        <w:t>），按平均日降雨量计；</w:t>
      </w:r>
    </w:p>
    <w:p w14:paraId="23C7CA5D">
      <w:pPr>
        <w:pStyle w:val="42"/>
        <w:ind w:firstLine="1680" w:firstLineChars="800"/>
        <w:rPr>
          <w:rFonts w:hint="eastAsia" w:ascii="宋体" w:hAnsi="宋体" w:cs="宋体"/>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F—</w:t>
      </w:r>
      <w:r>
        <w:rPr>
          <w:rFonts w:hint="eastAsia" w:ascii="宋体" w:hAnsi="宋体" w:cs="宋体"/>
          <w:color w:val="000000" w:themeColor="text1"/>
          <w:sz w:val="21"/>
          <w14:textFill>
            <w14:solidFill>
              <w14:schemeClr w14:val="tx1"/>
            </w14:solidFill>
          </w14:textFill>
        </w:rPr>
        <w:t>必须进入事故废水收集系统的雨水汇水面积（</w:t>
      </w:r>
      <w:r>
        <w:rPr>
          <w:rFonts w:hint="eastAsia"/>
          <w:color w:val="000000" w:themeColor="text1"/>
          <w:sz w:val="21"/>
          <w14:textFill>
            <w14:solidFill>
              <w14:schemeClr w14:val="tx1"/>
            </w14:solidFill>
          </w14:textFill>
        </w:rPr>
        <w:t>hm</w:t>
      </w:r>
      <w:r>
        <w:rPr>
          <w:rFonts w:hint="eastAsia"/>
          <w:color w:val="000000" w:themeColor="text1"/>
          <w:sz w:val="21"/>
          <w:vertAlign w:val="superscript"/>
          <w14:textFill>
            <w14:solidFill>
              <w14:schemeClr w14:val="tx1"/>
            </w14:solidFill>
          </w14:textFill>
        </w:rPr>
        <w:t>2</w:t>
      </w:r>
      <w:r>
        <w:rPr>
          <w:rFonts w:hint="eastAsia" w:ascii="宋体" w:hAnsi="宋体" w:cs="宋体"/>
          <w:color w:val="000000" w:themeColor="text1"/>
          <w:sz w:val="21"/>
          <w14:textFill>
            <w14:solidFill>
              <w14:schemeClr w14:val="tx1"/>
            </w14:solidFill>
          </w14:textFill>
        </w:rPr>
        <w:t>）</w:t>
      </w:r>
    </w:p>
    <w:p w14:paraId="67F50002">
      <w:pPr>
        <w:pStyle w:val="42"/>
        <w:ind w:firstLine="1050" w:firstLineChars="500"/>
        <w:rPr>
          <w:color w:val="000000" w:themeColor="text1"/>
          <w:sz w:val="21"/>
          <w14:textFill>
            <w14:solidFill>
              <w14:schemeClr w14:val="tx1"/>
            </w14:solidFill>
          </w14:textFill>
        </w:rPr>
      </w:pPr>
      <w:r>
        <w:rPr>
          <w:color w:val="000000" w:themeColor="text1"/>
          <w:sz w:val="21"/>
          <w14:textFill>
            <w14:solidFill>
              <w14:schemeClr w14:val="tx1"/>
            </w14:solidFill>
          </w14:textFill>
        </w:rPr>
        <w:t>q=qa/n</w:t>
      </w:r>
    </w:p>
    <w:p w14:paraId="3D0E28D0">
      <w:pPr>
        <w:pStyle w:val="42"/>
        <w:ind w:firstLine="1050" w:firstLineChars="500"/>
        <w:rPr>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式中：</w:t>
      </w:r>
      <w:r>
        <w:rPr>
          <w:color w:val="000000" w:themeColor="text1"/>
          <w:sz w:val="21"/>
          <w14:textFill>
            <w14:solidFill>
              <w14:schemeClr w14:val="tx1"/>
            </w14:solidFill>
          </w14:textFill>
        </w:rPr>
        <w:t>qa——年平均降雨量，mm</w:t>
      </w:r>
    </w:p>
    <w:p w14:paraId="63409677">
      <w:pPr>
        <w:pStyle w:val="42"/>
        <w:ind w:firstLine="1680" w:firstLineChars="800"/>
        <w:rPr>
          <w:bCs/>
          <w:spacing w:val="-10"/>
        </w:rPr>
      </w:pPr>
      <w:r>
        <w:rPr>
          <w:color w:val="000000" w:themeColor="text1"/>
          <w:sz w:val="21"/>
          <w14:textFill>
            <w14:solidFill>
              <w14:schemeClr w14:val="tx1"/>
            </w14:solidFill>
          </w14:textFill>
        </w:rPr>
        <w:t>n——年平均降雨日数，d</w:t>
      </w:r>
    </w:p>
    <w:p w14:paraId="7D97E1B7">
      <w:pPr>
        <w:pStyle w:val="42"/>
        <w:ind w:firstLine="1680" w:firstLineChars="800"/>
        <w:rPr>
          <w:rFonts w:hint="eastAsia" w:ascii="宋体" w:hAnsi="宋体" w:cs="宋体"/>
          <w:color w:val="000000" w:themeColor="text1"/>
          <w:sz w:val="21"/>
          <w14:textFill>
            <w14:solidFill>
              <w14:schemeClr w14:val="tx1"/>
            </w14:solidFill>
          </w14:textFill>
        </w:rPr>
      </w:pPr>
    </w:p>
    <w:p w14:paraId="4C2D574A">
      <w:pPr>
        <w:adjustRightInd w:val="0"/>
        <w:snapToGrid w:val="0"/>
        <w:jc w:val="center"/>
        <w:rPr>
          <w:rFonts w:hint="eastAsia"/>
          <w:color w:val="000000" w:themeColor="text1"/>
          <w14:textFill>
            <w14:solidFill>
              <w14:schemeClr w14:val="tx1"/>
            </w14:solidFill>
          </w14:textFill>
        </w:rPr>
      </w:pPr>
      <w:r>
        <w:rPr>
          <w:rFonts w:hint="eastAsia"/>
          <w:b/>
          <w:bCs/>
          <w:spacing w:val="-10"/>
        </w:rPr>
        <w:t>表6-37  事故水池容积核算</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9"/>
        <w:gridCol w:w="6009"/>
        <w:gridCol w:w="1756"/>
      </w:tblGrid>
      <w:tr w14:paraId="144C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05" w:type="pct"/>
            <w:vAlign w:val="center"/>
          </w:tcPr>
          <w:p w14:paraId="333F135D">
            <w:pPr>
              <w:pStyle w:val="51"/>
              <w:rPr>
                <w:sz w:val="21"/>
                <w:szCs w:val="21"/>
              </w:rPr>
            </w:pPr>
            <w:r>
              <w:rPr>
                <w:rFonts w:hint="eastAsia"/>
                <w:sz w:val="21"/>
                <w:szCs w:val="21"/>
              </w:rPr>
              <w:t>符号</w:t>
            </w:r>
          </w:p>
        </w:tc>
        <w:tc>
          <w:tcPr>
            <w:tcW w:w="3401" w:type="pct"/>
            <w:vAlign w:val="center"/>
          </w:tcPr>
          <w:p w14:paraId="15D6B4C0">
            <w:pPr>
              <w:pStyle w:val="51"/>
              <w:rPr>
                <w:sz w:val="21"/>
                <w:szCs w:val="21"/>
              </w:rPr>
            </w:pPr>
            <w:r>
              <w:rPr>
                <w:rFonts w:hint="eastAsia"/>
                <w:sz w:val="21"/>
                <w:szCs w:val="21"/>
              </w:rPr>
              <w:t>取值说明</w:t>
            </w:r>
          </w:p>
        </w:tc>
        <w:tc>
          <w:tcPr>
            <w:tcW w:w="994" w:type="pct"/>
            <w:vAlign w:val="center"/>
          </w:tcPr>
          <w:p w14:paraId="68E0D4AF">
            <w:pPr>
              <w:pStyle w:val="51"/>
              <w:rPr>
                <w:sz w:val="21"/>
                <w:szCs w:val="21"/>
              </w:rPr>
            </w:pPr>
            <w:r>
              <w:rPr>
                <w:rFonts w:hint="eastAsia"/>
                <w:sz w:val="21"/>
                <w:szCs w:val="21"/>
              </w:rPr>
              <w:t>取值</w:t>
            </w:r>
          </w:p>
        </w:tc>
      </w:tr>
      <w:tr w14:paraId="71E19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05" w:type="pct"/>
            <w:vAlign w:val="center"/>
          </w:tcPr>
          <w:p w14:paraId="46A0E9E1">
            <w:pPr>
              <w:pStyle w:val="51"/>
              <w:rPr>
                <w:sz w:val="21"/>
                <w:szCs w:val="21"/>
              </w:rPr>
            </w:pPr>
            <w:r>
              <w:rPr>
                <w:rFonts w:hint="eastAsia"/>
                <w:sz w:val="21"/>
                <w:szCs w:val="21"/>
              </w:rPr>
              <w:t>V</w:t>
            </w:r>
            <w:r>
              <w:rPr>
                <w:rFonts w:hint="eastAsia"/>
                <w:sz w:val="21"/>
                <w:szCs w:val="21"/>
                <w:vertAlign w:val="subscript"/>
              </w:rPr>
              <w:t>l</w:t>
            </w:r>
          </w:p>
        </w:tc>
        <w:tc>
          <w:tcPr>
            <w:tcW w:w="3401" w:type="pct"/>
            <w:vAlign w:val="center"/>
          </w:tcPr>
          <w:p w14:paraId="2639269F">
            <w:pPr>
              <w:pStyle w:val="51"/>
              <w:rPr>
                <w:sz w:val="21"/>
                <w:szCs w:val="21"/>
              </w:rPr>
            </w:pPr>
            <w:r>
              <w:rPr>
                <w:sz w:val="21"/>
                <w:szCs w:val="21"/>
              </w:rPr>
              <w:t>取收集范围内消防水量最大的</w:t>
            </w:r>
            <w:r>
              <w:rPr>
                <w:rFonts w:hint="eastAsia"/>
                <w:sz w:val="21"/>
                <w:szCs w:val="21"/>
              </w:rPr>
              <w:t>储罐，产生事故水量</w:t>
            </w:r>
          </w:p>
        </w:tc>
        <w:tc>
          <w:tcPr>
            <w:tcW w:w="994" w:type="pct"/>
            <w:vAlign w:val="center"/>
          </w:tcPr>
          <w:p w14:paraId="798B58FB">
            <w:pPr>
              <w:pStyle w:val="51"/>
              <w:rPr>
                <w:sz w:val="21"/>
                <w:szCs w:val="21"/>
              </w:rPr>
            </w:pPr>
            <w:r>
              <w:rPr>
                <w:rFonts w:hint="eastAsia"/>
                <w:sz w:val="21"/>
                <w:szCs w:val="21"/>
              </w:rPr>
              <w:t>2000</w:t>
            </w:r>
          </w:p>
        </w:tc>
      </w:tr>
      <w:tr w14:paraId="34AB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05" w:type="pct"/>
            <w:vAlign w:val="center"/>
          </w:tcPr>
          <w:p w14:paraId="756C314C">
            <w:pPr>
              <w:pStyle w:val="51"/>
              <w:rPr>
                <w:sz w:val="21"/>
                <w:szCs w:val="21"/>
              </w:rPr>
            </w:pPr>
            <w:r>
              <w:rPr>
                <w:rFonts w:hint="eastAsia"/>
                <w:sz w:val="21"/>
                <w:szCs w:val="21"/>
              </w:rPr>
              <w:t>V</w:t>
            </w:r>
            <w:r>
              <w:rPr>
                <w:rFonts w:hint="eastAsia"/>
                <w:sz w:val="21"/>
                <w:szCs w:val="21"/>
                <w:vertAlign w:val="subscript"/>
              </w:rPr>
              <w:t>2</w:t>
            </w:r>
          </w:p>
        </w:tc>
        <w:tc>
          <w:tcPr>
            <w:tcW w:w="3401" w:type="pct"/>
            <w:vAlign w:val="center"/>
          </w:tcPr>
          <w:p w14:paraId="52AC3801">
            <w:pPr>
              <w:pStyle w:val="51"/>
              <w:rPr>
                <w:sz w:val="21"/>
                <w:szCs w:val="21"/>
              </w:rPr>
            </w:pPr>
            <w:r>
              <w:rPr>
                <w:sz w:val="21"/>
                <w:szCs w:val="21"/>
              </w:rPr>
              <w:t>本项目全厂占地面积小于1000000m</w:t>
            </w:r>
            <w:r>
              <w:rPr>
                <w:sz w:val="21"/>
                <w:szCs w:val="21"/>
                <w:vertAlign w:val="superscript"/>
              </w:rPr>
              <w:t>2</w:t>
            </w:r>
            <w:r>
              <w:rPr>
                <w:sz w:val="21"/>
                <w:szCs w:val="21"/>
              </w:rPr>
              <w:t>，同一时间火灾处数内按照发生1处考虑：一处为厂区消防用水量最大处。</w:t>
            </w:r>
            <w:r>
              <w:rPr>
                <w:rFonts w:hint="eastAsia"/>
                <w:sz w:val="21"/>
                <w:szCs w:val="21"/>
              </w:rPr>
              <w:t>根据计算，罐区</w:t>
            </w:r>
            <w:r>
              <w:rPr>
                <w:sz w:val="21"/>
                <w:szCs w:val="21"/>
              </w:rPr>
              <w:t>用水强度为</w:t>
            </w:r>
            <w:r>
              <w:rPr>
                <w:rFonts w:hint="eastAsia"/>
                <w:sz w:val="21"/>
                <w:szCs w:val="21"/>
              </w:rPr>
              <w:t>150</w:t>
            </w:r>
            <w:r>
              <w:rPr>
                <w:sz w:val="21"/>
                <w:szCs w:val="21"/>
              </w:rPr>
              <w:t>L/s，火灾延续时间</w:t>
            </w:r>
            <w:r>
              <w:rPr>
                <w:rFonts w:hint="eastAsia"/>
                <w:sz w:val="21"/>
                <w:szCs w:val="21"/>
              </w:rPr>
              <w:t>3</w:t>
            </w:r>
            <w:r>
              <w:rPr>
                <w:sz w:val="21"/>
                <w:szCs w:val="21"/>
              </w:rPr>
              <w:t>h，消防用水量为</w:t>
            </w:r>
            <w:r>
              <w:rPr>
                <w:rFonts w:hint="eastAsia"/>
                <w:sz w:val="21"/>
                <w:szCs w:val="21"/>
              </w:rPr>
              <w:t>1620</w:t>
            </w:r>
            <w:r>
              <w:rPr>
                <w:sz w:val="21"/>
                <w:szCs w:val="21"/>
              </w:rPr>
              <w:t>m</w:t>
            </w:r>
            <w:r>
              <w:rPr>
                <w:sz w:val="21"/>
                <w:szCs w:val="21"/>
                <w:vertAlign w:val="superscript"/>
              </w:rPr>
              <w:t>3</w:t>
            </w:r>
            <w:r>
              <w:rPr>
                <w:rFonts w:hint="eastAsia"/>
                <w:sz w:val="21"/>
                <w:szCs w:val="21"/>
              </w:rPr>
              <w:t>；罐区</w:t>
            </w:r>
            <w:r>
              <w:rPr>
                <w:sz w:val="21"/>
                <w:szCs w:val="21"/>
              </w:rPr>
              <w:t>消防用水强度为208.3L/s，火灾延续时间</w:t>
            </w:r>
            <w:r>
              <w:rPr>
                <w:rFonts w:hint="eastAsia"/>
                <w:sz w:val="21"/>
                <w:szCs w:val="21"/>
              </w:rPr>
              <w:t>6</w:t>
            </w:r>
            <w:r>
              <w:rPr>
                <w:sz w:val="21"/>
                <w:szCs w:val="21"/>
              </w:rPr>
              <w:t>h，消防用水量为</w:t>
            </w:r>
            <w:r>
              <w:rPr>
                <w:rFonts w:hint="eastAsia"/>
                <w:sz w:val="21"/>
                <w:szCs w:val="21"/>
              </w:rPr>
              <w:t>4499.9</w:t>
            </w:r>
            <w:r>
              <w:rPr>
                <w:sz w:val="21"/>
                <w:szCs w:val="21"/>
              </w:rPr>
              <w:t>m</w:t>
            </w:r>
            <w:r>
              <w:rPr>
                <w:sz w:val="21"/>
                <w:szCs w:val="21"/>
                <w:vertAlign w:val="superscript"/>
              </w:rPr>
              <w:t>3</w:t>
            </w:r>
            <w:r>
              <w:rPr>
                <w:rFonts w:hint="eastAsia"/>
                <w:sz w:val="21"/>
                <w:szCs w:val="21"/>
              </w:rPr>
              <w:t>。</w:t>
            </w:r>
          </w:p>
        </w:tc>
        <w:tc>
          <w:tcPr>
            <w:tcW w:w="994" w:type="pct"/>
            <w:vAlign w:val="center"/>
          </w:tcPr>
          <w:p w14:paraId="33ED60E5">
            <w:pPr>
              <w:pStyle w:val="51"/>
              <w:rPr>
                <w:sz w:val="21"/>
                <w:szCs w:val="21"/>
              </w:rPr>
            </w:pPr>
            <w:r>
              <w:rPr>
                <w:rFonts w:hint="eastAsia"/>
                <w:sz w:val="21"/>
                <w:szCs w:val="21"/>
              </w:rPr>
              <w:t>4499.9</w:t>
            </w:r>
          </w:p>
        </w:tc>
      </w:tr>
      <w:tr w14:paraId="328B1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05" w:type="pct"/>
            <w:vAlign w:val="center"/>
          </w:tcPr>
          <w:p w14:paraId="20012D05">
            <w:pPr>
              <w:pStyle w:val="51"/>
              <w:rPr>
                <w:sz w:val="21"/>
                <w:szCs w:val="21"/>
              </w:rPr>
            </w:pPr>
            <w:r>
              <w:rPr>
                <w:rFonts w:hint="eastAsia"/>
                <w:sz w:val="21"/>
                <w:szCs w:val="21"/>
              </w:rPr>
              <w:t>V</w:t>
            </w:r>
            <w:r>
              <w:rPr>
                <w:rFonts w:hint="eastAsia"/>
                <w:sz w:val="21"/>
                <w:szCs w:val="21"/>
                <w:vertAlign w:val="subscript"/>
              </w:rPr>
              <w:t>3</w:t>
            </w:r>
          </w:p>
        </w:tc>
        <w:tc>
          <w:tcPr>
            <w:tcW w:w="3401" w:type="pct"/>
            <w:vAlign w:val="center"/>
          </w:tcPr>
          <w:p w14:paraId="6828EC22">
            <w:pPr>
              <w:pStyle w:val="51"/>
              <w:rPr>
                <w:sz w:val="21"/>
                <w:szCs w:val="21"/>
              </w:rPr>
            </w:pPr>
            <w:r>
              <w:rPr>
                <w:sz w:val="21"/>
                <w:szCs w:val="21"/>
              </w:rPr>
              <w:t>罐区</w:t>
            </w:r>
            <w:r>
              <w:rPr>
                <w:rFonts w:hint="eastAsia"/>
                <w:sz w:val="21"/>
                <w:szCs w:val="21"/>
              </w:rPr>
              <w:t>防火堤的有效容积</w:t>
            </w:r>
          </w:p>
        </w:tc>
        <w:tc>
          <w:tcPr>
            <w:tcW w:w="994" w:type="pct"/>
            <w:vAlign w:val="center"/>
          </w:tcPr>
          <w:p w14:paraId="04F7D3F5">
            <w:pPr>
              <w:pStyle w:val="51"/>
              <w:rPr>
                <w:sz w:val="21"/>
                <w:szCs w:val="21"/>
              </w:rPr>
            </w:pPr>
            <w:r>
              <w:rPr>
                <w:rFonts w:hint="eastAsia"/>
                <w:sz w:val="21"/>
                <w:szCs w:val="21"/>
              </w:rPr>
              <w:t>8971.2</w:t>
            </w:r>
          </w:p>
        </w:tc>
      </w:tr>
      <w:tr w14:paraId="3A35E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05" w:type="pct"/>
            <w:vAlign w:val="center"/>
          </w:tcPr>
          <w:p w14:paraId="1E15F73E">
            <w:pPr>
              <w:pStyle w:val="51"/>
              <w:rPr>
                <w:sz w:val="21"/>
                <w:szCs w:val="21"/>
              </w:rPr>
            </w:pPr>
            <w:r>
              <w:rPr>
                <w:rFonts w:hint="eastAsia"/>
                <w:sz w:val="21"/>
                <w:szCs w:val="21"/>
              </w:rPr>
              <w:t>V</w:t>
            </w:r>
            <w:r>
              <w:rPr>
                <w:rFonts w:hint="eastAsia"/>
                <w:sz w:val="21"/>
                <w:szCs w:val="21"/>
                <w:vertAlign w:val="subscript"/>
              </w:rPr>
              <w:t>4</w:t>
            </w:r>
          </w:p>
        </w:tc>
        <w:tc>
          <w:tcPr>
            <w:tcW w:w="3401" w:type="pct"/>
            <w:vAlign w:val="center"/>
          </w:tcPr>
          <w:p w14:paraId="4BBAD0C0">
            <w:pPr>
              <w:pStyle w:val="51"/>
              <w:rPr>
                <w:sz w:val="21"/>
                <w:szCs w:val="21"/>
              </w:rPr>
            </w:pPr>
            <w:r>
              <w:rPr>
                <w:rFonts w:hint="eastAsia"/>
                <w:sz w:val="21"/>
                <w:szCs w:val="21"/>
              </w:rPr>
              <w:t>本项目生产废水进入专门的生产污水系统，不进入事故水收集系统。</w:t>
            </w:r>
          </w:p>
        </w:tc>
        <w:tc>
          <w:tcPr>
            <w:tcW w:w="994" w:type="pct"/>
            <w:vAlign w:val="center"/>
          </w:tcPr>
          <w:p w14:paraId="58E73DAD">
            <w:pPr>
              <w:pStyle w:val="51"/>
              <w:rPr>
                <w:sz w:val="21"/>
                <w:szCs w:val="21"/>
              </w:rPr>
            </w:pPr>
            <w:r>
              <w:rPr>
                <w:rFonts w:hint="eastAsia"/>
                <w:sz w:val="21"/>
                <w:szCs w:val="21"/>
              </w:rPr>
              <w:t>0</w:t>
            </w:r>
          </w:p>
        </w:tc>
      </w:tr>
      <w:tr w14:paraId="4D11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05" w:type="pct"/>
            <w:vAlign w:val="center"/>
          </w:tcPr>
          <w:p w14:paraId="41DA28E1">
            <w:pPr>
              <w:pStyle w:val="51"/>
              <w:rPr>
                <w:sz w:val="21"/>
                <w:szCs w:val="21"/>
              </w:rPr>
            </w:pPr>
            <w:r>
              <w:rPr>
                <w:rFonts w:hint="eastAsia"/>
                <w:sz w:val="21"/>
                <w:szCs w:val="21"/>
              </w:rPr>
              <w:t>V</w:t>
            </w:r>
            <w:r>
              <w:rPr>
                <w:rFonts w:hint="eastAsia"/>
                <w:sz w:val="21"/>
                <w:szCs w:val="21"/>
                <w:vertAlign w:val="subscript"/>
              </w:rPr>
              <w:t>5</w:t>
            </w:r>
          </w:p>
        </w:tc>
        <w:tc>
          <w:tcPr>
            <w:tcW w:w="3401" w:type="pct"/>
            <w:vAlign w:val="center"/>
          </w:tcPr>
          <w:p w14:paraId="695F07AB">
            <w:pPr>
              <w:pStyle w:val="51"/>
              <w:rPr>
                <w:sz w:val="21"/>
                <w:szCs w:val="21"/>
              </w:rPr>
            </w:pPr>
            <w:r>
              <w:rPr>
                <w:rFonts w:hint="eastAsia"/>
                <w:sz w:val="21"/>
                <w:szCs w:val="21"/>
              </w:rPr>
              <w:t>平均日降雨量</w:t>
            </w:r>
            <w:r>
              <w:rPr>
                <w:sz w:val="21"/>
                <w:szCs w:val="21"/>
              </w:rPr>
              <w:t>q=0.</w:t>
            </w:r>
            <w:r>
              <w:rPr>
                <w:rFonts w:hint="eastAsia"/>
                <w:sz w:val="21"/>
                <w:szCs w:val="21"/>
              </w:rPr>
              <w:t>97</w:t>
            </w:r>
            <w:r>
              <w:rPr>
                <w:sz w:val="21"/>
                <w:szCs w:val="21"/>
              </w:rPr>
              <w:t>mm</w:t>
            </w:r>
            <w:r>
              <w:rPr>
                <w:rFonts w:hint="eastAsia"/>
                <w:sz w:val="21"/>
                <w:szCs w:val="21"/>
              </w:rPr>
              <w:t>；必须进入事故废水收集系统的雨水汇水面积</w:t>
            </w:r>
            <w:r>
              <w:rPr>
                <w:sz w:val="21"/>
                <w:szCs w:val="21"/>
              </w:rPr>
              <w:t>F=</w:t>
            </w:r>
            <w:r>
              <w:rPr>
                <w:rFonts w:hint="eastAsia"/>
                <w:sz w:val="21"/>
                <w:szCs w:val="21"/>
              </w:rPr>
              <w:t>33.67</w:t>
            </w:r>
            <w:r>
              <w:rPr>
                <w:sz w:val="21"/>
                <w:szCs w:val="21"/>
              </w:rPr>
              <w:t>hm</w:t>
            </w:r>
            <w:r>
              <w:rPr>
                <w:sz w:val="21"/>
                <w:szCs w:val="21"/>
                <w:vertAlign w:val="superscript"/>
              </w:rPr>
              <w:t>2</w:t>
            </w:r>
            <w:r>
              <w:rPr>
                <w:rFonts w:hint="eastAsia"/>
                <w:sz w:val="21"/>
                <w:szCs w:val="21"/>
              </w:rPr>
              <w:t>；发生消防事故时可能进入该收集系统的降雨量</w:t>
            </w:r>
            <w:r>
              <w:rPr>
                <w:sz w:val="21"/>
                <w:szCs w:val="21"/>
              </w:rPr>
              <w:t>V</w:t>
            </w:r>
            <w:r>
              <w:rPr>
                <w:sz w:val="21"/>
                <w:szCs w:val="21"/>
                <w:vertAlign w:val="subscript"/>
              </w:rPr>
              <w:t>5</w:t>
            </w:r>
            <w:r>
              <w:rPr>
                <w:sz w:val="21"/>
                <w:szCs w:val="21"/>
              </w:rPr>
              <w:t>=10×q×F=</w:t>
            </w:r>
            <w:r>
              <w:rPr>
                <w:rFonts w:hint="eastAsia"/>
                <w:sz w:val="21"/>
                <w:szCs w:val="21"/>
              </w:rPr>
              <w:t>326.6</w:t>
            </w:r>
          </w:p>
        </w:tc>
        <w:tc>
          <w:tcPr>
            <w:tcW w:w="994" w:type="pct"/>
            <w:vAlign w:val="center"/>
          </w:tcPr>
          <w:p w14:paraId="7DB61358">
            <w:pPr>
              <w:pStyle w:val="51"/>
              <w:rPr>
                <w:sz w:val="21"/>
                <w:szCs w:val="21"/>
              </w:rPr>
            </w:pPr>
            <w:r>
              <w:rPr>
                <w:rFonts w:hint="eastAsia"/>
                <w:sz w:val="21"/>
                <w:szCs w:val="21"/>
              </w:rPr>
              <w:t>326.6</w:t>
            </w:r>
          </w:p>
        </w:tc>
      </w:tr>
      <w:tr w14:paraId="13020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05" w:type="pct"/>
            <w:vAlign w:val="center"/>
          </w:tcPr>
          <w:p w14:paraId="21C17B2E">
            <w:pPr>
              <w:pStyle w:val="51"/>
              <w:rPr>
                <w:sz w:val="21"/>
                <w:szCs w:val="21"/>
              </w:rPr>
            </w:pPr>
            <w:r>
              <w:rPr>
                <w:rFonts w:hint="eastAsia"/>
                <w:sz w:val="21"/>
                <w:szCs w:val="21"/>
              </w:rPr>
              <w:t>V</w:t>
            </w:r>
          </w:p>
        </w:tc>
        <w:tc>
          <w:tcPr>
            <w:tcW w:w="3401" w:type="pct"/>
            <w:vAlign w:val="center"/>
          </w:tcPr>
          <w:p w14:paraId="169F6B15">
            <w:pPr>
              <w:pStyle w:val="51"/>
              <w:rPr>
                <w:sz w:val="21"/>
                <w:szCs w:val="21"/>
              </w:rPr>
            </w:pPr>
            <w:r>
              <w:rPr>
                <w:rFonts w:hint="eastAsia"/>
                <w:sz w:val="21"/>
                <w:szCs w:val="21"/>
              </w:rPr>
              <w:t>（V</w:t>
            </w:r>
            <w:r>
              <w:rPr>
                <w:rFonts w:hint="eastAsia"/>
                <w:sz w:val="21"/>
                <w:szCs w:val="21"/>
                <w:vertAlign w:val="subscript"/>
              </w:rPr>
              <w:t>l</w:t>
            </w:r>
            <w:r>
              <w:rPr>
                <w:rFonts w:hint="eastAsia"/>
                <w:sz w:val="21"/>
                <w:szCs w:val="21"/>
              </w:rPr>
              <w:t>+V</w:t>
            </w:r>
            <w:r>
              <w:rPr>
                <w:rFonts w:hint="eastAsia"/>
                <w:sz w:val="21"/>
                <w:szCs w:val="21"/>
                <w:vertAlign w:val="subscript"/>
              </w:rPr>
              <w:t>2</w:t>
            </w:r>
            <w:r>
              <w:rPr>
                <w:rFonts w:hint="eastAsia"/>
                <w:sz w:val="21"/>
                <w:szCs w:val="21"/>
              </w:rPr>
              <w:t>－V</w:t>
            </w:r>
            <w:r>
              <w:rPr>
                <w:rFonts w:hint="eastAsia"/>
                <w:sz w:val="21"/>
                <w:szCs w:val="21"/>
                <w:vertAlign w:val="subscript"/>
              </w:rPr>
              <w:t>3</w:t>
            </w:r>
            <w:r>
              <w:rPr>
                <w:rFonts w:hint="eastAsia"/>
                <w:sz w:val="21"/>
                <w:szCs w:val="21"/>
              </w:rPr>
              <w:t>）max+V</w:t>
            </w:r>
            <w:r>
              <w:rPr>
                <w:rFonts w:hint="eastAsia"/>
                <w:sz w:val="21"/>
                <w:szCs w:val="21"/>
                <w:vertAlign w:val="subscript"/>
              </w:rPr>
              <w:t>4</w:t>
            </w:r>
            <w:r>
              <w:rPr>
                <w:rFonts w:hint="eastAsia"/>
                <w:sz w:val="21"/>
                <w:szCs w:val="21"/>
              </w:rPr>
              <w:t>+V</w:t>
            </w:r>
            <w:r>
              <w:rPr>
                <w:rFonts w:hint="eastAsia"/>
                <w:sz w:val="21"/>
                <w:szCs w:val="21"/>
                <w:vertAlign w:val="subscript"/>
              </w:rPr>
              <w:t>5</w:t>
            </w:r>
          </w:p>
        </w:tc>
        <w:tc>
          <w:tcPr>
            <w:tcW w:w="994" w:type="pct"/>
            <w:vAlign w:val="center"/>
          </w:tcPr>
          <w:p w14:paraId="7CDBB029">
            <w:pPr>
              <w:pStyle w:val="51"/>
              <w:rPr>
                <w:sz w:val="21"/>
                <w:szCs w:val="21"/>
              </w:rPr>
            </w:pPr>
            <w:r>
              <w:rPr>
                <w:rFonts w:hint="eastAsia"/>
                <w:sz w:val="21"/>
                <w:szCs w:val="21"/>
              </w:rPr>
              <w:t>326.6</w:t>
            </w:r>
          </w:p>
        </w:tc>
      </w:tr>
      <w:tr w14:paraId="52FB8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05" w:type="pct"/>
            <w:vAlign w:val="center"/>
          </w:tcPr>
          <w:p w14:paraId="4F4130AA">
            <w:pPr>
              <w:pStyle w:val="51"/>
              <w:rPr>
                <w:sz w:val="21"/>
                <w:szCs w:val="21"/>
              </w:rPr>
            </w:pPr>
            <w:r>
              <w:rPr>
                <w:rFonts w:hint="eastAsia"/>
                <w:sz w:val="21"/>
                <w:szCs w:val="21"/>
              </w:rPr>
              <w:t>V</w:t>
            </w:r>
            <w:r>
              <w:rPr>
                <w:rFonts w:hint="eastAsia"/>
                <w:sz w:val="21"/>
                <w:szCs w:val="21"/>
                <w:vertAlign w:val="subscript"/>
              </w:rPr>
              <w:t>事故水池</w:t>
            </w:r>
          </w:p>
        </w:tc>
        <w:tc>
          <w:tcPr>
            <w:tcW w:w="3401" w:type="pct"/>
            <w:vAlign w:val="center"/>
          </w:tcPr>
          <w:p w14:paraId="12F4B6A3">
            <w:pPr>
              <w:pStyle w:val="51"/>
              <w:rPr>
                <w:sz w:val="21"/>
                <w:szCs w:val="21"/>
              </w:rPr>
            </w:pPr>
            <w:r>
              <w:rPr>
                <w:rFonts w:hint="eastAsia"/>
                <w:sz w:val="21"/>
                <w:szCs w:val="21"/>
              </w:rPr>
              <w:t>本项目事故水池有效容积</w:t>
            </w:r>
          </w:p>
        </w:tc>
        <w:tc>
          <w:tcPr>
            <w:tcW w:w="994" w:type="pct"/>
            <w:vAlign w:val="center"/>
          </w:tcPr>
          <w:p w14:paraId="510F4CA0">
            <w:pPr>
              <w:pStyle w:val="51"/>
              <w:rPr>
                <w:sz w:val="21"/>
                <w:szCs w:val="21"/>
              </w:rPr>
            </w:pPr>
            <w:r>
              <w:rPr>
                <w:rFonts w:hint="eastAsia"/>
                <w:sz w:val="21"/>
                <w:szCs w:val="21"/>
              </w:rPr>
              <w:t>66</w:t>
            </w:r>
            <w:r>
              <w:rPr>
                <w:sz w:val="21"/>
                <w:szCs w:val="21"/>
              </w:rPr>
              <w:t>00</w:t>
            </w:r>
          </w:p>
        </w:tc>
      </w:tr>
    </w:tbl>
    <w:p w14:paraId="0E556E9E">
      <w:pPr>
        <w:adjustRightInd w:val="0"/>
        <w:snapToGrid w:val="0"/>
        <w:ind w:firstLine="440" w:firstLineChars="200"/>
        <w:rPr>
          <w:rFonts w:hint="eastAsia"/>
          <w:bCs/>
          <w:spacing w:val="-10"/>
        </w:rPr>
      </w:pPr>
    </w:p>
    <w:p w14:paraId="64753DC7">
      <w:pPr>
        <w:adjustRightInd w:val="0"/>
        <w:snapToGrid w:val="0"/>
        <w:spacing w:line="360" w:lineRule="auto"/>
        <w:ind w:firstLine="440" w:firstLineChars="200"/>
        <w:rPr>
          <w:rFonts w:hint="eastAsia"/>
          <w:bCs/>
          <w:spacing w:val="-10"/>
        </w:rPr>
      </w:pPr>
      <w:r>
        <w:rPr>
          <w:rFonts w:hint="eastAsia"/>
          <w:bCs/>
          <w:spacing w:val="-10"/>
        </w:rPr>
        <w:t>由以上核算过程可知，</w:t>
      </w:r>
      <w:r>
        <w:rPr>
          <w:bCs/>
          <w:spacing w:val="-10"/>
        </w:rPr>
        <w:t>本项目最大事故废水量</w:t>
      </w:r>
      <w:r>
        <w:rPr>
          <w:rFonts w:hint="eastAsia"/>
          <w:bCs/>
          <w:spacing w:val="-10"/>
        </w:rPr>
        <w:t>326.6</w:t>
      </w:r>
      <w:r>
        <w:rPr>
          <w:bCs/>
          <w:spacing w:val="-10"/>
        </w:rPr>
        <w:t>m</w:t>
      </w:r>
      <w:r>
        <w:rPr>
          <w:bCs/>
          <w:spacing w:val="-10"/>
          <w:vertAlign w:val="superscript"/>
        </w:rPr>
        <w:t>3</w:t>
      </w:r>
      <w:r>
        <w:rPr>
          <w:bCs/>
          <w:spacing w:val="-10"/>
        </w:rPr>
        <w:t>，</w:t>
      </w:r>
      <w:r>
        <w:rPr>
          <w:rFonts w:hint="eastAsia"/>
          <w:bCs/>
          <w:spacing w:val="-10"/>
        </w:rPr>
        <w:t>一期</w:t>
      </w:r>
      <w:r>
        <w:rPr>
          <w:bCs/>
          <w:spacing w:val="-10"/>
        </w:rPr>
        <w:t>最大事故废水量</w:t>
      </w:r>
      <w:r>
        <w:rPr>
          <w:rFonts w:hint="eastAsia"/>
        </w:rPr>
        <w:t>4826.5</w:t>
      </w:r>
      <w:r>
        <w:rPr>
          <w:bCs/>
          <w:spacing w:val="-10"/>
        </w:rPr>
        <w:t>m</w:t>
      </w:r>
      <w:r>
        <w:rPr>
          <w:bCs/>
          <w:spacing w:val="-10"/>
          <w:vertAlign w:val="superscript"/>
        </w:rPr>
        <w:t>3</w:t>
      </w:r>
      <w:r>
        <w:rPr>
          <w:bCs/>
          <w:spacing w:val="-10"/>
        </w:rPr>
        <w:t>，一期工程规划建设1座6600m</w:t>
      </w:r>
      <w:r>
        <w:rPr>
          <w:bCs/>
          <w:spacing w:val="-10"/>
          <w:vertAlign w:val="superscript"/>
        </w:rPr>
        <w:t>3</w:t>
      </w:r>
      <w:r>
        <w:rPr>
          <w:bCs/>
          <w:spacing w:val="-10"/>
        </w:rPr>
        <w:t>的事故水池，能够满足</w:t>
      </w:r>
      <w:r>
        <w:rPr>
          <w:rFonts w:hint="eastAsia"/>
          <w:bCs/>
          <w:spacing w:val="-10"/>
        </w:rPr>
        <w:t>全厂</w:t>
      </w:r>
      <w:r>
        <w:rPr>
          <w:bCs/>
          <w:spacing w:val="-10"/>
        </w:rPr>
        <w:t>需求。</w:t>
      </w:r>
      <w:r>
        <w:rPr>
          <w:rFonts w:hint="eastAsia"/>
          <w:bCs/>
          <w:spacing w:val="-10"/>
        </w:rPr>
        <w:t>该事故池可满足火灾情况下废水收集需要，可保证全厂事故情况下消防废水全部收集。</w:t>
      </w:r>
    </w:p>
    <w:p w14:paraId="6253DF61">
      <w:pPr>
        <w:adjustRightInd w:val="0"/>
        <w:snapToGrid w:val="0"/>
        <w:spacing w:line="360" w:lineRule="auto"/>
        <w:ind w:firstLine="440" w:firstLineChars="200"/>
        <w:rPr>
          <w:rFonts w:hint="eastAsia"/>
          <w:bCs/>
          <w:spacing w:val="-10"/>
        </w:rPr>
      </w:pPr>
      <w:r>
        <w:rPr>
          <w:rFonts w:hint="eastAsia"/>
          <w:bCs/>
          <w:spacing w:val="-10"/>
        </w:rPr>
        <w:t>②事故水处理</w:t>
      </w:r>
    </w:p>
    <w:p w14:paraId="53EC58C6">
      <w:pPr>
        <w:adjustRightInd w:val="0"/>
        <w:snapToGrid w:val="0"/>
        <w:spacing w:line="360" w:lineRule="auto"/>
        <w:ind w:firstLine="480" w:firstLineChars="200"/>
        <w:rPr>
          <w:rFonts w:hint="eastAsia"/>
          <w:bCs/>
          <w:spacing w:val="-10"/>
        </w:rPr>
      </w:pPr>
      <w:r>
        <w:rPr>
          <w:rFonts w:hint="eastAsia"/>
          <w:color w:val="000000" w:themeColor="text1"/>
          <w14:textFill>
            <w14:solidFill>
              <w14:schemeClr w14:val="tx1"/>
            </w14:solidFill>
          </w14:textFill>
        </w:rPr>
        <w:t>罐区发生泄漏或火灾事故，有消防废水产生。将消防废水引入事故池。根据废水中物料性质，采取预处理或回收利用的方式。若浓度高，用泵等收集设施进行回收；若浓度低，分批送污水处理站处理达标后排放。泡沫覆盖物收集运至废物处理场所处置。严禁消防水将物料带入受纳水体。</w:t>
      </w:r>
    </w:p>
    <w:p w14:paraId="7401621A">
      <w:pPr>
        <w:adjustRightInd w:val="0"/>
        <w:snapToGrid w:val="0"/>
        <w:spacing w:line="360" w:lineRule="auto"/>
        <w:rPr>
          <w:rFonts w:hint="eastAsia"/>
          <w:bCs/>
          <w:spacing w:val="-10"/>
        </w:rPr>
      </w:pPr>
      <w:r>
        <w:rPr>
          <w:rFonts w:hint="eastAsia"/>
          <w:b/>
          <w:spacing w:val="-10"/>
        </w:rPr>
        <w:t>9.3</w:t>
      </w:r>
      <w:r>
        <w:rPr>
          <w:b/>
          <w:spacing w:val="-10"/>
        </w:rPr>
        <w:t>环境风险</w:t>
      </w:r>
      <w:r>
        <w:rPr>
          <w:rFonts w:hint="eastAsia"/>
          <w:b/>
          <w:spacing w:val="-10"/>
        </w:rPr>
        <w:t>地下水</w:t>
      </w:r>
      <w:r>
        <w:rPr>
          <w:b/>
          <w:spacing w:val="-10"/>
        </w:rPr>
        <w:t>环境影响预测与评价</w:t>
      </w:r>
    </w:p>
    <w:p w14:paraId="741D881D">
      <w:pPr>
        <w:adjustRightInd w:val="0"/>
        <w:snapToGrid w:val="0"/>
        <w:spacing w:line="360" w:lineRule="auto"/>
        <w:ind w:firstLine="440" w:firstLineChars="200"/>
        <w:rPr>
          <w:rFonts w:hint="eastAsia"/>
          <w:bCs/>
          <w:spacing w:val="-10"/>
        </w:rPr>
      </w:pPr>
      <w:r>
        <w:rPr>
          <w:bCs/>
          <w:spacing w:val="-10"/>
        </w:rPr>
        <w:t>本项目环境风险潜势综合等级为 Ⅲ 级，地下水环境敏感程度为 E2（中度敏感）。按照《建设项目环境风险评价技术导则》（HJ169-2018）要求，设置储罐防渗层破损、危险物料持续下渗情景，开展地下水环境风险预测，分析污染物在地下水中迁移范围、浓度时空分布，评估泄漏事故对地下水环境的影响程度。</w:t>
      </w:r>
    </w:p>
    <w:p w14:paraId="2A098139">
      <w:pPr>
        <w:adjustRightInd w:val="0"/>
        <w:snapToGrid w:val="0"/>
        <w:spacing w:line="360" w:lineRule="auto"/>
        <w:ind w:firstLine="440" w:firstLineChars="200"/>
        <w:rPr>
          <w:rFonts w:hint="eastAsia"/>
          <w:bCs/>
          <w:spacing w:val="-10"/>
        </w:rPr>
      </w:pPr>
      <w:r>
        <w:rPr>
          <w:rFonts w:hint="eastAsia"/>
          <w:bCs/>
          <w:spacing w:val="-10"/>
        </w:rPr>
        <w:t>根据表6-27可知罐区物料泄漏量及泄露速率，</w:t>
      </w:r>
      <w:r>
        <w:rPr>
          <w:bCs/>
          <w:spacing w:val="-10"/>
        </w:rPr>
        <w:t>本次评价</w:t>
      </w:r>
      <w:r>
        <w:rPr>
          <w:rFonts w:hint="eastAsia"/>
          <w:bCs/>
          <w:spacing w:val="-10"/>
        </w:rPr>
        <w:t>非正常工况</w:t>
      </w:r>
      <w:r>
        <w:rPr>
          <w:bCs/>
          <w:spacing w:val="-10"/>
        </w:rPr>
        <w:t>预测因子选取石油类</w:t>
      </w:r>
      <w:r>
        <w:rPr>
          <w:rFonts w:hint="eastAsia"/>
          <w:bCs/>
          <w:spacing w:val="-10"/>
        </w:rPr>
        <w:t>，风险状态预测因子选取甲苯</w:t>
      </w:r>
      <w:r>
        <w:rPr>
          <w:bCs/>
          <w:spacing w:val="-10"/>
        </w:rPr>
        <w:t>。</w:t>
      </w:r>
    </w:p>
    <w:p w14:paraId="5D3E095F">
      <w:pPr>
        <w:adjustRightInd w:val="0"/>
        <w:snapToGrid w:val="0"/>
        <w:spacing w:line="360" w:lineRule="auto"/>
        <w:rPr>
          <w:rFonts w:hint="eastAsia"/>
          <w:bCs/>
          <w:spacing w:val="-10"/>
        </w:rPr>
      </w:pPr>
      <w:r>
        <w:rPr>
          <w:rFonts w:hint="eastAsia"/>
          <w:bCs/>
          <w:spacing w:val="-10"/>
        </w:rPr>
        <w:t>9.3.1数学模型</w:t>
      </w:r>
    </w:p>
    <w:p w14:paraId="6F40BDB4">
      <w:pPr>
        <w:adjustRightInd w:val="0"/>
        <w:snapToGrid w:val="0"/>
        <w:spacing w:line="360" w:lineRule="auto"/>
        <w:ind w:firstLine="440" w:firstLineChars="200"/>
        <w:rPr>
          <w:rFonts w:hint="eastAsia"/>
          <w:bCs/>
          <w:spacing w:val="-10"/>
        </w:rPr>
      </w:pPr>
      <w:bookmarkStart w:id="27" w:name="_Hlk165995877"/>
      <w:r>
        <w:rPr>
          <w:rFonts w:hint="eastAsia"/>
          <w:bCs/>
          <w:spacing w:val="-10"/>
        </w:rPr>
        <w:t>考虑到厂区内地下水受到影响的为岩性粉细砂的孔隙潜水，水位埋深不大，当项目运转出现事故时，含有污染质的废水极可能沿着大孔隙以捷径式入渗的方式快速进入含水层从而随地下水流进行迁移，为此本次模拟计算过程忽略污染物在包气带的运移过程（最不利的情况），这样使计算结果更为保守，符合工程设计的思想。</w:t>
      </w:r>
    </w:p>
    <w:p w14:paraId="21BA8B84">
      <w:pPr>
        <w:adjustRightInd w:val="0"/>
        <w:snapToGrid w:val="0"/>
        <w:spacing w:line="360" w:lineRule="auto"/>
        <w:ind w:firstLine="440" w:firstLineChars="200"/>
        <w:rPr>
          <w:rFonts w:hint="eastAsia"/>
          <w:color w:val="000000" w:themeColor="text1"/>
          <w:szCs w:val="21"/>
          <w14:textFill>
            <w14:solidFill>
              <w14:schemeClr w14:val="tx1"/>
            </w14:solidFill>
          </w14:textFill>
        </w:rPr>
      </w:pPr>
      <w:r>
        <w:rPr>
          <w:bCs/>
          <w:spacing w:val="-10"/>
        </w:rPr>
        <w:t>由厂区附近孔隙水等水位线可知，在项目区的地下水主要是从南</w:t>
      </w:r>
      <w:r>
        <w:rPr>
          <w:rFonts w:hint="eastAsia"/>
          <w:bCs/>
          <w:spacing w:val="-10"/>
        </w:rPr>
        <w:t>向北</w:t>
      </w:r>
      <w:r>
        <w:rPr>
          <w:bCs/>
          <w:spacing w:val="-10"/>
        </w:rPr>
        <w:t>方向呈一维流动，加之厂区以及附近区域并没有集中型供水水源地，地下水位动态稳定，因此污染物在浅层含水层中的迁移，可概化为瞬时注入示踪剂（平面瞬时点源）的一维稳定流动二维水动力弥散问题，当取平行地下水流动的方向为x轴正方向，垂直地下水流向为y方向时，则求取污染浓度分布模型如下：</w:t>
      </w:r>
    </w:p>
    <w:p w14:paraId="0C871ACD">
      <w:pPr>
        <w:overflowPunct w:val="0"/>
        <w:spacing w:line="360" w:lineRule="auto"/>
        <w:ind w:firstLine="480" w:firstLineChars="200"/>
        <w:jc w:val="center"/>
        <w:rPr>
          <w:rFonts w:hint="eastAsia"/>
          <w:b/>
          <w:bCs/>
          <w:color w:val="000000" w:themeColor="text1"/>
          <w:szCs w:val="21"/>
          <w14:textFill>
            <w14:solidFill>
              <w14:schemeClr w14:val="tx1"/>
            </w14:solidFill>
          </w14:textFill>
        </w:rPr>
      </w:pPr>
      <w:r>
        <w:rPr>
          <w:color w:val="000000" w:themeColor="text1"/>
          <w:szCs w:val="21"/>
          <w14:textFill>
            <w14:solidFill>
              <w14:schemeClr w14:val="tx1"/>
            </w14:solidFill>
          </w14:textFill>
        </w:rPr>
        <w:drawing>
          <wp:inline distT="0" distB="0" distL="0" distR="0">
            <wp:extent cx="2782570" cy="662305"/>
            <wp:effectExtent l="0" t="0" r="0" b="0"/>
            <wp:docPr id="247589076" name="图片 25"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89076" name="图片 25" descr="未命名"/>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788319" cy="664135"/>
                    </a:xfrm>
                    <a:prstGeom prst="rect">
                      <a:avLst/>
                    </a:prstGeom>
                    <a:noFill/>
                    <a:ln>
                      <a:noFill/>
                    </a:ln>
                  </pic:spPr>
                </pic:pic>
              </a:graphicData>
            </a:graphic>
          </wp:inline>
        </w:drawing>
      </w:r>
    </w:p>
    <w:p w14:paraId="361BE7C4">
      <w:pPr>
        <w:overflowPunct w:val="0"/>
        <w:spacing w:line="360" w:lineRule="auto"/>
        <w:ind w:firstLine="480" w:firstLineChars="200"/>
        <w:rPr>
          <w:rFonts w:hint="eastAsia"/>
          <w:color w:val="000000" w:themeColor="text1"/>
          <w:szCs w:val="21"/>
          <w14:textFill>
            <w14:solidFill>
              <w14:schemeClr w14:val="tx1"/>
            </w14:solidFill>
          </w14:textFill>
        </w:rPr>
      </w:pPr>
      <w:r>
        <w:rPr>
          <w:color w:val="000000" w:themeColor="text1"/>
          <w:szCs w:val="21"/>
          <w14:textFill>
            <w14:solidFill>
              <w14:schemeClr w14:val="tx1"/>
            </w14:solidFill>
          </w14:textFill>
        </w:rPr>
        <w:t>式中：x，y—计算点处的位置坐标；</w:t>
      </w:r>
    </w:p>
    <w:p w14:paraId="67971401">
      <w:pPr>
        <w:overflowPunct w:val="0"/>
        <w:spacing w:line="360" w:lineRule="auto"/>
        <w:ind w:firstLine="1440" w:firstLineChars="600"/>
        <w:rPr>
          <w:rFonts w:hint="eastAsia"/>
          <w:color w:val="000000" w:themeColor="text1"/>
          <w:szCs w:val="21"/>
          <w14:textFill>
            <w14:solidFill>
              <w14:schemeClr w14:val="tx1"/>
            </w14:solidFill>
          </w14:textFill>
        </w:rPr>
      </w:pPr>
      <w:r>
        <w:rPr>
          <w:color w:val="000000" w:themeColor="text1"/>
          <w:szCs w:val="21"/>
          <w14:textFill>
            <w14:solidFill>
              <w14:schemeClr w14:val="tx1"/>
            </w14:solidFill>
          </w14:textFill>
        </w:rPr>
        <w:t>t—时间，d；</w:t>
      </w:r>
    </w:p>
    <w:p w14:paraId="29E76758">
      <w:pPr>
        <w:overflowPunct w:val="0"/>
        <w:spacing w:line="360" w:lineRule="auto"/>
        <w:ind w:firstLine="1440" w:firstLineChars="600"/>
        <w:rPr>
          <w:rFonts w:hint="eastAsia"/>
          <w:color w:val="000000" w:themeColor="text1"/>
          <w:szCs w:val="21"/>
          <w14:textFill>
            <w14:solidFill>
              <w14:schemeClr w14:val="tx1"/>
            </w14:solidFill>
          </w14:textFill>
        </w:rPr>
      </w:pPr>
      <w:r>
        <w:rPr>
          <w:color w:val="000000" w:themeColor="text1"/>
          <w:szCs w:val="21"/>
          <w14:textFill>
            <w14:solidFill>
              <w14:schemeClr w14:val="tx1"/>
            </w14:solidFill>
          </w14:textFill>
        </w:rPr>
        <w:t>C(x，y，t)—t时刻点x，y处的示踪剂浓度，g/L；</w:t>
      </w:r>
    </w:p>
    <w:p w14:paraId="2D7473E9">
      <w:pPr>
        <w:overflowPunct w:val="0"/>
        <w:spacing w:line="360" w:lineRule="auto"/>
        <w:ind w:firstLine="1440" w:firstLineChars="600"/>
        <w:rPr>
          <w:rFonts w:hint="eastAsia"/>
          <w:color w:val="000000" w:themeColor="text1"/>
          <w:szCs w:val="21"/>
          <w14:textFill>
            <w14:solidFill>
              <w14:schemeClr w14:val="tx1"/>
            </w14:solidFill>
          </w14:textFill>
        </w:rPr>
      </w:pPr>
      <w:r>
        <w:rPr>
          <w:color w:val="000000" w:themeColor="text1"/>
          <w:szCs w:val="21"/>
          <w14:textFill>
            <w14:solidFill>
              <w14:schemeClr w14:val="tx1"/>
            </w14:solidFill>
          </w14:textFill>
        </w:rPr>
        <w:t>M—含水层的厚度，m；</w:t>
      </w:r>
    </w:p>
    <w:p w14:paraId="678F7C6C">
      <w:pPr>
        <w:overflowPunct w:val="0"/>
        <w:spacing w:line="360" w:lineRule="auto"/>
        <w:ind w:firstLine="1440" w:firstLineChars="600"/>
        <w:rPr>
          <w:rFonts w:hint="eastAsia"/>
          <w:color w:val="000000" w:themeColor="text1"/>
          <w:szCs w:val="21"/>
          <w14:textFill>
            <w14:solidFill>
              <w14:schemeClr w14:val="tx1"/>
            </w14:solidFill>
          </w14:textFill>
        </w:rPr>
      </w:pPr>
      <w:r>
        <w:rPr>
          <w:color w:val="000000" w:themeColor="text1"/>
          <w:szCs w:val="21"/>
          <w14:textFill>
            <w14:solidFill>
              <w14:schemeClr w14:val="tx1"/>
            </w14:solidFill>
          </w14:textFill>
        </w:rPr>
        <w:t>m</w:t>
      </w:r>
      <w:r>
        <w:rPr>
          <w:color w:val="000000" w:themeColor="text1"/>
          <w:szCs w:val="21"/>
          <w:vertAlign w:val="subscript"/>
          <w14:textFill>
            <w14:solidFill>
              <w14:schemeClr w14:val="tx1"/>
            </w14:solidFill>
          </w14:textFill>
        </w:rPr>
        <w:t>M</w:t>
      </w:r>
      <w:r>
        <w:rPr>
          <w:color w:val="000000" w:themeColor="text1"/>
          <w:szCs w:val="21"/>
          <w14:textFill>
            <w14:solidFill>
              <w14:schemeClr w14:val="tx1"/>
            </w14:solidFill>
          </w14:textFill>
        </w:rPr>
        <w:t>—长度为M的线源瞬时注入的示踪剂质量，kg；</w:t>
      </w:r>
    </w:p>
    <w:p w14:paraId="06A51FB8">
      <w:pPr>
        <w:overflowPunct w:val="0"/>
        <w:spacing w:line="360" w:lineRule="auto"/>
        <w:ind w:firstLine="1440" w:firstLineChars="600"/>
        <w:rPr>
          <w:rFonts w:hint="eastAsia"/>
          <w:color w:val="000000" w:themeColor="text1"/>
          <w:szCs w:val="21"/>
          <w14:textFill>
            <w14:solidFill>
              <w14:schemeClr w14:val="tx1"/>
            </w14:solidFill>
          </w14:textFill>
        </w:rPr>
      </w:pPr>
      <w:r>
        <w:rPr>
          <w:color w:val="000000" w:themeColor="text1"/>
          <w:szCs w:val="21"/>
          <w14:textFill>
            <w14:solidFill>
              <w14:schemeClr w14:val="tx1"/>
            </w14:solidFill>
          </w14:textFill>
        </w:rPr>
        <w:t>u—水流速度，m/d；</w:t>
      </w:r>
    </w:p>
    <w:p w14:paraId="07BE7937">
      <w:pPr>
        <w:overflowPunct w:val="0"/>
        <w:spacing w:line="360" w:lineRule="auto"/>
        <w:ind w:firstLine="1440" w:firstLineChars="600"/>
        <w:rPr>
          <w:rFonts w:hint="eastAsia"/>
          <w:color w:val="000000" w:themeColor="text1"/>
          <w:szCs w:val="21"/>
          <w14:textFill>
            <w14:solidFill>
              <w14:schemeClr w14:val="tx1"/>
            </w14:solidFill>
          </w14:textFill>
        </w:rPr>
      </w:pPr>
      <w:r>
        <w:rPr>
          <w:color w:val="000000" w:themeColor="text1"/>
          <w:szCs w:val="21"/>
          <w14:textFill>
            <w14:solidFill>
              <w14:schemeClr w14:val="tx1"/>
            </w14:solidFill>
          </w14:textFill>
        </w:rPr>
        <w:t>n—有效孔隙度，无量纲；</w:t>
      </w:r>
    </w:p>
    <w:p w14:paraId="313CDC44">
      <w:pPr>
        <w:overflowPunct w:val="0"/>
        <w:spacing w:line="360" w:lineRule="auto"/>
        <w:ind w:firstLine="1440" w:firstLineChars="600"/>
        <w:rPr>
          <w:rFonts w:hint="eastAsia"/>
          <w:color w:val="000000" w:themeColor="text1"/>
          <w:szCs w:val="21"/>
          <w14:textFill>
            <w14:solidFill>
              <w14:schemeClr w14:val="tx1"/>
            </w14:solidFill>
          </w14:textFill>
        </w:rPr>
      </w:pPr>
      <w:r>
        <w:rPr>
          <w:color w:val="000000" w:themeColor="text1"/>
          <w:szCs w:val="21"/>
          <w14:textFill>
            <w14:solidFill>
              <w14:schemeClr w14:val="tx1"/>
            </w14:solidFill>
          </w14:textFill>
        </w:rPr>
        <w:t>D</w:t>
      </w:r>
      <w:r>
        <w:rPr>
          <w:color w:val="000000" w:themeColor="text1"/>
          <w:szCs w:val="21"/>
          <w:vertAlign w:val="subscript"/>
          <w14:textFill>
            <w14:solidFill>
              <w14:schemeClr w14:val="tx1"/>
            </w14:solidFill>
          </w14:textFill>
        </w:rPr>
        <w:t>L</w:t>
      </w:r>
      <w:r>
        <w:rPr>
          <w:color w:val="000000" w:themeColor="text1"/>
          <w:szCs w:val="21"/>
          <w14:textFill>
            <w14:solidFill>
              <w14:schemeClr w14:val="tx1"/>
            </w14:solidFill>
          </w14:textFill>
        </w:rPr>
        <w:t>—纵向x方向的弥散系数，m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/d；</w:t>
      </w:r>
    </w:p>
    <w:p w14:paraId="06DAF9C5">
      <w:pPr>
        <w:overflowPunct w:val="0"/>
        <w:spacing w:line="360" w:lineRule="auto"/>
        <w:ind w:firstLine="1440" w:firstLineChars="600"/>
        <w:rPr>
          <w:rFonts w:hint="eastAsia"/>
          <w:color w:val="000000" w:themeColor="text1"/>
          <w:szCs w:val="21"/>
          <w14:textFill>
            <w14:solidFill>
              <w14:schemeClr w14:val="tx1"/>
            </w14:solidFill>
          </w14:textFill>
        </w:rPr>
      </w:pPr>
      <w:r>
        <w:rPr>
          <w:color w:val="000000" w:themeColor="text1"/>
          <w:szCs w:val="21"/>
          <w14:textFill>
            <w14:solidFill>
              <w14:schemeClr w14:val="tx1"/>
            </w14:solidFill>
          </w14:textFill>
        </w:rPr>
        <w:t>D</w:t>
      </w:r>
      <w:r>
        <w:rPr>
          <w:color w:val="000000" w:themeColor="text1"/>
          <w:szCs w:val="21"/>
          <w:vertAlign w:val="subscript"/>
          <w14:textFill>
            <w14:solidFill>
              <w14:schemeClr w14:val="tx1"/>
            </w14:solidFill>
          </w14:textFill>
        </w:rPr>
        <w:t>T</w:t>
      </w:r>
      <w:r>
        <w:rPr>
          <w:color w:val="000000" w:themeColor="text1"/>
          <w:szCs w:val="21"/>
          <w14:textFill>
            <w14:solidFill>
              <w14:schemeClr w14:val="tx1"/>
            </w14:solidFill>
          </w14:textFill>
        </w:rPr>
        <w:t>—横向y方向的弥散系数，m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/d；</w:t>
      </w:r>
    </w:p>
    <w:p w14:paraId="657C3170">
      <w:pPr>
        <w:overflowPunct w:val="0"/>
        <w:spacing w:line="360" w:lineRule="auto"/>
        <w:ind w:firstLine="1440" w:firstLineChars="600"/>
        <w:rPr>
          <w:rFonts w:hint="eastAsia"/>
          <w:color w:val="000000" w:themeColor="text1"/>
          <w:szCs w:val="21"/>
          <w14:textFill>
            <w14:solidFill>
              <w14:schemeClr w14:val="tx1"/>
            </w14:solidFill>
          </w14:textFill>
        </w:rPr>
      </w:pPr>
      <w:r>
        <w:rPr>
          <w:color w:val="000000" w:themeColor="text1"/>
          <w:szCs w:val="21"/>
          <w14:textFill>
            <w14:solidFill>
              <w14:schemeClr w14:val="tx1"/>
            </w14:solidFill>
          </w14:textFill>
        </w:rPr>
        <w:t>π—圆周率。</w:t>
      </w:r>
      <w:bookmarkEnd w:id="27"/>
    </w:p>
    <w:p w14:paraId="7C768123">
      <w:pPr>
        <w:adjustRightInd w:val="0"/>
        <w:snapToGrid w:val="0"/>
        <w:spacing w:line="360" w:lineRule="auto"/>
        <w:rPr>
          <w:rFonts w:hint="eastAsia"/>
          <w:color w:val="000000" w:themeColor="text1"/>
          <w:szCs w:val="21"/>
          <w14:textFill>
            <w14:solidFill>
              <w14:schemeClr w14:val="tx1"/>
            </w14:solidFill>
          </w14:textFill>
        </w:rPr>
      </w:pPr>
      <w:r>
        <w:rPr>
          <w:rFonts w:hint="eastAsia"/>
          <w:bCs/>
          <w:spacing w:val="-10"/>
        </w:rPr>
        <w:t>9.3.2</w:t>
      </w:r>
      <w:bookmarkStart w:id="28" w:name="_Hlk165995900"/>
      <w:r>
        <w:rPr>
          <w:rFonts w:hint="eastAsia"/>
          <w:bCs/>
          <w:spacing w:val="-10"/>
        </w:rPr>
        <w:t>预测参数选取</w:t>
      </w:r>
    </w:p>
    <w:bookmarkEnd w:id="28"/>
    <w:p w14:paraId="694518D8">
      <w:pPr>
        <w:adjustRightInd w:val="0"/>
        <w:snapToGrid w:val="0"/>
        <w:spacing w:line="360" w:lineRule="auto"/>
        <w:ind w:firstLine="440" w:firstLineChars="200"/>
        <w:rPr>
          <w:rFonts w:hint="eastAsia"/>
          <w:bCs/>
          <w:spacing w:val="-10"/>
        </w:rPr>
      </w:pPr>
      <w:bookmarkStart w:id="29" w:name="_Hlk165995914"/>
      <w:r>
        <w:rPr>
          <w:rFonts w:hint="eastAsia"/>
          <w:bCs/>
          <w:spacing w:val="-10"/>
        </w:rPr>
        <w:t>模型需要的参数：含水层厚度M、地下水流速u、地下水流向、岩层的有效孔隙度n、渗透系数k、弥散系数、外泄污染物质量。这些参数主要由本次工作的试验资料以及类比区最新的勘察成果资料来确定。</w:t>
      </w:r>
    </w:p>
    <w:p w14:paraId="1AD6FD7F">
      <w:pPr>
        <w:adjustRightInd w:val="0"/>
        <w:snapToGrid w:val="0"/>
        <w:spacing w:line="360" w:lineRule="auto"/>
        <w:ind w:firstLine="440" w:firstLineChars="200"/>
        <w:rPr>
          <w:rFonts w:hint="eastAsia"/>
          <w:bCs/>
          <w:spacing w:val="-10"/>
        </w:rPr>
      </w:pPr>
      <w:r>
        <w:rPr>
          <w:rFonts w:hint="eastAsia"/>
          <w:bCs/>
          <w:spacing w:val="-10"/>
        </w:rPr>
        <w:t>（1）含水层的厚度M</w:t>
      </w:r>
    </w:p>
    <w:p w14:paraId="44C7C19C">
      <w:pPr>
        <w:adjustRightInd w:val="0"/>
        <w:snapToGrid w:val="0"/>
        <w:spacing w:line="360" w:lineRule="auto"/>
        <w:ind w:firstLine="440" w:firstLineChars="200"/>
        <w:rPr>
          <w:rFonts w:hint="eastAsia"/>
          <w:bCs/>
          <w:spacing w:val="-10"/>
        </w:rPr>
      </w:pPr>
      <w:r>
        <w:rPr>
          <w:bCs/>
          <w:spacing w:val="-10"/>
        </w:rPr>
        <w:t>根据吉木萨尔县北</w:t>
      </w:r>
      <w:r>
        <w:rPr>
          <w:rFonts w:hint="eastAsia"/>
          <w:bCs/>
          <w:spacing w:val="-10"/>
        </w:rPr>
        <w:t>庭</w:t>
      </w:r>
      <w:r>
        <w:rPr>
          <w:bCs/>
          <w:spacing w:val="-10"/>
        </w:rPr>
        <w:t>工业园区污水处理厂提标改造项目区1眼及北侧1眼钻孔进行抽水试验结果可知含水层厚度</w:t>
      </w:r>
      <w:r>
        <w:rPr>
          <w:rFonts w:hint="eastAsia"/>
          <w:bCs/>
          <w:spacing w:val="-10"/>
        </w:rPr>
        <w:t>53</w:t>
      </w:r>
      <w:r>
        <w:rPr>
          <w:bCs/>
          <w:spacing w:val="-10"/>
        </w:rPr>
        <w:t>m。</w:t>
      </w:r>
    </w:p>
    <w:p w14:paraId="3E5B5AA9">
      <w:pPr>
        <w:adjustRightInd w:val="0"/>
        <w:snapToGrid w:val="0"/>
        <w:spacing w:line="360" w:lineRule="auto"/>
        <w:ind w:firstLine="440" w:firstLineChars="200"/>
        <w:rPr>
          <w:rFonts w:hint="eastAsia"/>
          <w:bCs/>
          <w:spacing w:val="-10"/>
        </w:rPr>
      </w:pPr>
      <w:r>
        <w:rPr>
          <w:rFonts w:hint="eastAsia"/>
          <w:bCs/>
          <w:spacing w:val="-10"/>
        </w:rPr>
        <w:t>（2）含水层的平均有效孔隙度n</w:t>
      </w:r>
    </w:p>
    <w:p w14:paraId="51B1C8D4">
      <w:pPr>
        <w:adjustRightInd w:val="0"/>
        <w:snapToGrid w:val="0"/>
        <w:spacing w:line="360" w:lineRule="auto"/>
        <w:ind w:firstLine="440" w:firstLineChars="200"/>
        <w:rPr>
          <w:rFonts w:hint="eastAsia"/>
          <w:bCs/>
          <w:spacing w:val="-10"/>
        </w:rPr>
      </w:pPr>
      <w:r>
        <w:rPr>
          <w:rFonts w:hint="eastAsia"/>
          <w:bCs/>
          <w:spacing w:val="-10"/>
        </w:rPr>
        <w:t>依据《吉木萨尔县污水处理厂-岩土工程初步勘察》，结合野外钻探岩性情况，确定有效孔隙度为0.12。</w:t>
      </w:r>
    </w:p>
    <w:p w14:paraId="2C725923">
      <w:pPr>
        <w:adjustRightInd w:val="0"/>
        <w:snapToGrid w:val="0"/>
        <w:spacing w:line="360" w:lineRule="auto"/>
        <w:ind w:firstLine="440" w:firstLineChars="200"/>
        <w:rPr>
          <w:rFonts w:hint="eastAsia"/>
          <w:bCs/>
          <w:spacing w:val="-10"/>
        </w:rPr>
      </w:pPr>
      <w:r>
        <w:rPr>
          <w:rFonts w:hint="eastAsia"/>
          <w:bCs/>
          <w:spacing w:val="-10"/>
        </w:rPr>
        <w:t>（3）渗透速度k</w:t>
      </w:r>
    </w:p>
    <w:p w14:paraId="39D271AD">
      <w:pPr>
        <w:adjustRightInd w:val="0"/>
        <w:snapToGrid w:val="0"/>
        <w:spacing w:line="360" w:lineRule="auto"/>
        <w:ind w:firstLine="440" w:firstLineChars="200"/>
        <w:rPr>
          <w:rFonts w:hint="eastAsia"/>
          <w:bCs/>
          <w:spacing w:val="-10"/>
        </w:rPr>
      </w:pPr>
      <w:r>
        <w:rPr>
          <w:rFonts w:hint="eastAsia"/>
          <w:bCs/>
          <w:spacing w:val="-10"/>
        </w:rPr>
        <w:t>根据吉木萨尔县北庭工业园区污水处理厂提标改造项目区1眼及北侧1眼钻孔进行抽水试验，渗透系数平均值为8.67m/d。</w:t>
      </w:r>
    </w:p>
    <w:p w14:paraId="595FCB25">
      <w:pPr>
        <w:adjustRightInd w:val="0"/>
        <w:snapToGrid w:val="0"/>
        <w:spacing w:line="360" w:lineRule="auto"/>
        <w:ind w:firstLine="440" w:firstLineChars="200"/>
        <w:rPr>
          <w:rFonts w:hint="eastAsia"/>
          <w:bCs/>
          <w:spacing w:val="-10"/>
        </w:rPr>
      </w:pPr>
      <w:r>
        <w:rPr>
          <w:rFonts w:hint="eastAsia"/>
          <w:bCs/>
          <w:spacing w:val="-10"/>
        </w:rPr>
        <w:t>（</w:t>
      </w:r>
      <w:r>
        <w:rPr>
          <w:bCs/>
          <w:spacing w:val="-10"/>
        </w:rPr>
        <w:t>4</w:t>
      </w:r>
      <w:r>
        <w:rPr>
          <w:rFonts w:hint="eastAsia"/>
          <w:bCs/>
          <w:spacing w:val="-10"/>
        </w:rPr>
        <w:t>）弥散度</w:t>
      </w:r>
    </w:p>
    <w:p w14:paraId="4B01275A">
      <w:pPr>
        <w:adjustRightInd w:val="0"/>
        <w:snapToGrid w:val="0"/>
        <w:spacing w:line="360" w:lineRule="auto"/>
        <w:ind w:firstLine="440" w:firstLineChars="200"/>
        <w:rPr>
          <w:rFonts w:hint="eastAsia"/>
          <w:bCs/>
          <w:spacing w:val="-10"/>
        </w:rPr>
      </w:pPr>
      <w:r>
        <w:rPr>
          <w:rFonts w:hint="eastAsia"/>
          <w:bCs/>
          <w:spacing w:val="-10"/>
        </w:rPr>
        <w:t>水流速度</w:t>
      </w:r>
      <w:r>
        <w:rPr>
          <w:bCs/>
          <w:spacing w:val="-10"/>
        </w:rPr>
        <w:t>u</w:t>
      </w:r>
      <w:r>
        <w:rPr>
          <w:rFonts w:hint="eastAsia"/>
          <w:bCs/>
          <w:spacing w:val="-10"/>
        </w:rPr>
        <w:t>：根据本区水力坡度、含水层渗透系数和孔隙度确定。项目区渗透系数平均值</w:t>
      </w:r>
      <w:r>
        <w:rPr>
          <w:bCs/>
          <w:spacing w:val="-10"/>
        </w:rPr>
        <w:t>8.67m/d</w:t>
      </w:r>
      <w:r>
        <w:rPr>
          <w:rFonts w:hint="eastAsia"/>
          <w:bCs/>
          <w:spacing w:val="-10"/>
        </w:rPr>
        <w:t>作为评价区的渗透系数。评价区地下水主要是由南向北方向流动，水力坡度为</w:t>
      </w:r>
      <w:r>
        <w:rPr>
          <w:bCs/>
          <w:spacing w:val="-10"/>
        </w:rPr>
        <w:t>I=1.46/100</w:t>
      </w:r>
      <w:r>
        <w:rPr>
          <w:rFonts w:hint="eastAsia"/>
          <w:bCs/>
          <w:spacing w:val="-10"/>
        </w:rPr>
        <w:t>，因此地下水的渗透速度。</w:t>
      </w:r>
    </w:p>
    <w:p w14:paraId="064F8A88">
      <w:pPr>
        <w:adjustRightInd w:val="0"/>
        <w:snapToGrid w:val="0"/>
        <w:spacing w:line="360" w:lineRule="auto"/>
        <w:ind w:firstLine="440" w:firstLineChars="200"/>
        <w:rPr>
          <w:rFonts w:hint="eastAsia"/>
          <w:bCs/>
          <w:spacing w:val="-10"/>
        </w:rPr>
      </w:pPr>
      <w:r>
        <w:rPr>
          <w:bCs/>
          <w:spacing w:val="-10"/>
        </w:rPr>
        <w:t>V=KI=8.67m/d</w:t>
      </w:r>
      <w:r>
        <w:rPr>
          <w:rFonts w:hint="eastAsia"/>
          <w:bCs/>
          <w:spacing w:val="-10"/>
        </w:rPr>
        <w:t>×</w:t>
      </w:r>
      <w:r>
        <w:rPr>
          <w:bCs/>
          <w:spacing w:val="-10"/>
        </w:rPr>
        <w:t>1.46/100=0.1266m/d</w:t>
      </w:r>
      <w:r>
        <w:rPr>
          <w:rFonts w:hint="eastAsia"/>
          <w:bCs/>
          <w:spacing w:val="-10"/>
        </w:rPr>
        <w:t>。</w:t>
      </w:r>
    </w:p>
    <w:p w14:paraId="348226EC">
      <w:pPr>
        <w:adjustRightInd w:val="0"/>
        <w:snapToGrid w:val="0"/>
        <w:spacing w:line="360" w:lineRule="auto"/>
        <w:ind w:firstLine="440" w:firstLineChars="200"/>
        <w:rPr>
          <w:rFonts w:hint="eastAsia"/>
          <w:bCs/>
          <w:spacing w:val="-10"/>
        </w:rPr>
      </w:pPr>
      <w:r>
        <w:rPr>
          <w:rFonts w:hint="eastAsia"/>
          <w:bCs/>
          <w:spacing w:val="-10"/>
        </w:rPr>
        <w:t>水流速度</w:t>
      </w:r>
      <w:r>
        <w:rPr>
          <w:bCs/>
          <w:spacing w:val="-10"/>
        </w:rPr>
        <w:t xml:space="preserve">u </w:t>
      </w:r>
      <w:r>
        <w:rPr>
          <w:rFonts w:hint="eastAsia"/>
          <w:bCs/>
          <w:spacing w:val="-10"/>
        </w:rPr>
        <w:t>取为实际流速</w:t>
      </w:r>
      <w:r>
        <w:rPr>
          <w:bCs/>
          <w:spacing w:val="-10"/>
        </w:rPr>
        <w:t>u=V/n=1.055m/d</w:t>
      </w:r>
      <w:r>
        <w:rPr>
          <w:rFonts w:hint="eastAsia"/>
          <w:bCs/>
          <w:spacing w:val="-10"/>
        </w:rPr>
        <w:t>。</w:t>
      </w:r>
    </w:p>
    <w:p w14:paraId="001C0953">
      <w:pPr>
        <w:adjustRightInd w:val="0"/>
        <w:snapToGrid w:val="0"/>
        <w:spacing w:line="360" w:lineRule="auto"/>
        <w:ind w:firstLine="440" w:firstLineChars="200"/>
        <w:rPr>
          <w:rFonts w:hint="eastAsia"/>
          <w:bCs/>
          <w:spacing w:val="-10"/>
        </w:rPr>
      </w:pPr>
      <w:bookmarkStart w:id="30" w:name="_Hlk166000051"/>
      <w:r>
        <w:rPr>
          <w:rFonts w:hint="eastAsia"/>
          <w:bCs/>
          <w:spacing w:val="-10"/>
        </w:rPr>
        <w:t>弥散系数</w:t>
      </w:r>
      <w:r>
        <w:rPr>
          <w:bCs/>
          <w:spacing w:val="-10"/>
        </w:rPr>
        <w:t>DL</w:t>
      </w:r>
      <w:r>
        <w:rPr>
          <w:rFonts w:hint="eastAsia"/>
          <w:bCs/>
          <w:spacing w:val="-10"/>
        </w:rPr>
        <w:t>、</w:t>
      </w:r>
      <w:r>
        <w:rPr>
          <w:bCs/>
          <w:spacing w:val="-10"/>
        </w:rPr>
        <w:t>DT</w:t>
      </w:r>
      <w:r>
        <w:rPr>
          <w:rFonts w:hint="eastAsia"/>
          <w:bCs/>
          <w:spacing w:val="-10"/>
        </w:rPr>
        <w:t>：纵向弥散系数按公式</w:t>
      </w:r>
      <w:r>
        <w:rPr>
          <w:bCs/>
          <w:spacing w:val="-10"/>
        </w:rPr>
        <w:t>DL=</w:t>
      </w:r>
      <w:r>
        <w:rPr>
          <w:rFonts w:hint="eastAsia"/>
          <w:bCs/>
          <w:spacing w:val="-10"/>
        </w:rPr>
        <w:t>α</w:t>
      </w:r>
      <w:r>
        <w:rPr>
          <w:bCs/>
          <w:spacing w:val="-10"/>
        </w:rPr>
        <w:t>L</w:t>
      </w:r>
      <w:r>
        <w:rPr>
          <w:rFonts w:hint="eastAsia"/>
          <w:bCs/>
          <w:spacing w:val="-10"/>
        </w:rPr>
        <w:t>·</w:t>
      </w:r>
      <w:r>
        <w:rPr>
          <w:bCs/>
          <w:spacing w:val="-10"/>
        </w:rPr>
        <w:t xml:space="preserve">u </w:t>
      </w:r>
      <w:r>
        <w:rPr>
          <w:rFonts w:hint="eastAsia"/>
          <w:bCs/>
          <w:spacing w:val="-10"/>
        </w:rPr>
        <w:t>计算，弥散度α</w:t>
      </w:r>
      <w:r>
        <w:rPr>
          <w:bCs/>
          <w:spacing w:val="-10"/>
        </w:rPr>
        <w:t>L</w:t>
      </w:r>
      <w:r>
        <w:rPr>
          <w:rFonts w:hint="eastAsia"/>
          <w:bCs/>
          <w:spacing w:val="-10"/>
        </w:rPr>
        <w:t>取</w:t>
      </w:r>
      <w:r>
        <w:rPr>
          <w:bCs/>
          <w:spacing w:val="-10"/>
        </w:rPr>
        <w:t>10m</w:t>
      </w:r>
      <w:r>
        <w:rPr>
          <w:rFonts w:hint="eastAsia"/>
          <w:bCs/>
          <w:spacing w:val="-10"/>
        </w:rPr>
        <w:t>（室内弥散系数</w:t>
      </w:r>
      <w:r>
        <w:rPr>
          <w:bCs/>
          <w:spacing w:val="-10"/>
        </w:rPr>
        <w:t>0.01</w:t>
      </w:r>
      <w:r>
        <w:rPr>
          <w:rFonts w:hint="eastAsia"/>
          <w:bCs/>
          <w:spacing w:val="-10"/>
        </w:rPr>
        <w:t>～</w:t>
      </w:r>
      <w:r>
        <w:rPr>
          <w:bCs/>
          <w:spacing w:val="-10"/>
        </w:rPr>
        <w:t>1cm</w:t>
      </w:r>
      <w:r>
        <w:rPr>
          <w:rFonts w:hint="eastAsia"/>
          <w:bCs/>
          <w:spacing w:val="-10"/>
        </w:rPr>
        <w:t>，野外实际运用时，考虑弥散度的宏观尺度效用，将该值放大</w:t>
      </w:r>
      <w:r>
        <w:rPr>
          <w:bCs/>
          <w:spacing w:val="-10"/>
        </w:rPr>
        <w:t>2</w:t>
      </w:r>
      <w:r>
        <w:rPr>
          <w:rFonts w:hint="eastAsia"/>
          <w:bCs/>
          <w:spacing w:val="-10"/>
        </w:rPr>
        <w:t>～</w:t>
      </w:r>
      <w:r>
        <w:rPr>
          <w:bCs/>
          <w:spacing w:val="-10"/>
        </w:rPr>
        <w:t>6</w:t>
      </w:r>
      <w:r>
        <w:rPr>
          <w:rFonts w:hint="eastAsia"/>
          <w:bCs/>
          <w:spacing w:val="-10"/>
        </w:rPr>
        <w:t>个数量级，取</w:t>
      </w:r>
      <w:r>
        <w:rPr>
          <w:bCs/>
          <w:spacing w:val="-10"/>
        </w:rPr>
        <w:t>10m</w:t>
      </w:r>
      <w:r>
        <w:rPr>
          <w:rFonts w:hint="eastAsia"/>
          <w:bCs/>
          <w:spacing w:val="-10"/>
        </w:rPr>
        <w:t>），从而计算出</w:t>
      </w:r>
      <w:r>
        <w:rPr>
          <w:bCs/>
          <w:spacing w:val="-10"/>
        </w:rPr>
        <w:t>DL=10.55m2/d</w:t>
      </w:r>
      <w:r>
        <w:rPr>
          <w:rFonts w:hint="eastAsia"/>
          <w:bCs/>
          <w:spacing w:val="-10"/>
        </w:rPr>
        <w:t>，根据</w:t>
      </w:r>
      <w:r>
        <w:rPr>
          <w:bCs/>
          <w:spacing w:val="-10"/>
        </w:rPr>
        <w:t>DT/DL=0.1</w:t>
      </w:r>
      <w:r>
        <w:rPr>
          <w:rFonts w:hint="eastAsia"/>
          <w:bCs/>
          <w:spacing w:val="-10"/>
        </w:rPr>
        <w:t>，计算</w:t>
      </w:r>
      <w:r>
        <w:rPr>
          <w:bCs/>
          <w:spacing w:val="-10"/>
        </w:rPr>
        <w:t>DT=1.055m2/d</w:t>
      </w:r>
      <w:r>
        <w:rPr>
          <w:rFonts w:hint="eastAsia"/>
          <w:bCs/>
          <w:spacing w:val="-10"/>
        </w:rPr>
        <w:t>。</w:t>
      </w:r>
      <w:bookmarkEnd w:id="30"/>
    </w:p>
    <w:p w14:paraId="4E9E639B">
      <w:pPr>
        <w:adjustRightInd w:val="0"/>
        <w:snapToGrid w:val="0"/>
        <w:spacing w:line="360" w:lineRule="auto"/>
        <w:ind w:firstLine="440" w:firstLineChars="200"/>
        <w:rPr>
          <w:rFonts w:hint="eastAsia"/>
          <w:color w:val="000000" w:themeColor="text1"/>
          <w:szCs w:val="21"/>
          <w14:textFill>
            <w14:solidFill>
              <w14:schemeClr w14:val="tx1"/>
            </w14:solidFill>
          </w14:textFill>
        </w:rPr>
      </w:pPr>
      <w:r>
        <w:rPr>
          <w:bCs/>
          <w:spacing w:val="-10"/>
        </w:rPr>
        <w:t>各参数取值见表</w:t>
      </w:r>
      <w:r>
        <w:rPr>
          <w:rFonts w:hint="eastAsia"/>
          <w:bCs/>
          <w:spacing w:val="-10"/>
        </w:rPr>
        <w:t>6-38。</w:t>
      </w:r>
    </w:p>
    <w:p w14:paraId="2D6022D4">
      <w:pPr>
        <w:adjustRightInd w:val="0"/>
        <w:snapToGrid w:val="0"/>
        <w:jc w:val="center"/>
        <w:rPr>
          <w:rFonts w:hint="eastAsia"/>
          <w:b/>
          <w:bCs/>
          <w:spacing w:val="-10"/>
        </w:rPr>
      </w:pPr>
      <w:r>
        <w:rPr>
          <w:b/>
          <w:bCs/>
          <w:spacing w:val="-10"/>
        </w:rPr>
        <w:t>表</w:t>
      </w:r>
      <w:r>
        <w:rPr>
          <w:rFonts w:hint="eastAsia"/>
          <w:b/>
          <w:bCs/>
          <w:spacing w:val="-10"/>
        </w:rPr>
        <w:t>6-38</w:t>
      </w:r>
      <w:r>
        <w:rPr>
          <w:b/>
          <w:bCs/>
          <w:spacing w:val="-10"/>
        </w:rPr>
        <w:t xml:space="preserve">    水文地质参数取值一览表</w:t>
      </w:r>
    </w:p>
    <w:tbl>
      <w:tblPr>
        <w:tblStyle w:val="16"/>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1405"/>
        <w:gridCol w:w="1381"/>
        <w:gridCol w:w="1244"/>
        <w:gridCol w:w="1107"/>
        <w:gridCol w:w="1452"/>
        <w:gridCol w:w="1139"/>
      </w:tblGrid>
      <w:tr w14:paraId="2FDBC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777" w:type="dxa"/>
            <w:vMerge w:val="restart"/>
            <w:vAlign w:val="center"/>
          </w:tcPr>
          <w:p w14:paraId="5C24E7FF">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参数名称</w:t>
            </w:r>
          </w:p>
        </w:tc>
        <w:tc>
          <w:tcPr>
            <w:tcW w:w="1405" w:type="dxa"/>
            <w:vAlign w:val="center"/>
          </w:tcPr>
          <w:p w14:paraId="0EE4F855">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含水层渗透系数</w:t>
            </w:r>
            <w:r>
              <w:rPr>
                <w:bCs/>
                <w:color w:val="000000" w:themeColor="text1"/>
                <w:sz w:val="18"/>
                <w:szCs w:val="18"/>
                <w:u w:color="000000"/>
                <w:lang w:bidi="en-US"/>
                <w14:textFill>
                  <w14:solidFill>
                    <w14:schemeClr w14:val="tx1"/>
                  </w14:solidFill>
                </w14:textFill>
              </w:rPr>
              <w:t>(K1)</w:t>
            </w:r>
          </w:p>
        </w:tc>
        <w:tc>
          <w:tcPr>
            <w:tcW w:w="1381" w:type="dxa"/>
            <w:vAlign w:val="center"/>
          </w:tcPr>
          <w:p w14:paraId="01178E6E">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地下水流速</w:t>
            </w:r>
            <w:r>
              <w:rPr>
                <w:bCs/>
                <w:color w:val="000000" w:themeColor="text1"/>
                <w:sz w:val="18"/>
                <w:szCs w:val="18"/>
                <w:u w:color="000000"/>
                <w:lang w:bidi="en-US"/>
                <w14:textFill>
                  <w14:solidFill>
                    <w14:schemeClr w14:val="tx1"/>
                  </w14:solidFill>
                </w14:textFill>
              </w:rPr>
              <w:t>(u)</w:t>
            </w:r>
          </w:p>
        </w:tc>
        <w:tc>
          <w:tcPr>
            <w:tcW w:w="1244" w:type="dxa"/>
            <w:vAlign w:val="center"/>
          </w:tcPr>
          <w:p w14:paraId="7FBFB240">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有效孔隙度</w:t>
            </w:r>
            <w:r>
              <w:rPr>
                <w:bCs/>
                <w:color w:val="000000" w:themeColor="text1"/>
                <w:sz w:val="18"/>
                <w:szCs w:val="18"/>
                <w:u w:color="000000"/>
                <w:lang w:bidi="en-US"/>
                <w14:textFill>
                  <w14:solidFill>
                    <w14:schemeClr w14:val="tx1"/>
                  </w14:solidFill>
                </w14:textFill>
              </w:rPr>
              <w:t>(ne)</w:t>
            </w:r>
          </w:p>
        </w:tc>
        <w:tc>
          <w:tcPr>
            <w:tcW w:w="1107" w:type="dxa"/>
            <w:vAlign w:val="center"/>
          </w:tcPr>
          <w:p w14:paraId="78264C77">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纵向弥散系数</w:t>
            </w:r>
            <w:r>
              <w:rPr>
                <w:bCs/>
                <w:color w:val="000000" w:themeColor="text1"/>
                <w:sz w:val="18"/>
                <w:szCs w:val="18"/>
                <w:u w:color="000000"/>
                <w:lang w:bidi="en-US"/>
                <w14:textFill>
                  <w14:solidFill>
                    <w14:schemeClr w14:val="tx1"/>
                  </w14:solidFill>
                </w14:textFill>
              </w:rPr>
              <w:t>(D</w:t>
            </w:r>
            <w:r>
              <w:rPr>
                <w:bCs/>
                <w:color w:val="000000" w:themeColor="text1"/>
                <w:sz w:val="18"/>
                <w:szCs w:val="18"/>
                <w:u w:color="000000"/>
                <w:vertAlign w:val="subscript"/>
                <w:lang w:bidi="en-US"/>
                <w14:textFill>
                  <w14:solidFill>
                    <w14:schemeClr w14:val="tx1"/>
                  </w14:solidFill>
                </w14:textFill>
              </w:rPr>
              <w:t>L</w:t>
            </w:r>
            <w:r>
              <w:rPr>
                <w:bCs/>
                <w:color w:val="000000" w:themeColor="text1"/>
                <w:sz w:val="18"/>
                <w:szCs w:val="18"/>
                <w:u w:color="000000"/>
                <w:lang w:bidi="en-US"/>
                <w14:textFill>
                  <w14:solidFill>
                    <w14:schemeClr w14:val="tx1"/>
                  </w14:solidFill>
                </w14:textFill>
              </w:rPr>
              <w:t>)</w:t>
            </w:r>
          </w:p>
        </w:tc>
        <w:tc>
          <w:tcPr>
            <w:tcW w:w="1452" w:type="dxa"/>
            <w:vAlign w:val="center"/>
          </w:tcPr>
          <w:p w14:paraId="70506957">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横向弥散系数</w:t>
            </w:r>
            <w:r>
              <w:rPr>
                <w:bCs/>
                <w:color w:val="000000" w:themeColor="text1"/>
                <w:sz w:val="18"/>
                <w:szCs w:val="18"/>
                <w:u w:color="000000"/>
                <w:lang w:bidi="en-US"/>
                <w14:textFill>
                  <w14:solidFill>
                    <w14:schemeClr w14:val="tx1"/>
                  </w14:solidFill>
                </w14:textFill>
              </w:rPr>
              <w:t>(D</w:t>
            </w:r>
            <w:r>
              <w:rPr>
                <w:bCs/>
                <w:color w:val="000000" w:themeColor="text1"/>
                <w:sz w:val="18"/>
                <w:szCs w:val="18"/>
                <w:u w:color="000000"/>
                <w:vertAlign w:val="subscript"/>
                <w:lang w:bidi="en-US"/>
                <w14:textFill>
                  <w14:solidFill>
                    <w14:schemeClr w14:val="tx1"/>
                  </w14:solidFill>
                </w14:textFill>
              </w:rPr>
              <w:t>T</w:t>
            </w:r>
            <w:r>
              <w:rPr>
                <w:bCs/>
                <w:color w:val="000000" w:themeColor="text1"/>
                <w:sz w:val="18"/>
                <w:szCs w:val="18"/>
                <w:u w:color="000000"/>
                <w:lang w:bidi="en-US"/>
                <w14:textFill>
                  <w14:solidFill>
                    <w14:schemeClr w14:val="tx1"/>
                  </w14:solidFill>
                </w14:textFill>
              </w:rPr>
              <w:t>)</w:t>
            </w:r>
          </w:p>
        </w:tc>
        <w:tc>
          <w:tcPr>
            <w:tcW w:w="1139" w:type="dxa"/>
            <w:vAlign w:val="center"/>
          </w:tcPr>
          <w:p w14:paraId="57E60F09">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水力梯度</w:t>
            </w:r>
          </w:p>
        </w:tc>
      </w:tr>
      <w:tr w14:paraId="2EC8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77" w:type="dxa"/>
            <w:vMerge w:val="continue"/>
            <w:vAlign w:val="center"/>
          </w:tcPr>
          <w:p w14:paraId="1CF29EA2">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p>
        </w:tc>
        <w:tc>
          <w:tcPr>
            <w:tcW w:w="1405" w:type="dxa"/>
            <w:vAlign w:val="center"/>
          </w:tcPr>
          <w:p w14:paraId="22BC7190">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m/d</w:t>
            </w:r>
          </w:p>
        </w:tc>
        <w:tc>
          <w:tcPr>
            <w:tcW w:w="1381" w:type="dxa"/>
            <w:vAlign w:val="center"/>
          </w:tcPr>
          <w:p w14:paraId="325D6A72">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m/d</w:t>
            </w:r>
          </w:p>
        </w:tc>
        <w:tc>
          <w:tcPr>
            <w:tcW w:w="1244" w:type="dxa"/>
            <w:vAlign w:val="center"/>
          </w:tcPr>
          <w:p w14:paraId="44C955AE">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m/d</w:t>
            </w:r>
          </w:p>
        </w:tc>
        <w:tc>
          <w:tcPr>
            <w:tcW w:w="1107" w:type="dxa"/>
            <w:vAlign w:val="center"/>
          </w:tcPr>
          <w:p w14:paraId="7AE8CBE0">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m</w:t>
            </w:r>
            <w:r>
              <w:rPr>
                <w:bCs/>
                <w:color w:val="000000" w:themeColor="text1"/>
                <w:sz w:val="18"/>
                <w:szCs w:val="18"/>
                <w:u w:color="000000"/>
                <w:vertAlign w:val="superscript"/>
                <w:lang w:bidi="en-US"/>
                <w14:textFill>
                  <w14:solidFill>
                    <w14:schemeClr w14:val="tx1"/>
                  </w14:solidFill>
                </w14:textFill>
              </w:rPr>
              <w:t>2</w:t>
            </w:r>
            <w:r>
              <w:rPr>
                <w:bCs/>
                <w:color w:val="000000" w:themeColor="text1"/>
                <w:sz w:val="18"/>
                <w:szCs w:val="18"/>
                <w:u w:color="000000"/>
                <w:lang w:bidi="en-US"/>
                <w14:textFill>
                  <w14:solidFill>
                    <w14:schemeClr w14:val="tx1"/>
                  </w14:solidFill>
                </w14:textFill>
              </w:rPr>
              <w:t>/d</w:t>
            </w:r>
          </w:p>
        </w:tc>
        <w:tc>
          <w:tcPr>
            <w:tcW w:w="1452" w:type="dxa"/>
            <w:vAlign w:val="center"/>
          </w:tcPr>
          <w:p w14:paraId="4FE23E25">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m</w:t>
            </w:r>
            <w:r>
              <w:rPr>
                <w:bCs/>
                <w:color w:val="000000" w:themeColor="text1"/>
                <w:sz w:val="18"/>
                <w:szCs w:val="18"/>
                <w:u w:color="000000"/>
                <w:vertAlign w:val="superscript"/>
                <w:lang w:bidi="en-US"/>
                <w14:textFill>
                  <w14:solidFill>
                    <w14:schemeClr w14:val="tx1"/>
                  </w14:solidFill>
                </w14:textFill>
              </w:rPr>
              <w:t>2</w:t>
            </w:r>
            <w:r>
              <w:rPr>
                <w:bCs/>
                <w:color w:val="000000" w:themeColor="text1"/>
                <w:sz w:val="18"/>
                <w:szCs w:val="18"/>
                <w:u w:color="000000"/>
                <w:lang w:bidi="en-US"/>
                <w14:textFill>
                  <w14:solidFill>
                    <w14:schemeClr w14:val="tx1"/>
                  </w14:solidFill>
                </w14:textFill>
              </w:rPr>
              <w:t>/d</w:t>
            </w:r>
          </w:p>
        </w:tc>
        <w:tc>
          <w:tcPr>
            <w:tcW w:w="1139" w:type="dxa"/>
            <w:vAlign w:val="center"/>
          </w:tcPr>
          <w:p w14:paraId="3576EF54">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w:t>
            </w:r>
          </w:p>
        </w:tc>
      </w:tr>
      <w:tr w14:paraId="0F571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77" w:type="dxa"/>
            <w:vAlign w:val="center"/>
          </w:tcPr>
          <w:p w14:paraId="5179C680">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数值</w:t>
            </w:r>
          </w:p>
        </w:tc>
        <w:tc>
          <w:tcPr>
            <w:tcW w:w="1405" w:type="dxa"/>
            <w:vAlign w:val="center"/>
          </w:tcPr>
          <w:p w14:paraId="47C0FEF5">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8.67</w:t>
            </w:r>
          </w:p>
        </w:tc>
        <w:tc>
          <w:tcPr>
            <w:tcW w:w="1381" w:type="dxa"/>
            <w:vAlign w:val="center"/>
          </w:tcPr>
          <w:p w14:paraId="5201CA67">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1.055</w:t>
            </w:r>
          </w:p>
        </w:tc>
        <w:tc>
          <w:tcPr>
            <w:tcW w:w="1244" w:type="dxa"/>
            <w:vAlign w:val="center"/>
          </w:tcPr>
          <w:p w14:paraId="29BEC39C">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0.12</w:t>
            </w:r>
          </w:p>
        </w:tc>
        <w:tc>
          <w:tcPr>
            <w:tcW w:w="1107" w:type="dxa"/>
            <w:vAlign w:val="center"/>
          </w:tcPr>
          <w:p w14:paraId="16630A9F">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10.55</w:t>
            </w:r>
          </w:p>
        </w:tc>
        <w:tc>
          <w:tcPr>
            <w:tcW w:w="1452" w:type="dxa"/>
            <w:vAlign w:val="center"/>
          </w:tcPr>
          <w:p w14:paraId="709B2C28">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1.055</w:t>
            </w:r>
          </w:p>
        </w:tc>
        <w:tc>
          <w:tcPr>
            <w:tcW w:w="1139" w:type="dxa"/>
            <w:vAlign w:val="center"/>
          </w:tcPr>
          <w:p w14:paraId="0BF9F5CB">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0</w:t>
            </w:r>
            <w:r>
              <w:rPr>
                <w:bCs/>
                <w:color w:val="000000" w:themeColor="text1"/>
                <w:sz w:val="18"/>
                <w:szCs w:val="18"/>
                <w:u w:color="000000"/>
                <w:lang w:bidi="en-US"/>
                <w14:textFill>
                  <w14:solidFill>
                    <w14:schemeClr w14:val="tx1"/>
                  </w14:solidFill>
                </w14:textFill>
              </w:rPr>
              <w:t>.0146</w:t>
            </w:r>
          </w:p>
        </w:tc>
      </w:tr>
      <w:bookmarkEnd w:id="29"/>
    </w:tbl>
    <w:p w14:paraId="144CFBA5">
      <w:pPr>
        <w:adjustRightInd w:val="0"/>
        <w:snapToGrid w:val="0"/>
        <w:spacing w:line="360" w:lineRule="auto"/>
        <w:rPr>
          <w:rFonts w:hint="eastAsia"/>
          <w:bCs/>
          <w:spacing w:val="-10"/>
        </w:rPr>
      </w:pPr>
      <w:r>
        <w:rPr>
          <w:rFonts w:hint="eastAsia"/>
          <w:bCs/>
          <w:spacing w:val="-10"/>
        </w:rPr>
        <w:t>（1）非正常工况</w:t>
      </w:r>
    </w:p>
    <w:p w14:paraId="0FDD2933">
      <w:pPr>
        <w:adjustRightInd w:val="0"/>
        <w:snapToGrid w:val="0"/>
        <w:jc w:val="center"/>
        <w:rPr>
          <w:rFonts w:hint="eastAsia"/>
          <w:bCs/>
          <w:spacing w:val="-10"/>
        </w:rPr>
      </w:pPr>
      <w:r>
        <w:rPr>
          <w:rFonts w:hint="eastAsia"/>
          <w:b/>
          <w:bCs/>
          <w:spacing w:val="-10"/>
        </w:rPr>
        <w:t>表3-39  地下水厂区下游地下水边界预测结果</w:t>
      </w:r>
    </w:p>
    <w:tbl>
      <w:tblPr>
        <w:tblStyle w:val="16"/>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1405"/>
        <w:gridCol w:w="1381"/>
        <w:gridCol w:w="1244"/>
        <w:gridCol w:w="1107"/>
        <w:gridCol w:w="1452"/>
        <w:gridCol w:w="1139"/>
      </w:tblGrid>
      <w:tr w14:paraId="7257E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777" w:type="dxa"/>
            <w:vAlign w:val="center"/>
          </w:tcPr>
          <w:p w14:paraId="6049729A">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预测断面</w:t>
            </w:r>
          </w:p>
        </w:tc>
        <w:tc>
          <w:tcPr>
            <w:tcW w:w="1405" w:type="dxa"/>
            <w:vAlign w:val="center"/>
          </w:tcPr>
          <w:p w14:paraId="7CBE5934">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污染物</w:t>
            </w:r>
          </w:p>
        </w:tc>
        <w:tc>
          <w:tcPr>
            <w:tcW w:w="1381" w:type="dxa"/>
            <w:vAlign w:val="center"/>
          </w:tcPr>
          <w:p w14:paraId="2D71293C">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到达厂界时间 (d)</w:t>
            </w:r>
          </w:p>
        </w:tc>
        <w:tc>
          <w:tcPr>
            <w:tcW w:w="1244" w:type="dxa"/>
            <w:vAlign w:val="center"/>
          </w:tcPr>
          <w:p w14:paraId="6947BAB0">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超标起始时间 (d)</w:t>
            </w:r>
          </w:p>
        </w:tc>
        <w:tc>
          <w:tcPr>
            <w:tcW w:w="1107" w:type="dxa"/>
            <w:vAlign w:val="center"/>
          </w:tcPr>
          <w:p w14:paraId="7FD1CE3F">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超标结束时间 (d)</w:t>
            </w:r>
          </w:p>
        </w:tc>
        <w:tc>
          <w:tcPr>
            <w:tcW w:w="1452" w:type="dxa"/>
            <w:vAlign w:val="center"/>
          </w:tcPr>
          <w:p w14:paraId="2EE23EB3">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超标持续时间 (d)</w:t>
            </w:r>
          </w:p>
        </w:tc>
        <w:tc>
          <w:tcPr>
            <w:tcW w:w="1139" w:type="dxa"/>
            <w:vAlign w:val="center"/>
          </w:tcPr>
          <w:p w14:paraId="388C1D96">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厂界断面最大浓度 (mg/L)</w:t>
            </w:r>
          </w:p>
        </w:tc>
      </w:tr>
      <w:tr w14:paraId="53625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77" w:type="dxa"/>
            <w:vMerge w:val="restart"/>
            <w:vAlign w:val="center"/>
          </w:tcPr>
          <w:p w14:paraId="5CF9884F">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bCs/>
                <w:color w:val="000000" w:themeColor="text1"/>
                <w:sz w:val="18"/>
                <w:szCs w:val="18"/>
                <w:u w:color="000000"/>
                <w:lang w:bidi="en-US"/>
                <w14:textFill>
                  <w14:solidFill>
                    <w14:schemeClr w14:val="tx1"/>
                  </w14:solidFill>
                </w14:textFill>
              </w:rPr>
              <w:t>厂区下游地下水边界</w:t>
            </w:r>
          </w:p>
        </w:tc>
        <w:tc>
          <w:tcPr>
            <w:tcW w:w="1405" w:type="dxa"/>
            <w:vAlign w:val="center"/>
          </w:tcPr>
          <w:p w14:paraId="6BEF23ED">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石油类</w:t>
            </w:r>
          </w:p>
        </w:tc>
        <w:tc>
          <w:tcPr>
            <w:tcW w:w="1381" w:type="dxa"/>
            <w:vAlign w:val="center"/>
          </w:tcPr>
          <w:p w14:paraId="50422425">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49</w:t>
            </w:r>
          </w:p>
        </w:tc>
        <w:tc>
          <w:tcPr>
            <w:tcW w:w="1244" w:type="dxa"/>
            <w:vAlign w:val="center"/>
          </w:tcPr>
          <w:p w14:paraId="147192C2">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58</w:t>
            </w:r>
          </w:p>
        </w:tc>
        <w:tc>
          <w:tcPr>
            <w:tcW w:w="1107" w:type="dxa"/>
            <w:vAlign w:val="center"/>
          </w:tcPr>
          <w:p w14:paraId="6417E4DB">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257</w:t>
            </w:r>
          </w:p>
        </w:tc>
        <w:tc>
          <w:tcPr>
            <w:tcW w:w="1452" w:type="dxa"/>
            <w:vAlign w:val="center"/>
          </w:tcPr>
          <w:p w14:paraId="03B3913C">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189</w:t>
            </w:r>
          </w:p>
        </w:tc>
        <w:tc>
          <w:tcPr>
            <w:tcW w:w="1139" w:type="dxa"/>
            <w:vAlign w:val="center"/>
          </w:tcPr>
          <w:p w14:paraId="1AD75EF3">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0.06</w:t>
            </w:r>
          </w:p>
        </w:tc>
      </w:tr>
      <w:tr w14:paraId="0EBD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77" w:type="dxa"/>
            <w:vMerge w:val="continue"/>
            <w:vAlign w:val="center"/>
          </w:tcPr>
          <w:p w14:paraId="7CC6BEB4">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p>
        </w:tc>
        <w:tc>
          <w:tcPr>
            <w:tcW w:w="1405" w:type="dxa"/>
            <w:vAlign w:val="center"/>
          </w:tcPr>
          <w:p w14:paraId="6F8F0210">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甲苯</w:t>
            </w:r>
          </w:p>
        </w:tc>
        <w:tc>
          <w:tcPr>
            <w:tcW w:w="1381" w:type="dxa"/>
            <w:vAlign w:val="center"/>
          </w:tcPr>
          <w:p w14:paraId="5C4F179F">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26</w:t>
            </w:r>
          </w:p>
        </w:tc>
        <w:tc>
          <w:tcPr>
            <w:tcW w:w="1244" w:type="dxa"/>
            <w:vAlign w:val="center"/>
          </w:tcPr>
          <w:p w14:paraId="614A19AF">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59</w:t>
            </w:r>
          </w:p>
        </w:tc>
        <w:tc>
          <w:tcPr>
            <w:tcW w:w="1107" w:type="dxa"/>
            <w:vAlign w:val="center"/>
          </w:tcPr>
          <w:p w14:paraId="72C83021">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1640</w:t>
            </w:r>
          </w:p>
        </w:tc>
        <w:tc>
          <w:tcPr>
            <w:tcW w:w="1452" w:type="dxa"/>
            <w:vAlign w:val="center"/>
          </w:tcPr>
          <w:p w14:paraId="04EB4EDD">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1581</w:t>
            </w:r>
          </w:p>
        </w:tc>
        <w:tc>
          <w:tcPr>
            <w:tcW w:w="1139" w:type="dxa"/>
            <w:vAlign w:val="center"/>
          </w:tcPr>
          <w:p w14:paraId="523D24EA">
            <w:pPr>
              <w:autoSpaceDE w:val="0"/>
              <w:autoSpaceDN w:val="0"/>
              <w:adjustRightInd w:val="0"/>
              <w:jc w:val="center"/>
              <w:rPr>
                <w:rFonts w:hint="eastAsia"/>
                <w:bCs/>
                <w:color w:val="000000" w:themeColor="text1"/>
                <w:sz w:val="18"/>
                <w:szCs w:val="18"/>
                <w:u w:color="000000"/>
                <w:lang w:bidi="en-US"/>
                <w14:textFill>
                  <w14:solidFill>
                    <w14:schemeClr w14:val="tx1"/>
                  </w14:solidFill>
                </w14:textFill>
              </w:rPr>
            </w:pPr>
            <w:r>
              <w:rPr>
                <w:rFonts w:hint="eastAsia"/>
                <w:bCs/>
                <w:color w:val="000000" w:themeColor="text1"/>
                <w:sz w:val="18"/>
                <w:szCs w:val="18"/>
                <w:u w:color="000000"/>
                <w:lang w:bidi="en-US"/>
                <w14:textFill>
                  <w14:solidFill>
                    <w14:schemeClr w14:val="tx1"/>
                  </w14:solidFill>
                </w14:textFill>
              </w:rPr>
              <w:t>9.45</w:t>
            </w:r>
          </w:p>
        </w:tc>
      </w:tr>
    </w:tbl>
    <w:p w14:paraId="1EABD177">
      <w:pPr>
        <w:adjustRightInd w:val="0"/>
        <w:snapToGrid w:val="0"/>
        <w:spacing w:line="360" w:lineRule="auto"/>
        <w:ind w:firstLine="440" w:firstLineChars="200"/>
        <w:rPr>
          <w:rFonts w:hint="eastAsia"/>
          <w:bCs/>
          <w:spacing w:val="-10"/>
        </w:rPr>
      </w:pPr>
      <w:r>
        <w:rPr>
          <w:rFonts w:hint="eastAsia"/>
          <w:bCs/>
          <w:spacing w:val="-10"/>
        </w:rPr>
        <w:t>本项目石油类</w:t>
      </w:r>
      <w:r>
        <w:rPr>
          <w:color w:val="000000" w:themeColor="text1"/>
          <w:szCs w:val="21"/>
          <w14:textFill>
            <w14:solidFill>
              <w14:schemeClr w14:val="tx1"/>
            </w14:solidFill>
          </w14:textFill>
        </w:rPr>
        <w:t>进入含水层100d、3</w:t>
      </w:r>
      <w:r>
        <w:rPr>
          <w:rFonts w:hint="eastAsia"/>
          <w:color w:val="000000" w:themeColor="text1"/>
          <w:szCs w:val="21"/>
          <w14:textFill>
            <w14:solidFill>
              <w14:schemeClr w14:val="tx1"/>
            </w14:solidFill>
          </w14:textFill>
        </w:rPr>
        <w:t>65</w:t>
      </w:r>
      <w:r>
        <w:rPr>
          <w:color w:val="000000" w:themeColor="text1"/>
          <w:szCs w:val="21"/>
          <w14:textFill>
            <w14:solidFill>
              <w14:schemeClr w14:val="tx1"/>
            </w14:solidFill>
          </w14:textFill>
        </w:rPr>
        <w:t>d</w:t>
      </w:r>
      <w:r>
        <w:rPr>
          <w:rFonts w:hint="eastAsia"/>
          <w:color w:val="000000" w:themeColor="text1"/>
          <w:szCs w:val="21"/>
          <w14:textFill>
            <w14:solidFill>
              <w14:schemeClr w14:val="tx1"/>
            </w14:solidFill>
          </w14:textFill>
        </w:rPr>
        <w:t>、1000d、3</w:t>
      </w:r>
      <w:r>
        <w:rPr>
          <w:color w:val="000000" w:themeColor="text1"/>
          <w:szCs w:val="21"/>
          <w14:textFill>
            <w14:solidFill>
              <w14:schemeClr w14:val="tx1"/>
            </w14:solidFill>
          </w14:textFill>
        </w:rPr>
        <w:t>650</w:t>
      </w:r>
      <w:r>
        <w:rPr>
          <w:rFonts w:hint="eastAsia"/>
          <w:color w:val="000000" w:themeColor="text1"/>
          <w:szCs w:val="21"/>
          <w14:textFill>
            <w14:solidFill>
              <w14:schemeClr w14:val="tx1"/>
            </w14:solidFill>
          </w14:textFill>
        </w:rPr>
        <w:t>d</w:t>
      </w:r>
      <w:r>
        <w:rPr>
          <w:color w:val="000000" w:themeColor="text1"/>
          <w:szCs w:val="21"/>
          <w14:textFill>
            <w14:solidFill>
              <w14:schemeClr w14:val="tx1"/>
            </w14:solidFill>
          </w14:textFill>
        </w:rPr>
        <w:t>的迁移预测结果见</w:t>
      </w:r>
      <w:r>
        <w:rPr>
          <w:rFonts w:hint="eastAsia"/>
          <w:color w:val="000000" w:themeColor="text1"/>
          <w:szCs w:val="21"/>
          <w14:textFill>
            <w14:solidFill>
              <w14:schemeClr w14:val="tx1"/>
            </w14:solidFill>
          </w14:textFill>
        </w:rPr>
        <w:t>下图</w:t>
      </w:r>
      <w:r>
        <w:rPr>
          <w:color w:val="000000" w:themeColor="text1"/>
          <w:szCs w:val="21"/>
          <w14:textFill>
            <w14:solidFill>
              <w14:schemeClr w14:val="tx1"/>
            </w14:solidFill>
          </w14:textFill>
        </w:rPr>
        <w:t>。</w:t>
      </w:r>
    </w:p>
    <w:p w14:paraId="45E04973">
      <w:pPr>
        <w:adjustRightInd w:val="0"/>
        <w:snapToGrid w:val="0"/>
        <w:spacing w:line="360" w:lineRule="auto"/>
        <w:ind w:firstLine="440" w:firstLineChars="200"/>
        <w:jc w:val="center"/>
        <w:rPr>
          <w:rFonts w:hint="eastAsia"/>
          <w:bCs/>
          <w:spacing w:val="-10"/>
        </w:rPr>
      </w:pPr>
    </w:p>
    <w:p w14:paraId="767D2BFE">
      <w:pPr>
        <w:adjustRightInd w:val="0"/>
        <w:snapToGrid w:val="0"/>
        <w:spacing w:line="360" w:lineRule="auto"/>
        <w:ind w:firstLine="442" w:firstLineChars="200"/>
        <w:jc w:val="center"/>
        <w:rPr>
          <w:rFonts w:hint="eastAsia"/>
          <w:b/>
          <w:spacing w:val="-10"/>
        </w:rPr>
      </w:pPr>
      <w:r>
        <w:rPr>
          <w:rFonts w:hint="eastAsia"/>
          <w:b/>
          <w:spacing w:val="-10"/>
        </w:rPr>
        <w:t>图6-3  石油类超标范围示意图</w:t>
      </w:r>
    </w:p>
    <w:p w14:paraId="0486A472">
      <w:pPr>
        <w:adjustRightInd w:val="0"/>
        <w:snapToGrid w:val="0"/>
        <w:spacing w:line="360" w:lineRule="auto"/>
        <w:ind w:firstLine="440" w:firstLineChars="200"/>
        <w:jc w:val="both"/>
        <w:rPr>
          <w:rFonts w:hint="eastAsia"/>
          <w:bCs/>
          <w:spacing w:val="-10"/>
        </w:rPr>
      </w:pPr>
      <w:r>
        <w:rPr>
          <w:rFonts w:hint="eastAsia"/>
          <w:bCs/>
          <w:spacing w:val="-10"/>
        </w:rPr>
        <w:t>根据预测结果显示，石油类</w:t>
      </w:r>
      <w:r>
        <w:rPr>
          <w:bCs/>
          <w:spacing w:val="-10"/>
        </w:rPr>
        <w:t>进入含水层</w:t>
      </w:r>
      <w:r>
        <w:rPr>
          <w:rFonts w:hint="eastAsia"/>
          <w:bCs/>
          <w:spacing w:val="-10"/>
        </w:rPr>
        <w:t>100</w:t>
      </w:r>
      <w:r>
        <w:rPr>
          <w:bCs/>
          <w:spacing w:val="-10"/>
        </w:rPr>
        <w:t>d迁移</w:t>
      </w:r>
      <w:r>
        <w:rPr>
          <w:rFonts w:hint="eastAsia"/>
          <w:bCs/>
          <w:spacing w:val="-10"/>
        </w:rPr>
        <w:t>：下游最大浓度为：</w:t>
      </w:r>
      <w:r>
        <w:rPr>
          <w:bCs/>
          <w:spacing w:val="-10"/>
        </w:rPr>
        <w:t>0.06mg/</w:t>
      </w:r>
      <w:r>
        <w:rPr>
          <w:rFonts w:hint="eastAsia"/>
          <w:bCs/>
          <w:spacing w:val="-10"/>
        </w:rPr>
        <w:t>L，超标距离最远为</w:t>
      </w:r>
      <w:r>
        <w:rPr>
          <w:bCs/>
          <w:spacing w:val="-10"/>
        </w:rPr>
        <w:t>133.5m</w:t>
      </w:r>
      <w:r>
        <w:rPr>
          <w:rFonts w:hint="eastAsia"/>
          <w:bCs/>
          <w:spacing w:val="-10"/>
        </w:rPr>
        <w:t>，超标面积为</w:t>
      </w:r>
      <w:r>
        <w:rPr>
          <w:bCs/>
          <w:spacing w:val="-10"/>
        </w:rPr>
        <w:t>762m</w:t>
      </w:r>
      <w:r>
        <w:rPr>
          <w:bCs/>
          <w:spacing w:val="-10"/>
          <w:vertAlign w:val="superscript"/>
        </w:rPr>
        <w:t>2</w:t>
      </w:r>
      <w:r>
        <w:rPr>
          <w:rFonts w:hint="eastAsia"/>
          <w:bCs/>
          <w:spacing w:val="-10"/>
        </w:rPr>
        <w:t>；石油类</w:t>
      </w:r>
      <w:r>
        <w:rPr>
          <w:bCs/>
          <w:spacing w:val="-10"/>
        </w:rPr>
        <w:t>进入含水层365d迁移</w:t>
      </w:r>
      <w:r>
        <w:rPr>
          <w:rFonts w:hint="eastAsia"/>
          <w:bCs/>
          <w:spacing w:val="-10"/>
        </w:rPr>
        <w:t>：下游最大浓度为</w:t>
      </w:r>
      <w:r>
        <w:rPr>
          <w:bCs/>
          <w:spacing w:val="-10"/>
        </w:rPr>
        <w:t>0.0</w:t>
      </w:r>
      <w:r>
        <w:rPr>
          <w:rFonts w:hint="eastAsia"/>
          <w:bCs/>
          <w:spacing w:val="-10"/>
        </w:rPr>
        <w:t>16</w:t>
      </w:r>
      <w:r>
        <w:rPr>
          <w:bCs/>
          <w:spacing w:val="-10"/>
        </w:rPr>
        <w:t>mg/</w:t>
      </w:r>
      <w:r>
        <w:rPr>
          <w:rFonts w:hint="eastAsia"/>
          <w:bCs/>
          <w:spacing w:val="-10"/>
        </w:rPr>
        <w:t>L，未超标；石油类</w:t>
      </w:r>
      <w:r>
        <w:rPr>
          <w:bCs/>
          <w:spacing w:val="-10"/>
        </w:rPr>
        <w:t>进入含水层</w:t>
      </w:r>
      <w:r>
        <w:rPr>
          <w:rFonts w:hint="eastAsia"/>
          <w:bCs/>
          <w:spacing w:val="-10"/>
        </w:rPr>
        <w:t>10</w:t>
      </w:r>
      <w:r>
        <w:rPr>
          <w:bCs/>
          <w:spacing w:val="-10"/>
        </w:rPr>
        <w:t>0</w:t>
      </w:r>
      <w:r>
        <w:rPr>
          <w:rFonts w:hint="eastAsia"/>
          <w:bCs/>
          <w:spacing w:val="-10"/>
        </w:rPr>
        <w:t>0</w:t>
      </w:r>
      <w:r>
        <w:rPr>
          <w:bCs/>
          <w:spacing w:val="-10"/>
        </w:rPr>
        <w:t>d迁移</w:t>
      </w:r>
      <w:r>
        <w:rPr>
          <w:rFonts w:hint="eastAsia"/>
          <w:bCs/>
          <w:spacing w:val="-10"/>
        </w:rPr>
        <w:t>：下游最大浓度为</w:t>
      </w:r>
      <w:r>
        <w:rPr>
          <w:bCs/>
          <w:spacing w:val="-10"/>
        </w:rPr>
        <w:t>0.0</w:t>
      </w:r>
      <w:r>
        <w:rPr>
          <w:rFonts w:hint="eastAsia"/>
          <w:bCs/>
          <w:spacing w:val="-10"/>
        </w:rPr>
        <w:t>06</w:t>
      </w:r>
      <w:r>
        <w:rPr>
          <w:bCs/>
          <w:spacing w:val="-10"/>
        </w:rPr>
        <w:t>mg/</w:t>
      </w:r>
      <w:r>
        <w:rPr>
          <w:rFonts w:hint="eastAsia"/>
          <w:bCs/>
          <w:spacing w:val="-10"/>
        </w:rPr>
        <w:t>L，未超标；石油类</w:t>
      </w:r>
      <w:r>
        <w:rPr>
          <w:bCs/>
          <w:spacing w:val="-10"/>
        </w:rPr>
        <w:t>进入含水层3650d迁移</w:t>
      </w:r>
      <w:r>
        <w:rPr>
          <w:rFonts w:hint="eastAsia"/>
          <w:bCs/>
          <w:spacing w:val="-10"/>
        </w:rPr>
        <w:t>，下游最大浓度为</w:t>
      </w:r>
      <w:r>
        <w:rPr>
          <w:bCs/>
          <w:spacing w:val="-10"/>
        </w:rPr>
        <w:t>0.00</w:t>
      </w:r>
      <w:r>
        <w:rPr>
          <w:rFonts w:hint="eastAsia"/>
          <w:bCs/>
          <w:spacing w:val="-10"/>
        </w:rPr>
        <w:t>2</w:t>
      </w:r>
      <w:r>
        <w:rPr>
          <w:bCs/>
          <w:spacing w:val="-10"/>
        </w:rPr>
        <w:t>mg/</w:t>
      </w:r>
      <w:r>
        <w:rPr>
          <w:rFonts w:hint="eastAsia"/>
          <w:bCs/>
          <w:spacing w:val="-10"/>
        </w:rPr>
        <w:t>L，未超标。</w:t>
      </w:r>
    </w:p>
    <w:p w14:paraId="66405FEA">
      <w:pPr>
        <w:adjustRightInd w:val="0"/>
        <w:snapToGrid w:val="0"/>
        <w:spacing w:line="360" w:lineRule="auto"/>
        <w:ind w:firstLine="440" w:firstLineChars="200"/>
        <w:jc w:val="both"/>
        <w:rPr>
          <w:rFonts w:hint="eastAsia"/>
          <w:bCs/>
          <w:spacing w:val="-10"/>
        </w:rPr>
      </w:pPr>
      <w:r>
        <w:rPr>
          <w:rFonts w:hint="eastAsia"/>
          <w:bCs/>
          <w:spacing w:val="-10"/>
        </w:rPr>
        <w:t>（2）风险状态</w:t>
      </w:r>
    </w:p>
    <w:p w14:paraId="3BD90514">
      <w:pPr>
        <w:pStyle w:val="4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风险状态下，危险物质甲苯</w:t>
      </w:r>
      <w:r>
        <w:rPr>
          <w:color w:val="000000" w:themeColor="text1"/>
          <w14:textFill>
            <w14:solidFill>
              <w14:schemeClr w14:val="tx1"/>
            </w14:solidFill>
          </w14:textFill>
        </w:rPr>
        <w:t>进入含水层100d、3</w:t>
      </w:r>
      <w:r>
        <w:rPr>
          <w:rFonts w:hint="eastAsia"/>
          <w:color w:val="000000" w:themeColor="text1"/>
          <w14:textFill>
            <w14:solidFill>
              <w14:schemeClr w14:val="tx1"/>
            </w14:solidFill>
          </w14:textFill>
        </w:rPr>
        <w:t>65</w:t>
      </w:r>
      <w:r>
        <w:rPr>
          <w:color w:val="000000" w:themeColor="text1"/>
          <w14:textFill>
            <w14:solidFill>
              <w14:schemeClr w14:val="tx1"/>
            </w14:solidFill>
          </w14:textFill>
        </w:rPr>
        <w:t>d</w:t>
      </w:r>
      <w:r>
        <w:rPr>
          <w:rFonts w:hint="eastAsia"/>
          <w:color w:val="000000" w:themeColor="text1"/>
          <w14:textFill>
            <w14:solidFill>
              <w14:schemeClr w14:val="tx1"/>
            </w14:solidFill>
          </w14:textFill>
        </w:rPr>
        <w:t>、1000d、3</w:t>
      </w:r>
      <w:r>
        <w:rPr>
          <w:color w:val="000000" w:themeColor="text1"/>
          <w14:textFill>
            <w14:solidFill>
              <w14:schemeClr w14:val="tx1"/>
            </w14:solidFill>
          </w14:textFill>
        </w:rPr>
        <w:t>650</w:t>
      </w:r>
      <w:r>
        <w:rPr>
          <w:rFonts w:hint="eastAsia"/>
          <w:color w:val="000000" w:themeColor="text1"/>
          <w14:textFill>
            <w14:solidFill>
              <w14:schemeClr w14:val="tx1"/>
            </w14:solidFill>
          </w14:textFill>
        </w:rPr>
        <w:t>d</w:t>
      </w:r>
      <w:r>
        <w:rPr>
          <w:color w:val="000000" w:themeColor="text1"/>
          <w14:textFill>
            <w14:solidFill>
              <w14:schemeClr w14:val="tx1"/>
            </w14:solidFill>
          </w14:textFill>
        </w:rPr>
        <w:t>的迁移预测结果见</w:t>
      </w:r>
      <w:r>
        <w:rPr>
          <w:rFonts w:hint="eastAsia"/>
          <w:color w:val="000000" w:themeColor="text1"/>
          <w14:textFill>
            <w14:solidFill>
              <w14:schemeClr w14:val="tx1"/>
            </w14:solidFill>
          </w14:textFill>
        </w:rPr>
        <w:t>下图</w:t>
      </w:r>
      <w:r>
        <w:rPr>
          <w:color w:val="000000" w:themeColor="text1"/>
          <w14:textFill>
            <w14:solidFill>
              <w14:schemeClr w14:val="tx1"/>
            </w14:solidFill>
          </w14:textFill>
        </w:rPr>
        <w:t>。</w:t>
      </w:r>
    </w:p>
    <w:p w14:paraId="4D9A8479">
      <w:pPr>
        <w:adjustRightInd w:val="0"/>
        <w:snapToGrid w:val="0"/>
        <w:spacing w:line="360" w:lineRule="auto"/>
        <w:ind w:firstLine="440" w:firstLineChars="200"/>
        <w:jc w:val="both"/>
        <w:rPr>
          <w:rFonts w:hint="eastAsia"/>
          <w:bCs/>
          <w:spacing w:val="-10"/>
        </w:rPr>
      </w:pPr>
    </w:p>
    <w:p w14:paraId="20211367">
      <w:pPr>
        <w:adjustRightInd w:val="0"/>
        <w:snapToGrid w:val="0"/>
        <w:spacing w:line="360" w:lineRule="auto"/>
        <w:ind w:firstLine="442" w:firstLineChars="200"/>
        <w:jc w:val="center"/>
        <w:rPr>
          <w:rFonts w:hint="eastAsia"/>
          <w:b/>
          <w:spacing w:val="-10"/>
        </w:rPr>
      </w:pPr>
    </w:p>
    <w:p w14:paraId="470E300D">
      <w:pPr>
        <w:adjustRightInd w:val="0"/>
        <w:snapToGrid w:val="0"/>
        <w:spacing w:line="360" w:lineRule="auto"/>
        <w:ind w:firstLine="442" w:firstLineChars="200"/>
        <w:jc w:val="center"/>
        <w:rPr>
          <w:rFonts w:hint="eastAsia"/>
          <w:b/>
          <w:spacing w:val="-10"/>
        </w:rPr>
      </w:pPr>
      <w:r>
        <w:rPr>
          <w:rFonts w:hint="eastAsia"/>
          <w:b/>
          <w:spacing w:val="-10"/>
        </w:rPr>
        <w:t>图6-4  甲苯超标范围示意图</w:t>
      </w:r>
    </w:p>
    <w:p w14:paraId="41585860">
      <w:pPr>
        <w:overflowPunct w:val="0"/>
        <w:spacing w:line="360" w:lineRule="auto"/>
        <w:ind w:firstLine="480" w:firstLineChars="20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风险状态下，甲苯</w:t>
      </w:r>
      <w:r>
        <w:rPr>
          <w:color w:val="000000" w:themeColor="text1"/>
          <w:szCs w:val="21"/>
          <w14:textFill>
            <w14:solidFill>
              <w14:schemeClr w14:val="tx1"/>
            </w14:solidFill>
          </w14:textFill>
        </w:rPr>
        <w:t>进入含水层</w:t>
      </w:r>
      <w:r>
        <w:rPr>
          <w:rFonts w:hint="eastAsia"/>
          <w:color w:val="000000" w:themeColor="text1"/>
          <w:szCs w:val="21"/>
          <w14:textFill>
            <w14:solidFill>
              <w14:schemeClr w14:val="tx1"/>
            </w14:solidFill>
          </w14:textFill>
        </w:rPr>
        <w:t>100</w:t>
      </w:r>
      <w:r>
        <w:rPr>
          <w:color w:val="000000" w:themeColor="text1"/>
          <w:szCs w:val="21"/>
          <w14:textFill>
            <w14:solidFill>
              <w14:schemeClr w14:val="tx1"/>
            </w14:solidFill>
          </w14:textFill>
        </w:rPr>
        <w:t>d迁移</w:t>
      </w:r>
      <w:r>
        <w:rPr>
          <w:rFonts w:hint="eastAsia"/>
          <w:color w:val="000000" w:themeColor="text1"/>
          <w:szCs w:val="21"/>
          <w14:textFill>
            <w14:solidFill>
              <w14:schemeClr w14:val="tx1"/>
            </w14:solidFill>
          </w14:textFill>
        </w:rPr>
        <w:t>：下游最大浓度为</w:t>
      </w:r>
      <w:r>
        <w:rPr>
          <w:rFonts w:hint="eastAsia"/>
          <w:color w:val="000000" w:themeColor="text1"/>
          <w:szCs w:val="21"/>
          <w:lang w:val="zh-CN"/>
          <w14:textFill>
            <w14:solidFill>
              <w14:schemeClr w14:val="tx1"/>
            </w14:solidFill>
          </w14:textFill>
        </w:rPr>
        <w:t>9.45</w:t>
      </w:r>
      <w:r>
        <w:rPr>
          <w:color w:val="000000" w:themeColor="text1"/>
          <w:szCs w:val="21"/>
          <w14:textFill>
            <w14:solidFill>
              <w14:schemeClr w14:val="tx1"/>
            </w14:solidFill>
          </w14:textFill>
        </w:rPr>
        <w:t>mg/</w:t>
      </w:r>
      <w:r>
        <w:rPr>
          <w:rFonts w:hint="eastAsia"/>
          <w:color w:val="000000" w:themeColor="text1"/>
          <w:szCs w:val="21"/>
          <w14:textFill>
            <w14:solidFill>
              <w14:schemeClr w14:val="tx1"/>
            </w14:solidFill>
          </w14:textFill>
        </w:rPr>
        <w:t>L，超标距离最远为210.5</w:t>
      </w:r>
      <w:r>
        <w:rPr>
          <w:color w:val="000000" w:themeColor="text1"/>
          <w:szCs w:val="21"/>
          <w14:textFill>
            <w14:solidFill>
              <w14:schemeClr w14:val="tx1"/>
            </w14:solidFill>
          </w14:textFill>
        </w:rPr>
        <w:t>m</w:t>
      </w:r>
      <w:r>
        <w:rPr>
          <w:rFonts w:hint="eastAsia"/>
          <w:color w:val="000000" w:themeColor="text1"/>
          <w:szCs w:val="21"/>
          <w14:textFill>
            <w14:solidFill>
              <w14:schemeClr w14:val="tx1"/>
            </w14:solidFill>
          </w14:textFill>
        </w:rPr>
        <w:t>，超标面积为10913</w:t>
      </w:r>
      <w:r>
        <w:rPr>
          <w:color w:val="000000" w:themeColor="text1"/>
          <w:szCs w:val="21"/>
          <w14:textFill>
            <w14:solidFill>
              <w14:schemeClr w14:val="tx1"/>
            </w14:solidFill>
          </w14:textFill>
        </w:rPr>
        <w:t>m</w:t>
      </w:r>
      <w:r>
        <w:rPr>
          <w:color w:val="000000" w:themeColor="text1"/>
          <w:szCs w:val="21"/>
          <w:vertAlign w:val="superscript"/>
          <w14:textFill>
            <w14:solidFill>
              <w14:schemeClr w14:val="tx1"/>
            </w14:solidFill>
          </w14:textFill>
        </w:rPr>
        <w:t>2</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水污染物</w:t>
      </w:r>
      <w:r>
        <w:rPr>
          <w:rFonts w:hint="eastAsia"/>
          <w:color w:val="000000" w:themeColor="text1"/>
          <w:szCs w:val="21"/>
          <w14:textFill>
            <w14:solidFill>
              <w14:schemeClr w14:val="tx1"/>
            </w14:solidFill>
          </w14:textFill>
        </w:rPr>
        <w:t>甲苯</w:t>
      </w:r>
      <w:r>
        <w:rPr>
          <w:color w:val="000000" w:themeColor="text1"/>
          <w:szCs w:val="21"/>
          <w14:textFill>
            <w14:solidFill>
              <w14:schemeClr w14:val="tx1"/>
            </w14:solidFill>
          </w14:textFill>
        </w:rPr>
        <w:t>进入含水层365d迁移</w:t>
      </w:r>
      <w:r>
        <w:rPr>
          <w:rFonts w:hint="eastAsia"/>
          <w:color w:val="000000" w:themeColor="text1"/>
          <w:szCs w:val="21"/>
          <w14:textFill>
            <w14:solidFill>
              <w14:schemeClr w14:val="tx1"/>
            </w14:solidFill>
          </w14:textFill>
        </w:rPr>
        <w:t>：下游最大浓度为2.59</w:t>
      </w:r>
      <w:r>
        <w:rPr>
          <w:color w:val="000000" w:themeColor="text1"/>
          <w:szCs w:val="21"/>
          <w14:textFill>
            <w14:solidFill>
              <w14:schemeClr w14:val="tx1"/>
            </w14:solidFill>
          </w14:textFill>
        </w:rPr>
        <w:t>mg/</w:t>
      </w:r>
      <w:r>
        <w:rPr>
          <w:rFonts w:hint="eastAsia"/>
          <w:color w:val="000000" w:themeColor="text1"/>
          <w:szCs w:val="21"/>
          <w14:textFill>
            <w14:solidFill>
              <w14:schemeClr w14:val="tx1"/>
            </w14:solidFill>
          </w14:textFill>
        </w:rPr>
        <w:t>L，超标距离最远为527.08</w:t>
      </w:r>
      <w:r>
        <w:rPr>
          <w:color w:val="000000" w:themeColor="text1"/>
          <w:szCs w:val="21"/>
          <w14:textFill>
            <w14:solidFill>
              <w14:schemeClr w14:val="tx1"/>
            </w14:solidFill>
          </w14:textFill>
        </w:rPr>
        <w:t>m</w:t>
      </w:r>
      <w:r>
        <w:rPr>
          <w:rFonts w:hint="eastAsia"/>
          <w:color w:val="000000" w:themeColor="text1"/>
          <w:szCs w:val="21"/>
          <w14:textFill>
            <w14:solidFill>
              <w14:schemeClr w14:val="tx1"/>
            </w14:solidFill>
          </w14:textFill>
        </w:rPr>
        <w:t>，超标面积为20030.37</w:t>
      </w:r>
      <w:r>
        <w:rPr>
          <w:color w:val="000000" w:themeColor="text1"/>
          <w:szCs w:val="21"/>
          <w14:textFill>
            <w14:solidFill>
              <w14:schemeClr w14:val="tx1"/>
            </w14:solidFill>
          </w14:textFill>
        </w:rPr>
        <w:t>m</w:t>
      </w:r>
      <w:r>
        <w:rPr>
          <w:color w:val="000000" w:themeColor="text1"/>
          <w:szCs w:val="21"/>
          <w:vertAlign w:val="superscript"/>
          <w14:textFill>
            <w14:solidFill>
              <w14:schemeClr w14:val="tx1"/>
            </w14:solidFill>
          </w14:textFill>
        </w:rPr>
        <w:t>2</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水污染物</w:t>
      </w:r>
      <w:r>
        <w:rPr>
          <w:rFonts w:hint="eastAsia"/>
          <w:color w:val="000000" w:themeColor="text1"/>
          <w:szCs w:val="21"/>
          <w14:textFill>
            <w14:solidFill>
              <w14:schemeClr w14:val="tx1"/>
            </w14:solidFill>
          </w14:textFill>
        </w:rPr>
        <w:t>甲苯</w:t>
      </w:r>
      <w:r>
        <w:rPr>
          <w:color w:val="000000" w:themeColor="text1"/>
          <w:szCs w:val="21"/>
          <w14:textFill>
            <w14:solidFill>
              <w14:schemeClr w14:val="tx1"/>
            </w14:solidFill>
          </w14:textFill>
        </w:rPr>
        <w:t>进入含水层</w:t>
      </w:r>
      <w:r>
        <w:rPr>
          <w:rFonts w:hint="eastAsia"/>
          <w:color w:val="000000" w:themeColor="text1"/>
          <w:szCs w:val="21"/>
          <w14:textFill>
            <w14:solidFill>
              <w14:schemeClr w14:val="tx1"/>
            </w14:solidFill>
          </w14:textFill>
        </w:rPr>
        <w:t>10</w:t>
      </w:r>
      <w:r>
        <w:rPr>
          <w:color w:val="000000" w:themeColor="text1"/>
          <w:szCs w:val="21"/>
          <w14:textFill>
            <w14:solidFill>
              <w14:schemeClr w14:val="tx1"/>
            </w14:solidFill>
          </w14:textFill>
        </w:rPr>
        <w:t>0</w:t>
      </w:r>
      <w:r>
        <w:rPr>
          <w:rFonts w:hint="eastAsia"/>
          <w:color w:val="000000" w:themeColor="text1"/>
          <w:szCs w:val="21"/>
          <w14:textFill>
            <w14:solidFill>
              <w14:schemeClr w14:val="tx1"/>
            </w14:solidFill>
          </w14:textFill>
        </w:rPr>
        <w:t>0</w:t>
      </w:r>
      <w:r>
        <w:rPr>
          <w:color w:val="000000" w:themeColor="text1"/>
          <w:szCs w:val="21"/>
          <w14:textFill>
            <w14:solidFill>
              <w14:schemeClr w14:val="tx1"/>
            </w14:solidFill>
          </w14:textFill>
        </w:rPr>
        <w:t>d迁移</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0.9</w:t>
      </w:r>
      <w:r>
        <w:rPr>
          <w:rFonts w:hint="eastAsia"/>
          <w:color w:val="000000" w:themeColor="text1"/>
          <w:szCs w:val="21"/>
          <w14:textFill>
            <w14:solidFill>
              <w14:schemeClr w14:val="tx1"/>
            </w14:solidFill>
          </w14:textFill>
        </w:rPr>
        <w:t>5</w:t>
      </w:r>
      <w:r>
        <w:rPr>
          <w:color w:val="000000" w:themeColor="text1"/>
          <w:szCs w:val="21"/>
          <w14:textFill>
            <w14:solidFill>
              <w14:schemeClr w14:val="tx1"/>
            </w14:solidFill>
          </w14:textFill>
        </w:rPr>
        <w:t>mg</w:t>
      </w:r>
      <w:r>
        <w:rPr>
          <w:rFonts w:hint="eastAsia"/>
          <w:color w:val="000000" w:themeColor="text1"/>
          <w:szCs w:val="21"/>
          <w14:textFill>
            <w14:solidFill>
              <w14:schemeClr w14:val="tx1"/>
            </w14:solidFill>
          </w14:textFill>
        </w:rPr>
        <w:t>/L，超标距离最远为</w:t>
      </w:r>
      <w:r>
        <w:rPr>
          <w:color w:val="000000" w:themeColor="text1"/>
          <w:szCs w:val="21"/>
          <w14:textFill>
            <w14:solidFill>
              <w14:schemeClr w14:val="tx1"/>
            </w14:solidFill>
          </w14:textFill>
        </w:rPr>
        <w:t>1168m</w:t>
      </w:r>
      <w:r>
        <w:rPr>
          <w:rFonts w:hint="eastAsia"/>
          <w:color w:val="000000" w:themeColor="text1"/>
          <w:szCs w:val="21"/>
          <w14:textFill>
            <w14:solidFill>
              <w14:schemeClr w14:val="tx1"/>
            </w14:solidFill>
          </w14:textFill>
        </w:rPr>
        <w:t>，超标面积为</w:t>
      </w:r>
      <w:r>
        <w:rPr>
          <w:color w:val="000000" w:themeColor="text1"/>
          <w:szCs w:val="21"/>
          <w14:textFill>
            <w14:solidFill>
              <w14:schemeClr w14:val="tx1"/>
            </w14:solidFill>
          </w14:textFill>
        </w:rPr>
        <w:t>12601.28m</w:t>
      </w:r>
      <w:r>
        <w:rPr>
          <w:color w:val="000000" w:themeColor="text1"/>
          <w:szCs w:val="21"/>
          <w:vertAlign w:val="superscript"/>
          <w14:textFill>
            <w14:solidFill>
              <w14:schemeClr w14:val="tx1"/>
            </w14:solidFill>
          </w14:textFill>
        </w:rPr>
        <w:t>2</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水污染物</w:t>
      </w:r>
      <w:r>
        <w:rPr>
          <w:rFonts w:hint="eastAsia"/>
          <w:color w:val="000000" w:themeColor="text1"/>
          <w:szCs w:val="21"/>
          <w14:textFill>
            <w14:solidFill>
              <w14:schemeClr w14:val="tx1"/>
            </w14:solidFill>
          </w14:textFill>
        </w:rPr>
        <w:t>甲苯</w:t>
      </w:r>
      <w:r>
        <w:rPr>
          <w:color w:val="000000" w:themeColor="text1"/>
          <w:szCs w:val="21"/>
          <w14:textFill>
            <w14:solidFill>
              <w14:schemeClr w14:val="tx1"/>
            </w14:solidFill>
          </w14:textFill>
        </w:rPr>
        <w:t>进入含水层3650d迁移</w:t>
      </w:r>
      <w:r>
        <w:rPr>
          <w:rFonts w:hint="eastAsia"/>
          <w:color w:val="000000" w:themeColor="text1"/>
          <w:szCs w:val="21"/>
          <w14:textFill>
            <w14:solidFill>
              <w14:schemeClr w14:val="tx1"/>
            </w14:solidFill>
          </w14:textFill>
        </w:rPr>
        <w:t>，下游最大浓度为0.26</w:t>
      </w:r>
      <w:r>
        <w:rPr>
          <w:color w:val="000000" w:themeColor="text1"/>
          <w:szCs w:val="21"/>
          <w14:textFill>
            <w14:solidFill>
              <w14:schemeClr w14:val="tx1"/>
            </w14:solidFill>
          </w14:textFill>
        </w:rPr>
        <w:t>mg/</w:t>
      </w:r>
      <w:r>
        <w:rPr>
          <w:rFonts w:hint="eastAsia"/>
          <w:color w:val="000000" w:themeColor="text1"/>
          <w:szCs w:val="21"/>
          <w14:textFill>
            <w14:solidFill>
              <w14:schemeClr w14:val="tx1"/>
            </w14:solidFill>
          </w14:textFill>
        </w:rPr>
        <w:t>L，未超标。</w:t>
      </w:r>
    </w:p>
    <w:p w14:paraId="2BFBA65D">
      <w:pPr>
        <w:adjustRightInd w:val="0"/>
        <w:snapToGrid w:val="0"/>
        <w:spacing w:line="360" w:lineRule="auto"/>
        <w:rPr>
          <w:rFonts w:hint="eastAsia"/>
          <w:bCs/>
          <w:spacing w:val="-10"/>
        </w:rPr>
      </w:pPr>
      <w:r>
        <w:rPr>
          <w:b/>
          <w:spacing w:val="-10"/>
        </w:rPr>
        <w:t>9.</w:t>
      </w:r>
      <w:r>
        <w:rPr>
          <w:rFonts w:hint="eastAsia"/>
          <w:b/>
          <w:spacing w:val="-10"/>
        </w:rPr>
        <w:t>4环境风险土壤环境风险分析</w:t>
      </w:r>
    </w:p>
    <w:p w14:paraId="702A11ED">
      <w:pPr>
        <w:adjustRightInd w:val="0"/>
        <w:snapToGrid w:val="0"/>
        <w:spacing w:line="360" w:lineRule="auto"/>
        <w:ind w:firstLine="440" w:firstLineChars="200"/>
        <w:rPr>
          <w:rFonts w:hint="eastAsia"/>
          <w:bCs/>
          <w:spacing w:val="-10"/>
        </w:rPr>
      </w:pPr>
      <w:r>
        <w:rPr>
          <w:bCs/>
          <w:spacing w:val="-10"/>
        </w:rPr>
        <w:t>本项目罐</w:t>
      </w:r>
      <w:r>
        <w:rPr>
          <w:rFonts w:hint="eastAsia"/>
          <w:bCs/>
          <w:spacing w:val="-10"/>
        </w:rPr>
        <w:t>区</w:t>
      </w:r>
      <w:r>
        <w:rPr>
          <w:bCs/>
          <w:spacing w:val="-10"/>
        </w:rPr>
        <w:t>已按照《石油化工工程防渗技术规范》（GB/T50934-2013）</w:t>
      </w:r>
      <w:r>
        <w:rPr>
          <w:rFonts w:hint="eastAsia"/>
          <w:bCs/>
          <w:spacing w:val="-10"/>
        </w:rPr>
        <w:t>对地面</w:t>
      </w:r>
      <w:r>
        <w:rPr>
          <w:bCs/>
          <w:spacing w:val="-10"/>
        </w:rPr>
        <w:t>进行</w:t>
      </w:r>
      <w:r>
        <w:rPr>
          <w:rFonts w:hint="eastAsia"/>
          <w:bCs/>
          <w:spacing w:val="-10"/>
        </w:rPr>
        <w:t>重点</w:t>
      </w:r>
      <w:r>
        <w:rPr>
          <w:bCs/>
          <w:spacing w:val="-10"/>
        </w:rPr>
        <w:t>防渗。因此，本项目发生物料泄漏时对厂区内的土壤影响有限，事故后及时控制基本不会对罐区内的土壤造成严重污染。</w:t>
      </w:r>
    </w:p>
    <w:p w14:paraId="18FEB0A1">
      <w:pPr>
        <w:adjustRightInd w:val="0"/>
        <w:snapToGrid w:val="0"/>
        <w:spacing w:line="360" w:lineRule="auto"/>
        <w:ind w:firstLine="440" w:firstLineChars="200"/>
        <w:rPr>
          <w:rFonts w:hint="eastAsia"/>
          <w:bCs/>
          <w:spacing w:val="-10"/>
        </w:rPr>
      </w:pPr>
      <w:r>
        <w:rPr>
          <w:bCs/>
          <w:spacing w:val="-10"/>
        </w:rPr>
        <w:t>事故泄漏物料对罐区外部的土壤污染更低，其对土壤的污染主要是由泄漏到大气环境中的事故污染物沉降到土壤中引起的。但是项目事故泄漏污染物总量不高，而且是属于短期事故，通过大气沉降对厂界外土壤造成污染的可能性很小。</w:t>
      </w:r>
    </w:p>
    <w:bookmarkEnd w:id="25"/>
    <w:p w14:paraId="305E1832">
      <w:pPr>
        <w:adjustRightInd w:val="0"/>
        <w:snapToGrid w:val="0"/>
        <w:spacing w:line="360" w:lineRule="auto"/>
        <w:rPr>
          <w:rFonts w:hint="eastAsia"/>
          <w:b/>
          <w:bCs/>
          <w:spacing w:val="-10"/>
        </w:rPr>
      </w:pPr>
      <w:r>
        <w:rPr>
          <w:b/>
          <w:spacing w:val="-10"/>
        </w:rPr>
        <w:t>10</w:t>
      </w:r>
      <w:r>
        <w:rPr>
          <w:rFonts w:hint="eastAsia"/>
          <w:b/>
          <w:bCs/>
          <w:spacing w:val="-10"/>
        </w:rPr>
        <w:t xml:space="preserve"> </w:t>
      </w:r>
      <w:r>
        <w:rPr>
          <w:b/>
          <w:bCs/>
          <w:spacing w:val="-10"/>
        </w:rPr>
        <w:t>环境风险管理</w:t>
      </w:r>
    </w:p>
    <w:p w14:paraId="24D30A63">
      <w:pPr>
        <w:adjustRightInd w:val="0"/>
        <w:snapToGrid w:val="0"/>
        <w:spacing w:line="360" w:lineRule="auto"/>
        <w:ind w:firstLine="440" w:firstLineChars="200"/>
        <w:rPr>
          <w:rFonts w:hint="eastAsia"/>
          <w:spacing w:val="-10"/>
        </w:rPr>
      </w:pPr>
      <w:bookmarkStart w:id="31" w:name="_Hlk151541187"/>
      <w:r>
        <w:rPr>
          <w:spacing w:val="-10"/>
        </w:rPr>
        <w:t>（1）环境风险防范措施</w:t>
      </w:r>
    </w:p>
    <w:p w14:paraId="4F4231BC">
      <w:pPr>
        <w:adjustRightInd w:val="0"/>
        <w:snapToGrid w:val="0"/>
        <w:spacing w:line="360" w:lineRule="auto"/>
        <w:ind w:firstLine="440" w:firstLineChars="200"/>
        <w:rPr>
          <w:rFonts w:hint="eastAsia"/>
          <w:spacing w:val="-10"/>
        </w:rPr>
      </w:pPr>
      <w:bookmarkStart w:id="32" w:name="_Hlk163837602"/>
      <w:r>
        <w:rPr>
          <w:rFonts w:hint="eastAsia"/>
          <w:spacing w:val="-10"/>
        </w:rPr>
        <w:t>1）</w:t>
      </w:r>
      <w:r>
        <w:rPr>
          <w:spacing w:val="-10"/>
        </w:rPr>
        <w:t>总图布置和建筑安全防范措施</w:t>
      </w:r>
    </w:p>
    <w:p w14:paraId="397AD4DC">
      <w:pPr>
        <w:adjustRightInd w:val="0"/>
        <w:snapToGrid w:val="0"/>
        <w:spacing w:line="360" w:lineRule="auto"/>
        <w:ind w:firstLine="440" w:firstLineChars="200"/>
        <w:rPr>
          <w:rFonts w:hint="eastAsia"/>
          <w:spacing w:val="-10"/>
        </w:rPr>
      </w:pPr>
      <w:r>
        <w:rPr>
          <w:spacing w:val="-10"/>
        </w:rPr>
        <w:t>本项目</w:t>
      </w:r>
      <w:r>
        <w:rPr>
          <w:rFonts w:hint="eastAsia"/>
          <w:spacing w:val="-10"/>
        </w:rPr>
        <w:t>罐区</w:t>
      </w:r>
      <w:r>
        <w:rPr>
          <w:spacing w:val="-10"/>
        </w:rPr>
        <w:t>的平面布置贯彻执行国家现行的防火、防爆、安全卫生、环保等规范的相关要求；满足工艺生产要求，使工艺管线短捷，物流顺畅；结合厂区现状，因地制宜进行布置，并满足运输要求，节约用地。</w:t>
      </w:r>
    </w:p>
    <w:p w14:paraId="3844D46A">
      <w:pPr>
        <w:adjustRightInd w:val="0"/>
        <w:snapToGrid w:val="0"/>
        <w:spacing w:line="360" w:lineRule="auto"/>
        <w:ind w:firstLine="440" w:firstLineChars="200"/>
        <w:rPr>
          <w:rFonts w:hint="eastAsia"/>
          <w:spacing w:val="-10"/>
        </w:rPr>
      </w:pPr>
      <w:r>
        <w:rPr>
          <w:rFonts w:hint="eastAsia"/>
          <w:spacing w:val="-10"/>
        </w:rPr>
        <w:t>2）</w:t>
      </w:r>
      <w:r>
        <w:rPr>
          <w:spacing w:val="-10"/>
        </w:rPr>
        <w:t>危险化学品储运安全防范措施</w:t>
      </w:r>
    </w:p>
    <w:p w14:paraId="4395ADD7">
      <w:pPr>
        <w:adjustRightInd w:val="0"/>
        <w:snapToGrid w:val="0"/>
        <w:spacing w:line="360" w:lineRule="auto"/>
        <w:ind w:firstLine="440" w:firstLineChars="200"/>
        <w:rPr>
          <w:rFonts w:hint="eastAsia"/>
          <w:spacing w:val="-10"/>
        </w:rPr>
      </w:pPr>
      <w:r>
        <w:rPr>
          <w:rFonts w:hint="eastAsia"/>
          <w:spacing w:val="-10"/>
        </w:rPr>
        <w:t>①</w:t>
      </w:r>
      <w:r>
        <w:rPr>
          <w:spacing w:val="-10"/>
        </w:rPr>
        <w:t>危险化学品储运系统的设计严格按照《石油化工储运系统罐区设计规范》、《石油化工企业防火设计规范》、《石油库设计规范》的要求进行设计和施工，确保防火间距、消防通道、消防设施等满足规定要求。</w:t>
      </w:r>
    </w:p>
    <w:p w14:paraId="603AE7F2">
      <w:pPr>
        <w:adjustRightInd w:val="0"/>
        <w:snapToGrid w:val="0"/>
        <w:spacing w:line="360" w:lineRule="auto"/>
        <w:ind w:firstLine="440" w:firstLineChars="200"/>
        <w:rPr>
          <w:rFonts w:hint="eastAsia"/>
          <w:spacing w:val="-10"/>
        </w:rPr>
      </w:pPr>
      <w:r>
        <w:rPr>
          <w:rFonts w:hint="eastAsia"/>
          <w:spacing w:val="-10"/>
        </w:rPr>
        <w:t>②</w:t>
      </w:r>
      <w:r>
        <w:rPr>
          <w:spacing w:val="-10"/>
        </w:rPr>
        <w:t>罐区及危化品装卸区严格按照《建筑物防雷设计规范》、《工业与民用电力装置的接地设计规范》设置防雷击、防静电系统。</w:t>
      </w:r>
    </w:p>
    <w:p w14:paraId="4EE11CC2">
      <w:pPr>
        <w:adjustRightInd w:val="0"/>
        <w:snapToGrid w:val="0"/>
        <w:spacing w:line="360" w:lineRule="auto"/>
        <w:ind w:firstLine="440" w:firstLineChars="200"/>
        <w:rPr>
          <w:rFonts w:hint="eastAsia"/>
          <w:spacing w:val="-10"/>
        </w:rPr>
      </w:pPr>
      <w:r>
        <w:rPr>
          <w:rFonts w:hint="eastAsia"/>
          <w:spacing w:val="-10"/>
        </w:rPr>
        <w:t>③</w:t>
      </w:r>
      <w:r>
        <w:rPr>
          <w:spacing w:val="-10"/>
        </w:rPr>
        <w:t>按照《石油化工企业可燃气体和有毒气体检测报警设计规范》在罐区设置自动报警设施。</w:t>
      </w:r>
    </w:p>
    <w:p w14:paraId="2D192342">
      <w:pPr>
        <w:adjustRightInd w:val="0"/>
        <w:snapToGrid w:val="0"/>
        <w:spacing w:line="360" w:lineRule="auto"/>
        <w:ind w:firstLine="440" w:firstLineChars="200"/>
        <w:rPr>
          <w:rFonts w:hint="eastAsia"/>
          <w:spacing w:val="-10"/>
        </w:rPr>
      </w:pPr>
      <w:r>
        <w:rPr>
          <w:rFonts w:hint="eastAsia"/>
          <w:spacing w:val="-10"/>
        </w:rPr>
        <w:t>④</w:t>
      </w:r>
      <w:r>
        <w:rPr>
          <w:spacing w:val="-10"/>
        </w:rPr>
        <w:t>在危化品储运过程控制采用DCS系统，并设置越限报警和连锁保护系统，确保在误操作或非正常工况下，对危险物料的安全控制。</w:t>
      </w:r>
    </w:p>
    <w:p w14:paraId="386A5A38">
      <w:pPr>
        <w:adjustRightInd w:val="0"/>
        <w:snapToGrid w:val="0"/>
        <w:spacing w:line="360" w:lineRule="auto"/>
        <w:ind w:firstLine="440" w:firstLineChars="200"/>
        <w:rPr>
          <w:rFonts w:hint="eastAsia"/>
          <w:spacing w:val="-10"/>
        </w:rPr>
      </w:pPr>
      <w:r>
        <w:rPr>
          <w:rFonts w:hint="eastAsia"/>
          <w:spacing w:val="-10"/>
        </w:rPr>
        <w:t>⑤</w:t>
      </w:r>
      <w:r>
        <w:rPr>
          <w:spacing w:val="-10"/>
        </w:rPr>
        <w:t>与大容量储罐相连接的泵，其紧急截止阀安装在泵及设备的安全距离之外，并可在发生火灾时进行远程紧急制动切断可燃物料。</w:t>
      </w:r>
    </w:p>
    <w:p w14:paraId="0AF2BACA">
      <w:pPr>
        <w:adjustRightInd w:val="0"/>
        <w:snapToGrid w:val="0"/>
        <w:spacing w:line="360" w:lineRule="auto"/>
        <w:ind w:firstLine="440" w:firstLineChars="200"/>
        <w:rPr>
          <w:rFonts w:hint="eastAsia"/>
          <w:spacing w:val="-10"/>
        </w:rPr>
      </w:pPr>
      <w:r>
        <w:rPr>
          <w:rFonts w:hint="eastAsia"/>
          <w:spacing w:val="-10"/>
        </w:rPr>
        <w:t>⑥</w:t>
      </w:r>
      <w:r>
        <w:rPr>
          <w:spacing w:val="-10"/>
        </w:rPr>
        <w:t>本项目罐组已设置防火堤，防火堤的建设均执行国家及行业标准。</w:t>
      </w:r>
    </w:p>
    <w:p w14:paraId="1CF493B4">
      <w:pPr>
        <w:adjustRightInd w:val="0"/>
        <w:snapToGrid w:val="0"/>
        <w:spacing w:line="360" w:lineRule="auto"/>
        <w:ind w:firstLine="440" w:firstLineChars="200"/>
        <w:rPr>
          <w:rFonts w:hint="eastAsia"/>
          <w:spacing w:val="-10"/>
        </w:rPr>
      </w:pPr>
      <w:r>
        <w:rPr>
          <w:rFonts w:hint="eastAsia"/>
          <w:spacing w:val="-10"/>
        </w:rPr>
        <w:t>3）大气环境风险防范措施</w:t>
      </w:r>
    </w:p>
    <w:p w14:paraId="6DD31C55">
      <w:pPr>
        <w:adjustRightInd w:val="0"/>
        <w:snapToGrid w:val="0"/>
        <w:spacing w:line="360" w:lineRule="auto"/>
        <w:ind w:firstLine="440" w:firstLineChars="200"/>
        <w:rPr>
          <w:rFonts w:hint="eastAsia"/>
          <w:spacing w:val="-10"/>
        </w:rPr>
      </w:pPr>
      <w:r>
        <w:rPr>
          <w:rFonts w:hint="eastAsia"/>
          <w:spacing w:val="-10"/>
        </w:rPr>
        <w:t>①</w:t>
      </w:r>
      <w:r>
        <w:rPr>
          <w:spacing w:val="-10"/>
        </w:rPr>
        <w:t>各装置均设置气体安全阀</w:t>
      </w:r>
      <w:r>
        <w:rPr>
          <w:rFonts w:hint="eastAsia"/>
          <w:spacing w:val="-10"/>
        </w:rPr>
        <w:t>、</w:t>
      </w:r>
      <w:r>
        <w:rPr>
          <w:spacing w:val="-10"/>
        </w:rPr>
        <w:t>燃气管道设置阻火器；在可燃气体和有毒气体的装置处，设置固定式可燃气体报警仪和</w:t>
      </w:r>
      <w:r>
        <w:rPr>
          <w:rFonts w:hint="eastAsia"/>
          <w:spacing w:val="-10"/>
        </w:rPr>
        <w:t>有毒</w:t>
      </w:r>
      <w:r>
        <w:rPr>
          <w:spacing w:val="-10"/>
        </w:rPr>
        <w:t>气体报警仪，操作人员配备便携式气体报警器</w:t>
      </w:r>
      <w:r>
        <w:rPr>
          <w:rFonts w:hint="eastAsia"/>
          <w:spacing w:val="-10"/>
        </w:rPr>
        <w:t>；</w:t>
      </w:r>
    </w:p>
    <w:p w14:paraId="56F2CEB5">
      <w:pPr>
        <w:adjustRightInd w:val="0"/>
        <w:snapToGrid w:val="0"/>
        <w:spacing w:line="360" w:lineRule="auto"/>
        <w:ind w:firstLine="440" w:firstLineChars="200"/>
        <w:rPr>
          <w:rFonts w:hint="eastAsia"/>
          <w:spacing w:val="-10"/>
        </w:rPr>
      </w:pPr>
      <w:r>
        <w:rPr>
          <w:rFonts w:hint="eastAsia"/>
          <w:spacing w:val="-10"/>
        </w:rPr>
        <w:t>②</w:t>
      </w:r>
      <w:r>
        <w:rPr>
          <w:spacing w:val="-10"/>
        </w:rPr>
        <w:t>项目总体布置按《工业企业总平面设计规范》（GB50187-2012）及</w:t>
      </w:r>
      <w:r>
        <w:rPr>
          <w:rFonts w:hint="eastAsia"/>
          <w:spacing w:val="-10"/>
        </w:rPr>
        <w:t>《石油化工企业设计防火规范（2</w:t>
      </w:r>
      <w:r>
        <w:rPr>
          <w:spacing w:val="-10"/>
        </w:rPr>
        <w:t>018</w:t>
      </w:r>
      <w:r>
        <w:rPr>
          <w:rFonts w:hint="eastAsia"/>
          <w:spacing w:val="-10"/>
        </w:rPr>
        <w:t>版）》（GB50160-2008）</w:t>
      </w:r>
      <w:r>
        <w:rPr>
          <w:spacing w:val="-10"/>
        </w:rPr>
        <w:t>等标准规范的要求执行防火间距。</w:t>
      </w:r>
      <w:r>
        <w:rPr>
          <w:rFonts w:hint="eastAsia"/>
          <w:spacing w:val="-10"/>
        </w:rPr>
        <w:t>③</w:t>
      </w:r>
      <w:r>
        <w:rPr>
          <w:spacing w:val="-10"/>
        </w:rPr>
        <w:t>在容易发生事故或危险性较大</w:t>
      </w:r>
      <w:r>
        <w:rPr>
          <w:rFonts w:hint="eastAsia"/>
          <w:spacing w:val="-10"/>
        </w:rPr>
        <w:t>的</w:t>
      </w:r>
      <w:r>
        <w:rPr>
          <w:spacing w:val="-10"/>
        </w:rPr>
        <w:t>场所及其它有必要提醒人们注意安全的场所，应按《安全标志及其使用导则》的要求设置安全标志。道路、场地、通风要满足安全生产的要求。</w:t>
      </w:r>
    </w:p>
    <w:p w14:paraId="3BF0C9E6">
      <w:pPr>
        <w:adjustRightInd w:val="0"/>
        <w:snapToGrid w:val="0"/>
        <w:spacing w:line="360" w:lineRule="auto"/>
        <w:ind w:firstLine="440" w:firstLineChars="200"/>
        <w:rPr>
          <w:rFonts w:hint="eastAsia"/>
          <w:spacing w:val="-10"/>
        </w:rPr>
      </w:pPr>
      <w:r>
        <w:rPr>
          <w:rFonts w:hint="eastAsia"/>
          <w:spacing w:val="-10"/>
        </w:rPr>
        <w:t>④各储罐</w:t>
      </w:r>
      <w:r>
        <w:rPr>
          <w:spacing w:val="-10"/>
        </w:rPr>
        <w:t>严格按装料系数装存物料，避免因装料过满发生爆炸或泄漏。</w:t>
      </w:r>
    </w:p>
    <w:p w14:paraId="1F7E55B9">
      <w:pPr>
        <w:adjustRightInd w:val="0"/>
        <w:snapToGrid w:val="0"/>
        <w:spacing w:line="360" w:lineRule="auto"/>
        <w:ind w:firstLine="440" w:firstLineChars="200"/>
        <w:rPr>
          <w:rFonts w:hint="eastAsia"/>
          <w:spacing w:val="-10"/>
        </w:rPr>
      </w:pPr>
      <w:r>
        <w:rPr>
          <w:rFonts w:hint="eastAsia"/>
          <w:spacing w:val="-10"/>
        </w:rPr>
        <w:t>⑤</w:t>
      </w:r>
      <w:r>
        <w:rPr>
          <w:spacing w:val="-10"/>
        </w:rPr>
        <w:t>当发生易燃易爆或有毒物料泄漏时，</w:t>
      </w:r>
      <w:r>
        <w:rPr>
          <w:rFonts w:hint="eastAsia"/>
          <w:spacing w:val="-10"/>
        </w:rPr>
        <w:t>应</w:t>
      </w:r>
      <w:r>
        <w:rPr>
          <w:spacing w:val="-10"/>
        </w:rPr>
        <w:t>根据事故级别启动应急预案</w:t>
      </w:r>
      <w:r>
        <w:rPr>
          <w:rFonts w:hint="eastAsia"/>
          <w:spacing w:val="-10"/>
        </w:rPr>
        <w:t>并</w:t>
      </w:r>
      <w:r>
        <w:rPr>
          <w:spacing w:val="-10"/>
        </w:rPr>
        <w:t>将无关人员迅速疏散到上风向安全区，对危险区域进行隔离，严格控制出入，切断火源；根据需要疏散周围居住区人群，特别关注医院、学校等场所的疏散。比空气重的易挥发易燃液体泄漏时，用工业覆盖层或吸附/吸收剂盖住泄漏点附近的下水道等地方，防止气体进入。如有可能，将漏出气用排风机送至空旷地方或装设适当喷头烧掉。也可以将漏气的容器移至空旷处，注意通风。</w:t>
      </w:r>
    </w:p>
    <w:p w14:paraId="4CAB5387">
      <w:pPr>
        <w:adjustRightInd w:val="0"/>
        <w:snapToGrid w:val="0"/>
        <w:spacing w:line="360" w:lineRule="auto"/>
        <w:ind w:firstLine="440" w:firstLineChars="200"/>
        <w:rPr>
          <w:rFonts w:hint="eastAsia"/>
          <w:spacing w:val="-10"/>
        </w:rPr>
      </w:pPr>
      <w:r>
        <w:rPr>
          <w:rFonts w:hint="eastAsia"/>
          <w:spacing w:val="-10"/>
        </w:rPr>
        <w:t>⑥</w:t>
      </w:r>
      <w:r>
        <w:rPr>
          <w:spacing w:val="-10"/>
        </w:rPr>
        <w:t>主要生产厂房有两个以上的安全出口，每层厂房的疏散楼梯、走道门、厂房内最远工作地点到外部出口或楼梯的距离均符合应急疏散规定。同时整个装置设环形安全消防通道，以利于事故状态下人员的疏散和抢救。</w:t>
      </w:r>
    </w:p>
    <w:p w14:paraId="63B03A28">
      <w:pPr>
        <w:adjustRightInd w:val="0"/>
        <w:snapToGrid w:val="0"/>
        <w:spacing w:line="360" w:lineRule="auto"/>
        <w:ind w:firstLine="440" w:firstLineChars="200"/>
        <w:rPr>
          <w:rFonts w:hint="eastAsia"/>
          <w:spacing w:val="-10"/>
        </w:rPr>
      </w:pPr>
      <w:r>
        <w:rPr>
          <w:rFonts w:hint="eastAsia"/>
          <w:spacing w:val="-10"/>
        </w:rPr>
        <w:t>⑦</w:t>
      </w:r>
      <w:r>
        <w:rPr>
          <w:spacing w:val="-10"/>
        </w:rPr>
        <w:t>电气设备的正常不带电的金属外壳、电缆金属外皮、电缆支架等均做保护接地；合理确定管道的材质、壁厚、压力等级参数，对管件、法兰、垫片及紧固件进行合理选型。设备和管道的设计、制造、安装和试压应符合国家标准和有关规范要求，压力容器和压力管道投入运前，应取得有关部门的检测合格证明。选用高质量的设备、管件、阀门等，避免因设计不当引起腐蚀与泄露。建设单位在安装过程中严格保证安装质量，生产单位在运行过程中严格操作管理和日常维护，严防生产、维修和储运过程中物料的跑冒滴漏发生。</w:t>
      </w:r>
    </w:p>
    <w:p w14:paraId="7AB401BF">
      <w:pPr>
        <w:adjustRightInd w:val="0"/>
        <w:snapToGrid w:val="0"/>
        <w:spacing w:line="360" w:lineRule="auto"/>
        <w:ind w:firstLine="440" w:firstLineChars="200"/>
        <w:rPr>
          <w:rFonts w:hint="eastAsia"/>
          <w:spacing w:val="-10"/>
        </w:rPr>
      </w:pPr>
      <w:r>
        <w:rPr>
          <w:rFonts w:hint="eastAsia"/>
          <w:spacing w:val="-10"/>
        </w:rPr>
        <w:t>⑧</w:t>
      </w:r>
      <w:r>
        <w:rPr>
          <w:spacing w:val="-10"/>
        </w:rPr>
        <w:t>当装置发生火灾或爆炸时</w:t>
      </w:r>
      <w:r>
        <w:rPr>
          <w:rFonts w:hint="eastAsia"/>
          <w:spacing w:val="-10"/>
        </w:rPr>
        <w:t>，应根据</w:t>
      </w:r>
      <w:r>
        <w:rPr>
          <w:spacing w:val="-10"/>
        </w:rPr>
        <w:t>事故级别启动应急预案；</w:t>
      </w:r>
      <w:r>
        <w:rPr>
          <w:rFonts w:hint="eastAsia"/>
          <w:spacing w:val="-10"/>
        </w:rPr>
        <w:t>并</w:t>
      </w:r>
      <w:r>
        <w:rPr>
          <w:spacing w:val="-10"/>
        </w:rPr>
        <w:t>疏散周围居住区人群。</w:t>
      </w:r>
    </w:p>
    <w:p w14:paraId="66B3E7D5">
      <w:pPr>
        <w:adjustRightInd w:val="0"/>
        <w:snapToGrid w:val="0"/>
        <w:spacing w:line="360" w:lineRule="auto"/>
        <w:ind w:firstLine="440" w:firstLineChars="200"/>
        <w:rPr>
          <w:rFonts w:hint="eastAsia"/>
          <w:spacing w:val="-10"/>
        </w:rPr>
      </w:pPr>
      <w:r>
        <w:rPr>
          <w:rFonts w:hint="eastAsia"/>
          <w:spacing w:val="-10"/>
        </w:rPr>
        <w:t>⑨</w:t>
      </w:r>
      <w:r>
        <w:rPr>
          <w:spacing w:val="-10"/>
        </w:rPr>
        <w:t>危险化学品储存和装卸场所应符合卫生防护距离应符合要求；场区内具有良好的自然通风条件；功能分区内各项设施的布置应紧凑、合理；功能分区内部和相互之间保持一定的通道和宽度；储存和装卸场所应集中布置在厂区边缘地带，应在工厂全年最小频率风向的上方位；储存场所应设有毒气体检测报警仪或可燃可燃气体监测报警仪，并设置相应的安全标志</w:t>
      </w:r>
      <w:r>
        <w:rPr>
          <w:rFonts w:hint="eastAsia"/>
          <w:spacing w:val="-10"/>
        </w:rPr>
        <w:t>。</w:t>
      </w:r>
    </w:p>
    <w:p w14:paraId="0708B629">
      <w:pPr>
        <w:adjustRightInd w:val="0"/>
        <w:snapToGrid w:val="0"/>
        <w:spacing w:line="360" w:lineRule="auto"/>
        <w:ind w:firstLine="440" w:firstLineChars="200"/>
        <w:rPr>
          <w:rFonts w:hint="eastAsia"/>
          <w:spacing w:val="-10"/>
        </w:rPr>
      </w:pPr>
      <w:r>
        <w:rPr>
          <w:rFonts w:hint="eastAsia"/>
          <w:spacing w:val="-10"/>
        </w:rPr>
        <w:t>⑩</w:t>
      </w:r>
      <w:r>
        <w:rPr>
          <w:spacing w:val="-10"/>
        </w:rPr>
        <w:t>按照《石油化工企业可燃气体和有毒气体检测报警设计规范》在工艺装置区、危险物质贮存区等有可燃、有毒气体的装置处，设置固定式可燃气体报警仪和毒气报警仪（要求具有自动报警功能），操作人员配备便携式气体报警器，及时发现和处理气体泄漏事故。</w:t>
      </w:r>
    </w:p>
    <w:p w14:paraId="03C49112">
      <w:pPr>
        <w:adjustRightInd w:val="0"/>
        <w:snapToGrid w:val="0"/>
        <w:spacing w:line="360" w:lineRule="auto"/>
        <w:ind w:firstLine="440" w:firstLineChars="200"/>
        <w:rPr>
          <w:rFonts w:hint="eastAsia"/>
          <w:spacing w:val="-10"/>
        </w:rPr>
      </w:pPr>
      <w:r>
        <w:rPr>
          <w:rFonts w:hint="eastAsia"/>
          <w:spacing w:val="-10"/>
        </w:rPr>
        <w:t>4）</w:t>
      </w:r>
      <w:r>
        <w:rPr>
          <w:rFonts w:hint="eastAsia"/>
        </w:rPr>
        <w:t>自动控制设计安全防范措施</w:t>
      </w:r>
    </w:p>
    <w:p w14:paraId="26FE05AE">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①本项目实施后，实现控制、管理、运营一体化，全厂生产装置、公用工程及辅助系统的自动控制及工厂信息管理具有国内先进水平。</w:t>
      </w:r>
    </w:p>
    <w:p w14:paraId="7A2CA924">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②本项目生产装置、公用工程及辅助设施的监视、控制和管理通过采用分散型控制系统（</w:t>
      </w:r>
      <w:r>
        <w:rPr>
          <w:color w:val="000000" w:themeColor="text1"/>
          <w14:textFill>
            <w14:solidFill>
              <w14:schemeClr w14:val="tx1"/>
            </w14:solidFill>
          </w14:textFill>
        </w:rPr>
        <w:t>DCS</w:t>
      </w:r>
      <w:r>
        <w:rPr>
          <w:rFonts w:hint="eastAsia" w:ascii="宋体" w:hAnsi="宋体" w:cs="宋体"/>
          <w:color w:val="000000" w:themeColor="text1"/>
          <w14:textFill>
            <w14:solidFill>
              <w14:schemeClr w14:val="tx1"/>
            </w14:solidFill>
          </w14:textFill>
        </w:rPr>
        <w:t>）及其它系统完成，在中央控制室进行集中操作和管理。安全仪表系统（</w:t>
      </w:r>
      <w:r>
        <w:rPr>
          <w:color w:val="000000" w:themeColor="text1"/>
          <w14:textFill>
            <w14:solidFill>
              <w14:schemeClr w14:val="tx1"/>
            </w14:solidFill>
          </w14:textFill>
        </w:rPr>
        <w:t>SIS</w:t>
      </w:r>
      <w:r>
        <w:rPr>
          <w:rFonts w:hint="eastAsia" w:ascii="宋体" w:hAnsi="宋体" w:cs="宋体"/>
          <w:color w:val="000000" w:themeColor="text1"/>
          <w14:textFill>
            <w14:solidFill>
              <w14:schemeClr w14:val="tx1"/>
            </w14:solidFill>
          </w14:textFill>
        </w:rPr>
        <w:t>）、可燃气体</w:t>
      </w:r>
      <w:r>
        <w:rPr>
          <w:color w:val="000000" w:themeColor="text1"/>
          <w14:textFill>
            <w14:solidFill>
              <w14:schemeClr w14:val="tx1"/>
            </w14:solidFill>
          </w14:textFill>
        </w:rPr>
        <w:t>/</w:t>
      </w:r>
      <w:r>
        <w:rPr>
          <w:rFonts w:hint="eastAsia" w:ascii="宋体" w:hAnsi="宋体" w:cs="宋体"/>
          <w:color w:val="000000" w:themeColor="text1"/>
          <w14:textFill>
            <w14:solidFill>
              <w14:schemeClr w14:val="tx1"/>
            </w14:solidFill>
          </w14:textFill>
        </w:rPr>
        <w:t>有毒气体检测系统（</w:t>
      </w:r>
      <w:r>
        <w:rPr>
          <w:color w:val="000000" w:themeColor="text1"/>
          <w14:textFill>
            <w14:solidFill>
              <w14:schemeClr w14:val="tx1"/>
            </w14:solidFill>
          </w14:textFill>
        </w:rPr>
        <w:t>FGDS</w:t>
      </w:r>
      <w:r>
        <w:rPr>
          <w:rFonts w:hint="eastAsia" w:ascii="宋体" w:hAnsi="宋体" w:cs="宋体"/>
          <w:color w:val="000000" w:themeColor="text1"/>
          <w14:textFill>
            <w14:solidFill>
              <w14:schemeClr w14:val="tx1"/>
            </w14:solidFill>
          </w14:textFill>
        </w:rPr>
        <w:t>）等分别独立于</w:t>
      </w:r>
      <w:r>
        <w:rPr>
          <w:color w:val="000000" w:themeColor="text1"/>
          <w14:textFill>
            <w14:solidFill>
              <w14:schemeClr w14:val="tx1"/>
            </w14:solidFill>
          </w14:textFill>
        </w:rPr>
        <w:t xml:space="preserve">DCS </w:t>
      </w:r>
      <w:r>
        <w:rPr>
          <w:rFonts w:hint="eastAsia" w:ascii="宋体" w:hAnsi="宋体" w:cs="宋体"/>
          <w:color w:val="000000" w:themeColor="text1"/>
          <w14:textFill>
            <w14:solidFill>
              <w14:schemeClr w14:val="tx1"/>
            </w14:solidFill>
          </w14:textFill>
        </w:rPr>
        <w:t>系统和其他系统单独设置。</w:t>
      </w:r>
    </w:p>
    <w:p w14:paraId="1E61CE7B">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③根据生产装置的工艺要求全部或部分采用和实施先进控制（</w:t>
      </w:r>
      <w:r>
        <w:rPr>
          <w:color w:val="000000" w:themeColor="text1"/>
          <w14:textFill>
            <w14:solidFill>
              <w14:schemeClr w14:val="tx1"/>
            </w14:solidFill>
          </w14:textFill>
        </w:rPr>
        <w:t>APC</w:t>
      </w:r>
      <w:r>
        <w:rPr>
          <w:rFonts w:hint="eastAsia" w:ascii="宋体" w:hAnsi="宋体" w:cs="宋体"/>
          <w:color w:val="000000" w:themeColor="text1"/>
          <w14:textFill>
            <w14:solidFill>
              <w14:schemeClr w14:val="tx1"/>
            </w14:solidFill>
          </w14:textFill>
        </w:rPr>
        <w:t>）。</w:t>
      </w:r>
    </w:p>
    <w:p w14:paraId="293AF6AA">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④各现场机柜间的控制系统均应设置与全厂管理网的通信接口。</w:t>
      </w:r>
    </w:p>
    <w:p w14:paraId="56159127">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⑤本项目控制系统和信息管理系统的总体结构分为过程控制层（</w:t>
      </w:r>
      <w:r>
        <w:rPr>
          <w:color w:val="000000" w:themeColor="text1"/>
          <w14:textFill>
            <w14:solidFill>
              <w14:schemeClr w14:val="tx1"/>
            </w14:solidFill>
          </w14:textFill>
        </w:rPr>
        <w:t>PCS</w:t>
      </w:r>
      <w:r>
        <w:rPr>
          <w:rFonts w:hint="eastAsia" w:ascii="宋体" w:hAnsi="宋体" w:cs="宋体"/>
          <w:color w:val="000000" w:themeColor="text1"/>
          <w14:textFill>
            <w14:solidFill>
              <w14:schemeClr w14:val="tx1"/>
            </w14:solidFill>
          </w14:textFill>
        </w:rPr>
        <w:t>）、生产运行管理层（</w:t>
      </w:r>
      <w:r>
        <w:rPr>
          <w:color w:val="000000" w:themeColor="text1"/>
          <w14:textFill>
            <w14:solidFill>
              <w14:schemeClr w14:val="tx1"/>
            </w14:solidFill>
          </w14:textFill>
        </w:rPr>
        <w:t>MES</w:t>
      </w:r>
      <w:r>
        <w:rPr>
          <w:rFonts w:hint="eastAsia" w:ascii="宋体" w:hAnsi="宋体" w:cs="宋体"/>
          <w:color w:val="000000" w:themeColor="text1"/>
          <w14:textFill>
            <w14:solidFill>
              <w14:schemeClr w14:val="tx1"/>
            </w14:solidFill>
          </w14:textFill>
        </w:rPr>
        <w:t>）。</w:t>
      </w:r>
    </w:p>
    <w:p w14:paraId="146E6441">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自控设计具备以下功能：</w:t>
      </w:r>
    </w:p>
    <w:p w14:paraId="6A08D858">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生产过程工艺参数的集中监视；</w:t>
      </w:r>
    </w:p>
    <w:p w14:paraId="706093CA">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工艺参数的自动控制；</w:t>
      </w:r>
    </w:p>
    <w:p w14:paraId="441294D5">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过程参数超限报警；</w:t>
      </w:r>
    </w:p>
    <w:p w14:paraId="17E49150">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重要环节的联锁保护；</w:t>
      </w:r>
    </w:p>
    <w:p w14:paraId="7CF9B657">
      <w:pPr>
        <w:adjustRightInd w:val="0"/>
        <w:snapToGrid w:val="0"/>
        <w:spacing w:line="360" w:lineRule="auto"/>
        <w:ind w:firstLine="480" w:firstLineChars="200"/>
        <w:rPr>
          <w:rFonts w:hint="eastAsia"/>
          <w:spacing w:val="-10"/>
        </w:rPr>
      </w:pPr>
      <w:r>
        <w:rPr>
          <w:rFonts w:hint="eastAsia"/>
          <w:color w:val="000000" w:themeColor="text1"/>
          <w14:textFill>
            <w14:solidFill>
              <w14:schemeClr w14:val="tx1"/>
            </w14:solidFill>
          </w14:textFill>
        </w:rPr>
        <w:t>中央调度室设有工厂管理网络连接接口，最终实现管、控、营销一体化。集中监控可采用区域集中监控和全厂集中监控两种方式。</w:t>
      </w:r>
    </w:p>
    <w:p w14:paraId="7E0FAB76">
      <w:pPr>
        <w:adjustRightInd w:val="0"/>
        <w:snapToGrid w:val="0"/>
        <w:spacing w:line="360" w:lineRule="auto"/>
        <w:ind w:firstLine="440" w:firstLineChars="200"/>
        <w:rPr>
          <w:rFonts w:hint="eastAsia"/>
          <w:spacing w:val="-10"/>
        </w:rPr>
      </w:pPr>
      <w:r>
        <w:rPr>
          <w:rFonts w:hint="eastAsia"/>
          <w:spacing w:val="-10"/>
        </w:rPr>
        <w:t>5）消防设施</w:t>
      </w:r>
    </w:p>
    <w:p w14:paraId="59651EBB">
      <w:pPr>
        <w:pStyle w:val="42"/>
        <w:ind w:firstLine="48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厂区消防系统主要有：消防水系统、泡沫混合液系统、移动灭火器系统等。</w:t>
      </w:r>
    </w:p>
    <w:p w14:paraId="1758CD1E">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本项目消防设施和措施如下：</w:t>
      </w:r>
    </w:p>
    <w:p w14:paraId="44C1C1ED">
      <w:pPr>
        <w:pStyle w:val="4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①消防水源</w:t>
      </w:r>
    </w:p>
    <w:p w14:paraId="58398C9E">
      <w:pPr>
        <w:pStyle w:val="42"/>
        <w:ind w:firstLine="480"/>
        <w:rPr>
          <w:color w:val="000000" w:themeColor="text1"/>
          <w14:textFill>
            <w14:solidFill>
              <w14:schemeClr w14:val="tx1"/>
            </w14:solidFill>
          </w14:textFill>
        </w:rPr>
      </w:pPr>
      <w:r>
        <w:rPr>
          <w:color w:val="000000" w:themeColor="text1"/>
          <w14:textFill>
            <w14:solidFill>
              <w14:schemeClr w14:val="tx1"/>
            </w14:solidFill>
          </w14:textFill>
        </w:rPr>
        <w:t>本项目厂区消防水池补水来自园区供水，消防供水能力125m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/h，补水管管径DN150，补水时间为</w:t>
      </w:r>
      <w:r>
        <w:rPr>
          <w:rFonts w:hint="eastAsia"/>
          <w:color w:val="000000" w:themeColor="text1"/>
          <w14:textFill>
            <w14:solidFill>
              <w14:schemeClr w14:val="tx1"/>
            </w14:solidFill>
          </w14:textFill>
        </w:rPr>
        <w:t>36</w:t>
      </w:r>
      <w:r>
        <w:rPr>
          <w:color w:val="000000" w:themeColor="text1"/>
          <w14:textFill>
            <w14:solidFill>
              <w14:schemeClr w14:val="tx1"/>
            </w14:solidFill>
          </w14:textFill>
        </w:rPr>
        <w:t>h。消防水池设置消防水位控制液位，在水池液位低于控制液位时，液位</w:t>
      </w:r>
      <w:r>
        <w:rPr>
          <w:rFonts w:hint="eastAsia"/>
          <w:color w:val="000000" w:themeColor="text1"/>
          <w14:textFill>
            <w14:solidFill>
              <w14:schemeClr w14:val="tx1"/>
            </w14:solidFill>
          </w14:textFill>
        </w:rPr>
        <w:t>联锁</w:t>
      </w:r>
      <w:r>
        <w:rPr>
          <w:color w:val="000000" w:themeColor="text1"/>
          <w14:textFill>
            <w14:solidFill>
              <w14:schemeClr w14:val="tx1"/>
            </w14:solidFill>
          </w14:textFill>
        </w:rPr>
        <w:t>开启补水管控制阀。保证水池有足够的消防用水。</w:t>
      </w:r>
    </w:p>
    <w:p w14:paraId="32D47C57">
      <w:pPr>
        <w:pStyle w:val="42"/>
        <w:ind w:firstLine="480"/>
        <w:rPr>
          <w:color w:val="000000" w:themeColor="text1"/>
          <w14:textFill>
            <w14:solidFill>
              <w14:schemeClr w14:val="tx1"/>
            </w14:solidFill>
          </w14:textFill>
        </w:rPr>
      </w:pPr>
      <w:r>
        <w:rPr>
          <w:color w:val="000000" w:themeColor="text1"/>
          <w14:textFill>
            <w14:solidFill>
              <w14:schemeClr w14:val="tx1"/>
            </w14:solidFill>
          </w14:textFill>
        </w:rPr>
        <w:t>本项目设置消防泵站，站内2座有效容积不小于</w:t>
      </w:r>
      <w:r>
        <w:rPr>
          <w:rFonts w:hint="eastAsia"/>
          <w:color w:val="000000" w:themeColor="text1"/>
          <w14:textFill>
            <w14:solidFill>
              <w14:schemeClr w14:val="tx1"/>
            </w14:solidFill>
          </w14:textFill>
        </w:rPr>
        <w:t>2250</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消防水池，1座消防泵房。</w:t>
      </w:r>
    </w:p>
    <w:p w14:paraId="1CB2E183">
      <w:pPr>
        <w:pStyle w:val="4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②</w:t>
      </w:r>
      <w:r>
        <w:rPr>
          <w:color w:val="000000" w:themeColor="text1"/>
          <w14:textFill>
            <w14:solidFill>
              <w14:schemeClr w14:val="tx1"/>
            </w14:solidFill>
          </w14:textFill>
        </w:rPr>
        <w:t>消防水管网</w:t>
      </w:r>
    </w:p>
    <w:p w14:paraId="15821225">
      <w:pPr>
        <w:pStyle w:val="54"/>
        <w:rPr>
          <w:rFonts w:hint="eastAsia" w:ascii="宋体" w:hAnsi="宋体" w:cs="宋体"/>
          <w:color w:val="000000" w:themeColor="text1"/>
          <w14:textFill>
            <w14:solidFill>
              <w14:schemeClr w14:val="tx1"/>
            </w14:solidFill>
          </w14:textFill>
        </w:rPr>
      </w:pPr>
      <w:r>
        <w:rPr>
          <w:color w:val="000000" w:themeColor="text1"/>
          <w14:textFill>
            <w14:solidFill>
              <w14:schemeClr w14:val="tx1"/>
            </w14:solidFill>
          </w14:textFill>
        </w:rPr>
        <w:t>在厂区内及装置区四周沿消防道路设置环状消防水管道，主管径为DN400。在消防水管道上设置地上式消火栓和固定消防水炮，间距不大于60m，满足本工程的消防要求。</w:t>
      </w:r>
    </w:p>
    <w:p w14:paraId="39FEC7B8">
      <w:pPr>
        <w:pStyle w:val="4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③消防控制</w:t>
      </w:r>
    </w:p>
    <w:p w14:paraId="7E40B31C">
      <w:pPr>
        <w:pStyle w:val="42"/>
        <w:ind w:firstLine="480"/>
        <w:rPr>
          <w:color w:val="000000" w:themeColor="text1"/>
          <w14:textFill>
            <w14:solidFill>
              <w14:schemeClr w14:val="tx1"/>
            </w14:solidFill>
          </w14:textFill>
        </w:rPr>
      </w:pPr>
      <w:r>
        <w:rPr>
          <w:color w:val="000000" w:themeColor="text1"/>
          <w14:textFill>
            <w14:solidFill>
              <w14:schemeClr w14:val="tx1"/>
            </w14:solidFill>
          </w14:textFill>
        </w:rPr>
        <w:t>消防泵站内设置消防控制柜，消防控制柜负责消防泵站内的所有</w:t>
      </w:r>
      <w:r>
        <w:rPr>
          <w:rFonts w:hint="eastAsia"/>
          <w:color w:val="000000" w:themeColor="text1"/>
          <w14:textFill>
            <w14:solidFill>
              <w14:schemeClr w14:val="tx1"/>
            </w14:solidFill>
          </w14:textFill>
        </w:rPr>
        <w:t>联锁</w:t>
      </w:r>
      <w:r>
        <w:rPr>
          <w:color w:val="000000" w:themeColor="text1"/>
          <w14:textFill>
            <w14:solidFill>
              <w14:schemeClr w14:val="tx1"/>
            </w14:solidFill>
          </w14:textFill>
        </w:rPr>
        <w:t>，并负责与消防控制中心的信号通讯。消防稳压泵维持管网压力在0.7~0.9MPa。当检测压力低于0.75MPa，启动稳压泵，在检测压力高于0.85MPa时停止稳压泵。当启用消防设施，消防管网持续泄压，系统管网压力降至0.7MPa以下时，消防电泵通过消防控制柜联锁系统启动，消防电泵无法启动，消防控制柜</w:t>
      </w:r>
      <w:r>
        <w:rPr>
          <w:rFonts w:hint="eastAsia"/>
          <w:color w:val="000000" w:themeColor="text1"/>
          <w14:textFill>
            <w14:solidFill>
              <w14:schemeClr w14:val="tx1"/>
            </w14:solidFill>
          </w14:textFill>
        </w:rPr>
        <w:t>联锁</w:t>
      </w:r>
      <w:r>
        <w:rPr>
          <w:color w:val="000000" w:themeColor="text1"/>
          <w14:textFill>
            <w14:solidFill>
              <w14:schemeClr w14:val="tx1"/>
            </w14:solidFill>
          </w14:textFill>
        </w:rPr>
        <w:t>启动消防柴油泵</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消防电泵/柴油泵启动后，稳压泵停止工作</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同时向控制中心发出报警信号（稳压泵在事故状态下停止工作）。除联锁动作之外</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消防泵也能在接到火灾报警信号后远程手动或现场手动启动，且自动启动和手动启动能自由切换</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现场操作停泵。安全泄压阀的设定泄放压力为0.9MPa，系统管网压力超过0.9MPa时，自动泄压，回流至消防水罐。</w:t>
      </w:r>
    </w:p>
    <w:p w14:paraId="13242E23">
      <w:pPr>
        <w:pStyle w:val="4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④泡沫系统</w:t>
      </w:r>
    </w:p>
    <w:p w14:paraId="6E0ABD05">
      <w:pPr>
        <w:pStyle w:val="42"/>
        <w:ind w:firstLine="480"/>
        <w:rPr>
          <w:color w:val="000000" w:themeColor="text1"/>
          <w14:textFill>
            <w14:solidFill>
              <w14:schemeClr w14:val="tx1"/>
            </w14:solidFill>
          </w14:textFill>
        </w:rPr>
      </w:pPr>
      <w:r>
        <w:rPr>
          <w:color w:val="000000" w:themeColor="text1"/>
          <w14:textFill>
            <w14:solidFill>
              <w14:schemeClr w14:val="tx1"/>
            </w14:solidFill>
          </w14:textFill>
        </w:rPr>
        <w:t>本工程罐区的泡沫消防采用固定式泡沫消防系统，泡沫用量按照最大的</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000m³内浮顶设置</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个PCL</w:t>
      </w:r>
      <w:r>
        <w:rPr>
          <w:rFonts w:hint="eastAsia"/>
          <w:color w:val="000000" w:themeColor="text1"/>
          <w14:textFill>
            <w14:solidFill>
              <w14:schemeClr w14:val="tx1"/>
            </w14:solidFill>
          </w14:textFill>
        </w:rPr>
        <w:t>8</w:t>
      </w:r>
      <w:r>
        <w:rPr>
          <w:color w:val="000000" w:themeColor="text1"/>
          <w14:textFill>
            <w14:solidFill>
              <w14:schemeClr w14:val="tx1"/>
            </w14:solidFill>
          </w14:textFill>
        </w:rPr>
        <w:t>泡沫产生器，配置用于扑救液体流散火灾的辅助泡沫枪</w:t>
      </w:r>
      <w:r>
        <w:rPr>
          <w:rFonts w:hint="eastAsia"/>
          <w:color w:val="000000" w:themeColor="text1"/>
          <w14:textFill>
            <w14:solidFill>
              <w14:schemeClr w14:val="tx1"/>
            </w14:solidFill>
          </w14:textFill>
        </w:rPr>
        <w:t>8</w:t>
      </w:r>
      <w:r>
        <w:rPr>
          <w:color w:val="000000" w:themeColor="text1"/>
          <w14:textFill>
            <w14:solidFill>
              <w14:schemeClr w14:val="tx1"/>
            </w14:solidFill>
          </w14:textFill>
        </w:rPr>
        <w:t>支，泡沫混合液流量为3</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L/s。泡沫供给时间分别为60min和20min，泡沫比3%，所需消防泡沫原液总量为</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000L。</w:t>
      </w:r>
    </w:p>
    <w:p w14:paraId="2D024D86">
      <w:pPr>
        <w:pStyle w:val="42"/>
        <w:ind w:firstLine="480"/>
        <w:rPr>
          <w:color w:val="000000" w:themeColor="text1"/>
          <w14:textFill>
            <w14:solidFill>
              <w14:schemeClr w14:val="tx1"/>
            </w14:solidFill>
          </w14:textFill>
        </w:rPr>
      </w:pPr>
      <w:r>
        <w:rPr>
          <w:color w:val="000000" w:themeColor="text1"/>
          <w14:textFill>
            <w14:solidFill>
              <w14:schemeClr w14:val="tx1"/>
            </w14:solidFill>
          </w14:textFill>
        </w:rPr>
        <w:t>项目</w:t>
      </w:r>
      <w:r>
        <w:rPr>
          <w:rFonts w:hint="eastAsia"/>
          <w:color w:val="000000" w:themeColor="text1"/>
          <w14:textFill>
            <w14:solidFill>
              <w14:schemeClr w14:val="tx1"/>
            </w14:solidFill>
          </w14:textFill>
        </w:rPr>
        <w:t>一期建设</w:t>
      </w:r>
      <w:r>
        <w:rPr>
          <w:color w:val="000000" w:themeColor="text1"/>
          <w14:textFill>
            <w14:solidFill>
              <w14:schemeClr w14:val="tx1"/>
            </w14:solidFill>
          </w14:textFill>
        </w:rPr>
        <w:t>泡沫站一座，泡沫站内设压力式泡沫比例混合装置一套，泡沫原液为抗溶水成膜原液；混合比为3%；流量为3</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L/s，泡沫罐容积</w:t>
      </w:r>
      <w:r>
        <w:rPr>
          <w:rFonts w:hint="eastAsia"/>
          <w:color w:val="000000" w:themeColor="text1"/>
          <w14:textFill>
            <w14:solidFill>
              <w14:schemeClr w14:val="tx1"/>
            </w14:solidFill>
          </w14:textFill>
        </w:rPr>
        <w:t>32</w:t>
      </w:r>
      <w:r>
        <w:rPr>
          <w:color w:val="000000" w:themeColor="text1"/>
          <w14:textFill>
            <w14:solidFill>
              <w14:schemeClr w14:val="tx1"/>
            </w14:solidFill>
          </w14:textFill>
        </w:rPr>
        <w:t>00L。在罐组周围设置泡沫管网，管道上设置泡沫栓，泡沫消防系统水源取自泡沫站附近消防水管网。</w:t>
      </w:r>
    </w:p>
    <w:p w14:paraId="4C64C5F3">
      <w:pPr>
        <w:pStyle w:val="4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⑤灭火器</w:t>
      </w:r>
    </w:p>
    <w:p w14:paraId="510AE4ED">
      <w:pPr>
        <w:pStyle w:val="42"/>
        <w:ind w:firstLine="480"/>
        <w:rPr>
          <w:color w:val="000000" w:themeColor="text1"/>
          <w14:textFill>
            <w14:solidFill>
              <w14:schemeClr w14:val="tx1"/>
            </w14:solidFill>
          </w14:textFill>
        </w:rPr>
      </w:pPr>
      <w:r>
        <w:rPr>
          <w:color w:val="000000" w:themeColor="text1"/>
          <w14:textFill>
            <w14:solidFill>
              <w14:schemeClr w14:val="tx1"/>
            </w14:solidFill>
          </w14:textFill>
        </w:rPr>
        <w:t>依据《石油化工企业设计防火标准》及《建筑灭火器配置设计规范》要求，在厂内装置区、罐区以及各建筑单体内设置一定数量的小型灭火器，有效地扑救初起火灾，减少火灾损失</w:t>
      </w:r>
      <w:r>
        <w:rPr>
          <w:rFonts w:hint="eastAsia"/>
          <w:color w:val="000000" w:themeColor="text1"/>
          <w14:textFill>
            <w14:solidFill>
              <w14:schemeClr w14:val="tx1"/>
            </w14:solidFill>
          </w14:textFill>
        </w:rPr>
        <w:t>。</w:t>
      </w:r>
    </w:p>
    <w:p w14:paraId="29FD3649">
      <w:pPr>
        <w:pStyle w:val="4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⑥</w:t>
      </w:r>
      <w:r>
        <w:rPr>
          <w:color w:val="000000" w:themeColor="text1"/>
          <w14:textFill>
            <w14:solidFill>
              <w14:schemeClr w14:val="tx1"/>
            </w14:solidFill>
          </w14:textFill>
        </w:rPr>
        <w:t>消防竖管及蒸汽灭火系统</w:t>
      </w:r>
    </w:p>
    <w:p w14:paraId="72184E5B">
      <w:pPr>
        <w:pStyle w:val="54"/>
        <w:rPr>
          <w:color w:val="000000" w:themeColor="text1"/>
          <w14:textFill>
            <w14:solidFill>
              <w14:schemeClr w14:val="tx1"/>
            </w14:solidFill>
          </w14:textFill>
        </w:rPr>
      </w:pPr>
      <w:r>
        <w:rPr>
          <w:color w:val="000000" w:themeColor="text1"/>
          <w14:textFill>
            <w14:solidFill>
              <w14:schemeClr w14:val="tx1"/>
            </w14:solidFill>
          </w14:textFill>
        </w:rPr>
        <w:t>在装置区内高出地面15m的设备构架平台上，沿梯子敷设半固定式的消防给水竖管，在各层平台上设置管牙接口。采用不燃烧材料封闭楼板的各层平台上设置消防软管卷盘箱。</w:t>
      </w:r>
    </w:p>
    <w:p w14:paraId="2982EFF9">
      <w:pPr>
        <w:pStyle w:val="54"/>
        <w:rPr>
          <w:color w:val="000000" w:themeColor="text1"/>
          <w14:textFill>
            <w14:solidFill>
              <w14:schemeClr w14:val="tx1"/>
            </w14:solidFill>
          </w14:textFill>
        </w:rPr>
      </w:pPr>
      <w:r>
        <w:rPr>
          <w:color w:val="000000" w:themeColor="text1"/>
          <w14:textFill>
            <w14:solidFill>
              <w14:schemeClr w14:val="tx1"/>
            </w14:solidFill>
          </w14:textFill>
        </w:rPr>
        <w:t>在装置的以下位置设置蒸汽灭火系统</w:t>
      </w:r>
    </w:p>
    <w:p w14:paraId="1F3CE120">
      <w:pPr>
        <w:pStyle w:val="54"/>
        <w:rPr>
          <w:color w:val="000000" w:themeColor="text1"/>
          <w14:textFill>
            <w14:solidFill>
              <w14:schemeClr w14:val="tx1"/>
            </w14:solidFill>
          </w14:textFill>
        </w:rPr>
      </w:pPr>
      <w:r>
        <w:rPr>
          <w:color w:val="000000" w:themeColor="text1"/>
          <w14:textFill>
            <w14:solidFill>
              <w14:schemeClr w14:val="tx1"/>
            </w14:solidFill>
          </w14:textFill>
        </w:rPr>
        <w:t>在各反应器的进出口管道处分别设置灭火蒸汽环，蒸汽管道上的截断阀门落地安装，并且距离反应器外壁不小于15m。</w:t>
      </w:r>
    </w:p>
    <w:p w14:paraId="2F22562C">
      <w:pPr>
        <w:adjustRightInd w:val="0"/>
        <w:snapToGrid w:val="0"/>
        <w:spacing w:line="360" w:lineRule="auto"/>
        <w:ind w:firstLine="480" w:firstLineChars="200"/>
        <w:rPr>
          <w:rFonts w:hint="eastAsia"/>
          <w:spacing w:val="-10"/>
        </w:rPr>
      </w:pPr>
      <w:r>
        <w:rPr>
          <w:color w:val="000000" w:themeColor="text1"/>
          <w14:textFill>
            <w14:solidFill>
              <w14:schemeClr w14:val="tx1"/>
            </w14:solidFill>
          </w14:textFill>
        </w:rPr>
        <w:t>以上消防蒸汽直接由装置的低压蒸汽总管引出，消防蒸汽不得外接</w:t>
      </w: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使用点，并防止易燃、可燃液体漏入。</w:t>
      </w:r>
    </w:p>
    <w:p w14:paraId="701F8675">
      <w:pPr>
        <w:adjustRightInd w:val="0"/>
        <w:snapToGrid w:val="0"/>
        <w:spacing w:line="360" w:lineRule="auto"/>
        <w:ind w:firstLine="440" w:firstLineChars="200"/>
        <w:rPr>
          <w:rFonts w:hint="eastAsia"/>
          <w:spacing w:val="-10"/>
        </w:rPr>
      </w:pPr>
      <w:r>
        <w:rPr>
          <w:rFonts w:hint="eastAsia"/>
          <w:spacing w:val="-10"/>
        </w:rPr>
        <w:t>6）</w:t>
      </w:r>
      <w:r>
        <w:rPr>
          <w:spacing w:val="-10"/>
        </w:rPr>
        <w:t>水环境风险防范措施</w:t>
      </w:r>
    </w:p>
    <w:p w14:paraId="04762E2B">
      <w:pPr>
        <w:adjustRightInd w:val="0"/>
        <w:snapToGrid w:val="0"/>
        <w:spacing w:line="360" w:lineRule="auto"/>
        <w:ind w:firstLine="440" w:firstLineChars="200"/>
        <w:rPr>
          <w:rFonts w:hint="eastAsia"/>
          <w:spacing w:val="-10"/>
        </w:rPr>
      </w:pPr>
      <w:r>
        <w:rPr>
          <w:rFonts w:hint="eastAsia"/>
          <w:spacing w:val="-10"/>
        </w:rPr>
        <w:t>①</w:t>
      </w:r>
      <w:r>
        <w:rPr>
          <w:spacing w:val="-10"/>
        </w:rPr>
        <w:t>防渗措施</w:t>
      </w:r>
    </w:p>
    <w:p w14:paraId="44D5DE3E">
      <w:pPr>
        <w:adjustRightInd w:val="0"/>
        <w:snapToGrid w:val="0"/>
        <w:spacing w:line="360" w:lineRule="auto"/>
        <w:ind w:firstLine="440" w:firstLineChars="200"/>
        <w:rPr>
          <w:rFonts w:hint="eastAsia"/>
          <w:spacing w:val="-10"/>
        </w:rPr>
      </w:pPr>
      <w:r>
        <w:rPr>
          <w:spacing w:val="-10"/>
        </w:rPr>
        <w:t>本项目罐组</w:t>
      </w:r>
      <w:r>
        <w:rPr>
          <w:rFonts w:hint="eastAsia"/>
          <w:spacing w:val="-10"/>
        </w:rPr>
        <w:t>均</w:t>
      </w:r>
      <w:r>
        <w:rPr>
          <w:spacing w:val="-10"/>
        </w:rPr>
        <w:t>已按照《石油化工工程防渗技术规范》（GB/T50934-2013）进行重点防渗，重点防渗区防渗层的防渗性能不低于6.0m厚、渗透系数为1.0×10</w:t>
      </w:r>
      <w:r>
        <w:rPr>
          <w:spacing w:val="-10"/>
          <w:vertAlign w:val="superscript"/>
        </w:rPr>
        <w:t>-7</w:t>
      </w:r>
      <w:r>
        <w:rPr>
          <w:spacing w:val="-10"/>
        </w:rPr>
        <w:t>cm/s的黏土层的等效防渗性能。</w:t>
      </w:r>
    </w:p>
    <w:p w14:paraId="5BBBDA52">
      <w:pPr>
        <w:adjustRightInd w:val="0"/>
        <w:snapToGrid w:val="0"/>
        <w:spacing w:line="360" w:lineRule="auto"/>
        <w:ind w:firstLine="440" w:firstLineChars="200"/>
        <w:rPr>
          <w:rFonts w:hint="eastAsia"/>
          <w:spacing w:val="-10"/>
        </w:rPr>
      </w:pPr>
      <w:r>
        <w:rPr>
          <w:rFonts w:hint="eastAsia"/>
          <w:spacing w:val="-10"/>
        </w:rPr>
        <w:t>②</w:t>
      </w:r>
      <w:r>
        <w:rPr>
          <w:spacing w:val="-10"/>
        </w:rPr>
        <w:t>防火堤设置</w:t>
      </w:r>
    </w:p>
    <w:p w14:paraId="50B367E9">
      <w:pPr>
        <w:adjustRightInd w:val="0"/>
        <w:snapToGrid w:val="0"/>
        <w:spacing w:line="360" w:lineRule="auto"/>
        <w:ind w:firstLine="440" w:firstLineChars="200"/>
        <w:rPr>
          <w:rFonts w:hint="eastAsia"/>
          <w:spacing w:val="-10"/>
        </w:rPr>
      </w:pPr>
      <w:r>
        <w:rPr>
          <w:spacing w:val="-10"/>
        </w:rPr>
        <w:t>本项目罐组</w:t>
      </w:r>
      <w:r>
        <w:rPr>
          <w:rFonts w:hint="eastAsia"/>
          <w:spacing w:val="-10"/>
        </w:rPr>
        <w:t>均</w:t>
      </w:r>
      <w:r>
        <w:rPr>
          <w:spacing w:val="-10"/>
        </w:rPr>
        <w:t>已按照国家级行业标准建设防火堤，防止污染介质外流扩散造成水体、土壤的大面积环境污染。</w:t>
      </w:r>
    </w:p>
    <w:p w14:paraId="0DA6339C">
      <w:pPr>
        <w:adjustRightInd w:val="0"/>
        <w:snapToGrid w:val="0"/>
        <w:spacing w:line="360" w:lineRule="auto"/>
        <w:ind w:firstLine="440" w:firstLineChars="200"/>
        <w:rPr>
          <w:rFonts w:hint="eastAsia"/>
          <w:spacing w:val="-10"/>
        </w:rPr>
      </w:pPr>
      <w:r>
        <w:rPr>
          <w:rFonts w:hint="eastAsia"/>
          <w:spacing w:val="-10"/>
        </w:rPr>
        <w:t>③</w:t>
      </w:r>
      <w:r>
        <w:rPr>
          <w:spacing w:val="-10"/>
        </w:rPr>
        <w:t>事故废水收集措施</w:t>
      </w:r>
    </w:p>
    <w:p w14:paraId="3C16929B">
      <w:pPr>
        <w:adjustRightInd w:val="0"/>
        <w:snapToGrid w:val="0"/>
        <w:spacing w:line="360" w:lineRule="auto"/>
        <w:ind w:firstLine="440" w:firstLineChars="200"/>
        <w:rPr>
          <w:rFonts w:hint="eastAsia"/>
          <w:spacing w:val="-10"/>
        </w:rPr>
      </w:pPr>
      <w:r>
        <w:rPr>
          <w:spacing w:val="-10"/>
        </w:rPr>
        <w:t>事故工况下，废水主要包括：消防废水、事故情况下的雨污水以及泄漏的物料等。</w:t>
      </w:r>
    </w:p>
    <w:p w14:paraId="49032138">
      <w:pPr>
        <w:adjustRightInd w:val="0"/>
        <w:snapToGrid w:val="0"/>
        <w:spacing w:line="360" w:lineRule="auto"/>
        <w:ind w:firstLine="440" w:firstLineChars="200"/>
        <w:rPr>
          <w:rFonts w:hint="eastAsia"/>
          <w:spacing w:val="-10"/>
        </w:rPr>
      </w:pPr>
      <w:r>
        <w:rPr>
          <w:rFonts w:hint="eastAsia"/>
          <w:spacing w:val="-10"/>
        </w:rPr>
        <w:t>5）</w:t>
      </w:r>
      <w:r>
        <w:rPr>
          <w:spacing w:val="-10"/>
        </w:rPr>
        <w:t>完善三级风险防控体系：</w:t>
      </w:r>
    </w:p>
    <w:p w14:paraId="181E442D">
      <w:pPr>
        <w:adjustRightInd w:val="0"/>
        <w:snapToGrid w:val="0"/>
        <w:spacing w:line="360" w:lineRule="auto"/>
        <w:ind w:firstLine="440" w:firstLineChars="200"/>
        <w:rPr>
          <w:rFonts w:hint="eastAsia"/>
          <w:spacing w:val="-10"/>
        </w:rPr>
      </w:pPr>
      <w:r>
        <w:rPr>
          <w:rFonts w:hint="eastAsia"/>
          <w:spacing w:val="-10"/>
        </w:rPr>
        <w:t>①</w:t>
      </w:r>
      <w:r>
        <w:rPr>
          <w:spacing w:val="-10"/>
        </w:rPr>
        <w:t>一级防控措施</w:t>
      </w:r>
    </w:p>
    <w:p w14:paraId="5C2A3C3A">
      <w:pPr>
        <w:adjustRightInd w:val="0"/>
        <w:snapToGrid w:val="0"/>
        <w:spacing w:line="360" w:lineRule="auto"/>
        <w:ind w:firstLine="440" w:firstLineChars="200"/>
        <w:rPr>
          <w:rFonts w:hint="eastAsia"/>
          <w:spacing w:val="-10"/>
        </w:rPr>
      </w:pPr>
      <w:r>
        <w:rPr>
          <w:spacing w:val="-10"/>
        </w:rPr>
        <w:t>第一级防控系统主要是罐区围堰，收集一般事故泄漏的物料，防止轻微事故泄漏时造成的污染水流出界区。</w:t>
      </w:r>
    </w:p>
    <w:p w14:paraId="5B555AA8">
      <w:pPr>
        <w:adjustRightInd w:val="0"/>
        <w:snapToGrid w:val="0"/>
        <w:spacing w:line="360" w:lineRule="auto"/>
        <w:ind w:firstLine="440" w:firstLineChars="200"/>
        <w:rPr>
          <w:rFonts w:hint="eastAsia"/>
          <w:spacing w:val="-10"/>
        </w:rPr>
      </w:pPr>
      <w:r>
        <w:rPr>
          <w:rFonts w:hint="eastAsia"/>
          <w:spacing w:val="-10"/>
        </w:rPr>
        <w:t>②</w:t>
      </w:r>
      <w:r>
        <w:rPr>
          <w:spacing w:val="-10"/>
        </w:rPr>
        <w:t>二级防控措施</w:t>
      </w:r>
    </w:p>
    <w:p w14:paraId="7483B3D9">
      <w:pPr>
        <w:adjustRightInd w:val="0"/>
        <w:snapToGrid w:val="0"/>
        <w:spacing w:line="360" w:lineRule="auto"/>
        <w:ind w:firstLine="440" w:firstLineChars="200"/>
        <w:rPr>
          <w:rFonts w:hint="eastAsia"/>
          <w:spacing w:val="-10"/>
        </w:rPr>
      </w:pPr>
      <w:r>
        <w:rPr>
          <w:spacing w:val="-10"/>
        </w:rPr>
        <w:t>第二级防控系统主要是罐区。事故状下，罐区安全围堰无法控制事故液体时，则通过罐区配套建设雨水排水系统排入已有排洪渠，渠末端设有电动切换阀，发生事故时，排洪渠末端排向下游的阀门关闭，排洪渠通向事故污水池的阀门打开，使事故液体可顺利进入事故污水池。应急事故池有效容积</w:t>
      </w:r>
      <w:r>
        <w:rPr>
          <w:rFonts w:hint="eastAsia"/>
          <w:spacing w:val="-10"/>
        </w:rPr>
        <w:t>66</w:t>
      </w:r>
      <w:r>
        <w:rPr>
          <w:spacing w:val="-10"/>
        </w:rPr>
        <w:t>00m</w:t>
      </w:r>
      <w:r>
        <w:rPr>
          <w:spacing w:val="-10"/>
          <w:vertAlign w:val="superscript"/>
        </w:rPr>
        <w:t>3</w:t>
      </w:r>
      <w:r>
        <w:rPr>
          <w:spacing w:val="-10"/>
        </w:rPr>
        <w:t>。事故液体通过提升泵分批提升至厂区污水处理站进行处理，防止较大生产事故泄漏物料和污染消防水造成的环境污染。</w:t>
      </w:r>
    </w:p>
    <w:p w14:paraId="7B977D58">
      <w:pPr>
        <w:adjustRightInd w:val="0"/>
        <w:snapToGrid w:val="0"/>
        <w:spacing w:line="360" w:lineRule="auto"/>
        <w:ind w:firstLine="440" w:firstLineChars="200"/>
        <w:rPr>
          <w:rFonts w:hint="eastAsia"/>
          <w:spacing w:val="-10"/>
        </w:rPr>
      </w:pPr>
      <w:r>
        <w:rPr>
          <w:rFonts w:hint="eastAsia"/>
          <w:spacing w:val="-10"/>
        </w:rPr>
        <w:t>③</w:t>
      </w:r>
      <w:r>
        <w:rPr>
          <w:spacing w:val="-10"/>
        </w:rPr>
        <w:t>三级防控措施</w:t>
      </w:r>
    </w:p>
    <w:p w14:paraId="7DB0A05C">
      <w:pPr>
        <w:adjustRightInd w:val="0"/>
        <w:snapToGrid w:val="0"/>
        <w:spacing w:line="360" w:lineRule="auto"/>
        <w:ind w:firstLine="440" w:firstLineChars="200"/>
        <w:rPr>
          <w:rFonts w:hint="eastAsia"/>
          <w:spacing w:val="-10"/>
        </w:rPr>
      </w:pPr>
      <w:r>
        <w:rPr>
          <w:spacing w:val="-10"/>
        </w:rPr>
        <w:t>第三级防控系统为应急事故池。作为事故状态下的储存与调控手段，防止重大事故泄漏物料和污染消防水造成的环境污染。发生重大的火灾、爆炸事故时，消防水及其携带的物料通过第一级、第二级防控系统进入第三级防控系统，进入应急事故池。事故液体通过提升泵分批提升至厂区污水处理站进行处理。</w:t>
      </w:r>
    </w:p>
    <w:p w14:paraId="7C04F250">
      <w:pPr>
        <w:adjustRightInd w:val="0"/>
        <w:snapToGrid w:val="0"/>
        <w:spacing w:line="360" w:lineRule="auto"/>
        <w:ind w:firstLine="440" w:firstLineChars="200"/>
        <w:rPr>
          <w:rFonts w:hint="eastAsia"/>
          <w:spacing w:val="-10"/>
        </w:rPr>
      </w:pPr>
      <w:r>
        <w:rPr>
          <w:rFonts w:hint="eastAsia"/>
          <w:spacing w:val="-10"/>
        </w:rPr>
        <w:t>6）</w:t>
      </w:r>
      <w:r>
        <w:rPr>
          <w:spacing w:val="-10"/>
        </w:rPr>
        <w:t>避免消防伴生污染的安全措施</w:t>
      </w:r>
    </w:p>
    <w:p w14:paraId="64D0E1DE">
      <w:pPr>
        <w:adjustRightInd w:val="0"/>
        <w:snapToGrid w:val="0"/>
        <w:spacing w:line="360" w:lineRule="auto"/>
        <w:ind w:firstLine="440" w:firstLineChars="200"/>
        <w:rPr>
          <w:rFonts w:hint="eastAsia"/>
          <w:spacing w:val="-10"/>
        </w:rPr>
      </w:pPr>
      <w:r>
        <w:rPr>
          <w:spacing w:val="-10"/>
        </w:rPr>
        <w:t>本项目</w:t>
      </w:r>
      <w:r>
        <w:rPr>
          <w:rFonts w:hint="eastAsia"/>
          <w:spacing w:val="-10"/>
        </w:rPr>
        <w:t>柴油、汽油储量</w:t>
      </w:r>
      <w:r>
        <w:rPr>
          <w:spacing w:val="-10"/>
        </w:rPr>
        <w:t>较大，一旦发生火灾事故，在火灾扑救过程中，消防水携带油污会形成消防污水。由于消防水瞬间用量较大，污染消防水的产生量也相应较多，进入厂区污水处理站将对其造成冲击，而污水溢流出排污干线后直排将可能产生伴生污染，对地表水系和地下水系造成污染。</w:t>
      </w:r>
    </w:p>
    <w:p w14:paraId="3C75F6C3">
      <w:pPr>
        <w:adjustRightInd w:val="0"/>
        <w:snapToGrid w:val="0"/>
        <w:spacing w:line="360" w:lineRule="auto"/>
        <w:ind w:firstLine="440" w:firstLineChars="200"/>
        <w:rPr>
          <w:rFonts w:hint="eastAsia"/>
          <w:spacing w:val="-10"/>
        </w:rPr>
      </w:pPr>
      <w:r>
        <w:rPr>
          <w:spacing w:val="-10"/>
        </w:rPr>
        <w:t>厂区建设有应急事故池（有效容积</w:t>
      </w:r>
      <w:r>
        <w:rPr>
          <w:rFonts w:hint="eastAsia"/>
          <w:spacing w:val="-10"/>
        </w:rPr>
        <w:t>66</w:t>
      </w:r>
      <w:r>
        <w:rPr>
          <w:spacing w:val="-10"/>
        </w:rPr>
        <w:t>00m</w:t>
      </w:r>
      <w:r>
        <w:rPr>
          <w:spacing w:val="-10"/>
          <w:vertAlign w:val="superscript"/>
        </w:rPr>
        <w:t>3</w:t>
      </w:r>
      <w:r>
        <w:rPr>
          <w:spacing w:val="-10"/>
        </w:rPr>
        <w:t>），配套泵、管线。事故液体通过提升泵分批提升至厂区污水处理站进行处理。</w:t>
      </w:r>
    </w:p>
    <w:p w14:paraId="14886D03">
      <w:pPr>
        <w:adjustRightInd w:val="0"/>
        <w:snapToGrid w:val="0"/>
        <w:spacing w:line="360" w:lineRule="auto"/>
        <w:ind w:firstLine="440" w:firstLineChars="200"/>
        <w:rPr>
          <w:rFonts w:hint="eastAsia"/>
          <w:spacing w:val="-10"/>
        </w:rPr>
      </w:pPr>
      <w:r>
        <w:rPr>
          <w:rFonts w:hint="eastAsia"/>
          <w:spacing w:val="-10"/>
        </w:rPr>
        <w:t>7）</w:t>
      </w:r>
      <w:r>
        <w:rPr>
          <w:spacing w:val="-10"/>
        </w:rPr>
        <w:t>安全管理方面防范措施</w:t>
      </w:r>
    </w:p>
    <w:p w14:paraId="50CABB38">
      <w:pPr>
        <w:adjustRightInd w:val="0"/>
        <w:snapToGrid w:val="0"/>
        <w:spacing w:line="360" w:lineRule="auto"/>
        <w:ind w:firstLine="440" w:firstLineChars="200"/>
        <w:rPr>
          <w:rFonts w:hint="eastAsia"/>
          <w:spacing w:val="-10"/>
        </w:rPr>
      </w:pPr>
      <w:r>
        <w:rPr>
          <w:rFonts w:hint="eastAsia"/>
          <w:spacing w:val="-10"/>
        </w:rPr>
        <w:t>①</w:t>
      </w:r>
      <w:r>
        <w:rPr>
          <w:spacing w:val="-10"/>
        </w:rPr>
        <w:t>配备安全卫生的兼职检查人员以监督、检查落实安全卫生措施的实施。建立完善的安全卫生制度，加强对全体职工的安全、卫生教育，提高全体职工的安全卫生意识。</w:t>
      </w:r>
    </w:p>
    <w:p w14:paraId="0C7D36DA">
      <w:pPr>
        <w:adjustRightInd w:val="0"/>
        <w:snapToGrid w:val="0"/>
        <w:spacing w:line="360" w:lineRule="auto"/>
        <w:ind w:firstLine="440" w:firstLineChars="200"/>
        <w:rPr>
          <w:rFonts w:hint="eastAsia"/>
          <w:spacing w:val="-10"/>
        </w:rPr>
      </w:pPr>
      <w:r>
        <w:rPr>
          <w:rFonts w:hint="eastAsia"/>
          <w:spacing w:val="-10"/>
        </w:rPr>
        <w:t>②</w:t>
      </w:r>
      <w:r>
        <w:rPr>
          <w:spacing w:val="-10"/>
        </w:rPr>
        <w:t>专业技术知识培训分为管理、工艺、机械、设备、电器、仪表、计算机等专业培训，培训资料采用国内同类工厂资料和本项目的技术资料；岗位、技能适应性培训可按管理、工艺、机械、电器、自控、总控、调度等专业按岗位对口进行，培训人员主要为工段长、操作工人和检修工人。</w:t>
      </w:r>
    </w:p>
    <w:p w14:paraId="3AAE0510">
      <w:pPr>
        <w:adjustRightInd w:val="0"/>
        <w:snapToGrid w:val="0"/>
        <w:spacing w:line="360" w:lineRule="auto"/>
        <w:ind w:firstLine="440" w:firstLineChars="200"/>
        <w:rPr>
          <w:rFonts w:hint="eastAsia"/>
          <w:spacing w:val="-10"/>
        </w:rPr>
      </w:pPr>
      <w:r>
        <w:rPr>
          <w:rFonts w:hint="eastAsia"/>
          <w:spacing w:val="-10"/>
        </w:rPr>
        <w:t>③</w:t>
      </w:r>
      <w:r>
        <w:rPr>
          <w:spacing w:val="-10"/>
        </w:rPr>
        <w:t>建立和完善各级安全生产责任制，并切实落到实处。各级领导和生产管理人员必须重视安全生产，积极推广科学安全管理方法，强化安全操作制度和劳动纪律。</w:t>
      </w:r>
    </w:p>
    <w:p w14:paraId="410515AC">
      <w:pPr>
        <w:adjustRightInd w:val="0"/>
        <w:snapToGrid w:val="0"/>
        <w:spacing w:line="360" w:lineRule="auto"/>
        <w:ind w:firstLine="440" w:firstLineChars="200"/>
        <w:rPr>
          <w:rFonts w:hint="eastAsia"/>
          <w:spacing w:val="-10"/>
        </w:rPr>
      </w:pPr>
      <w:r>
        <w:rPr>
          <w:rFonts w:hint="eastAsia"/>
          <w:spacing w:val="-10"/>
        </w:rPr>
        <w:t>④</w:t>
      </w:r>
      <w:r>
        <w:rPr>
          <w:spacing w:val="-10"/>
        </w:rPr>
        <w:t>对职工要加强职业培训和安全教育。培养职工要有高度的安全生产责任心，并且要熟悉相应的业务，有熟练的操作技能，具备有关物料、设备、设施、工艺参数变动及泄漏等的危险、危害知识，在紧急情况下能采取正确的应急方法。</w:t>
      </w:r>
    </w:p>
    <w:p w14:paraId="7B1D3FAC">
      <w:pPr>
        <w:adjustRightInd w:val="0"/>
        <w:snapToGrid w:val="0"/>
        <w:spacing w:line="360" w:lineRule="auto"/>
        <w:ind w:firstLine="440" w:firstLineChars="200"/>
        <w:rPr>
          <w:rFonts w:hint="eastAsia"/>
          <w:spacing w:val="-10"/>
        </w:rPr>
      </w:pPr>
      <w:r>
        <w:rPr>
          <w:rFonts w:hint="eastAsia"/>
          <w:spacing w:val="-10"/>
        </w:rPr>
        <w:t>⑤</w:t>
      </w:r>
      <w:r>
        <w:rPr>
          <w:spacing w:val="-10"/>
        </w:rPr>
        <w:t>加强对新职工和转岗职工的专业培训、安全教育和考核。新进人员必须经过专业培训和三级安全教育，并经考试合格后方可持证上岗。</w:t>
      </w:r>
    </w:p>
    <w:p w14:paraId="2C20A1AC">
      <w:pPr>
        <w:adjustRightInd w:val="0"/>
        <w:snapToGrid w:val="0"/>
        <w:spacing w:line="360" w:lineRule="auto"/>
        <w:ind w:firstLine="440" w:firstLineChars="200"/>
        <w:rPr>
          <w:rFonts w:hint="eastAsia"/>
          <w:spacing w:val="-10"/>
        </w:rPr>
      </w:pPr>
      <w:r>
        <w:rPr>
          <w:rFonts w:hint="eastAsia"/>
          <w:spacing w:val="-10"/>
        </w:rPr>
        <w:t>⑥</w:t>
      </w:r>
      <w:r>
        <w:rPr>
          <w:spacing w:val="-10"/>
        </w:rPr>
        <w:t>投产前应制定出完善的各项安全生产规章制度并贯彻执行。（如建立并严格执行现场动火制度，现场动火前必须办理书面申请手续和批准手续；如建立对设备定期保养等维修制度，规定定期检修的周期、程序和批准手续，规定定期安全检查和整改的制度等）。设备检修前，应进行彻底置换，需要进入容器内进行维修工作时，应严格执行进入容器作业的各项安全管理规定，严禁违章作业。</w:t>
      </w:r>
    </w:p>
    <w:p w14:paraId="7AE70472">
      <w:pPr>
        <w:adjustRightInd w:val="0"/>
        <w:snapToGrid w:val="0"/>
        <w:spacing w:line="360" w:lineRule="auto"/>
        <w:ind w:firstLine="440" w:firstLineChars="200"/>
        <w:rPr>
          <w:rFonts w:hint="eastAsia"/>
          <w:spacing w:val="-10"/>
        </w:rPr>
      </w:pPr>
      <w:r>
        <w:rPr>
          <w:rFonts w:hint="eastAsia"/>
          <w:spacing w:val="-10"/>
        </w:rPr>
        <w:t>⑦</w:t>
      </w:r>
      <w:r>
        <w:rPr>
          <w:spacing w:val="-10"/>
        </w:rPr>
        <w:t>应针对事故发生情况制定详细的事故应急救援预案，并定期进行演练和检查救援设施器具的良好度。</w:t>
      </w:r>
    </w:p>
    <w:p w14:paraId="0BA275C4">
      <w:pPr>
        <w:adjustRightInd w:val="0"/>
        <w:snapToGrid w:val="0"/>
        <w:spacing w:line="360" w:lineRule="auto"/>
        <w:ind w:firstLine="440" w:firstLineChars="200"/>
        <w:rPr>
          <w:rFonts w:hint="eastAsia"/>
          <w:spacing w:val="-10"/>
        </w:rPr>
      </w:pPr>
      <w:r>
        <w:rPr>
          <w:rFonts w:hint="eastAsia"/>
          <w:spacing w:val="-10"/>
        </w:rPr>
        <w:t>⑧</w:t>
      </w:r>
      <w:r>
        <w:rPr>
          <w:spacing w:val="-10"/>
        </w:rPr>
        <w:t>加强对电工及电气设备的管理，并对职工进行各种电气事故案例的教育，不乱拉临时线、防止各类电气事故的发生。应规定作业场所要严禁手机等个人电子设备的使用，以避免自动控制系统、报警系统受到干扰而引发事故。</w:t>
      </w:r>
    </w:p>
    <w:p w14:paraId="728C867D">
      <w:pPr>
        <w:adjustRightInd w:val="0"/>
        <w:snapToGrid w:val="0"/>
        <w:spacing w:line="360" w:lineRule="auto"/>
        <w:ind w:firstLine="440" w:firstLineChars="200"/>
        <w:rPr>
          <w:rFonts w:hint="eastAsia"/>
          <w:spacing w:val="-10"/>
        </w:rPr>
      </w:pPr>
      <w:r>
        <w:rPr>
          <w:rFonts w:hint="eastAsia"/>
          <w:spacing w:val="-10"/>
        </w:rPr>
        <w:t>⑨</w:t>
      </w:r>
      <w:r>
        <w:rPr>
          <w:spacing w:val="-10"/>
        </w:rPr>
        <w:t>建立健全安全检查制度，定期进行安全检查，及时整改安全隐患，防止事故发生。</w:t>
      </w:r>
    </w:p>
    <w:p w14:paraId="141062A6">
      <w:pPr>
        <w:adjustRightInd w:val="0"/>
        <w:snapToGrid w:val="0"/>
        <w:spacing w:line="360" w:lineRule="auto"/>
        <w:ind w:firstLine="440" w:firstLineChars="200"/>
        <w:rPr>
          <w:rFonts w:hint="eastAsia"/>
          <w:spacing w:val="-10"/>
        </w:rPr>
      </w:pPr>
      <w:r>
        <w:rPr>
          <w:spacing w:val="-10"/>
        </w:rPr>
        <w:t>（2）风险事故应急预案</w:t>
      </w:r>
    </w:p>
    <w:p w14:paraId="53A529E2">
      <w:pPr>
        <w:adjustRightInd w:val="0"/>
        <w:snapToGrid w:val="0"/>
        <w:spacing w:line="360" w:lineRule="auto"/>
        <w:ind w:firstLine="440" w:firstLineChars="200"/>
        <w:rPr>
          <w:rFonts w:hint="eastAsia"/>
          <w:spacing w:val="-10"/>
        </w:rPr>
      </w:pPr>
      <w:r>
        <w:rPr>
          <w:spacing w:val="-10"/>
        </w:rPr>
        <w:t>为预防突发环境污染事故，</w:t>
      </w:r>
      <w:r>
        <w:rPr>
          <w:rFonts w:hint="eastAsia"/>
          <w:spacing w:val="-10"/>
        </w:rPr>
        <w:t>龙都</w:t>
      </w:r>
      <w:r>
        <w:rPr>
          <w:spacing w:val="-10"/>
        </w:rPr>
        <w:t>化工</w:t>
      </w:r>
      <w:r>
        <w:rPr>
          <w:rFonts w:hint="eastAsia"/>
          <w:spacing w:val="-10"/>
        </w:rPr>
        <w:t>应</w:t>
      </w:r>
      <w:r>
        <w:rPr>
          <w:spacing w:val="-10"/>
        </w:rPr>
        <w:t>编制《新疆</w:t>
      </w:r>
      <w:r>
        <w:rPr>
          <w:rFonts w:hint="eastAsia"/>
          <w:spacing w:val="-10"/>
        </w:rPr>
        <w:t>龙都石油</w:t>
      </w:r>
      <w:r>
        <w:rPr>
          <w:spacing w:val="-10"/>
        </w:rPr>
        <w:t>化工有限公司突发环境事件应急预案》，成立应急工作小组，并对突发环境事故安排专门负责人。</w:t>
      </w:r>
    </w:p>
    <w:p w14:paraId="634B3607">
      <w:pPr>
        <w:adjustRightInd w:val="0"/>
        <w:snapToGrid w:val="0"/>
        <w:spacing w:line="360" w:lineRule="auto"/>
        <w:ind w:firstLine="440" w:firstLineChars="200"/>
        <w:rPr>
          <w:rFonts w:hint="eastAsia"/>
          <w:spacing w:val="-10"/>
        </w:rPr>
      </w:pPr>
      <w:r>
        <w:rPr>
          <w:rFonts w:hint="eastAsia"/>
          <w:spacing w:val="-10"/>
        </w:rPr>
        <w:t>当发生油罐泄露引发的火灾或爆炸事故时，采取应急措施以控制事故和减少对环境造成的影响。通过采取相关的风险防范措施，使环境风险降低到最小程度。</w:t>
      </w:r>
    </w:p>
    <w:bookmarkEnd w:id="31"/>
    <w:bookmarkEnd w:id="32"/>
    <w:p w14:paraId="7D525FBA">
      <w:pPr>
        <w:adjustRightInd w:val="0"/>
        <w:snapToGrid w:val="0"/>
        <w:spacing w:line="360" w:lineRule="auto"/>
        <w:rPr>
          <w:rFonts w:hint="eastAsia"/>
          <w:b/>
          <w:bCs/>
          <w:spacing w:val="-10"/>
        </w:rPr>
      </w:pPr>
      <w:r>
        <w:rPr>
          <w:b/>
          <w:bCs/>
          <w:spacing w:val="-10"/>
        </w:rPr>
        <w:t>11</w:t>
      </w:r>
      <w:r>
        <w:rPr>
          <w:rFonts w:hint="eastAsia"/>
          <w:b/>
          <w:bCs/>
          <w:spacing w:val="-10"/>
        </w:rPr>
        <w:t xml:space="preserve"> 环境风险减缓措施</w:t>
      </w:r>
    </w:p>
    <w:p w14:paraId="5AC1D172">
      <w:pPr>
        <w:adjustRightInd w:val="0"/>
        <w:snapToGrid w:val="0"/>
        <w:spacing w:line="360" w:lineRule="auto"/>
        <w:rPr>
          <w:rFonts w:hint="eastAsia"/>
        </w:rPr>
      </w:pPr>
      <w:r>
        <w:rPr>
          <w:rFonts w:hint="eastAsia"/>
          <w:spacing w:val="-10"/>
        </w:rPr>
        <w:t>（1）</w:t>
      </w:r>
      <w:r>
        <w:rPr>
          <w:rFonts w:hint="eastAsia"/>
        </w:rPr>
        <w:t>大气环境污染防范措施和应急、减缓措施</w:t>
      </w:r>
    </w:p>
    <w:p w14:paraId="4E375976">
      <w:pPr>
        <w:pStyle w:val="42"/>
        <w:ind w:firstLine="480"/>
        <w:rPr>
          <w:color w:val="000000" w:themeColor="text1"/>
          <w14:textFill>
            <w14:solidFill>
              <w14:schemeClr w14:val="tx1"/>
            </w14:solidFill>
          </w14:textFill>
        </w:rPr>
      </w:pPr>
      <w:r>
        <w:rPr>
          <w:color w:val="000000" w:themeColor="text1"/>
          <w14:textFill>
            <w14:solidFill>
              <w14:schemeClr w14:val="tx1"/>
            </w14:solidFill>
          </w14:textFill>
        </w:rPr>
        <w:t>物料泄漏应急、救援及减缓措施</w:t>
      </w:r>
    </w:p>
    <w:p w14:paraId="3C6FDE88">
      <w:pPr>
        <w:pStyle w:val="42"/>
        <w:ind w:firstLine="480"/>
        <w:rPr>
          <w:color w:val="000000" w:themeColor="text1"/>
          <w14:textFill>
            <w14:solidFill>
              <w14:schemeClr w14:val="tx1"/>
            </w14:solidFill>
          </w14:textFill>
        </w:rPr>
      </w:pPr>
      <w:r>
        <w:rPr>
          <w:color w:val="000000" w:themeColor="text1"/>
          <w14:textFill>
            <w14:solidFill>
              <w14:schemeClr w14:val="tx1"/>
            </w14:solidFill>
          </w14:textFill>
        </w:rPr>
        <w:t>当发生易燃易爆或有毒物料泄漏时，可根据物料性质，选择采取以下措施，防止事态进一步发展：</w:t>
      </w:r>
    </w:p>
    <w:p w14:paraId="2AB8D901">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①</w:t>
      </w:r>
      <w:r>
        <w:rPr>
          <w:color w:val="000000" w:themeColor="text1"/>
          <w14:textFill>
            <w14:solidFill>
              <w14:schemeClr w14:val="tx1"/>
            </w14:solidFill>
          </w14:textFill>
        </w:rPr>
        <w:t>根据事故级别启动应急预案。</w:t>
      </w:r>
    </w:p>
    <w:p w14:paraId="1069CDCA">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②</w:t>
      </w:r>
      <w:r>
        <w:rPr>
          <w:color w:val="000000" w:themeColor="text1"/>
          <w14:textFill>
            <w14:solidFill>
              <w14:schemeClr w14:val="tx1"/>
            </w14:solidFill>
          </w14:textFill>
        </w:rPr>
        <w:t>根据装置各高点设置的风向标，将无关人员迅速疏散到上风向安全区，对危险区域进行隔离，并严格控制出入，切断火源；根据需要疏散周围居住区人群。</w:t>
      </w:r>
    </w:p>
    <w:p w14:paraId="46086A5E">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③</w:t>
      </w:r>
      <w:r>
        <w:rPr>
          <w:color w:val="000000" w:themeColor="text1"/>
          <w14:textFill>
            <w14:solidFill>
              <w14:schemeClr w14:val="tx1"/>
            </w14:solidFill>
          </w14:textFill>
        </w:rPr>
        <w:t>比空气重的易挥发易燃液体泄漏时，用工业覆盖层或吸附/吸收剂盖住泄漏点附近的下水道等地方，防止气体进入。</w:t>
      </w:r>
    </w:p>
    <w:p w14:paraId="4BE56387">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④</w:t>
      </w:r>
      <w:r>
        <w:rPr>
          <w:color w:val="000000" w:themeColor="text1"/>
          <w14:textFill>
            <w14:solidFill>
              <w14:schemeClr w14:val="tx1"/>
            </w14:solidFill>
          </w14:textFill>
        </w:rPr>
        <w:t>喷雾状水稀释，构筑临时围堤收容产生的大量废水。</w:t>
      </w:r>
    </w:p>
    <w:p w14:paraId="3A28018B">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⑤</w:t>
      </w:r>
      <w:r>
        <w:rPr>
          <w:color w:val="000000" w:themeColor="text1"/>
          <w14:textFill>
            <w14:solidFill>
              <w14:schemeClr w14:val="tx1"/>
            </w14:solidFill>
          </w14:textFill>
        </w:rPr>
        <w:t>如有可能，将漏出气用排风机送至空旷地方。也可以将漏气的容器移至空旷处，注意通风。</w:t>
      </w:r>
    </w:p>
    <w:p w14:paraId="2BD0009F">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⑥</w:t>
      </w:r>
      <w:r>
        <w:rPr>
          <w:color w:val="000000" w:themeColor="text1"/>
          <w14:textFill>
            <w14:solidFill>
              <w14:schemeClr w14:val="tx1"/>
            </w14:solidFill>
          </w14:textFill>
        </w:rPr>
        <w:t>小量液体泄漏：用砂土或</w:t>
      </w:r>
      <w:r>
        <w:rPr>
          <w:rFonts w:hint="eastAsia"/>
          <w:color w:val="000000" w:themeColor="text1"/>
          <w14:textFill>
            <w14:solidFill>
              <w14:schemeClr w14:val="tx1"/>
            </w14:solidFill>
          </w14:textFill>
        </w:rPr>
        <w:t>其他不</w:t>
      </w:r>
      <w:r>
        <w:rPr>
          <w:color w:val="000000" w:themeColor="text1"/>
          <w14:textFill>
            <w14:solidFill>
              <w14:schemeClr w14:val="tx1"/>
            </w14:solidFill>
          </w14:textFill>
        </w:rPr>
        <w:t>燃材料吸附或吸收。也可以用大量水冲洗，稀释水排入废水系统。大量液体泄漏：构筑临时围堤收容。用泡沫覆盖，降低挥发蒸气灾害。用防爆泵转移至槽车或专用收集器内，回收或运至废物处理场所处置。</w:t>
      </w:r>
    </w:p>
    <w:p w14:paraId="65B4A668">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⑦</w:t>
      </w:r>
      <w:r>
        <w:rPr>
          <w:color w:val="000000" w:themeColor="text1"/>
          <w14:textFill>
            <w14:solidFill>
              <w14:schemeClr w14:val="tx1"/>
            </w14:solidFill>
          </w14:textFill>
        </w:rPr>
        <w:t>喷雾吸收或中和：对某些可通过物理、化学反应中和或吸收的气体发生泄漏，可喷相关雾状液进行中和或吸收。</w:t>
      </w:r>
    </w:p>
    <w:p w14:paraId="5E60CB08">
      <w:pPr>
        <w:pStyle w:val="42"/>
        <w:ind w:firstLine="480"/>
        <w:rPr>
          <w:color w:val="000000" w:themeColor="text1"/>
          <w14:textFill>
            <w14:solidFill>
              <w14:schemeClr w14:val="tx1"/>
            </w14:solidFill>
          </w14:textFill>
        </w:rPr>
      </w:pPr>
      <w:r>
        <w:rPr>
          <w:color w:val="000000" w:themeColor="text1"/>
          <w14:textFill>
            <w14:solidFill>
              <w14:schemeClr w14:val="tx1"/>
            </w14:solidFill>
          </w14:textFill>
        </w:rPr>
        <w:t>火灾、爆炸应急、减缓措施</w:t>
      </w:r>
    </w:p>
    <w:p w14:paraId="4259D749">
      <w:pPr>
        <w:pStyle w:val="42"/>
        <w:ind w:firstLine="480"/>
        <w:rPr>
          <w:color w:val="000000" w:themeColor="text1"/>
          <w14:textFill>
            <w14:solidFill>
              <w14:schemeClr w14:val="tx1"/>
            </w14:solidFill>
          </w14:textFill>
        </w:rPr>
      </w:pPr>
      <w:r>
        <w:rPr>
          <w:color w:val="000000" w:themeColor="text1"/>
          <w14:textFill>
            <w14:solidFill>
              <w14:schemeClr w14:val="tx1"/>
            </w14:solidFill>
          </w14:textFill>
        </w:rPr>
        <w:t>当装置或储罐发生火灾或爆炸时：</w:t>
      </w:r>
    </w:p>
    <w:p w14:paraId="0BA4DC25">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①</w:t>
      </w:r>
      <w:r>
        <w:rPr>
          <w:color w:val="000000" w:themeColor="text1"/>
          <w14:textFill>
            <w14:solidFill>
              <w14:schemeClr w14:val="tx1"/>
            </w14:solidFill>
          </w14:textFill>
        </w:rPr>
        <w:t>根据事故级别启动应急预案。</w:t>
      </w:r>
    </w:p>
    <w:p w14:paraId="4E9E3C00">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②</w:t>
      </w:r>
      <w:r>
        <w:rPr>
          <w:color w:val="000000" w:themeColor="text1"/>
          <w14:textFill>
            <w14:solidFill>
              <w14:schemeClr w14:val="tx1"/>
            </w14:solidFill>
          </w14:textFill>
        </w:rPr>
        <w:t>根据需要，切断着火设施上、下游物料，尽可能倒空着火设施附近装置或贮罐物料，防止发生连锁效应。</w:t>
      </w:r>
    </w:p>
    <w:p w14:paraId="2770AD8F">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③</w:t>
      </w:r>
      <w:r>
        <w:rPr>
          <w:color w:val="000000" w:themeColor="text1"/>
          <w14:textFill>
            <w14:solidFill>
              <w14:schemeClr w14:val="tx1"/>
            </w14:solidFill>
          </w14:textFill>
        </w:rPr>
        <w:t>在救火的同时，采用水幕或喷淋的方法，防止引发继发事故。</w:t>
      </w:r>
    </w:p>
    <w:p w14:paraId="23A24ED5">
      <w:pPr>
        <w:adjustRightInd w:val="0"/>
        <w:snapToGrid w:val="0"/>
        <w:spacing w:line="360" w:lineRule="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④</w:t>
      </w:r>
      <w:r>
        <w:rPr>
          <w:color w:val="000000" w:themeColor="text1"/>
          <w14:textFill>
            <w14:solidFill>
              <w14:schemeClr w14:val="tx1"/>
            </w14:solidFill>
          </w14:textFill>
        </w:rPr>
        <w:t>根据事故级别疏散周围居住区人群。</w:t>
      </w:r>
    </w:p>
    <w:p w14:paraId="76234096">
      <w:pPr>
        <w:adjustRightInd w:val="0"/>
        <w:snapToGrid w:val="0"/>
        <w:spacing w:line="360" w:lineRule="auto"/>
        <w:rPr>
          <w:rFonts w:hint="eastAsia"/>
        </w:rPr>
      </w:pPr>
      <w:r>
        <w:rPr>
          <w:rFonts w:hint="eastAsia"/>
          <w:color w:val="000000" w:themeColor="text1"/>
          <w14:textFill>
            <w14:solidFill>
              <w14:schemeClr w14:val="tx1"/>
            </w14:solidFill>
          </w14:textFill>
        </w:rPr>
        <w:t>（2）</w:t>
      </w:r>
      <w:r>
        <w:rPr>
          <w:rFonts w:hint="eastAsia"/>
        </w:rPr>
        <w:t>事故废水外排防范及减缓措施</w:t>
      </w:r>
    </w:p>
    <w:p w14:paraId="0EF4E207">
      <w:pPr>
        <w:pStyle w:val="42"/>
        <w:ind w:firstLine="48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参照《石化企业水体环境风险防控技术要求》</w:t>
      </w:r>
      <w:r>
        <w:rPr>
          <w:rFonts w:hint="eastAsia"/>
          <w:color w:val="000000" w:themeColor="text1"/>
          <w14:textFill>
            <w14:solidFill>
              <w14:schemeClr w14:val="tx1"/>
            </w14:solidFill>
          </w14:textFill>
        </w:rPr>
        <w:t>(</w:t>
      </w:r>
      <w:r>
        <w:rPr>
          <w:rFonts w:hint="eastAsia" w:ascii="宋体" w:hAnsi="宋体" w:cs="宋体"/>
          <w:color w:val="000000" w:themeColor="text1"/>
          <w14:textFill>
            <w14:solidFill>
              <w14:schemeClr w14:val="tx1"/>
            </w14:solidFill>
          </w14:textFill>
        </w:rPr>
        <w:t>中国石油化工集团公司企业标准</w:t>
      </w:r>
      <w:r>
        <w:rPr>
          <w:rFonts w:hint="eastAsia"/>
          <w:color w:val="000000" w:themeColor="text1"/>
          <w14:textFill>
            <w14:solidFill>
              <w14:schemeClr w14:val="tx1"/>
            </w14:solidFill>
          </w14:textFill>
        </w:rPr>
        <w:t xml:space="preserve"> Q/SH</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0729-2018)</w:t>
      </w:r>
      <w:r>
        <w:rPr>
          <w:rFonts w:hint="eastAsia" w:ascii="宋体" w:hAnsi="宋体" w:cs="宋体"/>
          <w:color w:val="000000" w:themeColor="text1"/>
          <w14:textFill>
            <w14:solidFill>
              <w14:schemeClr w14:val="tx1"/>
            </w14:solidFill>
          </w14:textFill>
        </w:rPr>
        <w:t>设置三级防控系统，事故工况下，厂区各生产装置和辅助生产装置界区内污染的消防排水、事故污水首先经装置区内初期雨水管线重力流排入各装置区内初期雨水池，水池前设置溢流井，初期雨水池储满后，事故水经溢流井排入全厂事故水管线，最终汇入事故水池。事故后，将初期雨水池和消防事故池暂存的废水用泵排至污水处理站处理。</w:t>
      </w:r>
    </w:p>
    <w:p w14:paraId="638FD7C5">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本设计对事故废水设置如下防控措施，防止其污染外环境：</w:t>
      </w:r>
    </w:p>
    <w:p w14:paraId="2055875F">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hint="eastAsia"/>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）项目区内三级防控措施</w:t>
      </w:r>
    </w:p>
    <w:p w14:paraId="0C370315">
      <w:pPr>
        <w:pStyle w:val="42"/>
        <w:ind w:firstLine="48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①</w:t>
      </w:r>
      <w:r>
        <w:rPr>
          <w:rFonts w:hint="eastAsia" w:ascii="宋体" w:hAnsi="宋体" w:cs="宋体"/>
          <w:color w:val="000000" w:themeColor="text1"/>
          <w14:textFill>
            <w14:solidFill>
              <w14:schemeClr w14:val="tx1"/>
            </w14:solidFill>
          </w14:textFill>
        </w:rPr>
        <w:t>一级防控措施</w:t>
      </w:r>
    </w:p>
    <w:p w14:paraId="357DFF9E">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在装置区设置围堰，罐区设置防火堤，防止污染雨水和轻微泄漏造成的环境污染。</w:t>
      </w:r>
    </w:p>
    <w:p w14:paraId="3DC412B6">
      <w:pPr>
        <w:pStyle w:val="42"/>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工艺生产装置根据污染物性质进行污染区划分，污染区设置围堰或地沟，将初期雨水、地面冲洗水、检修可能产生的含油污水和污染消防排水导入各装置界区的初期雨水池。</w:t>
      </w:r>
    </w:p>
    <w:p w14:paraId="260EA071">
      <w:pPr>
        <w:pStyle w:val="42"/>
        <w:ind w:firstLine="480"/>
        <w:rPr>
          <w:rFonts w:hint="eastAsia" w:ascii="宋体" w:hAnsi="宋体" w:cs="宋体"/>
          <w:color w:val="000000" w:themeColor="text1"/>
          <w14:textFill>
            <w14:solidFill>
              <w14:schemeClr w14:val="tx1"/>
            </w14:solidFill>
          </w14:textFill>
        </w:rPr>
      </w:pPr>
      <w:r>
        <w:rPr>
          <w:rFonts w:hint="eastAsia"/>
          <w:color w:val="000000" w:themeColor="text1"/>
          <w14:textFill>
            <w14:solidFill>
              <w14:schemeClr w14:val="tx1"/>
            </w14:solidFill>
          </w14:textFill>
        </w:rPr>
        <w:t>对于可燃液体储罐及非可燃液体、但对水体环境有危害物质的储罐，设置防火堤或事故存液池，有效容积不小于罐组内</w:t>
      </w:r>
      <w:r>
        <w:rPr>
          <w:rFonts w:eastAsiaTheme="minorEastAsia"/>
          <w:color w:val="000000" w:themeColor="text1"/>
          <w14:textFill>
            <w14:solidFill>
              <w14:schemeClr w14:val="tx1"/>
            </w14:solidFill>
          </w14:textFill>
        </w:rPr>
        <w:t>1</w:t>
      </w:r>
      <w:r>
        <w:rPr>
          <w:rFonts w:hint="eastAsia"/>
          <w:color w:val="000000" w:themeColor="text1"/>
          <w14:textFill>
            <w14:solidFill>
              <w14:schemeClr w14:val="tx1"/>
            </w14:solidFill>
          </w14:textFill>
        </w:rPr>
        <w:t>个最大储罐的容积；利用围堰和防火堤控制泄漏物料的转移。在一般事故时利用围堰和防火堤控制泄漏物料</w:t>
      </w:r>
      <w:r>
        <w:rPr>
          <w:rFonts w:hint="eastAsia" w:ascii="宋体" w:hAnsi="宋体" w:cs="宋体"/>
          <w:color w:val="000000" w:themeColor="text1"/>
          <w14:textFill>
            <w14:solidFill>
              <w14:schemeClr w14:val="tx1"/>
            </w14:solidFill>
          </w14:textFill>
        </w:rPr>
        <w:t>的转移，防止泄漏物料及污染消防排水造成的环境污染。</w:t>
      </w:r>
    </w:p>
    <w:p w14:paraId="6F176815">
      <w:pPr>
        <w:pStyle w:val="42"/>
        <w:ind w:firstLine="48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②</w:t>
      </w:r>
      <w:r>
        <w:rPr>
          <w:rFonts w:hint="eastAsia" w:ascii="宋体" w:hAnsi="宋体" w:cs="宋体"/>
          <w:color w:val="000000" w:themeColor="text1"/>
          <w14:textFill>
            <w14:solidFill>
              <w14:schemeClr w14:val="tx1"/>
            </w14:solidFill>
          </w14:textFill>
        </w:rPr>
        <w:t>二级防控措施</w:t>
      </w:r>
    </w:p>
    <w:p w14:paraId="7000D720">
      <w:pPr>
        <w:pStyle w:val="42"/>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本项目初期雨水与事故水池合建。</w:t>
      </w:r>
    </w:p>
    <w:p w14:paraId="6B49DD3C">
      <w:pPr>
        <w:pStyle w:val="42"/>
        <w:ind w:firstLine="48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③</w:t>
      </w:r>
      <w:r>
        <w:rPr>
          <w:rFonts w:hint="eastAsia" w:ascii="宋体" w:hAnsi="宋体" w:cs="宋体"/>
          <w:color w:val="000000" w:themeColor="text1"/>
          <w14:textFill>
            <w14:solidFill>
              <w14:schemeClr w14:val="tx1"/>
            </w14:solidFill>
          </w14:textFill>
        </w:rPr>
        <w:t>三级防控措施</w:t>
      </w:r>
    </w:p>
    <w:p w14:paraId="0BB93552">
      <w:pPr>
        <w:pStyle w:val="42"/>
        <w:ind w:firstLine="480"/>
        <w:rPr>
          <w:rFonts w:hint="eastAsia" w:ascii="宋体" w:cs="宋体" w:hAnsiTheme="minorHAnsi"/>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本项目三级防控措施为事故水池。</w:t>
      </w:r>
    </w:p>
    <w:p w14:paraId="5B3F3B44">
      <w:pPr>
        <w:pStyle w:val="42"/>
        <w:ind w:firstLine="480"/>
        <w:rPr>
          <w:color w:val="000000" w:themeColor="text1"/>
          <w14:textFill>
            <w14:solidFill>
              <w14:schemeClr w14:val="tx1"/>
            </w14:solidFill>
          </w14:textFill>
        </w:rPr>
      </w:pPr>
      <w:r>
        <w:rPr>
          <w:color w:val="000000" w:themeColor="text1"/>
          <w14:textFill>
            <w14:solidFill>
              <w14:schemeClr w14:val="tx1"/>
            </w14:solidFill>
          </w14:textFill>
        </w:rPr>
        <w:t>项目设置一座有效容积为</w:t>
      </w:r>
      <w:r>
        <w:rPr>
          <w:rFonts w:hint="eastAsia"/>
          <w:color w:val="000000" w:themeColor="text1"/>
          <w14:textFill>
            <w14:solidFill>
              <w14:schemeClr w14:val="tx1"/>
            </w14:solidFill>
          </w14:textFill>
        </w:rPr>
        <w:t>660</w:t>
      </w:r>
      <w:r>
        <w:rPr>
          <w:color w:val="000000" w:themeColor="text1"/>
          <w14:textFill>
            <w14:solidFill>
              <w14:schemeClr w14:val="tx1"/>
            </w14:solidFill>
          </w14:textFill>
        </w:rPr>
        <w:t>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的事故水池。一般情况下，在降雨及较大事故同时发生时，利用全厂雨水管网作为事故排污管道，通过事故污水连通管上的闸门切换，将事故过程中产生的消防</w:t>
      </w:r>
      <w:r>
        <w:rPr>
          <w:rFonts w:hint="eastAsia" w:ascii="宋体" w:hAnsi="宋体" w:cs="宋体"/>
          <w:color w:val="000000" w:themeColor="text1"/>
          <w14:textFill>
            <w14:solidFill>
              <w14:schemeClr w14:val="tx1"/>
            </w14:solidFill>
          </w14:textFill>
        </w:rPr>
        <w:t>废水、泄漏物料及事故过程中可能受污染的雨水等导入全厂消防事故水池。</w:t>
      </w:r>
    </w:p>
    <w:p w14:paraId="1F3BFC93">
      <w:pPr>
        <w:adjustRightInd w:val="0"/>
        <w:snapToGrid w:val="0"/>
        <w:spacing w:line="360" w:lineRule="auto"/>
        <w:rPr>
          <w:rFonts w:hint="eastAsia"/>
          <w:b/>
          <w:bCs/>
          <w:spacing w:val="-10"/>
        </w:rPr>
      </w:pPr>
      <w:r>
        <w:rPr>
          <w:rFonts w:hint="eastAsia"/>
          <w:color w:val="000000" w:themeColor="text1"/>
          <w14:textFill>
            <w14:solidFill>
              <w14:schemeClr w14:val="tx1"/>
            </w14:solidFill>
          </w14:textFill>
        </w:rPr>
        <w:t>事故池在非事故状态下不得占用以保证可以随时容纳可能发生的事故产生的废水。企业应设计有效防止泄漏物质、消防水、污染雨水等扩散至外环境的收集、导流、拦截、降污等环境风险防范设施。对排入应急事故水池的废水应进行必要的监测，能够回用的回用；对不符合回用要求，但符合污水处理站进水要求的废水，应限流进入污水处理站进行处理；对不符合污水处理站进水要求的废水，应采取处理措施或外送处理。</w:t>
      </w:r>
    </w:p>
    <w:p w14:paraId="748315F6">
      <w:pPr>
        <w:adjustRightInd w:val="0"/>
        <w:snapToGrid w:val="0"/>
        <w:spacing w:line="360" w:lineRule="auto"/>
        <w:rPr>
          <w:rFonts w:hint="eastAsia"/>
          <w:b/>
          <w:bCs/>
          <w:spacing w:val="-10"/>
        </w:rPr>
      </w:pPr>
      <w:r>
        <w:rPr>
          <w:rFonts w:hint="eastAsia"/>
          <w:b/>
          <w:bCs/>
          <w:spacing w:val="-10"/>
        </w:rPr>
        <w:t xml:space="preserve">12 </w:t>
      </w:r>
      <w:r>
        <w:rPr>
          <w:b/>
          <w:bCs/>
          <w:spacing w:val="-10"/>
        </w:rPr>
        <w:t>环境风险评价结论及建议</w:t>
      </w:r>
    </w:p>
    <w:p w14:paraId="63EE7ECB">
      <w:pPr>
        <w:adjustRightInd w:val="0"/>
        <w:snapToGrid w:val="0"/>
        <w:spacing w:line="360" w:lineRule="auto"/>
        <w:ind w:firstLine="440" w:firstLineChars="200"/>
        <w:rPr>
          <w:rFonts w:hint="eastAsia"/>
          <w:spacing w:val="-10"/>
        </w:rPr>
      </w:pPr>
      <w:r>
        <w:rPr>
          <w:spacing w:val="-10"/>
        </w:rPr>
        <w:t>（1）项目危险因素</w:t>
      </w:r>
    </w:p>
    <w:p w14:paraId="4F831879">
      <w:pPr>
        <w:adjustRightInd w:val="0"/>
        <w:snapToGrid w:val="0"/>
        <w:spacing w:line="360" w:lineRule="auto"/>
        <w:ind w:firstLine="440" w:firstLineChars="200"/>
        <w:rPr>
          <w:rFonts w:hint="eastAsia"/>
          <w:spacing w:val="-10"/>
        </w:rPr>
      </w:pPr>
      <w:r>
        <w:rPr>
          <w:spacing w:val="-10"/>
        </w:rPr>
        <w:t>本项目涉及罐区的主要危险物质</w:t>
      </w:r>
      <w:r>
        <w:rPr>
          <w:rFonts w:hint="eastAsia"/>
          <w:spacing w:val="-10"/>
        </w:rPr>
        <w:t>包括</w:t>
      </w:r>
      <w:r>
        <w:rPr>
          <w:spacing w:val="-10"/>
        </w:rPr>
        <w:t>MTBE、异辛烷、轻质石脑油、混合芳烃、轻质燃料油、煤基柴油</w:t>
      </w:r>
      <w:r>
        <w:rPr>
          <w:rFonts w:hint="eastAsia"/>
          <w:spacing w:val="-10"/>
        </w:rPr>
        <w:t>、</w:t>
      </w:r>
      <w:r>
        <w:rPr>
          <w:spacing w:val="-10"/>
        </w:rPr>
        <w:t>柴油</w:t>
      </w:r>
      <w:r>
        <w:rPr>
          <w:rFonts w:hint="eastAsia"/>
          <w:spacing w:val="-10"/>
        </w:rPr>
        <w:t>、汽油。</w:t>
      </w:r>
      <w:r>
        <w:rPr>
          <w:spacing w:val="-10"/>
        </w:rPr>
        <w:t>考虑涉及的风险物质</w:t>
      </w:r>
      <w:r>
        <w:rPr>
          <w:rFonts w:hint="eastAsia"/>
          <w:spacing w:val="-10"/>
        </w:rPr>
        <w:t>均为</w:t>
      </w:r>
      <w:r>
        <w:rPr>
          <w:spacing w:val="-10"/>
        </w:rPr>
        <w:t>具有易燃易爆物质，评价建议项目运行时严格按照安全规程进行管理操作，全面提升物质泄漏预警监控系统，加大巡视。</w:t>
      </w:r>
    </w:p>
    <w:p w14:paraId="734EB4EB">
      <w:pPr>
        <w:adjustRightInd w:val="0"/>
        <w:snapToGrid w:val="0"/>
        <w:spacing w:line="360" w:lineRule="auto"/>
        <w:ind w:firstLine="440" w:firstLineChars="200"/>
        <w:rPr>
          <w:rFonts w:hint="eastAsia"/>
          <w:spacing w:val="-10"/>
        </w:rPr>
      </w:pPr>
      <w:r>
        <w:rPr>
          <w:spacing w:val="-10"/>
        </w:rPr>
        <w:t>（2）环境敏感性及事故环境影响</w:t>
      </w:r>
    </w:p>
    <w:p w14:paraId="2D7F88D8">
      <w:pPr>
        <w:adjustRightInd w:val="0"/>
        <w:snapToGrid w:val="0"/>
        <w:spacing w:line="360" w:lineRule="auto"/>
        <w:ind w:firstLine="440" w:firstLineChars="200"/>
        <w:rPr>
          <w:rFonts w:hint="eastAsia"/>
          <w:spacing w:val="-10"/>
        </w:rPr>
      </w:pPr>
      <w:r>
        <w:rPr>
          <w:spacing w:val="-10"/>
        </w:rPr>
        <w:t>本项目厂区所在地大气环境敏感度为环境</w:t>
      </w:r>
      <w:r>
        <w:rPr>
          <w:rFonts w:hint="eastAsia"/>
          <w:spacing w:val="-10"/>
        </w:rPr>
        <w:t>低</w:t>
      </w:r>
      <w:r>
        <w:rPr>
          <w:spacing w:val="-10"/>
        </w:rPr>
        <w:t>敏感</w:t>
      </w:r>
      <w:r>
        <w:rPr>
          <w:rFonts w:hint="eastAsia"/>
          <w:spacing w:val="-10"/>
        </w:rPr>
        <w:t>度</w:t>
      </w:r>
      <w:r>
        <w:rPr>
          <w:spacing w:val="-10"/>
        </w:rPr>
        <w:t>区（E</w:t>
      </w:r>
      <w:r>
        <w:rPr>
          <w:rFonts w:hint="eastAsia"/>
          <w:spacing w:val="-10"/>
        </w:rPr>
        <w:t>3</w:t>
      </w:r>
      <w:r>
        <w:rPr>
          <w:spacing w:val="-10"/>
        </w:rPr>
        <w:t>），当储罐发生泄漏或火灾时，会对周边一定范围内周边厂区职工造成</w:t>
      </w:r>
      <w:r>
        <w:rPr>
          <w:rFonts w:hint="eastAsia"/>
          <w:spacing w:val="-10"/>
        </w:rPr>
        <w:t>一定</w:t>
      </w:r>
      <w:r>
        <w:rPr>
          <w:spacing w:val="-10"/>
        </w:rPr>
        <w:t>影响，当发生突发环境事件时，立即启用应急预案，对事故现场采取应急救援措施</w:t>
      </w:r>
    </w:p>
    <w:p w14:paraId="05CDB180">
      <w:pPr>
        <w:adjustRightInd w:val="0"/>
        <w:snapToGrid w:val="0"/>
        <w:spacing w:line="360" w:lineRule="auto"/>
        <w:ind w:firstLine="440" w:firstLineChars="200"/>
        <w:rPr>
          <w:rFonts w:hint="eastAsia"/>
          <w:spacing w:val="-10"/>
        </w:rPr>
      </w:pPr>
      <w:r>
        <w:rPr>
          <w:spacing w:val="-10"/>
        </w:rPr>
        <w:t>（3）环境风险防范措施和应急预案</w:t>
      </w:r>
    </w:p>
    <w:p w14:paraId="3F1F34AC">
      <w:pPr>
        <w:adjustRightInd w:val="0"/>
        <w:snapToGrid w:val="0"/>
        <w:spacing w:line="360" w:lineRule="auto"/>
        <w:ind w:firstLine="440" w:firstLineChars="200"/>
        <w:rPr>
          <w:rFonts w:hint="eastAsia"/>
          <w:spacing w:val="-10"/>
        </w:rPr>
      </w:pPr>
      <w:r>
        <w:rPr>
          <w:spacing w:val="-10"/>
        </w:rPr>
        <w:t>本项目储罐四周安装泄漏报警装置，设置安全信号指示器、安装24小时监控摄像头，设液位计，四周配备消防栓、灭火器等。一旦发生泄漏事故，应立即开启消防系统，阻止火灾事故发生。</w:t>
      </w:r>
    </w:p>
    <w:p w14:paraId="2B3474AA">
      <w:pPr>
        <w:adjustRightInd w:val="0"/>
        <w:snapToGrid w:val="0"/>
        <w:spacing w:line="360" w:lineRule="auto"/>
        <w:ind w:firstLine="440" w:firstLineChars="200"/>
        <w:rPr>
          <w:rFonts w:hint="eastAsia"/>
          <w:spacing w:val="-10"/>
        </w:rPr>
      </w:pPr>
      <w:r>
        <w:rPr>
          <w:spacing w:val="-10"/>
        </w:rPr>
        <w:t>本项目罐</w:t>
      </w:r>
      <w:r>
        <w:rPr>
          <w:rFonts w:hint="eastAsia"/>
          <w:spacing w:val="-10"/>
        </w:rPr>
        <w:t>区</w:t>
      </w:r>
      <w:r>
        <w:rPr>
          <w:spacing w:val="-10"/>
        </w:rPr>
        <w:t>设有围堰</w:t>
      </w:r>
      <w:r>
        <w:rPr>
          <w:rFonts w:hint="eastAsia"/>
          <w:spacing w:val="-10"/>
        </w:rPr>
        <w:t>，</w:t>
      </w:r>
      <w:r>
        <w:rPr>
          <w:spacing w:val="-10"/>
        </w:rPr>
        <w:t>厂区设有应急事故池、应急防控系统。本项目厂内环境风险防控系统纳入区域环境风险防控体系，并与区域风险防控设施、管理</w:t>
      </w:r>
      <w:r>
        <w:rPr>
          <w:rFonts w:hint="eastAsia"/>
          <w:spacing w:val="-10"/>
        </w:rPr>
        <w:t>紧密</w:t>
      </w:r>
      <w:r>
        <w:rPr>
          <w:spacing w:val="-10"/>
        </w:rPr>
        <w:t>衔接，按分级响应要求及时启动区域环境风险防范措施，实现厂内与区域环境风险防控设施及管理有效联动，有效防控环境风险。</w:t>
      </w:r>
    </w:p>
    <w:p w14:paraId="21BAC6D4">
      <w:pPr>
        <w:adjustRightInd w:val="0"/>
        <w:snapToGrid w:val="0"/>
        <w:spacing w:line="360" w:lineRule="auto"/>
        <w:ind w:firstLine="440" w:firstLineChars="200"/>
        <w:rPr>
          <w:rFonts w:hint="eastAsia"/>
          <w:spacing w:val="-10"/>
        </w:rPr>
      </w:pPr>
      <w:r>
        <w:rPr>
          <w:spacing w:val="-10"/>
        </w:rPr>
        <w:t>建设单位</w:t>
      </w:r>
      <w:r>
        <w:rPr>
          <w:rFonts w:hint="eastAsia"/>
          <w:spacing w:val="-10"/>
        </w:rPr>
        <w:t>应</w:t>
      </w:r>
      <w:r>
        <w:rPr>
          <w:spacing w:val="-10"/>
        </w:rPr>
        <w:t>制定完善《新疆</w:t>
      </w:r>
      <w:r>
        <w:rPr>
          <w:rFonts w:hint="eastAsia"/>
          <w:spacing w:val="-10"/>
        </w:rPr>
        <w:t>龙都石油</w:t>
      </w:r>
      <w:r>
        <w:rPr>
          <w:spacing w:val="-10"/>
        </w:rPr>
        <w:t>化工有限公司环境事件应急预案》，并与区域应急预案衔接。一旦发生事故，建设单位</w:t>
      </w:r>
      <w:r>
        <w:rPr>
          <w:rFonts w:hint="eastAsia"/>
          <w:spacing w:val="-10"/>
        </w:rPr>
        <w:t>应</w:t>
      </w:r>
      <w:r>
        <w:rPr>
          <w:spacing w:val="-10"/>
        </w:rPr>
        <w:t>按照分级响应程序启动应急预案，</w:t>
      </w:r>
      <w:r>
        <w:rPr>
          <w:rFonts w:hint="eastAsia"/>
          <w:spacing w:val="-10"/>
        </w:rPr>
        <w:t>并</w:t>
      </w:r>
      <w:r>
        <w:rPr>
          <w:spacing w:val="-10"/>
        </w:rPr>
        <w:t>做好应急监测和受影响群众的应急撤离工作。</w:t>
      </w:r>
    </w:p>
    <w:p w14:paraId="166C70DB">
      <w:pPr>
        <w:adjustRightInd w:val="0"/>
        <w:snapToGrid w:val="0"/>
        <w:spacing w:line="360" w:lineRule="auto"/>
        <w:ind w:firstLine="440" w:firstLineChars="200"/>
        <w:rPr>
          <w:rFonts w:hint="eastAsia"/>
          <w:spacing w:val="-10"/>
        </w:rPr>
      </w:pPr>
      <w:r>
        <w:rPr>
          <w:spacing w:val="-10"/>
        </w:rPr>
        <w:t>建设单位在项目设计、施工、建设和运行中，应严格执行国家有关规定，高度重视安全和事故防范，制定严格的管理制度，采取严密的防范和应急措施，以有效防范事故风险，缓释事故影响，把事故发生概率降到最低。</w:t>
      </w:r>
    </w:p>
    <w:p w14:paraId="593245E4">
      <w:pPr>
        <w:adjustRightInd w:val="0"/>
        <w:snapToGrid w:val="0"/>
        <w:spacing w:line="360" w:lineRule="auto"/>
        <w:ind w:firstLine="440" w:firstLineChars="200"/>
        <w:rPr>
          <w:rFonts w:hint="eastAsia"/>
          <w:spacing w:val="-10"/>
        </w:rPr>
      </w:pPr>
      <w:r>
        <w:rPr>
          <w:spacing w:val="-10"/>
        </w:rPr>
        <w:t>（4）环境风险评价结论与建议</w:t>
      </w:r>
    </w:p>
    <w:p w14:paraId="78B02ED7">
      <w:pPr>
        <w:adjustRightInd w:val="0"/>
        <w:snapToGrid w:val="0"/>
        <w:spacing w:line="360" w:lineRule="auto"/>
        <w:ind w:firstLine="440" w:firstLineChars="200"/>
        <w:rPr>
          <w:rFonts w:hint="eastAsia"/>
          <w:spacing w:val="-10"/>
        </w:rPr>
      </w:pPr>
      <w:r>
        <w:rPr>
          <w:spacing w:val="-10"/>
        </w:rPr>
        <w:t>经风险预测与评价，本项目环境风险影响程度及范围是可接受的。</w:t>
      </w:r>
      <w:r>
        <w:rPr>
          <w:rFonts w:hint="eastAsia"/>
          <w:spacing w:val="-10"/>
        </w:rPr>
        <w:t>本项目</w:t>
      </w:r>
      <w:r>
        <w:rPr>
          <w:spacing w:val="-10"/>
        </w:rPr>
        <w:t>在采取了严格的风险防控措施，并编制有针对性的突发环境事件应急预案后，不仅可大幅降低风险发生概率，而且可将风险发生后对环境的影响程度降至最低，本项目环境风险可防可控。</w:t>
      </w:r>
    </w:p>
    <w:p w14:paraId="69D3001A">
      <w:pPr>
        <w:adjustRightInd w:val="0"/>
        <w:snapToGrid w:val="0"/>
        <w:rPr>
          <w:rFonts w:hint="eastAsia"/>
          <w:b/>
          <w:bCs/>
          <w:spacing w:val="-10"/>
        </w:rPr>
      </w:pPr>
    </w:p>
    <w:p w14:paraId="75143A16">
      <w:pPr>
        <w:rPr>
          <w:rFonts w:hint="eastAsia" w:eastAsia="黑体"/>
        </w:rPr>
      </w:pPr>
      <w:r>
        <w:rPr>
          <w:rFonts w:hint="eastAsia" w:eastAsia="黑体"/>
        </w:rPr>
        <w:br w:type="page"/>
      </w:r>
    </w:p>
    <w:p w14:paraId="1C99A56E">
      <w:pPr>
        <w:pStyle w:val="13"/>
        <w:adjustRightInd w:val="0"/>
        <w:snapToGrid w:val="0"/>
        <w:spacing w:before="0" w:beforeAutospacing="0" w:after="0" w:afterAutospacing="0" w:line="552" w:lineRule="auto"/>
        <w:outlineLvl w:val="0"/>
        <w:rPr>
          <w:rFonts w:hint="eastAsia" w:ascii="方正小标宋_GBK" w:hAnsi="黑体" w:eastAsia="方正小标宋_GBK"/>
          <w:snapToGrid w:val="0"/>
          <w:sz w:val="38"/>
          <w:szCs w:val="38"/>
        </w:rPr>
        <w:sectPr>
          <w:footerReference r:id="rId7" w:type="default"/>
          <w:pgSz w:w="11906" w:h="16838"/>
          <w:pgMar w:top="1701" w:right="1531" w:bottom="1701" w:left="1531" w:header="851" w:footer="851" w:gutter="0"/>
          <w:cols w:space="720" w:num="1"/>
          <w:docGrid w:linePitch="312" w:charSpace="0"/>
        </w:sectPr>
      </w:pPr>
    </w:p>
    <w:p w14:paraId="3F158C16">
      <w:pPr>
        <w:pStyle w:val="80"/>
        <w:rPr>
          <w:rFonts w:hint="eastAsia"/>
          <w:color w:val="000000" w:themeColor="text1"/>
          <w14:textFill>
            <w14:solidFill>
              <w14:schemeClr w14:val="tx1"/>
            </w14:solidFill>
          </w14:textFill>
        </w:rPr>
      </w:pPr>
      <w:r>
        <w:rPr>
          <w:color w:val="000000" w:themeColor="text1"/>
          <w14:textFill>
            <w14:solidFill>
              <w14:schemeClr w14:val="tx1"/>
            </w14:solidFill>
          </w14:textFill>
        </w:rPr>
        <w:t>建设项目环境风险评价自查表</w:t>
      </w:r>
    </w:p>
    <w:tbl>
      <w:tblPr>
        <w:tblStyle w:val="16"/>
        <w:tblW w:w="50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5"/>
        <w:gridCol w:w="110"/>
        <w:gridCol w:w="1229"/>
        <w:gridCol w:w="1206"/>
        <w:gridCol w:w="478"/>
        <w:gridCol w:w="1624"/>
        <w:gridCol w:w="1440"/>
        <w:gridCol w:w="607"/>
        <w:gridCol w:w="560"/>
        <w:gridCol w:w="1221"/>
      </w:tblGrid>
      <w:tr w14:paraId="2221C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4" w:type="dxa"/>
            <w:gridSpan w:val="3"/>
            <w:vAlign w:val="center"/>
          </w:tcPr>
          <w:p w14:paraId="41B07028">
            <w:pPr>
              <w:jc w:val="center"/>
              <w:rPr>
                <w:rFonts w:hint="eastAsia"/>
              </w:rPr>
            </w:pPr>
            <w:r>
              <w:t>工作内容</w:t>
            </w:r>
          </w:p>
        </w:tc>
        <w:tc>
          <w:tcPr>
            <w:tcW w:w="7136" w:type="dxa"/>
            <w:gridSpan w:val="7"/>
            <w:vAlign w:val="center"/>
          </w:tcPr>
          <w:p w14:paraId="28CB8107">
            <w:pPr>
              <w:jc w:val="center"/>
              <w:rPr>
                <w:rFonts w:hint="eastAsia"/>
              </w:rPr>
            </w:pPr>
            <w:r>
              <w:t>完成情况</w:t>
            </w:r>
          </w:p>
        </w:tc>
      </w:tr>
      <w:tr w14:paraId="5D1EE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5" w:type="dxa"/>
            <w:vMerge w:val="restart"/>
            <w:vAlign w:val="center"/>
          </w:tcPr>
          <w:p w14:paraId="043D392F">
            <w:pPr>
              <w:jc w:val="center"/>
              <w:rPr>
                <w:rFonts w:hint="eastAsia"/>
              </w:rPr>
            </w:pPr>
            <w:r>
              <w:t>风</w:t>
            </w:r>
          </w:p>
          <w:p w14:paraId="3BC76996">
            <w:pPr>
              <w:jc w:val="center"/>
              <w:rPr>
                <w:rFonts w:hint="eastAsia"/>
              </w:rPr>
            </w:pPr>
            <w:r>
              <w:t>险</w:t>
            </w:r>
          </w:p>
          <w:p w14:paraId="6C2A6B18">
            <w:pPr>
              <w:jc w:val="center"/>
              <w:rPr>
                <w:rFonts w:hint="eastAsia"/>
              </w:rPr>
            </w:pPr>
            <w:r>
              <w:t>调</w:t>
            </w:r>
          </w:p>
          <w:p w14:paraId="325B5C20">
            <w:pPr>
              <w:jc w:val="center"/>
              <w:rPr>
                <w:rFonts w:hint="eastAsia"/>
              </w:rPr>
            </w:pPr>
            <w:r>
              <w:t>查</w:t>
            </w:r>
          </w:p>
        </w:tc>
        <w:tc>
          <w:tcPr>
            <w:tcW w:w="1339" w:type="dxa"/>
            <w:gridSpan w:val="2"/>
            <w:vMerge w:val="restart"/>
            <w:vAlign w:val="center"/>
          </w:tcPr>
          <w:p w14:paraId="75E9FA62">
            <w:pPr>
              <w:jc w:val="center"/>
              <w:rPr>
                <w:rFonts w:hint="eastAsia"/>
              </w:rPr>
            </w:pPr>
            <w:r>
              <w:t>危险物质</w:t>
            </w:r>
          </w:p>
        </w:tc>
        <w:tc>
          <w:tcPr>
            <w:tcW w:w="1206" w:type="dxa"/>
            <w:vAlign w:val="center"/>
          </w:tcPr>
          <w:p w14:paraId="2C377BBC">
            <w:pPr>
              <w:jc w:val="center"/>
              <w:rPr>
                <w:rFonts w:hint="eastAsia"/>
              </w:rPr>
            </w:pPr>
            <w:r>
              <w:t>名称</w:t>
            </w:r>
          </w:p>
        </w:tc>
        <w:tc>
          <w:tcPr>
            <w:tcW w:w="5930" w:type="dxa"/>
            <w:gridSpan w:val="6"/>
            <w:vMerge w:val="restart"/>
            <w:vAlign w:val="center"/>
          </w:tcPr>
          <w:p w14:paraId="676D09D4">
            <w:pPr>
              <w:jc w:val="center"/>
              <w:rPr>
                <w:rFonts w:hint="eastAsia"/>
                <w:sz w:val="18"/>
                <w:szCs w:val="18"/>
              </w:rPr>
            </w:pPr>
            <w:r>
              <w:rPr>
                <w:rFonts w:hint="eastAsia"/>
              </w:rPr>
              <w:t>见表6-10</w:t>
            </w:r>
          </w:p>
        </w:tc>
      </w:tr>
      <w:tr w14:paraId="0690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5" w:type="dxa"/>
            <w:vMerge w:val="continue"/>
            <w:vAlign w:val="center"/>
          </w:tcPr>
          <w:p w14:paraId="063D4D0B">
            <w:pPr>
              <w:jc w:val="center"/>
              <w:rPr>
                <w:rFonts w:hint="eastAsia"/>
              </w:rPr>
            </w:pPr>
          </w:p>
        </w:tc>
        <w:tc>
          <w:tcPr>
            <w:tcW w:w="1339" w:type="dxa"/>
            <w:gridSpan w:val="2"/>
            <w:vMerge w:val="continue"/>
            <w:vAlign w:val="center"/>
          </w:tcPr>
          <w:p w14:paraId="78C153AB">
            <w:pPr>
              <w:jc w:val="center"/>
              <w:rPr>
                <w:rFonts w:hint="eastAsia"/>
              </w:rPr>
            </w:pPr>
          </w:p>
        </w:tc>
        <w:tc>
          <w:tcPr>
            <w:tcW w:w="1206" w:type="dxa"/>
            <w:vAlign w:val="center"/>
          </w:tcPr>
          <w:p w14:paraId="2BB3BB90">
            <w:pPr>
              <w:jc w:val="center"/>
              <w:rPr>
                <w:rFonts w:hint="eastAsia"/>
              </w:rPr>
            </w:pPr>
            <w:r>
              <w:t>存在总量/t</w:t>
            </w:r>
          </w:p>
        </w:tc>
        <w:tc>
          <w:tcPr>
            <w:tcW w:w="5930" w:type="dxa"/>
            <w:gridSpan w:val="6"/>
            <w:vMerge w:val="continue"/>
            <w:vAlign w:val="center"/>
          </w:tcPr>
          <w:p w14:paraId="4C417777">
            <w:pPr>
              <w:jc w:val="center"/>
              <w:rPr>
                <w:rFonts w:hint="eastAsia"/>
              </w:rPr>
            </w:pPr>
          </w:p>
        </w:tc>
      </w:tr>
      <w:tr w14:paraId="7520A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5" w:type="dxa"/>
            <w:vMerge w:val="continue"/>
            <w:vAlign w:val="center"/>
          </w:tcPr>
          <w:p w14:paraId="034AA55E">
            <w:pPr>
              <w:jc w:val="center"/>
              <w:rPr>
                <w:rFonts w:hint="eastAsia"/>
              </w:rPr>
            </w:pPr>
          </w:p>
        </w:tc>
        <w:tc>
          <w:tcPr>
            <w:tcW w:w="1339" w:type="dxa"/>
            <w:gridSpan w:val="2"/>
            <w:vMerge w:val="restart"/>
            <w:vAlign w:val="center"/>
          </w:tcPr>
          <w:p w14:paraId="61B6AF3C">
            <w:pPr>
              <w:jc w:val="center"/>
              <w:rPr>
                <w:rFonts w:hint="eastAsia"/>
              </w:rPr>
            </w:pPr>
            <w:r>
              <w:t>环境敏感性</w:t>
            </w:r>
          </w:p>
        </w:tc>
        <w:tc>
          <w:tcPr>
            <w:tcW w:w="1206" w:type="dxa"/>
            <w:vMerge w:val="restart"/>
            <w:vAlign w:val="center"/>
          </w:tcPr>
          <w:p w14:paraId="386D7175">
            <w:pPr>
              <w:jc w:val="center"/>
              <w:rPr>
                <w:rFonts w:hint="eastAsia"/>
              </w:rPr>
            </w:pPr>
            <w:r>
              <w:t>大气</w:t>
            </w:r>
          </w:p>
        </w:tc>
        <w:tc>
          <w:tcPr>
            <w:tcW w:w="3542" w:type="dxa"/>
            <w:gridSpan w:val="3"/>
            <w:vAlign w:val="center"/>
          </w:tcPr>
          <w:p w14:paraId="59A66C1F">
            <w:pPr>
              <w:jc w:val="center"/>
              <w:rPr>
                <w:rFonts w:hint="eastAsia"/>
              </w:rPr>
            </w:pPr>
            <w:r>
              <w:t>500 m范围内人口数</w:t>
            </w:r>
            <w:r>
              <w:rPr>
                <w:u w:val="single"/>
              </w:rPr>
              <w:t xml:space="preserve">＜500 </w:t>
            </w:r>
            <w:r>
              <w:t>人</w:t>
            </w:r>
          </w:p>
        </w:tc>
        <w:tc>
          <w:tcPr>
            <w:tcW w:w="2388" w:type="dxa"/>
            <w:gridSpan w:val="3"/>
            <w:vAlign w:val="center"/>
          </w:tcPr>
          <w:p w14:paraId="608EBA33">
            <w:pPr>
              <w:jc w:val="center"/>
              <w:rPr>
                <w:rFonts w:hint="eastAsia"/>
              </w:rPr>
            </w:pPr>
            <w:r>
              <w:t>5 km范围内人口数</w:t>
            </w:r>
          </w:p>
          <w:p w14:paraId="5E8A27AB">
            <w:pPr>
              <w:jc w:val="center"/>
              <w:rPr>
                <w:rFonts w:hint="eastAsia"/>
              </w:rPr>
            </w:pPr>
            <w:r>
              <w:rPr>
                <w:u w:val="single"/>
              </w:rPr>
              <w:t xml:space="preserve">＜50000   </w:t>
            </w:r>
            <w:r>
              <w:t>人</w:t>
            </w:r>
          </w:p>
        </w:tc>
      </w:tr>
      <w:tr w14:paraId="5015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5" w:type="dxa"/>
            <w:vMerge w:val="continue"/>
            <w:vAlign w:val="center"/>
          </w:tcPr>
          <w:p w14:paraId="01FD70AE">
            <w:pPr>
              <w:jc w:val="center"/>
              <w:rPr>
                <w:rFonts w:hint="eastAsia"/>
              </w:rPr>
            </w:pPr>
          </w:p>
        </w:tc>
        <w:tc>
          <w:tcPr>
            <w:tcW w:w="1339" w:type="dxa"/>
            <w:gridSpan w:val="2"/>
            <w:vMerge w:val="continue"/>
            <w:vAlign w:val="center"/>
          </w:tcPr>
          <w:p w14:paraId="72D86C7E">
            <w:pPr>
              <w:jc w:val="center"/>
              <w:rPr>
                <w:rFonts w:hint="eastAsia"/>
              </w:rPr>
            </w:pPr>
          </w:p>
        </w:tc>
        <w:tc>
          <w:tcPr>
            <w:tcW w:w="1206" w:type="dxa"/>
            <w:vMerge w:val="continue"/>
            <w:vAlign w:val="center"/>
          </w:tcPr>
          <w:p w14:paraId="73C72132">
            <w:pPr>
              <w:jc w:val="center"/>
              <w:rPr>
                <w:rFonts w:hint="eastAsia"/>
              </w:rPr>
            </w:pPr>
          </w:p>
        </w:tc>
        <w:tc>
          <w:tcPr>
            <w:tcW w:w="4709" w:type="dxa"/>
            <w:gridSpan w:val="5"/>
            <w:vAlign w:val="center"/>
          </w:tcPr>
          <w:p w14:paraId="39518303">
            <w:pPr>
              <w:jc w:val="center"/>
              <w:rPr>
                <w:rFonts w:hint="eastAsia"/>
              </w:rPr>
            </w:pPr>
            <w:r>
              <w:t>每公里管段周边200 m范围内人口数(最大)</w:t>
            </w:r>
          </w:p>
        </w:tc>
        <w:tc>
          <w:tcPr>
            <w:tcW w:w="1221" w:type="dxa"/>
            <w:vAlign w:val="center"/>
          </w:tcPr>
          <w:p w14:paraId="071BC9B5">
            <w:pPr>
              <w:jc w:val="center"/>
              <w:rPr>
                <w:rFonts w:hint="eastAsia"/>
              </w:rPr>
            </w:pPr>
            <w:r>
              <w:rPr>
                <w:rFonts w:hint="eastAsia"/>
                <w:u w:val="single"/>
              </w:rPr>
              <w:t xml:space="preserve"> -</w:t>
            </w:r>
            <w:r>
              <w:t>人</w:t>
            </w:r>
          </w:p>
        </w:tc>
      </w:tr>
      <w:tr w14:paraId="7C16E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5" w:type="dxa"/>
            <w:vMerge w:val="continue"/>
            <w:vAlign w:val="center"/>
          </w:tcPr>
          <w:p w14:paraId="724E7302">
            <w:pPr>
              <w:jc w:val="center"/>
              <w:rPr>
                <w:rFonts w:hint="eastAsia"/>
              </w:rPr>
            </w:pPr>
          </w:p>
        </w:tc>
        <w:tc>
          <w:tcPr>
            <w:tcW w:w="1339" w:type="dxa"/>
            <w:gridSpan w:val="2"/>
            <w:vMerge w:val="continue"/>
            <w:vAlign w:val="center"/>
          </w:tcPr>
          <w:p w14:paraId="469EF848">
            <w:pPr>
              <w:jc w:val="center"/>
              <w:rPr>
                <w:rFonts w:hint="eastAsia"/>
              </w:rPr>
            </w:pPr>
          </w:p>
        </w:tc>
        <w:tc>
          <w:tcPr>
            <w:tcW w:w="1206" w:type="dxa"/>
            <w:vMerge w:val="restart"/>
            <w:vAlign w:val="center"/>
          </w:tcPr>
          <w:p w14:paraId="5BA7B301">
            <w:pPr>
              <w:jc w:val="center"/>
              <w:rPr>
                <w:rFonts w:hint="eastAsia"/>
              </w:rPr>
            </w:pPr>
            <w:r>
              <w:t>地表水</w:t>
            </w:r>
          </w:p>
        </w:tc>
        <w:tc>
          <w:tcPr>
            <w:tcW w:w="2102" w:type="dxa"/>
            <w:gridSpan w:val="2"/>
            <w:vAlign w:val="center"/>
          </w:tcPr>
          <w:p w14:paraId="4B8B06D4">
            <w:pPr>
              <w:jc w:val="center"/>
              <w:rPr>
                <w:rFonts w:hint="eastAsia"/>
              </w:rPr>
            </w:pPr>
            <w:r>
              <w:t>地表水功能敏感性</w:t>
            </w:r>
          </w:p>
        </w:tc>
        <w:tc>
          <w:tcPr>
            <w:tcW w:w="1440" w:type="dxa"/>
            <w:vAlign w:val="center"/>
          </w:tcPr>
          <w:p w14:paraId="2F91C836">
            <w:pPr>
              <w:jc w:val="center"/>
              <w:rPr>
                <w:rFonts w:hint="eastAsia"/>
              </w:rPr>
            </w:pPr>
            <w:r>
              <w:t>F1 □</w:t>
            </w:r>
          </w:p>
        </w:tc>
        <w:tc>
          <w:tcPr>
            <w:tcW w:w="1167" w:type="dxa"/>
            <w:gridSpan w:val="2"/>
            <w:vAlign w:val="center"/>
          </w:tcPr>
          <w:p w14:paraId="06BA8741">
            <w:pPr>
              <w:jc w:val="center"/>
              <w:rPr>
                <w:rFonts w:hint="eastAsia"/>
              </w:rPr>
            </w:pPr>
            <w:r>
              <w:t>F2 □</w:t>
            </w:r>
          </w:p>
        </w:tc>
        <w:tc>
          <w:tcPr>
            <w:tcW w:w="1221" w:type="dxa"/>
            <w:vAlign w:val="center"/>
          </w:tcPr>
          <w:p w14:paraId="3CE36E9A">
            <w:pPr>
              <w:jc w:val="center"/>
              <w:rPr>
                <w:rFonts w:hint="eastAsia"/>
              </w:rPr>
            </w:pPr>
            <w:r>
              <w:t xml:space="preserve">F3 </w:t>
            </w:r>
            <w:r>
              <w:rPr/>
              <w:sym w:font="Wingdings 2" w:char="F052"/>
            </w:r>
          </w:p>
        </w:tc>
      </w:tr>
      <w:tr w14:paraId="46B0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5" w:type="dxa"/>
            <w:vMerge w:val="continue"/>
            <w:vAlign w:val="center"/>
          </w:tcPr>
          <w:p w14:paraId="15B4819E">
            <w:pPr>
              <w:jc w:val="center"/>
              <w:rPr>
                <w:rFonts w:hint="eastAsia"/>
              </w:rPr>
            </w:pPr>
          </w:p>
        </w:tc>
        <w:tc>
          <w:tcPr>
            <w:tcW w:w="1339" w:type="dxa"/>
            <w:gridSpan w:val="2"/>
            <w:vMerge w:val="continue"/>
            <w:vAlign w:val="center"/>
          </w:tcPr>
          <w:p w14:paraId="48DD3BA0">
            <w:pPr>
              <w:jc w:val="center"/>
              <w:rPr>
                <w:rFonts w:hint="eastAsia"/>
              </w:rPr>
            </w:pPr>
          </w:p>
        </w:tc>
        <w:tc>
          <w:tcPr>
            <w:tcW w:w="1206" w:type="dxa"/>
            <w:vMerge w:val="continue"/>
            <w:vAlign w:val="center"/>
          </w:tcPr>
          <w:p w14:paraId="6A454FED">
            <w:pPr>
              <w:jc w:val="center"/>
              <w:rPr>
                <w:rFonts w:hint="eastAsia"/>
              </w:rPr>
            </w:pPr>
          </w:p>
        </w:tc>
        <w:tc>
          <w:tcPr>
            <w:tcW w:w="2102" w:type="dxa"/>
            <w:gridSpan w:val="2"/>
            <w:vAlign w:val="center"/>
          </w:tcPr>
          <w:p w14:paraId="00181908">
            <w:pPr>
              <w:jc w:val="center"/>
              <w:rPr>
                <w:rFonts w:hint="eastAsia"/>
              </w:rPr>
            </w:pPr>
            <w:r>
              <w:t>环境敏感目标分级</w:t>
            </w:r>
          </w:p>
        </w:tc>
        <w:tc>
          <w:tcPr>
            <w:tcW w:w="1440" w:type="dxa"/>
            <w:vAlign w:val="center"/>
          </w:tcPr>
          <w:p w14:paraId="37850AE5">
            <w:pPr>
              <w:jc w:val="center"/>
              <w:rPr>
                <w:rFonts w:hint="eastAsia"/>
              </w:rPr>
            </w:pPr>
            <w:r>
              <w:t>S1 □</w:t>
            </w:r>
          </w:p>
        </w:tc>
        <w:tc>
          <w:tcPr>
            <w:tcW w:w="1167" w:type="dxa"/>
            <w:gridSpan w:val="2"/>
            <w:vAlign w:val="center"/>
          </w:tcPr>
          <w:p w14:paraId="05FFB582">
            <w:pPr>
              <w:jc w:val="center"/>
              <w:rPr>
                <w:rFonts w:hint="eastAsia"/>
              </w:rPr>
            </w:pPr>
            <w:r>
              <w:t>S2 □</w:t>
            </w:r>
          </w:p>
        </w:tc>
        <w:tc>
          <w:tcPr>
            <w:tcW w:w="1221" w:type="dxa"/>
            <w:vAlign w:val="center"/>
          </w:tcPr>
          <w:p w14:paraId="3DE2F3D3">
            <w:pPr>
              <w:jc w:val="center"/>
              <w:rPr>
                <w:rFonts w:hint="eastAsia"/>
              </w:rPr>
            </w:pPr>
            <w:r>
              <w:t xml:space="preserve">S3 </w:t>
            </w:r>
            <w:r>
              <w:rPr/>
              <w:sym w:font="Wingdings 2" w:char="F052"/>
            </w:r>
          </w:p>
        </w:tc>
      </w:tr>
      <w:tr w14:paraId="0035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5" w:type="dxa"/>
            <w:vMerge w:val="continue"/>
            <w:vAlign w:val="center"/>
          </w:tcPr>
          <w:p w14:paraId="04676531">
            <w:pPr>
              <w:jc w:val="center"/>
              <w:rPr>
                <w:rFonts w:hint="eastAsia"/>
              </w:rPr>
            </w:pPr>
          </w:p>
        </w:tc>
        <w:tc>
          <w:tcPr>
            <w:tcW w:w="1339" w:type="dxa"/>
            <w:gridSpan w:val="2"/>
            <w:vMerge w:val="continue"/>
            <w:vAlign w:val="center"/>
          </w:tcPr>
          <w:p w14:paraId="0DA1C545">
            <w:pPr>
              <w:jc w:val="center"/>
              <w:rPr>
                <w:rFonts w:hint="eastAsia"/>
              </w:rPr>
            </w:pPr>
          </w:p>
        </w:tc>
        <w:tc>
          <w:tcPr>
            <w:tcW w:w="1206" w:type="dxa"/>
            <w:vMerge w:val="restart"/>
            <w:vAlign w:val="center"/>
          </w:tcPr>
          <w:p w14:paraId="1219B1F3">
            <w:pPr>
              <w:jc w:val="center"/>
              <w:rPr>
                <w:rFonts w:hint="eastAsia"/>
              </w:rPr>
            </w:pPr>
            <w:r>
              <w:t>地下水</w:t>
            </w:r>
          </w:p>
        </w:tc>
        <w:tc>
          <w:tcPr>
            <w:tcW w:w="2102" w:type="dxa"/>
            <w:gridSpan w:val="2"/>
            <w:vAlign w:val="center"/>
          </w:tcPr>
          <w:p w14:paraId="7ECC6E7F">
            <w:pPr>
              <w:jc w:val="center"/>
              <w:rPr>
                <w:rFonts w:hint="eastAsia"/>
              </w:rPr>
            </w:pPr>
            <w:r>
              <w:t>地下水功能敏感性</w:t>
            </w:r>
          </w:p>
        </w:tc>
        <w:tc>
          <w:tcPr>
            <w:tcW w:w="1440" w:type="dxa"/>
            <w:vAlign w:val="center"/>
          </w:tcPr>
          <w:p w14:paraId="03B7F953">
            <w:pPr>
              <w:jc w:val="center"/>
              <w:rPr>
                <w:rFonts w:hint="eastAsia"/>
              </w:rPr>
            </w:pPr>
            <w:r>
              <w:t>G1 □</w:t>
            </w:r>
          </w:p>
        </w:tc>
        <w:tc>
          <w:tcPr>
            <w:tcW w:w="1167" w:type="dxa"/>
            <w:gridSpan w:val="2"/>
            <w:vAlign w:val="center"/>
          </w:tcPr>
          <w:p w14:paraId="43E489F1">
            <w:pPr>
              <w:jc w:val="center"/>
              <w:rPr>
                <w:rFonts w:hint="eastAsia"/>
              </w:rPr>
            </w:pPr>
            <w:r>
              <w:t>G2 □</w:t>
            </w:r>
          </w:p>
        </w:tc>
        <w:tc>
          <w:tcPr>
            <w:tcW w:w="1221" w:type="dxa"/>
            <w:vAlign w:val="center"/>
          </w:tcPr>
          <w:p w14:paraId="318CC382">
            <w:pPr>
              <w:jc w:val="center"/>
              <w:rPr>
                <w:rFonts w:hint="eastAsia"/>
              </w:rPr>
            </w:pPr>
            <w:r>
              <w:t>G3</w:t>
            </w:r>
            <w:r>
              <w:rPr/>
              <w:sym w:font="Wingdings 2" w:char="0052"/>
            </w:r>
          </w:p>
        </w:tc>
      </w:tr>
      <w:tr w14:paraId="28703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5" w:type="dxa"/>
            <w:vMerge w:val="continue"/>
            <w:vAlign w:val="center"/>
          </w:tcPr>
          <w:p w14:paraId="13279701">
            <w:pPr>
              <w:jc w:val="center"/>
              <w:rPr>
                <w:rFonts w:hint="eastAsia"/>
              </w:rPr>
            </w:pPr>
          </w:p>
        </w:tc>
        <w:tc>
          <w:tcPr>
            <w:tcW w:w="1339" w:type="dxa"/>
            <w:gridSpan w:val="2"/>
            <w:vMerge w:val="continue"/>
            <w:vAlign w:val="center"/>
          </w:tcPr>
          <w:p w14:paraId="70D8CCD1">
            <w:pPr>
              <w:jc w:val="center"/>
              <w:rPr>
                <w:rFonts w:hint="eastAsia"/>
              </w:rPr>
            </w:pPr>
          </w:p>
        </w:tc>
        <w:tc>
          <w:tcPr>
            <w:tcW w:w="1206" w:type="dxa"/>
            <w:vMerge w:val="continue"/>
            <w:vAlign w:val="center"/>
          </w:tcPr>
          <w:p w14:paraId="483652C3">
            <w:pPr>
              <w:jc w:val="center"/>
              <w:rPr>
                <w:rFonts w:hint="eastAsia"/>
              </w:rPr>
            </w:pPr>
          </w:p>
        </w:tc>
        <w:tc>
          <w:tcPr>
            <w:tcW w:w="2102" w:type="dxa"/>
            <w:gridSpan w:val="2"/>
            <w:vAlign w:val="center"/>
          </w:tcPr>
          <w:p w14:paraId="6711D0FD">
            <w:pPr>
              <w:jc w:val="center"/>
              <w:rPr>
                <w:rFonts w:hint="eastAsia"/>
              </w:rPr>
            </w:pPr>
            <w:r>
              <w:t>包气带防污性能</w:t>
            </w:r>
          </w:p>
        </w:tc>
        <w:tc>
          <w:tcPr>
            <w:tcW w:w="1440" w:type="dxa"/>
            <w:vAlign w:val="center"/>
          </w:tcPr>
          <w:p w14:paraId="318B650F">
            <w:pPr>
              <w:jc w:val="center"/>
              <w:rPr>
                <w:rFonts w:hint="eastAsia"/>
              </w:rPr>
            </w:pPr>
            <w:r>
              <w:t xml:space="preserve">D1 </w:t>
            </w:r>
            <w:r>
              <w:rPr/>
              <w:sym w:font="Wingdings 2" w:char="0052"/>
            </w:r>
          </w:p>
        </w:tc>
        <w:tc>
          <w:tcPr>
            <w:tcW w:w="1167" w:type="dxa"/>
            <w:gridSpan w:val="2"/>
            <w:vAlign w:val="center"/>
          </w:tcPr>
          <w:p w14:paraId="4BB0C08C">
            <w:pPr>
              <w:jc w:val="center"/>
              <w:rPr>
                <w:rFonts w:hint="eastAsia"/>
              </w:rPr>
            </w:pPr>
            <w:r>
              <w:t>D2 □</w:t>
            </w:r>
          </w:p>
        </w:tc>
        <w:tc>
          <w:tcPr>
            <w:tcW w:w="1221" w:type="dxa"/>
            <w:vAlign w:val="center"/>
          </w:tcPr>
          <w:p w14:paraId="56D79B5E">
            <w:pPr>
              <w:jc w:val="center"/>
              <w:rPr>
                <w:rFonts w:hint="eastAsia"/>
              </w:rPr>
            </w:pPr>
            <w:r>
              <w:t>D3 □</w:t>
            </w:r>
          </w:p>
        </w:tc>
      </w:tr>
      <w:tr w14:paraId="4F3E0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4" w:type="dxa"/>
            <w:gridSpan w:val="3"/>
            <w:vMerge w:val="restart"/>
            <w:vAlign w:val="center"/>
          </w:tcPr>
          <w:p w14:paraId="74E844AF">
            <w:pPr>
              <w:jc w:val="center"/>
              <w:rPr>
                <w:rFonts w:hint="eastAsia"/>
              </w:rPr>
            </w:pPr>
            <w:r>
              <w:t>物质及工艺系统危险性</w:t>
            </w:r>
          </w:p>
        </w:tc>
        <w:tc>
          <w:tcPr>
            <w:tcW w:w="1206" w:type="dxa"/>
            <w:vAlign w:val="center"/>
          </w:tcPr>
          <w:p w14:paraId="0D9FDD25">
            <w:pPr>
              <w:jc w:val="center"/>
              <w:rPr>
                <w:rFonts w:hint="eastAsia"/>
              </w:rPr>
            </w:pPr>
            <w:r>
              <w:t>Q值</w:t>
            </w:r>
          </w:p>
        </w:tc>
        <w:tc>
          <w:tcPr>
            <w:tcW w:w="2102" w:type="dxa"/>
            <w:gridSpan w:val="2"/>
            <w:vAlign w:val="center"/>
          </w:tcPr>
          <w:p w14:paraId="48F399C0">
            <w:pPr>
              <w:jc w:val="center"/>
              <w:rPr>
                <w:rFonts w:hint="eastAsia"/>
              </w:rPr>
            </w:pPr>
            <w:r>
              <w:t>Q＜1□</w:t>
            </w:r>
          </w:p>
        </w:tc>
        <w:tc>
          <w:tcPr>
            <w:tcW w:w="1440" w:type="dxa"/>
            <w:vAlign w:val="center"/>
          </w:tcPr>
          <w:p w14:paraId="445E3543">
            <w:pPr>
              <w:jc w:val="center"/>
              <w:rPr>
                <w:rFonts w:hint="eastAsia"/>
              </w:rPr>
            </w:pPr>
            <w:r>
              <w:t>1≤Q＜10□</w:t>
            </w:r>
          </w:p>
        </w:tc>
        <w:tc>
          <w:tcPr>
            <w:tcW w:w="1167" w:type="dxa"/>
            <w:gridSpan w:val="2"/>
            <w:vAlign w:val="center"/>
          </w:tcPr>
          <w:p w14:paraId="6D2E355C">
            <w:pPr>
              <w:jc w:val="center"/>
              <w:rPr>
                <w:rFonts w:hint="eastAsia"/>
              </w:rPr>
            </w:pPr>
            <w:r>
              <w:t>10≤Q＜100 □</w:t>
            </w:r>
          </w:p>
        </w:tc>
        <w:tc>
          <w:tcPr>
            <w:tcW w:w="1221" w:type="dxa"/>
            <w:vAlign w:val="center"/>
          </w:tcPr>
          <w:p w14:paraId="20C20B73">
            <w:pPr>
              <w:jc w:val="center"/>
              <w:rPr>
                <w:rFonts w:hint="eastAsia"/>
              </w:rPr>
            </w:pPr>
            <w:r>
              <w:t>Q＞100</w:t>
            </w:r>
            <w:r>
              <w:rPr/>
              <w:sym w:font="Wingdings 2" w:char="F052"/>
            </w:r>
          </w:p>
        </w:tc>
      </w:tr>
      <w:tr w14:paraId="74C7A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4" w:type="dxa"/>
            <w:gridSpan w:val="3"/>
            <w:vMerge w:val="continue"/>
            <w:vAlign w:val="center"/>
          </w:tcPr>
          <w:p w14:paraId="1A73510A">
            <w:pPr>
              <w:jc w:val="center"/>
              <w:rPr>
                <w:rFonts w:hint="eastAsia"/>
              </w:rPr>
            </w:pPr>
          </w:p>
        </w:tc>
        <w:tc>
          <w:tcPr>
            <w:tcW w:w="1206" w:type="dxa"/>
            <w:vAlign w:val="center"/>
          </w:tcPr>
          <w:p w14:paraId="54F8B6BC">
            <w:pPr>
              <w:jc w:val="center"/>
              <w:rPr>
                <w:rFonts w:hint="eastAsia"/>
              </w:rPr>
            </w:pPr>
            <w:r>
              <w:t>M值</w:t>
            </w:r>
          </w:p>
        </w:tc>
        <w:tc>
          <w:tcPr>
            <w:tcW w:w="2102" w:type="dxa"/>
            <w:gridSpan w:val="2"/>
            <w:vAlign w:val="center"/>
          </w:tcPr>
          <w:p w14:paraId="64873CC9">
            <w:pPr>
              <w:jc w:val="center"/>
              <w:rPr>
                <w:rFonts w:hint="eastAsia"/>
              </w:rPr>
            </w:pPr>
            <w:r>
              <w:t>M1 □</w:t>
            </w:r>
          </w:p>
        </w:tc>
        <w:tc>
          <w:tcPr>
            <w:tcW w:w="1440" w:type="dxa"/>
            <w:vAlign w:val="center"/>
          </w:tcPr>
          <w:p w14:paraId="3333D9D7">
            <w:pPr>
              <w:jc w:val="center"/>
              <w:rPr>
                <w:rFonts w:hint="eastAsia"/>
              </w:rPr>
            </w:pPr>
            <w:r>
              <w:t>M2 □</w:t>
            </w:r>
          </w:p>
        </w:tc>
        <w:tc>
          <w:tcPr>
            <w:tcW w:w="1167" w:type="dxa"/>
            <w:gridSpan w:val="2"/>
            <w:vAlign w:val="center"/>
          </w:tcPr>
          <w:p w14:paraId="6738D961">
            <w:pPr>
              <w:jc w:val="center"/>
              <w:rPr>
                <w:rFonts w:hint="eastAsia"/>
              </w:rPr>
            </w:pPr>
            <w:r>
              <w:t xml:space="preserve">M3 </w:t>
            </w:r>
            <w:r>
              <w:rPr/>
              <w:sym w:font="Wingdings 2" w:char="F052"/>
            </w:r>
          </w:p>
        </w:tc>
        <w:tc>
          <w:tcPr>
            <w:tcW w:w="1221" w:type="dxa"/>
            <w:vAlign w:val="center"/>
          </w:tcPr>
          <w:p w14:paraId="0AF85AFF">
            <w:pPr>
              <w:jc w:val="center"/>
              <w:rPr>
                <w:rFonts w:hint="eastAsia"/>
              </w:rPr>
            </w:pPr>
            <w:r>
              <w:t>M4 □</w:t>
            </w:r>
          </w:p>
        </w:tc>
      </w:tr>
      <w:tr w14:paraId="3E31E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4" w:type="dxa"/>
            <w:gridSpan w:val="3"/>
            <w:vMerge w:val="continue"/>
            <w:vAlign w:val="center"/>
          </w:tcPr>
          <w:p w14:paraId="2B3819A1">
            <w:pPr>
              <w:jc w:val="center"/>
              <w:rPr>
                <w:rFonts w:hint="eastAsia"/>
              </w:rPr>
            </w:pPr>
          </w:p>
        </w:tc>
        <w:tc>
          <w:tcPr>
            <w:tcW w:w="1206" w:type="dxa"/>
            <w:vAlign w:val="center"/>
          </w:tcPr>
          <w:p w14:paraId="223BF28F">
            <w:pPr>
              <w:jc w:val="center"/>
              <w:rPr>
                <w:rFonts w:hint="eastAsia"/>
              </w:rPr>
            </w:pPr>
            <w:r>
              <w:t>P值</w:t>
            </w:r>
          </w:p>
        </w:tc>
        <w:tc>
          <w:tcPr>
            <w:tcW w:w="2102" w:type="dxa"/>
            <w:gridSpan w:val="2"/>
            <w:vAlign w:val="center"/>
          </w:tcPr>
          <w:p w14:paraId="70D50CD9">
            <w:pPr>
              <w:jc w:val="center"/>
              <w:rPr>
                <w:rFonts w:hint="eastAsia"/>
              </w:rPr>
            </w:pPr>
            <w:r>
              <w:t>P1 □</w:t>
            </w:r>
          </w:p>
        </w:tc>
        <w:tc>
          <w:tcPr>
            <w:tcW w:w="1440" w:type="dxa"/>
            <w:vAlign w:val="center"/>
          </w:tcPr>
          <w:p w14:paraId="385AC3D0">
            <w:pPr>
              <w:jc w:val="center"/>
              <w:rPr>
                <w:rFonts w:hint="eastAsia"/>
              </w:rPr>
            </w:pPr>
            <w:r>
              <w:t xml:space="preserve">P2 </w:t>
            </w:r>
            <w:r>
              <w:rPr/>
              <w:sym w:font="Wingdings 2" w:char="0052"/>
            </w:r>
          </w:p>
        </w:tc>
        <w:tc>
          <w:tcPr>
            <w:tcW w:w="1167" w:type="dxa"/>
            <w:gridSpan w:val="2"/>
            <w:vAlign w:val="center"/>
          </w:tcPr>
          <w:p w14:paraId="0D16DA75">
            <w:pPr>
              <w:jc w:val="center"/>
              <w:rPr>
                <w:rFonts w:hint="eastAsia"/>
              </w:rPr>
            </w:pPr>
            <w:r>
              <w:t>P3 □</w:t>
            </w:r>
          </w:p>
        </w:tc>
        <w:tc>
          <w:tcPr>
            <w:tcW w:w="1221" w:type="dxa"/>
            <w:vAlign w:val="center"/>
          </w:tcPr>
          <w:p w14:paraId="40C77074">
            <w:pPr>
              <w:jc w:val="center"/>
              <w:rPr>
                <w:rFonts w:hint="eastAsia"/>
              </w:rPr>
            </w:pPr>
            <w:r>
              <w:t>P4 □</w:t>
            </w:r>
          </w:p>
        </w:tc>
      </w:tr>
      <w:tr w14:paraId="357F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4" w:type="dxa"/>
            <w:gridSpan w:val="3"/>
            <w:vMerge w:val="restart"/>
            <w:vAlign w:val="center"/>
          </w:tcPr>
          <w:p w14:paraId="1AF4DC58">
            <w:pPr>
              <w:jc w:val="center"/>
              <w:rPr>
                <w:rFonts w:hint="eastAsia"/>
              </w:rPr>
            </w:pPr>
            <w:r>
              <w:t>环境敏感</w:t>
            </w:r>
          </w:p>
          <w:p w14:paraId="3EB5D032">
            <w:pPr>
              <w:jc w:val="center"/>
              <w:rPr>
                <w:rFonts w:hint="eastAsia"/>
              </w:rPr>
            </w:pPr>
            <w:r>
              <w:t>程度</w:t>
            </w:r>
          </w:p>
        </w:tc>
        <w:tc>
          <w:tcPr>
            <w:tcW w:w="1206" w:type="dxa"/>
            <w:vAlign w:val="center"/>
          </w:tcPr>
          <w:p w14:paraId="6000D8CA">
            <w:pPr>
              <w:jc w:val="center"/>
              <w:rPr>
                <w:rFonts w:hint="eastAsia"/>
              </w:rPr>
            </w:pPr>
            <w:r>
              <w:t>大气</w:t>
            </w:r>
          </w:p>
        </w:tc>
        <w:tc>
          <w:tcPr>
            <w:tcW w:w="2102" w:type="dxa"/>
            <w:gridSpan w:val="2"/>
            <w:vAlign w:val="center"/>
          </w:tcPr>
          <w:p w14:paraId="1B89BA4A">
            <w:pPr>
              <w:jc w:val="center"/>
              <w:rPr>
                <w:rFonts w:hint="eastAsia"/>
              </w:rPr>
            </w:pPr>
            <w:r>
              <w:t>E1□</w:t>
            </w:r>
          </w:p>
        </w:tc>
        <w:tc>
          <w:tcPr>
            <w:tcW w:w="2047" w:type="dxa"/>
            <w:gridSpan w:val="2"/>
            <w:vAlign w:val="center"/>
          </w:tcPr>
          <w:p w14:paraId="0DBC7ADC">
            <w:pPr>
              <w:jc w:val="center"/>
              <w:rPr>
                <w:rFonts w:hint="eastAsia"/>
              </w:rPr>
            </w:pPr>
            <w:r>
              <w:t>E2 □</w:t>
            </w:r>
          </w:p>
        </w:tc>
        <w:tc>
          <w:tcPr>
            <w:tcW w:w="1781" w:type="dxa"/>
            <w:gridSpan w:val="2"/>
            <w:vAlign w:val="center"/>
          </w:tcPr>
          <w:p w14:paraId="12C1F276">
            <w:pPr>
              <w:jc w:val="center"/>
              <w:rPr>
                <w:rFonts w:hint="eastAsia"/>
              </w:rPr>
            </w:pPr>
            <w:r>
              <w:t>E3</w:t>
            </w:r>
            <w:r>
              <w:rPr/>
              <w:sym w:font="Wingdings 2" w:char="F052"/>
            </w:r>
          </w:p>
        </w:tc>
      </w:tr>
      <w:tr w14:paraId="01B4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4" w:type="dxa"/>
            <w:gridSpan w:val="3"/>
            <w:vMerge w:val="continue"/>
            <w:vAlign w:val="center"/>
          </w:tcPr>
          <w:p w14:paraId="712A6BEC">
            <w:pPr>
              <w:jc w:val="center"/>
              <w:rPr>
                <w:rFonts w:hint="eastAsia"/>
              </w:rPr>
            </w:pPr>
          </w:p>
        </w:tc>
        <w:tc>
          <w:tcPr>
            <w:tcW w:w="1206" w:type="dxa"/>
            <w:vAlign w:val="center"/>
          </w:tcPr>
          <w:p w14:paraId="037B20FE">
            <w:pPr>
              <w:jc w:val="center"/>
              <w:rPr>
                <w:rFonts w:hint="eastAsia"/>
              </w:rPr>
            </w:pPr>
            <w:r>
              <w:t>地表水</w:t>
            </w:r>
          </w:p>
        </w:tc>
        <w:tc>
          <w:tcPr>
            <w:tcW w:w="2102" w:type="dxa"/>
            <w:gridSpan w:val="2"/>
            <w:vAlign w:val="center"/>
          </w:tcPr>
          <w:p w14:paraId="25AD6540">
            <w:pPr>
              <w:jc w:val="center"/>
              <w:rPr>
                <w:rFonts w:hint="eastAsia"/>
              </w:rPr>
            </w:pPr>
            <w:r>
              <w:t>E1 □</w:t>
            </w:r>
          </w:p>
        </w:tc>
        <w:tc>
          <w:tcPr>
            <w:tcW w:w="2047" w:type="dxa"/>
            <w:gridSpan w:val="2"/>
            <w:vAlign w:val="center"/>
          </w:tcPr>
          <w:p w14:paraId="08120BD7">
            <w:pPr>
              <w:jc w:val="center"/>
              <w:rPr>
                <w:rFonts w:hint="eastAsia"/>
              </w:rPr>
            </w:pPr>
            <w:r>
              <w:t>E2 □</w:t>
            </w:r>
          </w:p>
        </w:tc>
        <w:tc>
          <w:tcPr>
            <w:tcW w:w="1781" w:type="dxa"/>
            <w:gridSpan w:val="2"/>
            <w:vAlign w:val="center"/>
          </w:tcPr>
          <w:p w14:paraId="375CE470">
            <w:pPr>
              <w:jc w:val="center"/>
              <w:rPr>
                <w:rFonts w:hint="eastAsia"/>
              </w:rPr>
            </w:pPr>
            <w:r>
              <w:t xml:space="preserve">E3 </w:t>
            </w:r>
            <w:r>
              <w:rPr/>
              <w:sym w:font="Wingdings 2" w:char="F052"/>
            </w:r>
          </w:p>
        </w:tc>
      </w:tr>
      <w:tr w14:paraId="25103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4" w:type="dxa"/>
            <w:gridSpan w:val="3"/>
            <w:vMerge w:val="continue"/>
            <w:vAlign w:val="center"/>
          </w:tcPr>
          <w:p w14:paraId="0295D1D5">
            <w:pPr>
              <w:jc w:val="center"/>
              <w:rPr>
                <w:rFonts w:hint="eastAsia"/>
              </w:rPr>
            </w:pPr>
          </w:p>
        </w:tc>
        <w:tc>
          <w:tcPr>
            <w:tcW w:w="1206" w:type="dxa"/>
            <w:vAlign w:val="center"/>
          </w:tcPr>
          <w:p w14:paraId="489F87E3">
            <w:pPr>
              <w:jc w:val="center"/>
              <w:rPr>
                <w:rFonts w:hint="eastAsia"/>
              </w:rPr>
            </w:pPr>
            <w:r>
              <w:t>地下水</w:t>
            </w:r>
          </w:p>
        </w:tc>
        <w:tc>
          <w:tcPr>
            <w:tcW w:w="2102" w:type="dxa"/>
            <w:gridSpan w:val="2"/>
            <w:vAlign w:val="center"/>
          </w:tcPr>
          <w:p w14:paraId="2B2CE016">
            <w:pPr>
              <w:jc w:val="center"/>
              <w:rPr>
                <w:rFonts w:hint="eastAsia"/>
              </w:rPr>
            </w:pPr>
            <w:r>
              <w:t>E1 □</w:t>
            </w:r>
          </w:p>
        </w:tc>
        <w:tc>
          <w:tcPr>
            <w:tcW w:w="2047" w:type="dxa"/>
            <w:gridSpan w:val="2"/>
            <w:vAlign w:val="center"/>
          </w:tcPr>
          <w:p w14:paraId="739D68E8">
            <w:pPr>
              <w:jc w:val="center"/>
              <w:rPr>
                <w:rFonts w:hint="eastAsia"/>
              </w:rPr>
            </w:pPr>
            <w:r>
              <w:t xml:space="preserve">E2 </w:t>
            </w:r>
            <w:r>
              <w:rPr/>
              <w:sym w:font="Wingdings 2" w:char="0052"/>
            </w:r>
          </w:p>
        </w:tc>
        <w:tc>
          <w:tcPr>
            <w:tcW w:w="1781" w:type="dxa"/>
            <w:gridSpan w:val="2"/>
            <w:vAlign w:val="center"/>
          </w:tcPr>
          <w:p w14:paraId="78CE7FF8">
            <w:pPr>
              <w:jc w:val="center"/>
              <w:rPr>
                <w:rFonts w:hint="eastAsia"/>
              </w:rPr>
            </w:pPr>
            <w:r>
              <w:t>E3 □</w:t>
            </w:r>
          </w:p>
        </w:tc>
      </w:tr>
      <w:tr w14:paraId="48305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4" w:type="dxa"/>
            <w:gridSpan w:val="3"/>
            <w:vAlign w:val="center"/>
          </w:tcPr>
          <w:p w14:paraId="7A4D5290">
            <w:pPr>
              <w:jc w:val="center"/>
              <w:rPr>
                <w:rFonts w:hint="eastAsia"/>
              </w:rPr>
            </w:pPr>
            <w:r>
              <w:t>环境风险</w:t>
            </w:r>
          </w:p>
          <w:p w14:paraId="03656809">
            <w:pPr>
              <w:jc w:val="center"/>
              <w:rPr>
                <w:rFonts w:hint="eastAsia"/>
              </w:rPr>
            </w:pPr>
            <w:r>
              <w:t>潜势</w:t>
            </w:r>
          </w:p>
        </w:tc>
        <w:tc>
          <w:tcPr>
            <w:tcW w:w="1206" w:type="dxa"/>
            <w:vAlign w:val="center"/>
          </w:tcPr>
          <w:p w14:paraId="6454CF59">
            <w:pPr>
              <w:jc w:val="center"/>
              <w:rPr>
                <w:rFonts w:hint="eastAsia"/>
              </w:rPr>
            </w:pPr>
            <w:r>
              <w:t>Ⅳ+ □</w:t>
            </w:r>
          </w:p>
        </w:tc>
        <w:tc>
          <w:tcPr>
            <w:tcW w:w="2102" w:type="dxa"/>
            <w:gridSpan w:val="2"/>
            <w:vAlign w:val="center"/>
          </w:tcPr>
          <w:p w14:paraId="24A37E5F">
            <w:pPr>
              <w:jc w:val="center"/>
              <w:rPr>
                <w:rFonts w:hint="eastAsia"/>
              </w:rPr>
            </w:pPr>
            <w:r>
              <w:t>Ⅳ□</w:t>
            </w:r>
          </w:p>
        </w:tc>
        <w:tc>
          <w:tcPr>
            <w:tcW w:w="1440" w:type="dxa"/>
            <w:vAlign w:val="center"/>
          </w:tcPr>
          <w:p w14:paraId="2F33D1B6">
            <w:pPr>
              <w:jc w:val="center"/>
              <w:rPr>
                <w:rFonts w:hint="eastAsia"/>
              </w:rPr>
            </w:pPr>
            <w:r>
              <w:t>Ⅲ</w:t>
            </w:r>
            <w:r>
              <w:rPr/>
              <w:sym w:font="Wingdings 2" w:char="0052"/>
            </w:r>
          </w:p>
        </w:tc>
        <w:tc>
          <w:tcPr>
            <w:tcW w:w="1167" w:type="dxa"/>
            <w:gridSpan w:val="2"/>
            <w:vAlign w:val="center"/>
          </w:tcPr>
          <w:p w14:paraId="72010CBB">
            <w:pPr>
              <w:jc w:val="center"/>
              <w:rPr>
                <w:rFonts w:hint="eastAsia"/>
              </w:rPr>
            </w:pPr>
            <w:r>
              <w:t>Ⅱ□</w:t>
            </w:r>
          </w:p>
        </w:tc>
        <w:tc>
          <w:tcPr>
            <w:tcW w:w="1221" w:type="dxa"/>
            <w:vAlign w:val="center"/>
          </w:tcPr>
          <w:p w14:paraId="2D524511">
            <w:pPr>
              <w:jc w:val="center"/>
              <w:rPr>
                <w:rFonts w:hint="eastAsia"/>
              </w:rPr>
            </w:pPr>
            <w:r>
              <w:t>I □</w:t>
            </w:r>
          </w:p>
        </w:tc>
      </w:tr>
      <w:tr w14:paraId="1274C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4" w:type="dxa"/>
            <w:gridSpan w:val="3"/>
            <w:vAlign w:val="center"/>
          </w:tcPr>
          <w:p w14:paraId="025ED3A7">
            <w:pPr>
              <w:jc w:val="center"/>
              <w:rPr>
                <w:rFonts w:hint="eastAsia"/>
              </w:rPr>
            </w:pPr>
            <w:r>
              <w:t>评价等级</w:t>
            </w:r>
          </w:p>
        </w:tc>
        <w:tc>
          <w:tcPr>
            <w:tcW w:w="1684" w:type="dxa"/>
            <w:gridSpan w:val="2"/>
            <w:vAlign w:val="center"/>
          </w:tcPr>
          <w:p w14:paraId="0AEA5981">
            <w:pPr>
              <w:jc w:val="center"/>
              <w:rPr>
                <w:rFonts w:hint="eastAsia"/>
              </w:rPr>
            </w:pPr>
            <w:r>
              <w:t>一级</w:t>
            </w:r>
            <w:r>
              <w:rPr/>
              <w:sym w:font="Wingdings 2" w:char="00A3"/>
            </w:r>
          </w:p>
        </w:tc>
        <w:tc>
          <w:tcPr>
            <w:tcW w:w="1624" w:type="dxa"/>
            <w:vAlign w:val="center"/>
          </w:tcPr>
          <w:p w14:paraId="5B78674E">
            <w:pPr>
              <w:jc w:val="center"/>
              <w:rPr>
                <w:rFonts w:hint="eastAsia"/>
              </w:rPr>
            </w:pPr>
            <w:r>
              <w:t>二级</w:t>
            </w:r>
            <w:r>
              <w:rPr/>
              <w:sym w:font="Wingdings 2" w:char="F052"/>
            </w:r>
          </w:p>
        </w:tc>
        <w:tc>
          <w:tcPr>
            <w:tcW w:w="2047" w:type="dxa"/>
            <w:gridSpan w:val="2"/>
            <w:vAlign w:val="center"/>
          </w:tcPr>
          <w:p w14:paraId="35200A12">
            <w:pPr>
              <w:jc w:val="center"/>
              <w:rPr>
                <w:rFonts w:hint="eastAsia"/>
              </w:rPr>
            </w:pPr>
            <w:r>
              <w:t>三级</w:t>
            </w:r>
            <w:r>
              <w:rPr/>
              <w:sym w:font="Wingdings 2" w:char="00A3"/>
            </w:r>
          </w:p>
        </w:tc>
        <w:tc>
          <w:tcPr>
            <w:tcW w:w="1781" w:type="dxa"/>
            <w:gridSpan w:val="2"/>
            <w:vAlign w:val="center"/>
          </w:tcPr>
          <w:p w14:paraId="292F30ED">
            <w:pPr>
              <w:jc w:val="center"/>
              <w:rPr>
                <w:rFonts w:hint="eastAsia"/>
              </w:rPr>
            </w:pPr>
            <w:r>
              <w:t>简单分析□</w:t>
            </w:r>
          </w:p>
        </w:tc>
      </w:tr>
      <w:tr w14:paraId="70CD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75" w:type="dxa"/>
            <w:gridSpan w:val="2"/>
            <w:vMerge w:val="restart"/>
            <w:vAlign w:val="center"/>
          </w:tcPr>
          <w:p w14:paraId="25D6A452">
            <w:pPr>
              <w:jc w:val="center"/>
              <w:rPr>
                <w:rFonts w:hint="eastAsia"/>
              </w:rPr>
            </w:pPr>
            <w:r>
              <w:t>风</w:t>
            </w:r>
          </w:p>
          <w:p w14:paraId="366A9264">
            <w:pPr>
              <w:jc w:val="center"/>
              <w:rPr>
                <w:rFonts w:hint="eastAsia"/>
              </w:rPr>
            </w:pPr>
            <w:r>
              <w:t>险</w:t>
            </w:r>
          </w:p>
          <w:p w14:paraId="317ECD70">
            <w:pPr>
              <w:jc w:val="center"/>
              <w:rPr>
                <w:rFonts w:hint="eastAsia"/>
              </w:rPr>
            </w:pPr>
            <w:r>
              <w:t>识</w:t>
            </w:r>
          </w:p>
          <w:p w14:paraId="689C039F">
            <w:pPr>
              <w:jc w:val="center"/>
              <w:rPr>
                <w:rFonts w:hint="eastAsia"/>
              </w:rPr>
            </w:pPr>
            <w:r>
              <w:t>别</w:t>
            </w:r>
          </w:p>
        </w:tc>
        <w:tc>
          <w:tcPr>
            <w:tcW w:w="1229" w:type="dxa"/>
            <w:vAlign w:val="center"/>
          </w:tcPr>
          <w:p w14:paraId="4443E4F8">
            <w:pPr>
              <w:jc w:val="center"/>
              <w:rPr>
                <w:rFonts w:hint="eastAsia"/>
              </w:rPr>
            </w:pPr>
            <w:r>
              <w:t>物质危险性</w:t>
            </w:r>
          </w:p>
        </w:tc>
        <w:tc>
          <w:tcPr>
            <w:tcW w:w="3308" w:type="dxa"/>
            <w:gridSpan w:val="3"/>
            <w:vAlign w:val="center"/>
          </w:tcPr>
          <w:p w14:paraId="7BB3E1BF">
            <w:pPr>
              <w:jc w:val="center"/>
              <w:rPr>
                <w:rFonts w:hint="eastAsia"/>
              </w:rPr>
            </w:pPr>
            <w:r>
              <w:t>有毒有害</w:t>
            </w:r>
            <w:r>
              <w:rPr/>
              <w:sym w:font="Wingdings 2" w:char="F052"/>
            </w:r>
          </w:p>
        </w:tc>
        <w:tc>
          <w:tcPr>
            <w:tcW w:w="3828" w:type="dxa"/>
            <w:gridSpan w:val="4"/>
            <w:vAlign w:val="center"/>
          </w:tcPr>
          <w:p w14:paraId="3EE84C8E">
            <w:pPr>
              <w:jc w:val="center"/>
              <w:rPr>
                <w:rFonts w:hint="eastAsia"/>
              </w:rPr>
            </w:pPr>
            <w:r>
              <w:t>易燃易爆</w:t>
            </w:r>
            <w:r>
              <w:rPr/>
              <w:sym w:font="Wingdings 2" w:char="0052"/>
            </w:r>
          </w:p>
        </w:tc>
      </w:tr>
      <w:tr w14:paraId="6E0F7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75" w:type="dxa"/>
            <w:gridSpan w:val="2"/>
            <w:vMerge w:val="continue"/>
            <w:vAlign w:val="center"/>
          </w:tcPr>
          <w:p w14:paraId="1F7015B4">
            <w:pPr>
              <w:jc w:val="center"/>
              <w:rPr>
                <w:rFonts w:hint="eastAsia"/>
              </w:rPr>
            </w:pPr>
          </w:p>
        </w:tc>
        <w:tc>
          <w:tcPr>
            <w:tcW w:w="1229" w:type="dxa"/>
            <w:vAlign w:val="center"/>
          </w:tcPr>
          <w:p w14:paraId="29FD610D">
            <w:pPr>
              <w:jc w:val="center"/>
              <w:rPr>
                <w:rFonts w:hint="eastAsia"/>
              </w:rPr>
            </w:pPr>
            <w:r>
              <w:t>环境风险</w:t>
            </w:r>
          </w:p>
          <w:p w14:paraId="7880EE36">
            <w:pPr>
              <w:jc w:val="center"/>
              <w:rPr>
                <w:rFonts w:hint="eastAsia"/>
              </w:rPr>
            </w:pPr>
            <w:r>
              <w:t>类别</w:t>
            </w:r>
          </w:p>
        </w:tc>
        <w:tc>
          <w:tcPr>
            <w:tcW w:w="1684" w:type="dxa"/>
            <w:gridSpan w:val="2"/>
            <w:vAlign w:val="center"/>
          </w:tcPr>
          <w:p w14:paraId="053F7A31">
            <w:pPr>
              <w:jc w:val="center"/>
              <w:rPr>
                <w:rFonts w:hint="eastAsia"/>
              </w:rPr>
            </w:pPr>
            <w:r>
              <w:t>泄漏</w:t>
            </w:r>
            <w:r>
              <w:rPr/>
              <w:sym w:font="Wingdings 2" w:char="0052"/>
            </w:r>
          </w:p>
        </w:tc>
        <w:tc>
          <w:tcPr>
            <w:tcW w:w="5452" w:type="dxa"/>
            <w:gridSpan w:val="5"/>
            <w:vAlign w:val="center"/>
          </w:tcPr>
          <w:p w14:paraId="6F3F64EB">
            <w:pPr>
              <w:jc w:val="center"/>
              <w:rPr>
                <w:rFonts w:hint="eastAsia"/>
              </w:rPr>
            </w:pPr>
            <w:r>
              <w:t>火灾、爆炸引发伴生/次生污染物排放</w:t>
            </w:r>
            <w:r>
              <w:rPr/>
              <w:sym w:font="Wingdings 2" w:char="0052"/>
            </w:r>
          </w:p>
        </w:tc>
      </w:tr>
      <w:tr w14:paraId="794B7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75" w:type="dxa"/>
            <w:gridSpan w:val="2"/>
            <w:vMerge w:val="continue"/>
            <w:vAlign w:val="center"/>
          </w:tcPr>
          <w:p w14:paraId="61796577">
            <w:pPr>
              <w:jc w:val="center"/>
              <w:rPr>
                <w:rFonts w:hint="eastAsia"/>
              </w:rPr>
            </w:pPr>
          </w:p>
        </w:tc>
        <w:tc>
          <w:tcPr>
            <w:tcW w:w="1229" w:type="dxa"/>
            <w:vAlign w:val="center"/>
          </w:tcPr>
          <w:p w14:paraId="09367ABF">
            <w:pPr>
              <w:jc w:val="center"/>
              <w:rPr>
                <w:rFonts w:hint="eastAsia"/>
              </w:rPr>
            </w:pPr>
            <w:r>
              <w:t>影响途径</w:t>
            </w:r>
          </w:p>
        </w:tc>
        <w:tc>
          <w:tcPr>
            <w:tcW w:w="3308" w:type="dxa"/>
            <w:gridSpan w:val="3"/>
            <w:vAlign w:val="center"/>
          </w:tcPr>
          <w:p w14:paraId="0A0FB62D">
            <w:pPr>
              <w:jc w:val="center"/>
              <w:rPr>
                <w:rFonts w:hint="eastAsia"/>
              </w:rPr>
            </w:pPr>
            <w:r>
              <w:t>大气</w:t>
            </w:r>
            <w:r>
              <w:rPr/>
              <w:sym w:font="Wingdings 2" w:char="0052"/>
            </w:r>
          </w:p>
        </w:tc>
        <w:tc>
          <w:tcPr>
            <w:tcW w:w="2047" w:type="dxa"/>
            <w:gridSpan w:val="2"/>
            <w:vAlign w:val="center"/>
          </w:tcPr>
          <w:p w14:paraId="17CC8616">
            <w:pPr>
              <w:jc w:val="center"/>
              <w:rPr>
                <w:rFonts w:hint="eastAsia"/>
              </w:rPr>
            </w:pPr>
            <w:r>
              <w:t>地表水□</w:t>
            </w:r>
          </w:p>
        </w:tc>
        <w:tc>
          <w:tcPr>
            <w:tcW w:w="1781" w:type="dxa"/>
            <w:gridSpan w:val="2"/>
            <w:vAlign w:val="center"/>
          </w:tcPr>
          <w:p w14:paraId="1C40B424">
            <w:pPr>
              <w:jc w:val="center"/>
              <w:rPr>
                <w:rFonts w:hint="eastAsia"/>
              </w:rPr>
            </w:pPr>
            <w:r>
              <w:t>地下水</w:t>
            </w:r>
            <w:r>
              <w:rPr/>
              <w:sym w:font="Wingdings 2" w:char="0052"/>
            </w:r>
          </w:p>
        </w:tc>
      </w:tr>
      <w:tr w14:paraId="3A7B3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4" w:type="dxa"/>
            <w:gridSpan w:val="3"/>
            <w:vAlign w:val="center"/>
          </w:tcPr>
          <w:p w14:paraId="5FB1285C">
            <w:pPr>
              <w:jc w:val="center"/>
              <w:rPr>
                <w:rFonts w:hint="eastAsia"/>
              </w:rPr>
            </w:pPr>
            <w:r>
              <w:t>事故情形分析</w:t>
            </w:r>
          </w:p>
        </w:tc>
        <w:tc>
          <w:tcPr>
            <w:tcW w:w="1684" w:type="dxa"/>
            <w:gridSpan w:val="2"/>
            <w:vAlign w:val="center"/>
          </w:tcPr>
          <w:p w14:paraId="2A664124">
            <w:pPr>
              <w:jc w:val="center"/>
              <w:rPr>
                <w:rFonts w:hint="eastAsia"/>
              </w:rPr>
            </w:pPr>
            <w:r>
              <w:t>源强设定方法</w:t>
            </w:r>
          </w:p>
        </w:tc>
        <w:tc>
          <w:tcPr>
            <w:tcW w:w="1624" w:type="dxa"/>
            <w:vAlign w:val="center"/>
          </w:tcPr>
          <w:p w14:paraId="2FDDD540">
            <w:pPr>
              <w:jc w:val="center"/>
              <w:rPr>
                <w:rFonts w:hint="eastAsia"/>
              </w:rPr>
            </w:pPr>
            <w:r>
              <w:t>计算法</w:t>
            </w:r>
            <w:r>
              <w:rPr/>
              <w:sym w:font="Wingdings 2" w:char="0052"/>
            </w:r>
          </w:p>
        </w:tc>
        <w:tc>
          <w:tcPr>
            <w:tcW w:w="2047" w:type="dxa"/>
            <w:gridSpan w:val="2"/>
            <w:vAlign w:val="center"/>
          </w:tcPr>
          <w:p w14:paraId="6C4AC38D">
            <w:pPr>
              <w:jc w:val="center"/>
              <w:rPr>
                <w:rFonts w:hint="eastAsia"/>
              </w:rPr>
            </w:pPr>
            <w:r>
              <w:t>经验估算法□</w:t>
            </w:r>
          </w:p>
        </w:tc>
        <w:tc>
          <w:tcPr>
            <w:tcW w:w="1781" w:type="dxa"/>
            <w:gridSpan w:val="2"/>
            <w:vAlign w:val="center"/>
          </w:tcPr>
          <w:p w14:paraId="0B3CE71F">
            <w:pPr>
              <w:jc w:val="center"/>
              <w:rPr>
                <w:rFonts w:hint="eastAsia"/>
              </w:rPr>
            </w:pPr>
            <w:r>
              <w:t>其他估算法□</w:t>
            </w:r>
          </w:p>
        </w:tc>
      </w:tr>
      <w:tr w14:paraId="06109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75" w:type="dxa"/>
            <w:gridSpan w:val="2"/>
            <w:vMerge w:val="restart"/>
            <w:vAlign w:val="center"/>
          </w:tcPr>
          <w:p w14:paraId="24E586B7">
            <w:pPr>
              <w:jc w:val="center"/>
              <w:rPr>
                <w:rFonts w:hint="eastAsia"/>
              </w:rPr>
            </w:pPr>
            <w:r>
              <w:t>环境风险预测与评价</w:t>
            </w:r>
          </w:p>
        </w:tc>
        <w:tc>
          <w:tcPr>
            <w:tcW w:w="1229" w:type="dxa"/>
            <w:vMerge w:val="restart"/>
            <w:vAlign w:val="center"/>
          </w:tcPr>
          <w:p w14:paraId="146DDEE5">
            <w:pPr>
              <w:jc w:val="center"/>
              <w:rPr>
                <w:rFonts w:hint="eastAsia"/>
              </w:rPr>
            </w:pPr>
            <w:r>
              <w:t>大气</w:t>
            </w:r>
          </w:p>
        </w:tc>
        <w:tc>
          <w:tcPr>
            <w:tcW w:w="1684" w:type="dxa"/>
            <w:gridSpan w:val="2"/>
            <w:vAlign w:val="center"/>
          </w:tcPr>
          <w:p w14:paraId="560CA472">
            <w:pPr>
              <w:jc w:val="center"/>
              <w:rPr>
                <w:rFonts w:hint="eastAsia"/>
              </w:rPr>
            </w:pPr>
            <w:r>
              <w:t>预测模型</w:t>
            </w:r>
          </w:p>
        </w:tc>
        <w:tc>
          <w:tcPr>
            <w:tcW w:w="1624" w:type="dxa"/>
            <w:vAlign w:val="center"/>
          </w:tcPr>
          <w:p w14:paraId="3E0D9E87">
            <w:pPr>
              <w:jc w:val="center"/>
              <w:rPr>
                <w:rFonts w:hint="eastAsia"/>
              </w:rPr>
            </w:pPr>
            <w:r>
              <w:t>SLAB</w:t>
            </w:r>
            <w:r>
              <w:rPr/>
              <w:sym w:font="Wingdings 2" w:char="0052"/>
            </w:r>
          </w:p>
        </w:tc>
        <w:tc>
          <w:tcPr>
            <w:tcW w:w="2047" w:type="dxa"/>
            <w:gridSpan w:val="2"/>
            <w:vAlign w:val="center"/>
          </w:tcPr>
          <w:p w14:paraId="2B877736">
            <w:pPr>
              <w:jc w:val="center"/>
              <w:rPr>
                <w:rFonts w:hint="eastAsia"/>
              </w:rPr>
            </w:pPr>
            <w:r>
              <w:t>AFTOX □</w:t>
            </w:r>
          </w:p>
        </w:tc>
        <w:tc>
          <w:tcPr>
            <w:tcW w:w="1781" w:type="dxa"/>
            <w:gridSpan w:val="2"/>
            <w:vAlign w:val="center"/>
          </w:tcPr>
          <w:p w14:paraId="06F5281D">
            <w:pPr>
              <w:jc w:val="center"/>
              <w:rPr>
                <w:rFonts w:hint="eastAsia"/>
              </w:rPr>
            </w:pPr>
            <w:r>
              <w:t>其他□</w:t>
            </w:r>
          </w:p>
        </w:tc>
      </w:tr>
      <w:tr w14:paraId="7FF8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75" w:type="dxa"/>
            <w:gridSpan w:val="2"/>
            <w:vMerge w:val="continue"/>
            <w:vAlign w:val="center"/>
          </w:tcPr>
          <w:p w14:paraId="467DD814">
            <w:pPr>
              <w:jc w:val="center"/>
              <w:rPr>
                <w:rFonts w:hint="eastAsia"/>
              </w:rPr>
            </w:pPr>
          </w:p>
        </w:tc>
        <w:tc>
          <w:tcPr>
            <w:tcW w:w="1229" w:type="dxa"/>
            <w:vMerge w:val="continue"/>
            <w:vAlign w:val="center"/>
          </w:tcPr>
          <w:p w14:paraId="64D7561F">
            <w:pPr>
              <w:jc w:val="center"/>
              <w:rPr>
                <w:rFonts w:hint="eastAsia"/>
              </w:rPr>
            </w:pPr>
          </w:p>
        </w:tc>
        <w:tc>
          <w:tcPr>
            <w:tcW w:w="1684" w:type="dxa"/>
            <w:gridSpan w:val="2"/>
            <w:vMerge w:val="restart"/>
            <w:vAlign w:val="center"/>
          </w:tcPr>
          <w:p w14:paraId="340FE1D1">
            <w:pPr>
              <w:jc w:val="center"/>
              <w:rPr>
                <w:rFonts w:hint="eastAsia"/>
              </w:rPr>
            </w:pPr>
            <w:r>
              <w:t>预测结果</w:t>
            </w:r>
          </w:p>
        </w:tc>
        <w:tc>
          <w:tcPr>
            <w:tcW w:w="5452" w:type="dxa"/>
            <w:gridSpan w:val="5"/>
            <w:vAlign w:val="center"/>
          </w:tcPr>
          <w:p w14:paraId="6056E0BF">
            <w:pPr>
              <w:jc w:val="center"/>
              <w:rPr>
                <w:rFonts w:hint="eastAsia"/>
              </w:rPr>
            </w:pPr>
            <w:r>
              <w:t>大气毒性终点浓度-1 最大影响范围</w:t>
            </w:r>
            <w:r>
              <w:rPr>
                <w:u w:val="single"/>
              </w:rPr>
              <w:t xml:space="preserve">  </w:t>
            </w:r>
            <w:r>
              <w:rPr>
                <w:rFonts w:hint="eastAsia"/>
                <w:u w:val="single"/>
              </w:rPr>
              <w:t xml:space="preserve">40 </w:t>
            </w:r>
            <w:r>
              <w:t>m</w:t>
            </w:r>
          </w:p>
        </w:tc>
      </w:tr>
      <w:tr w14:paraId="642F5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75" w:type="dxa"/>
            <w:gridSpan w:val="2"/>
            <w:vMerge w:val="continue"/>
            <w:vAlign w:val="center"/>
          </w:tcPr>
          <w:p w14:paraId="0AB7C078">
            <w:pPr>
              <w:jc w:val="center"/>
              <w:rPr>
                <w:rFonts w:hint="eastAsia"/>
              </w:rPr>
            </w:pPr>
          </w:p>
        </w:tc>
        <w:tc>
          <w:tcPr>
            <w:tcW w:w="1229" w:type="dxa"/>
            <w:vMerge w:val="continue"/>
            <w:vAlign w:val="center"/>
          </w:tcPr>
          <w:p w14:paraId="465F61E2">
            <w:pPr>
              <w:jc w:val="center"/>
              <w:rPr>
                <w:rFonts w:hint="eastAsia"/>
              </w:rPr>
            </w:pPr>
          </w:p>
        </w:tc>
        <w:tc>
          <w:tcPr>
            <w:tcW w:w="1684" w:type="dxa"/>
            <w:gridSpan w:val="2"/>
            <w:vMerge w:val="continue"/>
            <w:vAlign w:val="center"/>
          </w:tcPr>
          <w:p w14:paraId="543AEDF9">
            <w:pPr>
              <w:jc w:val="center"/>
              <w:rPr>
                <w:rFonts w:hint="eastAsia"/>
              </w:rPr>
            </w:pPr>
          </w:p>
        </w:tc>
        <w:tc>
          <w:tcPr>
            <w:tcW w:w="5452" w:type="dxa"/>
            <w:gridSpan w:val="5"/>
            <w:vAlign w:val="center"/>
          </w:tcPr>
          <w:p w14:paraId="73C83F3F">
            <w:pPr>
              <w:jc w:val="center"/>
              <w:rPr>
                <w:rFonts w:hint="eastAsia"/>
              </w:rPr>
            </w:pPr>
            <w:r>
              <w:t>大气毒性终点浓度-2 最大影响范围</w:t>
            </w:r>
            <w:r>
              <w:rPr>
                <w:u w:val="single"/>
              </w:rPr>
              <w:t xml:space="preserve">  </w:t>
            </w:r>
            <w:r>
              <w:rPr>
                <w:rFonts w:hint="eastAsia"/>
                <w:u w:val="single"/>
              </w:rPr>
              <w:t xml:space="preserve">110 </w:t>
            </w:r>
            <w:r>
              <w:t>m</w:t>
            </w:r>
          </w:p>
        </w:tc>
      </w:tr>
      <w:tr w14:paraId="6343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75" w:type="dxa"/>
            <w:gridSpan w:val="2"/>
            <w:vMerge w:val="continue"/>
            <w:vAlign w:val="center"/>
          </w:tcPr>
          <w:p w14:paraId="069A2974">
            <w:pPr>
              <w:jc w:val="center"/>
              <w:rPr>
                <w:rFonts w:hint="eastAsia"/>
              </w:rPr>
            </w:pPr>
          </w:p>
        </w:tc>
        <w:tc>
          <w:tcPr>
            <w:tcW w:w="1229" w:type="dxa"/>
            <w:vAlign w:val="center"/>
          </w:tcPr>
          <w:p w14:paraId="63350122">
            <w:pPr>
              <w:jc w:val="center"/>
              <w:rPr>
                <w:rFonts w:hint="eastAsia"/>
              </w:rPr>
            </w:pPr>
            <w:r>
              <w:t>地表水</w:t>
            </w:r>
          </w:p>
        </w:tc>
        <w:tc>
          <w:tcPr>
            <w:tcW w:w="7136" w:type="dxa"/>
            <w:gridSpan w:val="7"/>
            <w:vAlign w:val="center"/>
          </w:tcPr>
          <w:p w14:paraId="037965D3">
            <w:pPr>
              <w:jc w:val="center"/>
              <w:rPr>
                <w:rFonts w:hint="eastAsia"/>
              </w:rPr>
            </w:pPr>
            <w:r>
              <w:t>最近环境敏感目标，到达时间 h</w:t>
            </w:r>
          </w:p>
        </w:tc>
      </w:tr>
      <w:tr w14:paraId="57C32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75" w:type="dxa"/>
            <w:gridSpan w:val="2"/>
            <w:vMerge w:val="continue"/>
            <w:vAlign w:val="center"/>
          </w:tcPr>
          <w:p w14:paraId="412AD254">
            <w:pPr>
              <w:jc w:val="center"/>
              <w:rPr>
                <w:rFonts w:hint="eastAsia"/>
              </w:rPr>
            </w:pPr>
          </w:p>
        </w:tc>
        <w:tc>
          <w:tcPr>
            <w:tcW w:w="1229" w:type="dxa"/>
            <w:vMerge w:val="restart"/>
            <w:vAlign w:val="center"/>
          </w:tcPr>
          <w:p w14:paraId="22D3ACCB">
            <w:pPr>
              <w:jc w:val="center"/>
              <w:rPr>
                <w:rFonts w:hint="eastAsia"/>
              </w:rPr>
            </w:pPr>
            <w:r>
              <w:t>地下水</w:t>
            </w:r>
          </w:p>
        </w:tc>
        <w:tc>
          <w:tcPr>
            <w:tcW w:w="7136" w:type="dxa"/>
            <w:gridSpan w:val="7"/>
            <w:vAlign w:val="center"/>
          </w:tcPr>
          <w:p w14:paraId="2D98BE24">
            <w:pPr>
              <w:jc w:val="center"/>
              <w:rPr>
                <w:rFonts w:hint="eastAsia"/>
              </w:rPr>
            </w:pPr>
            <w:r>
              <w:t>下游厂区边界到达时间 d</w:t>
            </w:r>
          </w:p>
        </w:tc>
      </w:tr>
      <w:tr w14:paraId="698B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75" w:type="dxa"/>
            <w:gridSpan w:val="2"/>
            <w:vMerge w:val="continue"/>
            <w:vAlign w:val="center"/>
          </w:tcPr>
          <w:p w14:paraId="75F342AC">
            <w:pPr>
              <w:jc w:val="center"/>
              <w:rPr>
                <w:rFonts w:hint="eastAsia"/>
              </w:rPr>
            </w:pPr>
          </w:p>
        </w:tc>
        <w:tc>
          <w:tcPr>
            <w:tcW w:w="1229" w:type="dxa"/>
            <w:vMerge w:val="continue"/>
            <w:vAlign w:val="center"/>
          </w:tcPr>
          <w:p w14:paraId="1051CA35">
            <w:pPr>
              <w:jc w:val="center"/>
              <w:rPr>
                <w:rFonts w:hint="eastAsia"/>
              </w:rPr>
            </w:pPr>
          </w:p>
        </w:tc>
        <w:tc>
          <w:tcPr>
            <w:tcW w:w="7136" w:type="dxa"/>
            <w:gridSpan w:val="7"/>
            <w:vAlign w:val="center"/>
          </w:tcPr>
          <w:p w14:paraId="2CC70156">
            <w:pPr>
              <w:jc w:val="center"/>
              <w:rPr>
                <w:rFonts w:hint="eastAsia"/>
              </w:rPr>
            </w:pPr>
            <w:r>
              <w:t>最近环境敏感目标，到达时间d</w:t>
            </w:r>
          </w:p>
        </w:tc>
      </w:tr>
      <w:tr w14:paraId="2BE5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4" w:type="dxa"/>
            <w:gridSpan w:val="3"/>
            <w:vAlign w:val="center"/>
          </w:tcPr>
          <w:p w14:paraId="16C81C93">
            <w:pPr>
              <w:jc w:val="center"/>
              <w:rPr>
                <w:rFonts w:hint="eastAsia"/>
              </w:rPr>
            </w:pPr>
            <w:r>
              <w:t>重点风险防范</w:t>
            </w:r>
          </w:p>
          <w:p w14:paraId="15FCE6A8">
            <w:pPr>
              <w:jc w:val="center"/>
              <w:rPr>
                <w:rFonts w:hint="eastAsia"/>
              </w:rPr>
            </w:pPr>
            <w:r>
              <w:t>措施</w:t>
            </w:r>
          </w:p>
        </w:tc>
        <w:tc>
          <w:tcPr>
            <w:tcW w:w="7136" w:type="dxa"/>
            <w:gridSpan w:val="7"/>
            <w:vAlign w:val="center"/>
          </w:tcPr>
          <w:p w14:paraId="222977CD">
            <w:pPr>
              <w:ind w:firstLine="420"/>
              <w:rPr>
                <w:rFonts w:hint="eastAsia"/>
              </w:rPr>
            </w:pPr>
            <w:r>
              <w:t>可以通过科学的设计、施工、操作和管理，将环境风险和安全事故发生的可能性大大降低，将事故的危害降低到最小程度，真正做到防患于未然。</w:t>
            </w:r>
          </w:p>
        </w:tc>
      </w:tr>
      <w:tr w14:paraId="26C62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4" w:type="dxa"/>
            <w:gridSpan w:val="3"/>
            <w:vAlign w:val="center"/>
          </w:tcPr>
          <w:p w14:paraId="260B9563">
            <w:pPr>
              <w:jc w:val="center"/>
              <w:rPr>
                <w:rFonts w:hint="eastAsia"/>
              </w:rPr>
            </w:pPr>
            <w:r>
              <w:t>评价结论与建议</w:t>
            </w:r>
          </w:p>
        </w:tc>
        <w:tc>
          <w:tcPr>
            <w:tcW w:w="7136" w:type="dxa"/>
            <w:gridSpan w:val="7"/>
            <w:vAlign w:val="center"/>
          </w:tcPr>
          <w:p w14:paraId="256ECD49">
            <w:pPr>
              <w:ind w:firstLine="420"/>
              <w:rPr>
                <w:rFonts w:hint="eastAsia"/>
              </w:rPr>
            </w:pPr>
            <w:r>
              <w:t>建设单位应严格落实设计及环评提出的各项风险防范措施和应急预案，其环境风险水平是可以接受的。</w:t>
            </w:r>
          </w:p>
        </w:tc>
      </w:tr>
      <w:tr w14:paraId="4B3F8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940" w:type="dxa"/>
            <w:gridSpan w:val="10"/>
            <w:vAlign w:val="center"/>
          </w:tcPr>
          <w:p w14:paraId="1AC323C2">
            <w:pPr>
              <w:rPr>
                <w:rFonts w:hint="eastAsia"/>
              </w:rPr>
            </w:pPr>
            <w:r>
              <w:t>注：“</w:t>
            </w:r>
            <w:r>
              <w:rPr/>
              <w:sym w:font="Wingdings 2" w:char="00A3"/>
            </w:r>
            <w:r>
              <w:t>”为勾选项，填“√”；“(   )”为内容填写项</w:t>
            </w:r>
            <w:r>
              <w:rPr>
                <w:rFonts w:hint="eastAsia"/>
              </w:rPr>
              <w:t>。</w:t>
            </w:r>
          </w:p>
        </w:tc>
      </w:tr>
    </w:tbl>
    <w:p w14:paraId="3129138E">
      <w:pPr>
        <w:pStyle w:val="13"/>
        <w:adjustRightInd w:val="0"/>
        <w:snapToGrid w:val="0"/>
        <w:spacing w:before="0" w:beforeAutospacing="0" w:after="0" w:afterAutospacing="0" w:line="552" w:lineRule="auto"/>
        <w:jc w:val="center"/>
        <w:outlineLvl w:val="0"/>
        <w:rPr>
          <w:rFonts w:hint="eastAsia" w:ascii="方正小标宋_GBK" w:hAnsi="黑体" w:eastAsia="方正小标宋_GBK"/>
          <w:snapToGrid w:val="0"/>
          <w:sz w:val="38"/>
          <w:szCs w:val="38"/>
        </w:rPr>
        <w:sectPr>
          <w:type w:val="continuous"/>
          <w:pgSz w:w="11906" w:h="16838"/>
          <w:pgMar w:top="1701" w:right="1531" w:bottom="1701" w:left="1531" w:header="851" w:footer="851" w:gutter="0"/>
          <w:cols w:space="720" w:num="1"/>
          <w:docGrid w:linePitch="312" w:charSpace="0"/>
        </w:sectPr>
      </w:pPr>
    </w:p>
    <w:p w14:paraId="000B97EB">
      <w:pPr>
        <w:pStyle w:val="13"/>
        <w:adjustRightInd w:val="0"/>
        <w:snapToGrid w:val="0"/>
        <w:spacing w:before="0" w:beforeAutospacing="0" w:after="0" w:afterAutospacing="0" w:line="552" w:lineRule="auto"/>
        <w:jc w:val="center"/>
        <w:outlineLvl w:val="0"/>
        <w:rPr>
          <w:rFonts w:hint="eastAsia" w:cs="宋体"/>
          <w:b/>
          <w:spacing w:val="-10"/>
          <w:sz w:val="28"/>
          <w:szCs w:val="28"/>
        </w:rPr>
      </w:pPr>
      <w:r>
        <w:rPr>
          <w:rFonts w:hint="eastAsia" w:ascii="方正小标宋_GBK" w:hAnsi="黑体" w:eastAsia="方正小标宋_GBK"/>
          <w:snapToGrid w:val="0"/>
          <w:sz w:val="38"/>
          <w:szCs w:val="38"/>
        </w:rPr>
        <w:t>附件</w:t>
      </w:r>
    </w:p>
    <w:p w14:paraId="28DD3BE3">
      <w:pPr>
        <w:adjustRightInd w:val="0"/>
        <w:snapToGrid w:val="0"/>
        <w:spacing w:line="360" w:lineRule="auto"/>
        <w:rPr>
          <w:rFonts w:hint="eastAsia"/>
          <w:b/>
          <w:spacing w:val="-10"/>
          <w:sz w:val="28"/>
          <w:szCs w:val="28"/>
        </w:rPr>
      </w:pPr>
      <w:r>
        <w:rPr>
          <w:rFonts w:hint="eastAsia"/>
          <w:b/>
          <w:spacing w:val="-10"/>
          <w:sz w:val="28"/>
          <w:szCs w:val="28"/>
        </w:rPr>
        <w:t>附件1 委托书</w:t>
      </w:r>
    </w:p>
    <w:p w14:paraId="6530F16A">
      <w:pPr>
        <w:adjustRightInd w:val="0"/>
        <w:snapToGrid w:val="0"/>
        <w:spacing w:line="360" w:lineRule="auto"/>
        <w:rPr>
          <w:rFonts w:hint="eastAsia" w:ascii="方正小标宋_GBK" w:hAnsi="黑体" w:eastAsia="方正小标宋_GBK"/>
          <w:snapToGrid w:val="0"/>
          <w:sz w:val="38"/>
          <w:szCs w:val="38"/>
        </w:rPr>
      </w:pPr>
      <w:r>
        <w:rPr>
          <w:rFonts w:hint="eastAsia"/>
          <w:b/>
          <w:spacing w:val="-10"/>
          <w:sz w:val="28"/>
          <w:szCs w:val="28"/>
        </w:rPr>
        <w:t>附件2 项目审批申请</w:t>
      </w:r>
    </w:p>
    <w:p w14:paraId="188FF86D">
      <w:pPr>
        <w:adjustRightInd w:val="0"/>
        <w:snapToGrid w:val="0"/>
        <w:spacing w:line="360" w:lineRule="auto"/>
        <w:rPr>
          <w:rFonts w:hint="eastAsia" w:ascii="方正小标宋_GBK" w:hAnsi="黑体" w:eastAsia="方正小标宋_GBK"/>
          <w:snapToGrid w:val="0"/>
          <w:sz w:val="38"/>
          <w:szCs w:val="38"/>
        </w:rPr>
      </w:pPr>
      <w:r>
        <w:rPr>
          <w:rFonts w:hint="eastAsia"/>
          <w:b/>
          <w:spacing w:val="-10"/>
          <w:sz w:val="28"/>
          <w:szCs w:val="28"/>
        </w:rPr>
        <w:t>附件3 项目备案证</w:t>
      </w:r>
    </w:p>
    <w:p w14:paraId="04F889F8">
      <w:pPr>
        <w:adjustRightInd w:val="0"/>
        <w:snapToGrid w:val="0"/>
        <w:spacing w:line="360" w:lineRule="auto"/>
        <w:rPr>
          <w:rFonts w:hint="eastAsia"/>
          <w:b/>
          <w:spacing w:val="-10"/>
          <w:sz w:val="28"/>
          <w:szCs w:val="28"/>
        </w:rPr>
      </w:pPr>
      <w:r>
        <w:rPr>
          <w:rFonts w:hint="eastAsia"/>
          <w:b/>
          <w:spacing w:val="-10"/>
          <w:sz w:val="28"/>
          <w:szCs w:val="28"/>
        </w:rPr>
        <w:t xml:space="preserve">附件4 </w:t>
      </w:r>
      <w:r>
        <w:rPr>
          <w:b/>
          <w:spacing w:val="-10"/>
          <w:sz w:val="28"/>
          <w:szCs w:val="28"/>
        </w:rPr>
        <w:t>关于《吉木萨尔北庭工业园区国土空间专项规划（2025-2035年）环境影响报告书》的审查意见</w:t>
      </w:r>
    </w:p>
    <w:p w14:paraId="3F3FB736">
      <w:pPr>
        <w:adjustRightInd w:val="0"/>
        <w:snapToGrid w:val="0"/>
        <w:spacing w:line="360" w:lineRule="auto"/>
        <w:rPr>
          <w:rFonts w:hint="eastAsia"/>
          <w:b/>
          <w:spacing w:val="-10"/>
          <w:sz w:val="28"/>
          <w:szCs w:val="28"/>
        </w:rPr>
      </w:pPr>
      <w:r>
        <w:rPr>
          <w:rFonts w:hint="eastAsia"/>
          <w:b/>
          <w:spacing w:val="-10"/>
          <w:sz w:val="28"/>
          <w:szCs w:val="28"/>
        </w:rPr>
        <w:t xml:space="preserve">附件5 </w:t>
      </w:r>
      <w:r>
        <w:rPr>
          <w:b/>
          <w:spacing w:val="-10"/>
          <w:sz w:val="28"/>
          <w:szCs w:val="28"/>
        </w:rPr>
        <w:t>吉木萨尔北庭工业园区国土空间专项规划（2025-2035年）的批复</w:t>
      </w:r>
    </w:p>
    <w:p w14:paraId="2239B7D7">
      <w:pPr>
        <w:adjustRightInd w:val="0"/>
        <w:snapToGrid w:val="0"/>
        <w:spacing w:line="360" w:lineRule="auto"/>
        <w:rPr>
          <w:rFonts w:hint="eastAsia"/>
          <w:b/>
          <w:spacing w:val="-10"/>
          <w:sz w:val="28"/>
          <w:szCs w:val="28"/>
        </w:rPr>
      </w:pPr>
      <w:r>
        <w:rPr>
          <w:rFonts w:hint="eastAsia"/>
          <w:b/>
          <w:spacing w:val="-10"/>
          <w:sz w:val="28"/>
          <w:szCs w:val="28"/>
        </w:rPr>
        <w:t>附件6 一期环评批复</w:t>
      </w:r>
    </w:p>
    <w:p w14:paraId="75ADF290">
      <w:pPr>
        <w:adjustRightInd w:val="0"/>
        <w:snapToGrid w:val="0"/>
        <w:spacing w:line="360" w:lineRule="auto"/>
        <w:rPr>
          <w:rFonts w:hint="eastAsia"/>
          <w:b/>
          <w:spacing w:val="-10"/>
          <w:sz w:val="28"/>
          <w:szCs w:val="28"/>
        </w:rPr>
      </w:pPr>
      <w:r>
        <w:rPr>
          <w:rFonts w:hint="eastAsia"/>
          <w:b/>
          <w:spacing w:val="-10"/>
          <w:sz w:val="28"/>
          <w:szCs w:val="28"/>
        </w:rPr>
        <w:t>附件7 公辅系统设计符合说明</w:t>
      </w:r>
    </w:p>
    <w:p w14:paraId="761C29DA">
      <w:pPr>
        <w:adjustRightInd w:val="0"/>
        <w:snapToGrid w:val="0"/>
        <w:spacing w:line="360" w:lineRule="auto"/>
        <w:rPr>
          <w:rFonts w:hint="eastAsia"/>
          <w:b/>
          <w:spacing w:val="-10"/>
          <w:sz w:val="28"/>
          <w:szCs w:val="28"/>
        </w:rPr>
      </w:pPr>
      <w:r>
        <w:rPr>
          <w:rFonts w:hint="eastAsia"/>
          <w:b/>
          <w:spacing w:val="-10"/>
          <w:sz w:val="28"/>
          <w:szCs w:val="28"/>
        </w:rPr>
        <w:t>附件8 油气回收装置工艺说明</w:t>
      </w:r>
    </w:p>
    <w:sectPr>
      <w:type w:val="continuous"/>
      <w:pgSz w:w="11906" w:h="16838"/>
      <w:pgMar w:top="1701" w:right="1531" w:bottom="1701" w:left="1531"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B0212C-D54D-4147-BE05-737FD341C84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FBEDA64-12BE-46B1-9D1C-7BBCF6159A31}"/>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Microsoft YaHei UI">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embedRegular r:id="rId3" w:fontKey="{698A8315-858F-427A-B201-8C97F7B6C288}"/>
  </w:font>
  <w:font w:name="方正小标宋_GBK">
    <w:panose1 w:val="02000000000000000000"/>
    <w:charset w:val="86"/>
    <w:family w:val="script"/>
    <w:pitch w:val="default"/>
    <w:sig w:usb0="A00002BF" w:usb1="38CF7CFA" w:usb2="00082016" w:usb3="00000000" w:csb0="00040001" w:csb1="00000000"/>
    <w:embedRegular r:id="rId4" w:fontKey="{3A640726-B606-47C1-8163-DDF10E1A01E5}"/>
  </w:font>
  <w:font w:name="楷体_GB2312">
    <w:altName w:val="楷体"/>
    <w:panose1 w:val="00000000000000000000"/>
    <w:charset w:val="86"/>
    <w:family w:val="decorative"/>
    <w:pitch w:val="default"/>
    <w:sig w:usb0="00000000" w:usb1="00000000" w:usb2="00000000" w:usb3="00000000" w:csb0="00040000" w:csb1="00000000"/>
    <w:embedRegular r:id="rId5" w:fontKey="{5D58FDD0-2232-412D-95B8-751BE9C9AC61}"/>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embedRegular r:id="rId6" w:fontKey="{7AB09918-D8BD-4A46-A05F-A6FAD3FB5F2B}"/>
  </w:font>
  <w:font w:name="Wingdings 2">
    <w:panose1 w:val="05020102010507070707"/>
    <w:charset w:val="02"/>
    <w:family w:val="roman"/>
    <w:pitch w:val="default"/>
    <w:sig w:usb0="00000000" w:usb1="00000000" w:usb2="00000000" w:usb3="00000000" w:csb0="80000000" w:csb1="00000000"/>
    <w:embedRegular r:id="rId7" w:fontKey="{5847CCA8-7FF7-4146-BDAD-592690E88B6F}"/>
  </w:font>
  <w:font w:name="Cambria Math">
    <w:panose1 w:val="02040503050406030204"/>
    <w:charset w:val="00"/>
    <w:family w:val="roman"/>
    <w:pitch w:val="default"/>
    <w:sig w:usb0="E00006FF" w:usb1="420024FF" w:usb2="02000000" w:usb3="00000000" w:csb0="2000019F" w:csb1="00000000"/>
    <w:embedRegular r:id="rId8" w:fontKey="{7FD4D706-6C16-4CD9-BC2F-E9CA2E4DF107}"/>
  </w:font>
  <w:font w:name="等线">
    <w:panose1 w:val="02010600030101010101"/>
    <w:charset w:val="86"/>
    <w:family w:val="auto"/>
    <w:pitch w:val="default"/>
    <w:sig w:usb0="A00002BF" w:usb1="38CF7CFA" w:usb2="00000016" w:usb3="00000000" w:csb0="0004000F" w:csb1="00000000"/>
    <w:embedRegular r:id="rId9" w:fontKey="{261A53D0-88F2-49D2-983A-A92E4F8458B6}"/>
  </w:font>
  <w:font w:name="Tahoma">
    <w:panose1 w:val="020B0604030504040204"/>
    <w:charset w:val="00"/>
    <w:family w:val="swiss"/>
    <w:pitch w:val="default"/>
    <w:sig w:usb0="E1002EFF" w:usb1="C000605B" w:usb2="00000029" w:usb3="00000000" w:csb0="200101FF" w:csb1="20280000"/>
    <w:embedRegular r:id="rId10" w:fontKey="{9CA029B3-8490-4210-BC01-2E3226996E2D}"/>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5E174">
    <w:pPr>
      <w:pStyle w:val="11"/>
      <w:framePr w:wrap="around" w:vAnchor="text" w:hAnchor="margin" w:xAlign="outside" w:y="1"/>
      <w:rPr>
        <w:rStyle w:val="21"/>
        <w:rFonts w:hint="eastAsia" w:ascii="宋体" w:hAnsi="宋体"/>
        <w:sz w:val="28"/>
        <w:szCs w:val="28"/>
      </w:rPr>
    </w:pPr>
    <w:r>
      <w:rPr>
        <w:rStyle w:val="21"/>
        <w:rFonts w:hint="eastAsia" w:ascii="宋体" w:hAnsi="宋体"/>
        <w:sz w:val="28"/>
        <w:szCs w:val="28"/>
      </w:rPr>
      <w:t>—</w:t>
    </w:r>
    <w:r>
      <w:rPr>
        <w:rStyle w:val="21"/>
        <w:rFonts w:hint="eastAsia" w:ascii="宋体" w:hAnsi="宋体"/>
        <w:sz w:val="20"/>
      </w:rPr>
      <w:t xml:space="preserve">  </w:t>
    </w:r>
    <w:r>
      <w:rPr>
        <w:rStyle w:val="21"/>
        <w:rFonts w:ascii="宋体" w:hAnsi="宋体"/>
        <w:sz w:val="26"/>
        <w:szCs w:val="26"/>
      </w:rPr>
      <w:fldChar w:fldCharType="begin"/>
    </w:r>
    <w:r>
      <w:rPr>
        <w:rStyle w:val="21"/>
        <w:rFonts w:ascii="宋体" w:hAnsi="宋体"/>
        <w:sz w:val="26"/>
        <w:szCs w:val="26"/>
      </w:rPr>
      <w:instrText xml:space="preserve">PAGE  </w:instrText>
    </w:r>
    <w:r>
      <w:rPr>
        <w:rStyle w:val="21"/>
        <w:rFonts w:ascii="宋体" w:hAnsi="宋体"/>
        <w:sz w:val="26"/>
        <w:szCs w:val="26"/>
      </w:rPr>
      <w:fldChar w:fldCharType="separate"/>
    </w:r>
    <w:r>
      <w:rPr>
        <w:rStyle w:val="21"/>
        <w:rFonts w:ascii="宋体" w:hAnsi="宋体"/>
        <w:sz w:val="26"/>
        <w:szCs w:val="26"/>
      </w:rPr>
      <w:t>3</w:t>
    </w:r>
    <w:r>
      <w:rPr>
        <w:rStyle w:val="21"/>
        <w:rFonts w:ascii="宋体" w:hAnsi="宋体"/>
        <w:sz w:val="26"/>
        <w:szCs w:val="26"/>
      </w:rPr>
      <w:fldChar w:fldCharType="end"/>
    </w:r>
    <w:r>
      <w:rPr>
        <w:rStyle w:val="21"/>
        <w:rFonts w:hint="eastAsia" w:ascii="宋体" w:hAnsi="宋体"/>
        <w:sz w:val="20"/>
      </w:rPr>
      <w:t xml:space="preserve">  </w:t>
    </w:r>
    <w:r>
      <w:rPr>
        <w:rStyle w:val="21"/>
        <w:rFonts w:hint="eastAsia" w:ascii="宋体" w:hAnsi="宋体"/>
        <w:sz w:val="28"/>
        <w:szCs w:val="28"/>
      </w:rPr>
      <w:t>—</w:t>
    </w:r>
  </w:p>
  <w:p w14:paraId="22B6FEAD">
    <w:pPr>
      <w:pStyle w:val="11"/>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1064F">
    <w:pPr>
      <w:pStyle w:val="11"/>
      <w:framePr w:wrap="around" w:vAnchor="text" w:hAnchor="margin" w:xAlign="center" w:y="1"/>
      <w:rPr>
        <w:rStyle w:val="21"/>
      </w:rPr>
    </w:pPr>
    <w:r>
      <w:fldChar w:fldCharType="begin"/>
    </w:r>
    <w:r>
      <w:rPr>
        <w:rStyle w:val="21"/>
      </w:rPr>
      <w:instrText xml:space="preserve">PAGE  </w:instrText>
    </w:r>
    <w:r>
      <w:fldChar w:fldCharType="end"/>
    </w:r>
  </w:p>
  <w:p w14:paraId="004BF6F8">
    <w:pPr>
      <w:pStyle w:val="1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BC8A4">
    <w:pPr>
      <w:pStyle w:val="11"/>
      <w:framePr w:wrap="around" w:vAnchor="text" w:hAnchor="margin" w:xAlign="outside" w:y="1"/>
      <w:rPr>
        <w:rStyle w:val="21"/>
        <w:rFonts w:hint="eastAsia" w:ascii="宋体" w:hAnsi="宋体"/>
        <w:sz w:val="28"/>
        <w:szCs w:val="28"/>
      </w:rPr>
    </w:pPr>
    <w:r>
      <w:rPr>
        <w:rStyle w:val="21"/>
        <w:rFonts w:hint="eastAsia" w:ascii="宋体" w:hAnsi="宋体"/>
        <w:sz w:val="28"/>
        <w:szCs w:val="28"/>
      </w:rPr>
      <w:t>—</w:t>
    </w:r>
    <w:r>
      <w:rPr>
        <w:rStyle w:val="21"/>
        <w:rFonts w:hint="eastAsia" w:ascii="宋体" w:hAnsi="宋体"/>
        <w:sz w:val="20"/>
      </w:rPr>
      <w:t xml:space="preserve">  </w:t>
    </w:r>
    <w:r>
      <w:rPr>
        <w:rStyle w:val="21"/>
        <w:rFonts w:ascii="宋体" w:hAnsi="宋体"/>
        <w:sz w:val="26"/>
        <w:szCs w:val="26"/>
      </w:rPr>
      <w:fldChar w:fldCharType="begin"/>
    </w:r>
    <w:r>
      <w:rPr>
        <w:rStyle w:val="21"/>
        <w:rFonts w:ascii="宋体" w:hAnsi="宋体"/>
        <w:sz w:val="26"/>
        <w:szCs w:val="26"/>
      </w:rPr>
      <w:instrText xml:space="preserve">PAGE  </w:instrText>
    </w:r>
    <w:r>
      <w:rPr>
        <w:rStyle w:val="21"/>
        <w:rFonts w:ascii="宋体" w:hAnsi="宋体"/>
        <w:sz w:val="26"/>
        <w:szCs w:val="26"/>
      </w:rPr>
      <w:fldChar w:fldCharType="separate"/>
    </w:r>
    <w:r>
      <w:rPr>
        <w:rStyle w:val="21"/>
        <w:rFonts w:ascii="宋体" w:hAnsi="宋体"/>
        <w:sz w:val="26"/>
        <w:szCs w:val="26"/>
      </w:rPr>
      <w:t>9</w:t>
    </w:r>
    <w:r>
      <w:rPr>
        <w:rStyle w:val="21"/>
        <w:rFonts w:ascii="宋体" w:hAnsi="宋体"/>
        <w:sz w:val="26"/>
        <w:szCs w:val="26"/>
      </w:rPr>
      <w:fldChar w:fldCharType="end"/>
    </w:r>
    <w:r>
      <w:rPr>
        <w:rStyle w:val="21"/>
        <w:rFonts w:hint="eastAsia" w:ascii="宋体" w:hAnsi="宋体"/>
        <w:sz w:val="20"/>
      </w:rPr>
      <w:t xml:space="preserve">  </w:t>
    </w:r>
    <w:r>
      <w:rPr>
        <w:rStyle w:val="21"/>
        <w:rFonts w:hint="eastAsia" w:ascii="宋体" w:hAnsi="宋体"/>
        <w:sz w:val="28"/>
        <w:szCs w:val="28"/>
      </w:rPr>
      <w:t>—</w:t>
    </w:r>
  </w:p>
  <w:p w14:paraId="6BCCFFE9">
    <w:pPr>
      <w:pStyle w:val="11"/>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EA657">
    <w:pPr>
      <w:pStyle w:val="11"/>
      <w:framePr w:wrap="around" w:vAnchor="text" w:hAnchor="margin" w:xAlign="center" w:y="1"/>
      <w:rPr>
        <w:rStyle w:val="21"/>
        <w:rFonts w:hint="eastAsia" w:ascii="宋体" w:hAnsi="宋体"/>
        <w:sz w:val="28"/>
        <w:szCs w:val="28"/>
      </w:rPr>
    </w:pPr>
    <w:r>
      <w:rPr>
        <w:rStyle w:val="21"/>
        <w:rFonts w:hint="eastAsia" w:ascii="宋体" w:hAnsi="宋体"/>
        <w:sz w:val="28"/>
        <w:szCs w:val="28"/>
      </w:rPr>
      <w:t>—</w:t>
    </w:r>
    <w:r>
      <w:rPr>
        <w:rStyle w:val="21"/>
        <w:rFonts w:hint="eastAsia" w:ascii="宋体" w:hAnsi="宋体"/>
        <w:sz w:val="20"/>
      </w:rPr>
      <w:t xml:space="preserve">  </w:t>
    </w:r>
    <w:r>
      <w:rPr>
        <w:rStyle w:val="21"/>
        <w:rFonts w:ascii="宋体" w:hAnsi="宋体"/>
        <w:sz w:val="26"/>
        <w:szCs w:val="26"/>
      </w:rPr>
      <w:fldChar w:fldCharType="begin"/>
    </w:r>
    <w:r>
      <w:rPr>
        <w:rStyle w:val="21"/>
        <w:rFonts w:ascii="宋体" w:hAnsi="宋体"/>
        <w:sz w:val="26"/>
        <w:szCs w:val="26"/>
      </w:rPr>
      <w:instrText xml:space="preserve">PAGE  </w:instrText>
    </w:r>
    <w:r>
      <w:rPr>
        <w:rStyle w:val="21"/>
        <w:rFonts w:ascii="宋体" w:hAnsi="宋体"/>
        <w:sz w:val="26"/>
        <w:szCs w:val="26"/>
      </w:rPr>
      <w:fldChar w:fldCharType="separate"/>
    </w:r>
    <w:r>
      <w:rPr>
        <w:rStyle w:val="21"/>
        <w:rFonts w:ascii="宋体" w:hAnsi="宋体"/>
        <w:sz w:val="26"/>
        <w:szCs w:val="26"/>
      </w:rPr>
      <w:t>10</w:t>
    </w:r>
    <w:r>
      <w:rPr>
        <w:rStyle w:val="21"/>
        <w:rFonts w:ascii="宋体" w:hAnsi="宋体"/>
        <w:sz w:val="26"/>
        <w:szCs w:val="26"/>
      </w:rPr>
      <w:fldChar w:fldCharType="end"/>
    </w:r>
    <w:r>
      <w:rPr>
        <w:rStyle w:val="21"/>
        <w:rFonts w:hint="eastAsia" w:ascii="宋体" w:hAnsi="宋体"/>
        <w:sz w:val="20"/>
      </w:rPr>
      <w:t xml:space="preserve">  </w:t>
    </w:r>
    <w:r>
      <w:rPr>
        <w:rStyle w:val="21"/>
        <w:rFonts w:hint="eastAsia" w:ascii="宋体" w:hAnsi="宋体"/>
        <w:sz w:val="28"/>
        <w:szCs w:val="28"/>
      </w:rPr>
      <w:t>—</w:t>
    </w:r>
  </w:p>
  <w:p w14:paraId="2290345E">
    <w:pPr>
      <w:pStyle w:val="11"/>
      <w:ind w:right="360"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4AB1E">
    <w:pPr>
      <w:pStyle w:val="11"/>
      <w:framePr w:wrap="around" w:vAnchor="text" w:hAnchor="margin" w:xAlign="outside" w:y="1"/>
      <w:rPr>
        <w:rStyle w:val="21"/>
        <w:rFonts w:hint="eastAsia" w:ascii="宋体" w:hAnsi="宋体"/>
        <w:sz w:val="28"/>
        <w:szCs w:val="28"/>
      </w:rPr>
    </w:pPr>
    <w:r>
      <w:rPr>
        <w:rStyle w:val="21"/>
        <w:rFonts w:hint="eastAsia" w:ascii="宋体" w:hAnsi="宋体"/>
        <w:sz w:val="28"/>
        <w:szCs w:val="28"/>
      </w:rPr>
      <w:t>—</w:t>
    </w:r>
    <w:r>
      <w:rPr>
        <w:rStyle w:val="21"/>
        <w:rFonts w:hint="eastAsia" w:ascii="宋体" w:hAnsi="宋体"/>
        <w:sz w:val="20"/>
      </w:rPr>
      <w:t xml:space="preserve">  </w:t>
    </w:r>
    <w:r>
      <w:rPr>
        <w:rStyle w:val="21"/>
        <w:rFonts w:ascii="宋体" w:hAnsi="宋体"/>
        <w:sz w:val="26"/>
        <w:szCs w:val="26"/>
      </w:rPr>
      <w:fldChar w:fldCharType="begin"/>
    </w:r>
    <w:r>
      <w:rPr>
        <w:rStyle w:val="21"/>
        <w:rFonts w:ascii="宋体" w:hAnsi="宋体"/>
        <w:sz w:val="26"/>
        <w:szCs w:val="26"/>
      </w:rPr>
      <w:instrText xml:space="preserve">PAGE  </w:instrText>
    </w:r>
    <w:r>
      <w:rPr>
        <w:rStyle w:val="21"/>
        <w:rFonts w:ascii="宋体" w:hAnsi="宋体"/>
        <w:sz w:val="26"/>
        <w:szCs w:val="26"/>
      </w:rPr>
      <w:fldChar w:fldCharType="separate"/>
    </w:r>
    <w:r>
      <w:rPr>
        <w:rStyle w:val="21"/>
        <w:rFonts w:ascii="宋体" w:hAnsi="宋体"/>
        <w:sz w:val="26"/>
        <w:szCs w:val="26"/>
      </w:rPr>
      <w:t>11</w:t>
    </w:r>
    <w:r>
      <w:rPr>
        <w:rStyle w:val="21"/>
        <w:rFonts w:ascii="宋体" w:hAnsi="宋体"/>
        <w:sz w:val="26"/>
        <w:szCs w:val="26"/>
      </w:rPr>
      <w:fldChar w:fldCharType="end"/>
    </w:r>
    <w:r>
      <w:rPr>
        <w:rStyle w:val="21"/>
        <w:rFonts w:hint="eastAsia" w:ascii="宋体" w:hAnsi="宋体"/>
        <w:sz w:val="20"/>
      </w:rPr>
      <w:t xml:space="preserve">  </w:t>
    </w:r>
    <w:r>
      <w:rPr>
        <w:rStyle w:val="21"/>
        <w:rFonts w:hint="eastAsia" w:ascii="宋体" w:hAnsi="宋体"/>
        <w:sz w:val="28"/>
        <w:szCs w:val="28"/>
      </w:rPr>
      <w:t>—</w:t>
    </w:r>
  </w:p>
  <w:p w14:paraId="43357ABC">
    <w:pPr>
      <w:pStyle w:val="11"/>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5B00DC"/>
    <w:multiLevelType w:val="multilevel"/>
    <w:tmpl w:val="575B00DC"/>
    <w:lvl w:ilvl="0" w:tentative="0">
      <w:start w:val="1"/>
      <w:numFmt w:val="decimal"/>
      <w:pStyle w:val="45"/>
      <w:suff w:val="nothing"/>
      <w:lvlText w:val="第%1章  "/>
      <w:lvlJc w:val="center"/>
      <w:pPr>
        <w:ind w:left="1276" w:firstLine="0"/>
      </w:pPr>
      <w:rPr>
        <w:rFonts w:hint="eastAsia"/>
        <w:b w:val="0"/>
        <w:bCs w:val="0"/>
        <w:i w:val="0"/>
        <w:iCs w:val="0"/>
        <w:caps w:val="0"/>
        <w:smallCaps w:val="0"/>
        <w:strike w:val="0"/>
        <w:dstrike w:val="0"/>
        <w:vanish w:val="0"/>
        <w:color w:val="000000"/>
        <w:spacing w:val="0"/>
        <w:position w:val="0"/>
        <w:sz w:val="48"/>
        <w:szCs w:val="48"/>
        <w:u w:val="none"/>
        <w:vertAlign w:val="baseline"/>
        <w:lang w:val="en-US"/>
      </w:rPr>
    </w:lvl>
    <w:lvl w:ilvl="1" w:tentative="0">
      <w:start w:val="1"/>
      <w:numFmt w:val="decimal"/>
      <w:pStyle w:val="3"/>
      <w:isLgl/>
      <w:suff w:val="nothing"/>
      <w:lvlText w:val="%1.%2 "/>
      <w:lvlJc w:val="left"/>
      <w:pPr>
        <w:ind w:left="425" w:firstLine="0"/>
      </w:pPr>
      <w:rPr>
        <w:rFonts w:hint="default" w:ascii="黑体" w:hAnsi="黑体" w:eastAsia="黑体" w:cs="Times New Roman"/>
        <w:b/>
        <w:bCs w:val="0"/>
        <w:i w:val="0"/>
        <w:iCs w:val="0"/>
        <w:caps w:val="0"/>
        <w:smallCaps w:val="0"/>
        <w:strike w:val="0"/>
        <w:dstrike w:val="0"/>
        <w:vanish w:val="0"/>
        <w:color w:val="000000"/>
        <w:spacing w:val="0"/>
        <w:position w:val="0"/>
        <w:sz w:val="30"/>
        <w:szCs w:val="30"/>
        <w:u w:val="none"/>
        <w:vertAlign w:val="baseline"/>
      </w:rPr>
    </w:lvl>
    <w:lvl w:ilvl="2" w:tentative="0">
      <w:start w:val="1"/>
      <w:numFmt w:val="decimal"/>
      <w:isLgl/>
      <w:suff w:val="nothing"/>
      <w:lvlText w:val="%1.%2.%3 "/>
      <w:lvlJc w:val="left"/>
      <w:pPr>
        <w:ind w:left="709" w:firstLine="0"/>
      </w:pPr>
      <w:rPr>
        <w:rFonts w:hint="eastAsia" w:cs="Times New Roman"/>
        <w:b/>
        <w:bCs w:val="0"/>
        <w:i w:val="0"/>
        <w:iCs w:val="0"/>
        <w:caps w:val="0"/>
        <w:smallCaps w:val="0"/>
        <w:strike w:val="0"/>
        <w:dstrike w:val="0"/>
        <w:vanish w:val="0"/>
        <w:color w:val="000000"/>
        <w:spacing w:val="0"/>
        <w:position w:val="0"/>
        <w:u w:val="none"/>
        <w:vertAlign w:val="baseline"/>
      </w:rPr>
    </w:lvl>
    <w:lvl w:ilvl="3" w:tentative="0">
      <w:start w:val="1"/>
      <w:numFmt w:val="decimal"/>
      <w:pStyle w:val="47"/>
      <w:isLgl/>
      <w:suff w:val="nothing"/>
      <w:lvlText w:val="%1.%2.%3.%4 "/>
      <w:lvlJc w:val="left"/>
      <w:pPr>
        <w:ind w:left="2978" w:firstLine="0"/>
      </w:pPr>
      <w:rPr>
        <w:rFonts w:hint="eastAsia" w:ascii="黑体" w:hAnsi="黑体" w:eastAsia="黑体"/>
      </w:rPr>
    </w:lvl>
    <w:lvl w:ilvl="4" w:tentative="0">
      <w:start w:val="1"/>
      <w:numFmt w:val="decimal"/>
      <w:pStyle w:val="49"/>
      <w:isLgl/>
      <w:suff w:val="nothing"/>
      <w:lvlText w:val="%1.%2.%3.%4.%5  "/>
      <w:lvlJc w:val="left"/>
      <w:pPr>
        <w:ind w:left="0" w:firstLine="0"/>
      </w:pPr>
      <w:rPr>
        <w:rFonts w:hint="default" w:ascii="Arial" w:hAnsi="Arial" w:eastAsia="黑体" w:cs="Arial"/>
        <w:sz w:val="21"/>
        <w:szCs w:val="21"/>
      </w:rPr>
    </w:lvl>
    <w:lvl w:ilvl="5" w:tentative="0">
      <w:start w:val="1"/>
      <w:numFmt w:val="lowerLetter"/>
      <w:lvlText w:val="%6."/>
      <w:lvlJc w:val="left"/>
      <w:pPr>
        <w:tabs>
          <w:tab w:val="left" w:pos="2836"/>
        </w:tabs>
        <w:ind w:left="425" w:firstLine="0"/>
      </w:pPr>
      <w:rPr>
        <w:rFonts w:hint="eastAsia"/>
      </w:rPr>
    </w:lvl>
    <w:lvl w:ilvl="6" w:tentative="0">
      <w:start w:val="1"/>
      <w:numFmt w:val="lowerRoman"/>
      <w:lvlText w:val="%7."/>
      <w:lvlJc w:val="left"/>
      <w:pPr>
        <w:tabs>
          <w:tab w:val="left" w:pos="3262"/>
        </w:tabs>
        <w:ind w:left="425" w:firstLine="0"/>
      </w:pPr>
      <w:rPr>
        <w:rFonts w:hint="eastAsia"/>
      </w:rPr>
    </w:lvl>
    <w:lvl w:ilvl="7" w:tentative="0">
      <w:start w:val="1"/>
      <w:numFmt w:val="lowerLetter"/>
      <w:lvlText w:val="%8."/>
      <w:lvlJc w:val="left"/>
      <w:pPr>
        <w:tabs>
          <w:tab w:val="left" w:pos="3687"/>
        </w:tabs>
        <w:ind w:left="425" w:firstLine="0"/>
      </w:pPr>
      <w:rPr>
        <w:rFonts w:hint="eastAsia"/>
      </w:rPr>
    </w:lvl>
    <w:lvl w:ilvl="8" w:tentative="0">
      <w:start w:val="1"/>
      <w:numFmt w:val="lowerRoman"/>
      <w:lvlText w:val="%9."/>
      <w:lvlJc w:val="left"/>
      <w:pPr>
        <w:tabs>
          <w:tab w:val="left" w:pos="4112"/>
        </w:tabs>
        <w:ind w:left="425"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947"/>
    <w:rsid w:val="00002728"/>
    <w:rsid w:val="000028BD"/>
    <w:rsid w:val="0000590D"/>
    <w:rsid w:val="000060B3"/>
    <w:rsid w:val="000065EA"/>
    <w:rsid w:val="000069AE"/>
    <w:rsid w:val="00010DA6"/>
    <w:rsid w:val="0001127D"/>
    <w:rsid w:val="00011547"/>
    <w:rsid w:val="0001184C"/>
    <w:rsid w:val="0001235A"/>
    <w:rsid w:val="00014D14"/>
    <w:rsid w:val="0001784A"/>
    <w:rsid w:val="00022168"/>
    <w:rsid w:val="00026811"/>
    <w:rsid w:val="00027C59"/>
    <w:rsid w:val="000314AC"/>
    <w:rsid w:val="000316A1"/>
    <w:rsid w:val="000318F7"/>
    <w:rsid w:val="00040EAB"/>
    <w:rsid w:val="00041169"/>
    <w:rsid w:val="0004364B"/>
    <w:rsid w:val="00043C5F"/>
    <w:rsid w:val="000507A8"/>
    <w:rsid w:val="0005271E"/>
    <w:rsid w:val="0005351A"/>
    <w:rsid w:val="000536E2"/>
    <w:rsid w:val="00057C5A"/>
    <w:rsid w:val="00060251"/>
    <w:rsid w:val="00061B1F"/>
    <w:rsid w:val="00064167"/>
    <w:rsid w:val="000648A7"/>
    <w:rsid w:val="00071055"/>
    <w:rsid w:val="0007231F"/>
    <w:rsid w:val="000733C4"/>
    <w:rsid w:val="00073415"/>
    <w:rsid w:val="00074600"/>
    <w:rsid w:val="00074783"/>
    <w:rsid w:val="00076744"/>
    <w:rsid w:val="00076A4C"/>
    <w:rsid w:val="0008070B"/>
    <w:rsid w:val="000810AC"/>
    <w:rsid w:val="0008179C"/>
    <w:rsid w:val="00081A02"/>
    <w:rsid w:val="00082231"/>
    <w:rsid w:val="00082573"/>
    <w:rsid w:val="000837B8"/>
    <w:rsid w:val="0008426D"/>
    <w:rsid w:val="00090D72"/>
    <w:rsid w:val="00091533"/>
    <w:rsid w:val="00092B14"/>
    <w:rsid w:val="00092D38"/>
    <w:rsid w:val="0009377B"/>
    <w:rsid w:val="000979C3"/>
    <w:rsid w:val="000A0A22"/>
    <w:rsid w:val="000A188A"/>
    <w:rsid w:val="000A20C9"/>
    <w:rsid w:val="000A2592"/>
    <w:rsid w:val="000A3191"/>
    <w:rsid w:val="000A54D7"/>
    <w:rsid w:val="000A6153"/>
    <w:rsid w:val="000A737D"/>
    <w:rsid w:val="000B058F"/>
    <w:rsid w:val="000B1391"/>
    <w:rsid w:val="000B4467"/>
    <w:rsid w:val="000B4DB9"/>
    <w:rsid w:val="000B50B4"/>
    <w:rsid w:val="000B5E99"/>
    <w:rsid w:val="000B6CAD"/>
    <w:rsid w:val="000B73B0"/>
    <w:rsid w:val="000B79E4"/>
    <w:rsid w:val="000C09AC"/>
    <w:rsid w:val="000C183B"/>
    <w:rsid w:val="000C1B8C"/>
    <w:rsid w:val="000C767F"/>
    <w:rsid w:val="000C770E"/>
    <w:rsid w:val="000C7903"/>
    <w:rsid w:val="000D0AA2"/>
    <w:rsid w:val="000D1D7E"/>
    <w:rsid w:val="000D26C5"/>
    <w:rsid w:val="000D5A44"/>
    <w:rsid w:val="000D6B3B"/>
    <w:rsid w:val="000E015C"/>
    <w:rsid w:val="000E128E"/>
    <w:rsid w:val="000E288B"/>
    <w:rsid w:val="000E3ED2"/>
    <w:rsid w:val="000E5ED1"/>
    <w:rsid w:val="000E60F6"/>
    <w:rsid w:val="000F4319"/>
    <w:rsid w:val="000F437E"/>
    <w:rsid w:val="000F79F0"/>
    <w:rsid w:val="001049FB"/>
    <w:rsid w:val="0010543C"/>
    <w:rsid w:val="00105602"/>
    <w:rsid w:val="001061F8"/>
    <w:rsid w:val="00106EA2"/>
    <w:rsid w:val="001118D9"/>
    <w:rsid w:val="00112171"/>
    <w:rsid w:val="001126C8"/>
    <w:rsid w:val="00115B54"/>
    <w:rsid w:val="00116370"/>
    <w:rsid w:val="001206AF"/>
    <w:rsid w:val="001233CD"/>
    <w:rsid w:val="00123D8B"/>
    <w:rsid w:val="00125CF2"/>
    <w:rsid w:val="00126842"/>
    <w:rsid w:val="00130593"/>
    <w:rsid w:val="00131773"/>
    <w:rsid w:val="00131F42"/>
    <w:rsid w:val="001343D7"/>
    <w:rsid w:val="001350B1"/>
    <w:rsid w:val="001357F1"/>
    <w:rsid w:val="00140C6F"/>
    <w:rsid w:val="00140FA8"/>
    <w:rsid w:val="00142FEB"/>
    <w:rsid w:val="00143A2D"/>
    <w:rsid w:val="00144951"/>
    <w:rsid w:val="001457FC"/>
    <w:rsid w:val="00145A41"/>
    <w:rsid w:val="00145A8D"/>
    <w:rsid w:val="001468B0"/>
    <w:rsid w:val="00147692"/>
    <w:rsid w:val="00151675"/>
    <w:rsid w:val="00152B37"/>
    <w:rsid w:val="00154E17"/>
    <w:rsid w:val="00155071"/>
    <w:rsid w:val="0015610D"/>
    <w:rsid w:val="00157435"/>
    <w:rsid w:val="00157CDF"/>
    <w:rsid w:val="00160253"/>
    <w:rsid w:val="001602E3"/>
    <w:rsid w:val="00160948"/>
    <w:rsid w:val="00165DC6"/>
    <w:rsid w:val="001674FE"/>
    <w:rsid w:val="00170FEE"/>
    <w:rsid w:val="0017257D"/>
    <w:rsid w:val="001734BA"/>
    <w:rsid w:val="0017504D"/>
    <w:rsid w:val="001765D3"/>
    <w:rsid w:val="0017671A"/>
    <w:rsid w:val="001768CA"/>
    <w:rsid w:val="00177422"/>
    <w:rsid w:val="0018013B"/>
    <w:rsid w:val="001816DC"/>
    <w:rsid w:val="00181B9E"/>
    <w:rsid w:val="001822B8"/>
    <w:rsid w:val="001827E5"/>
    <w:rsid w:val="00182FE4"/>
    <w:rsid w:val="00184590"/>
    <w:rsid w:val="001870D1"/>
    <w:rsid w:val="0018781E"/>
    <w:rsid w:val="0019047C"/>
    <w:rsid w:val="00190DF8"/>
    <w:rsid w:val="00191213"/>
    <w:rsid w:val="001924E8"/>
    <w:rsid w:val="00192629"/>
    <w:rsid w:val="0019262D"/>
    <w:rsid w:val="00193768"/>
    <w:rsid w:val="001977B5"/>
    <w:rsid w:val="001A1B35"/>
    <w:rsid w:val="001A48A2"/>
    <w:rsid w:val="001A692B"/>
    <w:rsid w:val="001A6F61"/>
    <w:rsid w:val="001A7B35"/>
    <w:rsid w:val="001B1D23"/>
    <w:rsid w:val="001B2C7D"/>
    <w:rsid w:val="001B4540"/>
    <w:rsid w:val="001B72B8"/>
    <w:rsid w:val="001C0C88"/>
    <w:rsid w:val="001C1A77"/>
    <w:rsid w:val="001C1E2E"/>
    <w:rsid w:val="001C272A"/>
    <w:rsid w:val="001C3580"/>
    <w:rsid w:val="001C588A"/>
    <w:rsid w:val="001C69B3"/>
    <w:rsid w:val="001C76F8"/>
    <w:rsid w:val="001D22A2"/>
    <w:rsid w:val="001D309D"/>
    <w:rsid w:val="001D5595"/>
    <w:rsid w:val="001D7874"/>
    <w:rsid w:val="001D7F22"/>
    <w:rsid w:val="001E2528"/>
    <w:rsid w:val="001E255E"/>
    <w:rsid w:val="001E45EA"/>
    <w:rsid w:val="001E46B1"/>
    <w:rsid w:val="001E5E8F"/>
    <w:rsid w:val="001F0F17"/>
    <w:rsid w:val="001F1CD3"/>
    <w:rsid w:val="001F2B9D"/>
    <w:rsid w:val="001F2C92"/>
    <w:rsid w:val="001F3347"/>
    <w:rsid w:val="001F3D43"/>
    <w:rsid w:val="001F3F94"/>
    <w:rsid w:val="001F5003"/>
    <w:rsid w:val="001F5FD3"/>
    <w:rsid w:val="001F69E4"/>
    <w:rsid w:val="001F79EA"/>
    <w:rsid w:val="00200AB8"/>
    <w:rsid w:val="00200F83"/>
    <w:rsid w:val="0020150E"/>
    <w:rsid w:val="00204634"/>
    <w:rsid w:val="002047E7"/>
    <w:rsid w:val="00211176"/>
    <w:rsid w:val="002125B4"/>
    <w:rsid w:val="00212ED9"/>
    <w:rsid w:val="00213A26"/>
    <w:rsid w:val="002155B8"/>
    <w:rsid w:val="00217548"/>
    <w:rsid w:val="0022177C"/>
    <w:rsid w:val="00223383"/>
    <w:rsid w:val="00223B00"/>
    <w:rsid w:val="00224839"/>
    <w:rsid w:val="002249B2"/>
    <w:rsid w:val="002260C9"/>
    <w:rsid w:val="00226574"/>
    <w:rsid w:val="00226F86"/>
    <w:rsid w:val="002278EC"/>
    <w:rsid w:val="0023071F"/>
    <w:rsid w:val="0023280E"/>
    <w:rsid w:val="00233932"/>
    <w:rsid w:val="00233B5A"/>
    <w:rsid w:val="002344F5"/>
    <w:rsid w:val="002348A4"/>
    <w:rsid w:val="00236B98"/>
    <w:rsid w:val="002377D1"/>
    <w:rsid w:val="00241632"/>
    <w:rsid w:val="002428E6"/>
    <w:rsid w:val="002431AD"/>
    <w:rsid w:val="00243F1A"/>
    <w:rsid w:val="00244DC7"/>
    <w:rsid w:val="0024518A"/>
    <w:rsid w:val="00245549"/>
    <w:rsid w:val="00246EEA"/>
    <w:rsid w:val="00247AC0"/>
    <w:rsid w:val="0025017F"/>
    <w:rsid w:val="002506BC"/>
    <w:rsid w:val="00254345"/>
    <w:rsid w:val="00256C61"/>
    <w:rsid w:val="00257C85"/>
    <w:rsid w:val="00264557"/>
    <w:rsid w:val="00267CCC"/>
    <w:rsid w:val="002703D3"/>
    <w:rsid w:val="00276597"/>
    <w:rsid w:val="002805AB"/>
    <w:rsid w:val="00282AB0"/>
    <w:rsid w:val="00284204"/>
    <w:rsid w:val="00291773"/>
    <w:rsid w:val="002957D8"/>
    <w:rsid w:val="00297C07"/>
    <w:rsid w:val="002A168C"/>
    <w:rsid w:val="002A38DD"/>
    <w:rsid w:val="002A3DC7"/>
    <w:rsid w:val="002A5207"/>
    <w:rsid w:val="002B112A"/>
    <w:rsid w:val="002B1B2B"/>
    <w:rsid w:val="002B49E2"/>
    <w:rsid w:val="002B7B00"/>
    <w:rsid w:val="002B7C44"/>
    <w:rsid w:val="002C2B17"/>
    <w:rsid w:val="002C2E2C"/>
    <w:rsid w:val="002C3359"/>
    <w:rsid w:val="002C3FED"/>
    <w:rsid w:val="002C4405"/>
    <w:rsid w:val="002C4C01"/>
    <w:rsid w:val="002C64CB"/>
    <w:rsid w:val="002C6BC0"/>
    <w:rsid w:val="002D0520"/>
    <w:rsid w:val="002D3527"/>
    <w:rsid w:val="002D3DD0"/>
    <w:rsid w:val="002D48F4"/>
    <w:rsid w:val="002D4E89"/>
    <w:rsid w:val="002D548C"/>
    <w:rsid w:val="002D60B3"/>
    <w:rsid w:val="002E1A93"/>
    <w:rsid w:val="002E1F3A"/>
    <w:rsid w:val="002E298A"/>
    <w:rsid w:val="002E4A75"/>
    <w:rsid w:val="002E52F9"/>
    <w:rsid w:val="002E5973"/>
    <w:rsid w:val="002E6852"/>
    <w:rsid w:val="002E7140"/>
    <w:rsid w:val="002F1B24"/>
    <w:rsid w:val="002F4055"/>
    <w:rsid w:val="002F4876"/>
    <w:rsid w:val="002F4A09"/>
    <w:rsid w:val="002F7B77"/>
    <w:rsid w:val="00301978"/>
    <w:rsid w:val="0030332C"/>
    <w:rsid w:val="003051C2"/>
    <w:rsid w:val="0030671A"/>
    <w:rsid w:val="003100A1"/>
    <w:rsid w:val="00312296"/>
    <w:rsid w:val="00313CF6"/>
    <w:rsid w:val="00314F0E"/>
    <w:rsid w:val="0031540F"/>
    <w:rsid w:val="00317222"/>
    <w:rsid w:val="00321D8E"/>
    <w:rsid w:val="003231E6"/>
    <w:rsid w:val="00324A3B"/>
    <w:rsid w:val="00325928"/>
    <w:rsid w:val="003266CB"/>
    <w:rsid w:val="003267A1"/>
    <w:rsid w:val="00326DFF"/>
    <w:rsid w:val="003276FE"/>
    <w:rsid w:val="00332456"/>
    <w:rsid w:val="00332863"/>
    <w:rsid w:val="00335B84"/>
    <w:rsid w:val="0033684D"/>
    <w:rsid w:val="003368BB"/>
    <w:rsid w:val="00336D69"/>
    <w:rsid w:val="00337B42"/>
    <w:rsid w:val="00341B42"/>
    <w:rsid w:val="0034348F"/>
    <w:rsid w:val="00343EBC"/>
    <w:rsid w:val="003453FB"/>
    <w:rsid w:val="00345C87"/>
    <w:rsid w:val="003478E8"/>
    <w:rsid w:val="0035157C"/>
    <w:rsid w:val="00351E80"/>
    <w:rsid w:val="0035341B"/>
    <w:rsid w:val="00356653"/>
    <w:rsid w:val="0035743F"/>
    <w:rsid w:val="00357BE2"/>
    <w:rsid w:val="0036170C"/>
    <w:rsid w:val="003648F5"/>
    <w:rsid w:val="0036552E"/>
    <w:rsid w:val="00366E0F"/>
    <w:rsid w:val="00367831"/>
    <w:rsid w:val="00367E60"/>
    <w:rsid w:val="00370D16"/>
    <w:rsid w:val="00371979"/>
    <w:rsid w:val="00375E3F"/>
    <w:rsid w:val="003764F9"/>
    <w:rsid w:val="00377800"/>
    <w:rsid w:val="00380296"/>
    <w:rsid w:val="00381A72"/>
    <w:rsid w:val="00382E34"/>
    <w:rsid w:val="00384676"/>
    <w:rsid w:val="003866C5"/>
    <w:rsid w:val="003871E8"/>
    <w:rsid w:val="003873BC"/>
    <w:rsid w:val="00387C74"/>
    <w:rsid w:val="00390857"/>
    <w:rsid w:val="00391161"/>
    <w:rsid w:val="00393BFA"/>
    <w:rsid w:val="003A0BD4"/>
    <w:rsid w:val="003A4BF3"/>
    <w:rsid w:val="003A4D32"/>
    <w:rsid w:val="003A6F7A"/>
    <w:rsid w:val="003A74D3"/>
    <w:rsid w:val="003B21DA"/>
    <w:rsid w:val="003B420D"/>
    <w:rsid w:val="003B550E"/>
    <w:rsid w:val="003B5A9B"/>
    <w:rsid w:val="003C3736"/>
    <w:rsid w:val="003C48D5"/>
    <w:rsid w:val="003C4D7F"/>
    <w:rsid w:val="003C4E22"/>
    <w:rsid w:val="003C6C16"/>
    <w:rsid w:val="003C6C2B"/>
    <w:rsid w:val="003D0EC7"/>
    <w:rsid w:val="003D135F"/>
    <w:rsid w:val="003D283B"/>
    <w:rsid w:val="003D3C2A"/>
    <w:rsid w:val="003D4134"/>
    <w:rsid w:val="003D5157"/>
    <w:rsid w:val="003D68B7"/>
    <w:rsid w:val="003D794D"/>
    <w:rsid w:val="003E0AC0"/>
    <w:rsid w:val="003E1862"/>
    <w:rsid w:val="003E25C6"/>
    <w:rsid w:val="003E3058"/>
    <w:rsid w:val="003E5C36"/>
    <w:rsid w:val="003E6698"/>
    <w:rsid w:val="003E698E"/>
    <w:rsid w:val="003E76A9"/>
    <w:rsid w:val="003F0130"/>
    <w:rsid w:val="003F0809"/>
    <w:rsid w:val="003F0878"/>
    <w:rsid w:val="003F6A8C"/>
    <w:rsid w:val="003F755C"/>
    <w:rsid w:val="00402191"/>
    <w:rsid w:val="00402AED"/>
    <w:rsid w:val="00405A99"/>
    <w:rsid w:val="00406F01"/>
    <w:rsid w:val="00413F48"/>
    <w:rsid w:val="0041411A"/>
    <w:rsid w:val="00415185"/>
    <w:rsid w:val="00416494"/>
    <w:rsid w:val="00416D50"/>
    <w:rsid w:val="00416FD5"/>
    <w:rsid w:val="00417034"/>
    <w:rsid w:val="004171B5"/>
    <w:rsid w:val="00417772"/>
    <w:rsid w:val="00420E6A"/>
    <w:rsid w:val="00423C20"/>
    <w:rsid w:val="00424385"/>
    <w:rsid w:val="004244A8"/>
    <w:rsid w:val="004244CA"/>
    <w:rsid w:val="00424756"/>
    <w:rsid w:val="0042546C"/>
    <w:rsid w:val="00425A9E"/>
    <w:rsid w:val="00426D6B"/>
    <w:rsid w:val="00427B53"/>
    <w:rsid w:val="00430FE5"/>
    <w:rsid w:val="00431939"/>
    <w:rsid w:val="00431E6C"/>
    <w:rsid w:val="004334A2"/>
    <w:rsid w:val="00433B48"/>
    <w:rsid w:val="00433CE7"/>
    <w:rsid w:val="004349C6"/>
    <w:rsid w:val="00440E6E"/>
    <w:rsid w:val="00441AC7"/>
    <w:rsid w:val="00444ED1"/>
    <w:rsid w:val="0044523B"/>
    <w:rsid w:val="00451F71"/>
    <w:rsid w:val="00452738"/>
    <w:rsid w:val="00452E9C"/>
    <w:rsid w:val="00453178"/>
    <w:rsid w:val="004547A0"/>
    <w:rsid w:val="00455C0D"/>
    <w:rsid w:val="00456091"/>
    <w:rsid w:val="00456704"/>
    <w:rsid w:val="00460707"/>
    <w:rsid w:val="00461EF9"/>
    <w:rsid w:val="00463C9F"/>
    <w:rsid w:val="00466321"/>
    <w:rsid w:val="004702A9"/>
    <w:rsid w:val="00470F19"/>
    <w:rsid w:val="0047256E"/>
    <w:rsid w:val="00476875"/>
    <w:rsid w:val="00482F3E"/>
    <w:rsid w:val="004831E6"/>
    <w:rsid w:val="00484B9B"/>
    <w:rsid w:val="004855F6"/>
    <w:rsid w:val="004856AD"/>
    <w:rsid w:val="00486569"/>
    <w:rsid w:val="0048661E"/>
    <w:rsid w:val="004873DD"/>
    <w:rsid w:val="004911FE"/>
    <w:rsid w:val="004913FD"/>
    <w:rsid w:val="00491556"/>
    <w:rsid w:val="00492603"/>
    <w:rsid w:val="00492C72"/>
    <w:rsid w:val="00494670"/>
    <w:rsid w:val="004A1DCC"/>
    <w:rsid w:val="004A2813"/>
    <w:rsid w:val="004A3823"/>
    <w:rsid w:val="004A50EA"/>
    <w:rsid w:val="004A53EB"/>
    <w:rsid w:val="004A55F5"/>
    <w:rsid w:val="004B1924"/>
    <w:rsid w:val="004B2919"/>
    <w:rsid w:val="004B37F0"/>
    <w:rsid w:val="004B4A5E"/>
    <w:rsid w:val="004B7D38"/>
    <w:rsid w:val="004B7FD0"/>
    <w:rsid w:val="004C097A"/>
    <w:rsid w:val="004C2F91"/>
    <w:rsid w:val="004C3CE5"/>
    <w:rsid w:val="004C5DDC"/>
    <w:rsid w:val="004C7F23"/>
    <w:rsid w:val="004D2762"/>
    <w:rsid w:val="004D2AA4"/>
    <w:rsid w:val="004D7998"/>
    <w:rsid w:val="004D7B5D"/>
    <w:rsid w:val="004E008D"/>
    <w:rsid w:val="004E0728"/>
    <w:rsid w:val="004E496A"/>
    <w:rsid w:val="004E6518"/>
    <w:rsid w:val="004E6946"/>
    <w:rsid w:val="004E7AB4"/>
    <w:rsid w:val="004F1AD8"/>
    <w:rsid w:val="004F1ADF"/>
    <w:rsid w:val="004F4A2D"/>
    <w:rsid w:val="004F67DC"/>
    <w:rsid w:val="0050086B"/>
    <w:rsid w:val="005039CB"/>
    <w:rsid w:val="00504862"/>
    <w:rsid w:val="0050558F"/>
    <w:rsid w:val="005061D1"/>
    <w:rsid w:val="00506286"/>
    <w:rsid w:val="005068A5"/>
    <w:rsid w:val="00506B1B"/>
    <w:rsid w:val="00510813"/>
    <w:rsid w:val="00510DF1"/>
    <w:rsid w:val="00511990"/>
    <w:rsid w:val="00511DE0"/>
    <w:rsid w:val="00512783"/>
    <w:rsid w:val="00513A69"/>
    <w:rsid w:val="00514870"/>
    <w:rsid w:val="00514B9B"/>
    <w:rsid w:val="00517F02"/>
    <w:rsid w:val="005216AE"/>
    <w:rsid w:val="00524303"/>
    <w:rsid w:val="00524D7D"/>
    <w:rsid w:val="00525876"/>
    <w:rsid w:val="005258A2"/>
    <w:rsid w:val="00532807"/>
    <w:rsid w:val="005401AE"/>
    <w:rsid w:val="005421EE"/>
    <w:rsid w:val="00542401"/>
    <w:rsid w:val="005424C4"/>
    <w:rsid w:val="00542E07"/>
    <w:rsid w:val="00545424"/>
    <w:rsid w:val="00547454"/>
    <w:rsid w:val="00550464"/>
    <w:rsid w:val="00551D22"/>
    <w:rsid w:val="00551E2D"/>
    <w:rsid w:val="00552863"/>
    <w:rsid w:val="00553A67"/>
    <w:rsid w:val="00554A7B"/>
    <w:rsid w:val="0055569E"/>
    <w:rsid w:val="0055572C"/>
    <w:rsid w:val="0055672E"/>
    <w:rsid w:val="00560231"/>
    <w:rsid w:val="00560FE7"/>
    <w:rsid w:val="0056106A"/>
    <w:rsid w:val="00567B29"/>
    <w:rsid w:val="00567E81"/>
    <w:rsid w:val="005720AE"/>
    <w:rsid w:val="00573905"/>
    <w:rsid w:val="00573A83"/>
    <w:rsid w:val="00574A68"/>
    <w:rsid w:val="0057541E"/>
    <w:rsid w:val="00577CF4"/>
    <w:rsid w:val="00577DA0"/>
    <w:rsid w:val="005801BA"/>
    <w:rsid w:val="005812C1"/>
    <w:rsid w:val="005835A1"/>
    <w:rsid w:val="005852F1"/>
    <w:rsid w:val="0058592F"/>
    <w:rsid w:val="00585B57"/>
    <w:rsid w:val="00586DB4"/>
    <w:rsid w:val="00591536"/>
    <w:rsid w:val="00594D77"/>
    <w:rsid w:val="0059629D"/>
    <w:rsid w:val="005969E4"/>
    <w:rsid w:val="005A06B7"/>
    <w:rsid w:val="005A1759"/>
    <w:rsid w:val="005A21B6"/>
    <w:rsid w:val="005A250A"/>
    <w:rsid w:val="005A2F3E"/>
    <w:rsid w:val="005A4F64"/>
    <w:rsid w:val="005A5B71"/>
    <w:rsid w:val="005A68A7"/>
    <w:rsid w:val="005B236B"/>
    <w:rsid w:val="005B71EB"/>
    <w:rsid w:val="005C04B1"/>
    <w:rsid w:val="005C58E7"/>
    <w:rsid w:val="005C5EEF"/>
    <w:rsid w:val="005C7178"/>
    <w:rsid w:val="005D258F"/>
    <w:rsid w:val="005D36AB"/>
    <w:rsid w:val="005D376D"/>
    <w:rsid w:val="005D445B"/>
    <w:rsid w:val="005D5CE8"/>
    <w:rsid w:val="005D6311"/>
    <w:rsid w:val="005D689B"/>
    <w:rsid w:val="005D6D88"/>
    <w:rsid w:val="005E25A7"/>
    <w:rsid w:val="005E3C5C"/>
    <w:rsid w:val="005E4106"/>
    <w:rsid w:val="005E6076"/>
    <w:rsid w:val="005F1239"/>
    <w:rsid w:val="005F179E"/>
    <w:rsid w:val="005F1D99"/>
    <w:rsid w:val="005F5FDC"/>
    <w:rsid w:val="005F6FC5"/>
    <w:rsid w:val="00600F9B"/>
    <w:rsid w:val="00605380"/>
    <w:rsid w:val="00606C71"/>
    <w:rsid w:val="006107E8"/>
    <w:rsid w:val="006112AC"/>
    <w:rsid w:val="00611CD6"/>
    <w:rsid w:val="00612021"/>
    <w:rsid w:val="006131E7"/>
    <w:rsid w:val="006133B0"/>
    <w:rsid w:val="00614AD3"/>
    <w:rsid w:val="00614FCF"/>
    <w:rsid w:val="00617805"/>
    <w:rsid w:val="00617CC3"/>
    <w:rsid w:val="00620321"/>
    <w:rsid w:val="006204A8"/>
    <w:rsid w:val="006205C8"/>
    <w:rsid w:val="00625639"/>
    <w:rsid w:val="00627B0F"/>
    <w:rsid w:val="00632969"/>
    <w:rsid w:val="00635CA4"/>
    <w:rsid w:val="006377A6"/>
    <w:rsid w:val="00637A3D"/>
    <w:rsid w:val="00637A82"/>
    <w:rsid w:val="006411EF"/>
    <w:rsid w:val="00641E6E"/>
    <w:rsid w:val="00641F89"/>
    <w:rsid w:val="00643B3D"/>
    <w:rsid w:val="006449A6"/>
    <w:rsid w:val="006472B3"/>
    <w:rsid w:val="00650806"/>
    <w:rsid w:val="00653F15"/>
    <w:rsid w:val="00654B9A"/>
    <w:rsid w:val="00656D98"/>
    <w:rsid w:val="0066736C"/>
    <w:rsid w:val="006745E9"/>
    <w:rsid w:val="006748B8"/>
    <w:rsid w:val="00675931"/>
    <w:rsid w:val="006775C3"/>
    <w:rsid w:val="00680A87"/>
    <w:rsid w:val="00682EFC"/>
    <w:rsid w:val="006832AE"/>
    <w:rsid w:val="00683A04"/>
    <w:rsid w:val="0068573C"/>
    <w:rsid w:val="006864B0"/>
    <w:rsid w:val="00690FFD"/>
    <w:rsid w:val="00691795"/>
    <w:rsid w:val="00691AC0"/>
    <w:rsid w:val="0069290A"/>
    <w:rsid w:val="0069593C"/>
    <w:rsid w:val="006973A3"/>
    <w:rsid w:val="0069775A"/>
    <w:rsid w:val="00697813"/>
    <w:rsid w:val="00697A55"/>
    <w:rsid w:val="006A0238"/>
    <w:rsid w:val="006A1252"/>
    <w:rsid w:val="006A3EE8"/>
    <w:rsid w:val="006A4038"/>
    <w:rsid w:val="006A6566"/>
    <w:rsid w:val="006A72BF"/>
    <w:rsid w:val="006B03F2"/>
    <w:rsid w:val="006B254A"/>
    <w:rsid w:val="006B37DC"/>
    <w:rsid w:val="006B3E7E"/>
    <w:rsid w:val="006B4F68"/>
    <w:rsid w:val="006B68F5"/>
    <w:rsid w:val="006C0592"/>
    <w:rsid w:val="006C11A3"/>
    <w:rsid w:val="006C272E"/>
    <w:rsid w:val="006C48AD"/>
    <w:rsid w:val="006C5479"/>
    <w:rsid w:val="006C5F40"/>
    <w:rsid w:val="006C60BC"/>
    <w:rsid w:val="006C7098"/>
    <w:rsid w:val="006D13B5"/>
    <w:rsid w:val="006D4992"/>
    <w:rsid w:val="006D57B4"/>
    <w:rsid w:val="006D63B5"/>
    <w:rsid w:val="006D65F4"/>
    <w:rsid w:val="006D6AC3"/>
    <w:rsid w:val="006D7D31"/>
    <w:rsid w:val="006E03C4"/>
    <w:rsid w:val="006E12FF"/>
    <w:rsid w:val="006E556F"/>
    <w:rsid w:val="006E607E"/>
    <w:rsid w:val="006E60DE"/>
    <w:rsid w:val="006E6D3A"/>
    <w:rsid w:val="006E73A0"/>
    <w:rsid w:val="006F1839"/>
    <w:rsid w:val="006F5BDA"/>
    <w:rsid w:val="006F67ED"/>
    <w:rsid w:val="006F6AC8"/>
    <w:rsid w:val="00700303"/>
    <w:rsid w:val="007018FF"/>
    <w:rsid w:val="00702E0E"/>
    <w:rsid w:val="00705356"/>
    <w:rsid w:val="00706C5D"/>
    <w:rsid w:val="007079F1"/>
    <w:rsid w:val="00707EC1"/>
    <w:rsid w:val="00710C90"/>
    <w:rsid w:val="00711D98"/>
    <w:rsid w:val="007122C0"/>
    <w:rsid w:val="00712E35"/>
    <w:rsid w:val="00713142"/>
    <w:rsid w:val="00714D5A"/>
    <w:rsid w:val="0071554A"/>
    <w:rsid w:val="0072041D"/>
    <w:rsid w:val="007242BD"/>
    <w:rsid w:val="007246C8"/>
    <w:rsid w:val="00726095"/>
    <w:rsid w:val="00727161"/>
    <w:rsid w:val="00727ABA"/>
    <w:rsid w:val="00730771"/>
    <w:rsid w:val="00731968"/>
    <w:rsid w:val="00732922"/>
    <w:rsid w:val="0073452A"/>
    <w:rsid w:val="00741EF0"/>
    <w:rsid w:val="00743599"/>
    <w:rsid w:val="00745A6D"/>
    <w:rsid w:val="007468E1"/>
    <w:rsid w:val="0075162E"/>
    <w:rsid w:val="00752FD2"/>
    <w:rsid w:val="00754034"/>
    <w:rsid w:val="00756556"/>
    <w:rsid w:val="00756832"/>
    <w:rsid w:val="00760E0D"/>
    <w:rsid w:val="00761822"/>
    <w:rsid w:val="007618C4"/>
    <w:rsid w:val="00763ACD"/>
    <w:rsid w:val="00767980"/>
    <w:rsid w:val="00767A03"/>
    <w:rsid w:val="00770699"/>
    <w:rsid w:val="00770B19"/>
    <w:rsid w:val="007726A9"/>
    <w:rsid w:val="0077463F"/>
    <w:rsid w:val="0077740B"/>
    <w:rsid w:val="007815DB"/>
    <w:rsid w:val="007828B5"/>
    <w:rsid w:val="00783238"/>
    <w:rsid w:val="007836EA"/>
    <w:rsid w:val="00783AAA"/>
    <w:rsid w:val="00784CDA"/>
    <w:rsid w:val="00786761"/>
    <w:rsid w:val="007875FB"/>
    <w:rsid w:val="007906C4"/>
    <w:rsid w:val="00790D4F"/>
    <w:rsid w:val="00790F71"/>
    <w:rsid w:val="0079314D"/>
    <w:rsid w:val="007940EA"/>
    <w:rsid w:val="007967E8"/>
    <w:rsid w:val="007A2170"/>
    <w:rsid w:val="007A22BF"/>
    <w:rsid w:val="007A2DF9"/>
    <w:rsid w:val="007A3323"/>
    <w:rsid w:val="007A3360"/>
    <w:rsid w:val="007A55F3"/>
    <w:rsid w:val="007A562E"/>
    <w:rsid w:val="007A63CC"/>
    <w:rsid w:val="007B1B0F"/>
    <w:rsid w:val="007B2F53"/>
    <w:rsid w:val="007B43F8"/>
    <w:rsid w:val="007B4E39"/>
    <w:rsid w:val="007B6A1B"/>
    <w:rsid w:val="007B72B8"/>
    <w:rsid w:val="007B7A58"/>
    <w:rsid w:val="007C21B5"/>
    <w:rsid w:val="007C324B"/>
    <w:rsid w:val="007C3EC1"/>
    <w:rsid w:val="007C54A7"/>
    <w:rsid w:val="007C6EE7"/>
    <w:rsid w:val="007C770D"/>
    <w:rsid w:val="007C7850"/>
    <w:rsid w:val="007C7B3C"/>
    <w:rsid w:val="007D1CF8"/>
    <w:rsid w:val="007D1EEB"/>
    <w:rsid w:val="007D2BB1"/>
    <w:rsid w:val="007E4BD2"/>
    <w:rsid w:val="007E4EBB"/>
    <w:rsid w:val="007F1289"/>
    <w:rsid w:val="007F3774"/>
    <w:rsid w:val="007F4C5F"/>
    <w:rsid w:val="008010D5"/>
    <w:rsid w:val="008012F2"/>
    <w:rsid w:val="00801393"/>
    <w:rsid w:val="00802F88"/>
    <w:rsid w:val="00805601"/>
    <w:rsid w:val="00805B44"/>
    <w:rsid w:val="0080721D"/>
    <w:rsid w:val="00807674"/>
    <w:rsid w:val="00807FF1"/>
    <w:rsid w:val="00810E4E"/>
    <w:rsid w:val="00812264"/>
    <w:rsid w:val="0081293E"/>
    <w:rsid w:val="00812ABE"/>
    <w:rsid w:val="00815465"/>
    <w:rsid w:val="0081561A"/>
    <w:rsid w:val="00817E9A"/>
    <w:rsid w:val="0082114A"/>
    <w:rsid w:val="00821225"/>
    <w:rsid w:val="00822C53"/>
    <w:rsid w:val="0082591D"/>
    <w:rsid w:val="008306BD"/>
    <w:rsid w:val="00831A80"/>
    <w:rsid w:val="0083222F"/>
    <w:rsid w:val="00832AAB"/>
    <w:rsid w:val="00832F3D"/>
    <w:rsid w:val="00833743"/>
    <w:rsid w:val="008340A4"/>
    <w:rsid w:val="008347D0"/>
    <w:rsid w:val="008347F7"/>
    <w:rsid w:val="00835000"/>
    <w:rsid w:val="00841894"/>
    <w:rsid w:val="00842ECA"/>
    <w:rsid w:val="00844519"/>
    <w:rsid w:val="00844E1D"/>
    <w:rsid w:val="008509BE"/>
    <w:rsid w:val="008509EB"/>
    <w:rsid w:val="00851E90"/>
    <w:rsid w:val="00853226"/>
    <w:rsid w:val="008624E6"/>
    <w:rsid w:val="008701A0"/>
    <w:rsid w:val="0087135F"/>
    <w:rsid w:val="00871DB9"/>
    <w:rsid w:val="00872035"/>
    <w:rsid w:val="00872D94"/>
    <w:rsid w:val="00873C01"/>
    <w:rsid w:val="008743D0"/>
    <w:rsid w:val="0087573A"/>
    <w:rsid w:val="0087756C"/>
    <w:rsid w:val="00880364"/>
    <w:rsid w:val="00884138"/>
    <w:rsid w:val="00891592"/>
    <w:rsid w:val="00891E9E"/>
    <w:rsid w:val="00894930"/>
    <w:rsid w:val="00897D00"/>
    <w:rsid w:val="008A1AA9"/>
    <w:rsid w:val="008A2296"/>
    <w:rsid w:val="008A2662"/>
    <w:rsid w:val="008A2F68"/>
    <w:rsid w:val="008A3052"/>
    <w:rsid w:val="008A7022"/>
    <w:rsid w:val="008B2161"/>
    <w:rsid w:val="008B4CF3"/>
    <w:rsid w:val="008B4D93"/>
    <w:rsid w:val="008B4FA6"/>
    <w:rsid w:val="008B5282"/>
    <w:rsid w:val="008B722A"/>
    <w:rsid w:val="008B7629"/>
    <w:rsid w:val="008B7C17"/>
    <w:rsid w:val="008B7F25"/>
    <w:rsid w:val="008C08F5"/>
    <w:rsid w:val="008C15F5"/>
    <w:rsid w:val="008C1E78"/>
    <w:rsid w:val="008C2D01"/>
    <w:rsid w:val="008C3287"/>
    <w:rsid w:val="008C40E6"/>
    <w:rsid w:val="008C5251"/>
    <w:rsid w:val="008D0F7A"/>
    <w:rsid w:val="008D68E4"/>
    <w:rsid w:val="008D7AD3"/>
    <w:rsid w:val="008E0506"/>
    <w:rsid w:val="008E0CFF"/>
    <w:rsid w:val="008E18CF"/>
    <w:rsid w:val="008E20CC"/>
    <w:rsid w:val="008E5D6B"/>
    <w:rsid w:val="008E71BB"/>
    <w:rsid w:val="008E76F0"/>
    <w:rsid w:val="008F15FE"/>
    <w:rsid w:val="008F2D29"/>
    <w:rsid w:val="008F435D"/>
    <w:rsid w:val="008F46C9"/>
    <w:rsid w:val="008F5187"/>
    <w:rsid w:val="008F5831"/>
    <w:rsid w:val="008F5FAB"/>
    <w:rsid w:val="008F60D8"/>
    <w:rsid w:val="008F7DB5"/>
    <w:rsid w:val="00900FB9"/>
    <w:rsid w:val="009012BB"/>
    <w:rsid w:val="00902727"/>
    <w:rsid w:val="00902E41"/>
    <w:rsid w:val="0090312B"/>
    <w:rsid w:val="00904AFE"/>
    <w:rsid w:val="00906DB3"/>
    <w:rsid w:val="00907565"/>
    <w:rsid w:val="0091370A"/>
    <w:rsid w:val="00914899"/>
    <w:rsid w:val="00915C6A"/>
    <w:rsid w:val="0091704B"/>
    <w:rsid w:val="0091736D"/>
    <w:rsid w:val="00920504"/>
    <w:rsid w:val="00925569"/>
    <w:rsid w:val="009259D8"/>
    <w:rsid w:val="00925FB0"/>
    <w:rsid w:val="00926C41"/>
    <w:rsid w:val="00927344"/>
    <w:rsid w:val="0093037A"/>
    <w:rsid w:val="00935A01"/>
    <w:rsid w:val="0094126A"/>
    <w:rsid w:val="00941354"/>
    <w:rsid w:val="0094154D"/>
    <w:rsid w:val="00942794"/>
    <w:rsid w:val="00945D24"/>
    <w:rsid w:val="0094661C"/>
    <w:rsid w:val="00950517"/>
    <w:rsid w:val="00950CBA"/>
    <w:rsid w:val="0095155F"/>
    <w:rsid w:val="00951785"/>
    <w:rsid w:val="00954429"/>
    <w:rsid w:val="00955E75"/>
    <w:rsid w:val="009563CE"/>
    <w:rsid w:val="00962FAB"/>
    <w:rsid w:val="00963D40"/>
    <w:rsid w:val="009664D8"/>
    <w:rsid w:val="00971F29"/>
    <w:rsid w:val="00973326"/>
    <w:rsid w:val="00976328"/>
    <w:rsid w:val="0097680D"/>
    <w:rsid w:val="00982438"/>
    <w:rsid w:val="00983091"/>
    <w:rsid w:val="0098404C"/>
    <w:rsid w:val="00984895"/>
    <w:rsid w:val="00985283"/>
    <w:rsid w:val="00991DC7"/>
    <w:rsid w:val="00992B82"/>
    <w:rsid w:val="009940B1"/>
    <w:rsid w:val="009940BA"/>
    <w:rsid w:val="009945D6"/>
    <w:rsid w:val="00994A76"/>
    <w:rsid w:val="00995992"/>
    <w:rsid w:val="00996F95"/>
    <w:rsid w:val="009A03E5"/>
    <w:rsid w:val="009A0F3B"/>
    <w:rsid w:val="009A14E4"/>
    <w:rsid w:val="009A1BB4"/>
    <w:rsid w:val="009A2628"/>
    <w:rsid w:val="009A3200"/>
    <w:rsid w:val="009B0897"/>
    <w:rsid w:val="009B1EA5"/>
    <w:rsid w:val="009B2DC4"/>
    <w:rsid w:val="009B34D7"/>
    <w:rsid w:val="009B3620"/>
    <w:rsid w:val="009B3BEA"/>
    <w:rsid w:val="009B48DB"/>
    <w:rsid w:val="009B4A64"/>
    <w:rsid w:val="009B7BD9"/>
    <w:rsid w:val="009C1819"/>
    <w:rsid w:val="009C1860"/>
    <w:rsid w:val="009C2585"/>
    <w:rsid w:val="009C5A4B"/>
    <w:rsid w:val="009C5C29"/>
    <w:rsid w:val="009C5D24"/>
    <w:rsid w:val="009C626F"/>
    <w:rsid w:val="009C7DD5"/>
    <w:rsid w:val="009D0426"/>
    <w:rsid w:val="009D1E4A"/>
    <w:rsid w:val="009D1EA7"/>
    <w:rsid w:val="009D33F1"/>
    <w:rsid w:val="009D4CD7"/>
    <w:rsid w:val="009D52DE"/>
    <w:rsid w:val="009D5579"/>
    <w:rsid w:val="009D6FFA"/>
    <w:rsid w:val="009E11BD"/>
    <w:rsid w:val="009E227D"/>
    <w:rsid w:val="009E5019"/>
    <w:rsid w:val="009E5BEC"/>
    <w:rsid w:val="009E65B2"/>
    <w:rsid w:val="009F1F7E"/>
    <w:rsid w:val="009F4256"/>
    <w:rsid w:val="009F7D07"/>
    <w:rsid w:val="009F7ED9"/>
    <w:rsid w:val="00A00022"/>
    <w:rsid w:val="00A012D4"/>
    <w:rsid w:val="00A03022"/>
    <w:rsid w:val="00A04F1B"/>
    <w:rsid w:val="00A0501B"/>
    <w:rsid w:val="00A05049"/>
    <w:rsid w:val="00A0791D"/>
    <w:rsid w:val="00A14947"/>
    <w:rsid w:val="00A15AF4"/>
    <w:rsid w:val="00A16C82"/>
    <w:rsid w:val="00A20636"/>
    <w:rsid w:val="00A20C1C"/>
    <w:rsid w:val="00A21E28"/>
    <w:rsid w:val="00A24558"/>
    <w:rsid w:val="00A25FAD"/>
    <w:rsid w:val="00A272F8"/>
    <w:rsid w:val="00A278F5"/>
    <w:rsid w:val="00A317E9"/>
    <w:rsid w:val="00A31C8F"/>
    <w:rsid w:val="00A32A83"/>
    <w:rsid w:val="00A3618A"/>
    <w:rsid w:val="00A368DB"/>
    <w:rsid w:val="00A400CC"/>
    <w:rsid w:val="00A41675"/>
    <w:rsid w:val="00A41B8E"/>
    <w:rsid w:val="00A423AA"/>
    <w:rsid w:val="00A43A2C"/>
    <w:rsid w:val="00A5088A"/>
    <w:rsid w:val="00A53EC6"/>
    <w:rsid w:val="00A546F3"/>
    <w:rsid w:val="00A55C0F"/>
    <w:rsid w:val="00A56172"/>
    <w:rsid w:val="00A57763"/>
    <w:rsid w:val="00A57CDC"/>
    <w:rsid w:val="00A60FD8"/>
    <w:rsid w:val="00A62B75"/>
    <w:rsid w:val="00A6443B"/>
    <w:rsid w:val="00A6579D"/>
    <w:rsid w:val="00A719C0"/>
    <w:rsid w:val="00A72358"/>
    <w:rsid w:val="00A726BF"/>
    <w:rsid w:val="00A74BF0"/>
    <w:rsid w:val="00A75126"/>
    <w:rsid w:val="00A76777"/>
    <w:rsid w:val="00A80404"/>
    <w:rsid w:val="00A81185"/>
    <w:rsid w:val="00A8713F"/>
    <w:rsid w:val="00A90971"/>
    <w:rsid w:val="00A90BA1"/>
    <w:rsid w:val="00A91CB2"/>
    <w:rsid w:val="00A9390A"/>
    <w:rsid w:val="00A956A8"/>
    <w:rsid w:val="00A96079"/>
    <w:rsid w:val="00A9637C"/>
    <w:rsid w:val="00A97A9A"/>
    <w:rsid w:val="00AA0671"/>
    <w:rsid w:val="00AA0930"/>
    <w:rsid w:val="00AA2531"/>
    <w:rsid w:val="00AA757E"/>
    <w:rsid w:val="00AB019C"/>
    <w:rsid w:val="00AB1E09"/>
    <w:rsid w:val="00AB20E8"/>
    <w:rsid w:val="00AB2D5E"/>
    <w:rsid w:val="00AB5330"/>
    <w:rsid w:val="00AB5A2F"/>
    <w:rsid w:val="00AB7747"/>
    <w:rsid w:val="00AB7996"/>
    <w:rsid w:val="00AC07D6"/>
    <w:rsid w:val="00AC0AB1"/>
    <w:rsid w:val="00AC14CE"/>
    <w:rsid w:val="00AC2A56"/>
    <w:rsid w:val="00AC5066"/>
    <w:rsid w:val="00AC52A3"/>
    <w:rsid w:val="00AC6D54"/>
    <w:rsid w:val="00AC72EC"/>
    <w:rsid w:val="00AD055E"/>
    <w:rsid w:val="00AD1D6B"/>
    <w:rsid w:val="00AD47A7"/>
    <w:rsid w:val="00AD5D7D"/>
    <w:rsid w:val="00AE0BEB"/>
    <w:rsid w:val="00AE116E"/>
    <w:rsid w:val="00AF0CBF"/>
    <w:rsid w:val="00AF1E5D"/>
    <w:rsid w:val="00AF257F"/>
    <w:rsid w:val="00AF33CF"/>
    <w:rsid w:val="00AF47DC"/>
    <w:rsid w:val="00AF4D50"/>
    <w:rsid w:val="00AF511D"/>
    <w:rsid w:val="00AF5A29"/>
    <w:rsid w:val="00AF6179"/>
    <w:rsid w:val="00AF62F4"/>
    <w:rsid w:val="00AF672F"/>
    <w:rsid w:val="00B002EC"/>
    <w:rsid w:val="00B02142"/>
    <w:rsid w:val="00B0462B"/>
    <w:rsid w:val="00B11112"/>
    <w:rsid w:val="00B11468"/>
    <w:rsid w:val="00B11AAE"/>
    <w:rsid w:val="00B1295A"/>
    <w:rsid w:val="00B20A45"/>
    <w:rsid w:val="00B20FAD"/>
    <w:rsid w:val="00B21072"/>
    <w:rsid w:val="00B22C5C"/>
    <w:rsid w:val="00B23F26"/>
    <w:rsid w:val="00B24F30"/>
    <w:rsid w:val="00B267B9"/>
    <w:rsid w:val="00B269F8"/>
    <w:rsid w:val="00B26DC4"/>
    <w:rsid w:val="00B27376"/>
    <w:rsid w:val="00B3051C"/>
    <w:rsid w:val="00B30A04"/>
    <w:rsid w:val="00B311A6"/>
    <w:rsid w:val="00B31ABF"/>
    <w:rsid w:val="00B33196"/>
    <w:rsid w:val="00B33BE3"/>
    <w:rsid w:val="00B40B0E"/>
    <w:rsid w:val="00B42733"/>
    <w:rsid w:val="00B42AF5"/>
    <w:rsid w:val="00B4339D"/>
    <w:rsid w:val="00B45CB5"/>
    <w:rsid w:val="00B50EDC"/>
    <w:rsid w:val="00B5132D"/>
    <w:rsid w:val="00B513EE"/>
    <w:rsid w:val="00B52C7B"/>
    <w:rsid w:val="00B53B5D"/>
    <w:rsid w:val="00B5577E"/>
    <w:rsid w:val="00B6055E"/>
    <w:rsid w:val="00B605B6"/>
    <w:rsid w:val="00B6131C"/>
    <w:rsid w:val="00B6317D"/>
    <w:rsid w:val="00B6370C"/>
    <w:rsid w:val="00B637B7"/>
    <w:rsid w:val="00B64A8C"/>
    <w:rsid w:val="00B64B9C"/>
    <w:rsid w:val="00B64E9A"/>
    <w:rsid w:val="00B667DE"/>
    <w:rsid w:val="00B66C2A"/>
    <w:rsid w:val="00B711AB"/>
    <w:rsid w:val="00B72ED6"/>
    <w:rsid w:val="00B748E4"/>
    <w:rsid w:val="00B751C9"/>
    <w:rsid w:val="00B75D47"/>
    <w:rsid w:val="00B7723F"/>
    <w:rsid w:val="00B80534"/>
    <w:rsid w:val="00B80666"/>
    <w:rsid w:val="00B82278"/>
    <w:rsid w:val="00B82ABE"/>
    <w:rsid w:val="00B83E07"/>
    <w:rsid w:val="00B8433C"/>
    <w:rsid w:val="00B85FD4"/>
    <w:rsid w:val="00B86615"/>
    <w:rsid w:val="00B87491"/>
    <w:rsid w:val="00B878F9"/>
    <w:rsid w:val="00B90492"/>
    <w:rsid w:val="00B90AE2"/>
    <w:rsid w:val="00B924F5"/>
    <w:rsid w:val="00BA1B3A"/>
    <w:rsid w:val="00BA29E9"/>
    <w:rsid w:val="00BA5D5F"/>
    <w:rsid w:val="00BA7142"/>
    <w:rsid w:val="00BA75D0"/>
    <w:rsid w:val="00BB14D0"/>
    <w:rsid w:val="00BB1BB3"/>
    <w:rsid w:val="00BB21FA"/>
    <w:rsid w:val="00BB237C"/>
    <w:rsid w:val="00BB41A3"/>
    <w:rsid w:val="00BB535B"/>
    <w:rsid w:val="00BB5C74"/>
    <w:rsid w:val="00BB625C"/>
    <w:rsid w:val="00BB6AC3"/>
    <w:rsid w:val="00BB71D3"/>
    <w:rsid w:val="00BC2581"/>
    <w:rsid w:val="00BC32DC"/>
    <w:rsid w:val="00BC35B6"/>
    <w:rsid w:val="00BD1B51"/>
    <w:rsid w:val="00BD4596"/>
    <w:rsid w:val="00BD5BCB"/>
    <w:rsid w:val="00BD60FC"/>
    <w:rsid w:val="00BE1405"/>
    <w:rsid w:val="00BE312D"/>
    <w:rsid w:val="00BE6FA0"/>
    <w:rsid w:val="00BE79F0"/>
    <w:rsid w:val="00BF1C20"/>
    <w:rsid w:val="00BF4596"/>
    <w:rsid w:val="00BF5FD3"/>
    <w:rsid w:val="00BF73A8"/>
    <w:rsid w:val="00BF7430"/>
    <w:rsid w:val="00C01CF9"/>
    <w:rsid w:val="00C03F95"/>
    <w:rsid w:val="00C076AD"/>
    <w:rsid w:val="00C10578"/>
    <w:rsid w:val="00C118EA"/>
    <w:rsid w:val="00C11B73"/>
    <w:rsid w:val="00C11BC6"/>
    <w:rsid w:val="00C135BC"/>
    <w:rsid w:val="00C135EE"/>
    <w:rsid w:val="00C147E7"/>
    <w:rsid w:val="00C15C95"/>
    <w:rsid w:val="00C1747D"/>
    <w:rsid w:val="00C2130D"/>
    <w:rsid w:val="00C24BEF"/>
    <w:rsid w:val="00C2596A"/>
    <w:rsid w:val="00C27234"/>
    <w:rsid w:val="00C27537"/>
    <w:rsid w:val="00C3272A"/>
    <w:rsid w:val="00C328FE"/>
    <w:rsid w:val="00C33507"/>
    <w:rsid w:val="00C36945"/>
    <w:rsid w:val="00C41E08"/>
    <w:rsid w:val="00C429B4"/>
    <w:rsid w:val="00C42E69"/>
    <w:rsid w:val="00C43F7F"/>
    <w:rsid w:val="00C4409D"/>
    <w:rsid w:val="00C44E66"/>
    <w:rsid w:val="00C44E72"/>
    <w:rsid w:val="00C45513"/>
    <w:rsid w:val="00C45A06"/>
    <w:rsid w:val="00C462A7"/>
    <w:rsid w:val="00C4633D"/>
    <w:rsid w:val="00C47E5B"/>
    <w:rsid w:val="00C51932"/>
    <w:rsid w:val="00C543FC"/>
    <w:rsid w:val="00C60224"/>
    <w:rsid w:val="00C6028F"/>
    <w:rsid w:val="00C612D0"/>
    <w:rsid w:val="00C61E4B"/>
    <w:rsid w:val="00C63B68"/>
    <w:rsid w:val="00C64BFF"/>
    <w:rsid w:val="00C64EA2"/>
    <w:rsid w:val="00C704E9"/>
    <w:rsid w:val="00C70CA3"/>
    <w:rsid w:val="00C732F9"/>
    <w:rsid w:val="00C73B55"/>
    <w:rsid w:val="00C74AB9"/>
    <w:rsid w:val="00C763C9"/>
    <w:rsid w:val="00C76E51"/>
    <w:rsid w:val="00C80057"/>
    <w:rsid w:val="00C803A0"/>
    <w:rsid w:val="00C8071B"/>
    <w:rsid w:val="00C80A94"/>
    <w:rsid w:val="00C82232"/>
    <w:rsid w:val="00C8263A"/>
    <w:rsid w:val="00C82913"/>
    <w:rsid w:val="00C82A24"/>
    <w:rsid w:val="00C82BB8"/>
    <w:rsid w:val="00C8303F"/>
    <w:rsid w:val="00C83494"/>
    <w:rsid w:val="00C87049"/>
    <w:rsid w:val="00C926BF"/>
    <w:rsid w:val="00C92B5F"/>
    <w:rsid w:val="00C972B1"/>
    <w:rsid w:val="00CA0806"/>
    <w:rsid w:val="00CA0D7E"/>
    <w:rsid w:val="00CA1DD3"/>
    <w:rsid w:val="00CA2CCE"/>
    <w:rsid w:val="00CA302F"/>
    <w:rsid w:val="00CA4115"/>
    <w:rsid w:val="00CA43FD"/>
    <w:rsid w:val="00CA4CAA"/>
    <w:rsid w:val="00CA5853"/>
    <w:rsid w:val="00CA6EBC"/>
    <w:rsid w:val="00CA7EF8"/>
    <w:rsid w:val="00CB08AF"/>
    <w:rsid w:val="00CB1B92"/>
    <w:rsid w:val="00CB2F4E"/>
    <w:rsid w:val="00CB3DC7"/>
    <w:rsid w:val="00CB53BF"/>
    <w:rsid w:val="00CC369F"/>
    <w:rsid w:val="00CC3EF8"/>
    <w:rsid w:val="00CC489B"/>
    <w:rsid w:val="00CC56EC"/>
    <w:rsid w:val="00CC6200"/>
    <w:rsid w:val="00CC7A98"/>
    <w:rsid w:val="00CD1474"/>
    <w:rsid w:val="00CD24D8"/>
    <w:rsid w:val="00CD2BCD"/>
    <w:rsid w:val="00CD3A4C"/>
    <w:rsid w:val="00CD61CF"/>
    <w:rsid w:val="00CD7B11"/>
    <w:rsid w:val="00CD7EAC"/>
    <w:rsid w:val="00CE10E9"/>
    <w:rsid w:val="00CE1463"/>
    <w:rsid w:val="00CE238B"/>
    <w:rsid w:val="00CE25B9"/>
    <w:rsid w:val="00CE2910"/>
    <w:rsid w:val="00CE5393"/>
    <w:rsid w:val="00CF2318"/>
    <w:rsid w:val="00CF36BE"/>
    <w:rsid w:val="00CF3B46"/>
    <w:rsid w:val="00CF3F87"/>
    <w:rsid w:val="00CF4B7E"/>
    <w:rsid w:val="00CF6000"/>
    <w:rsid w:val="00CF6ABA"/>
    <w:rsid w:val="00CF768B"/>
    <w:rsid w:val="00D003F3"/>
    <w:rsid w:val="00D0266A"/>
    <w:rsid w:val="00D0364F"/>
    <w:rsid w:val="00D05B09"/>
    <w:rsid w:val="00D0675F"/>
    <w:rsid w:val="00D06834"/>
    <w:rsid w:val="00D07011"/>
    <w:rsid w:val="00D12F14"/>
    <w:rsid w:val="00D15535"/>
    <w:rsid w:val="00D17803"/>
    <w:rsid w:val="00D20EEA"/>
    <w:rsid w:val="00D26075"/>
    <w:rsid w:val="00D27AA2"/>
    <w:rsid w:val="00D308ED"/>
    <w:rsid w:val="00D3198F"/>
    <w:rsid w:val="00D32C09"/>
    <w:rsid w:val="00D33258"/>
    <w:rsid w:val="00D36D86"/>
    <w:rsid w:val="00D36FD4"/>
    <w:rsid w:val="00D403F2"/>
    <w:rsid w:val="00D42474"/>
    <w:rsid w:val="00D428AA"/>
    <w:rsid w:val="00D43136"/>
    <w:rsid w:val="00D50A34"/>
    <w:rsid w:val="00D53EFA"/>
    <w:rsid w:val="00D53FAA"/>
    <w:rsid w:val="00D55B35"/>
    <w:rsid w:val="00D56F10"/>
    <w:rsid w:val="00D60804"/>
    <w:rsid w:val="00D624E0"/>
    <w:rsid w:val="00D65957"/>
    <w:rsid w:val="00D66323"/>
    <w:rsid w:val="00D6684C"/>
    <w:rsid w:val="00D66BCD"/>
    <w:rsid w:val="00D7331B"/>
    <w:rsid w:val="00D73321"/>
    <w:rsid w:val="00D7371B"/>
    <w:rsid w:val="00D7519B"/>
    <w:rsid w:val="00D75AB1"/>
    <w:rsid w:val="00D76211"/>
    <w:rsid w:val="00D76678"/>
    <w:rsid w:val="00D76D6E"/>
    <w:rsid w:val="00D83DDC"/>
    <w:rsid w:val="00D83F52"/>
    <w:rsid w:val="00D9085C"/>
    <w:rsid w:val="00D920D4"/>
    <w:rsid w:val="00D931AD"/>
    <w:rsid w:val="00D94155"/>
    <w:rsid w:val="00D942B3"/>
    <w:rsid w:val="00D94A7C"/>
    <w:rsid w:val="00D94D71"/>
    <w:rsid w:val="00D95896"/>
    <w:rsid w:val="00DA0AD5"/>
    <w:rsid w:val="00DA10C2"/>
    <w:rsid w:val="00DA3890"/>
    <w:rsid w:val="00DA7825"/>
    <w:rsid w:val="00DB0606"/>
    <w:rsid w:val="00DB25B5"/>
    <w:rsid w:val="00DB2983"/>
    <w:rsid w:val="00DB3795"/>
    <w:rsid w:val="00DB5FBC"/>
    <w:rsid w:val="00DC0C8F"/>
    <w:rsid w:val="00DC1257"/>
    <w:rsid w:val="00DC3DC0"/>
    <w:rsid w:val="00DC51D4"/>
    <w:rsid w:val="00DC5B2B"/>
    <w:rsid w:val="00DC7161"/>
    <w:rsid w:val="00DD318D"/>
    <w:rsid w:val="00DD36C7"/>
    <w:rsid w:val="00DD71ED"/>
    <w:rsid w:val="00DE394C"/>
    <w:rsid w:val="00DE4063"/>
    <w:rsid w:val="00DE7539"/>
    <w:rsid w:val="00DE78C0"/>
    <w:rsid w:val="00DE7B10"/>
    <w:rsid w:val="00DF2E12"/>
    <w:rsid w:val="00DF3E64"/>
    <w:rsid w:val="00DF514A"/>
    <w:rsid w:val="00DF64C1"/>
    <w:rsid w:val="00DF6690"/>
    <w:rsid w:val="00DF6804"/>
    <w:rsid w:val="00DF6A23"/>
    <w:rsid w:val="00E006B7"/>
    <w:rsid w:val="00E0175E"/>
    <w:rsid w:val="00E02A90"/>
    <w:rsid w:val="00E02BF8"/>
    <w:rsid w:val="00E0358D"/>
    <w:rsid w:val="00E04323"/>
    <w:rsid w:val="00E06DD7"/>
    <w:rsid w:val="00E070A2"/>
    <w:rsid w:val="00E07588"/>
    <w:rsid w:val="00E12FA3"/>
    <w:rsid w:val="00E14E4F"/>
    <w:rsid w:val="00E16882"/>
    <w:rsid w:val="00E168AA"/>
    <w:rsid w:val="00E16923"/>
    <w:rsid w:val="00E16D19"/>
    <w:rsid w:val="00E1796F"/>
    <w:rsid w:val="00E17A06"/>
    <w:rsid w:val="00E201CF"/>
    <w:rsid w:val="00E23BF0"/>
    <w:rsid w:val="00E24EC0"/>
    <w:rsid w:val="00E2656A"/>
    <w:rsid w:val="00E31F23"/>
    <w:rsid w:val="00E33117"/>
    <w:rsid w:val="00E3366C"/>
    <w:rsid w:val="00E34C6C"/>
    <w:rsid w:val="00E369CA"/>
    <w:rsid w:val="00E37094"/>
    <w:rsid w:val="00E40BED"/>
    <w:rsid w:val="00E412D0"/>
    <w:rsid w:val="00E4459F"/>
    <w:rsid w:val="00E45A3F"/>
    <w:rsid w:val="00E55981"/>
    <w:rsid w:val="00E55A1D"/>
    <w:rsid w:val="00E56322"/>
    <w:rsid w:val="00E60982"/>
    <w:rsid w:val="00E60DC4"/>
    <w:rsid w:val="00E62C62"/>
    <w:rsid w:val="00E6365A"/>
    <w:rsid w:val="00E63E75"/>
    <w:rsid w:val="00E64116"/>
    <w:rsid w:val="00E653D2"/>
    <w:rsid w:val="00E654C1"/>
    <w:rsid w:val="00E65D97"/>
    <w:rsid w:val="00E72A5A"/>
    <w:rsid w:val="00E73354"/>
    <w:rsid w:val="00E7420F"/>
    <w:rsid w:val="00E7582D"/>
    <w:rsid w:val="00E77A29"/>
    <w:rsid w:val="00E82BF6"/>
    <w:rsid w:val="00E84215"/>
    <w:rsid w:val="00E86939"/>
    <w:rsid w:val="00E908F8"/>
    <w:rsid w:val="00E9242D"/>
    <w:rsid w:val="00E927D5"/>
    <w:rsid w:val="00E935C0"/>
    <w:rsid w:val="00E949B2"/>
    <w:rsid w:val="00E9793D"/>
    <w:rsid w:val="00E97BDC"/>
    <w:rsid w:val="00EA0ACA"/>
    <w:rsid w:val="00EA40D7"/>
    <w:rsid w:val="00EA60B0"/>
    <w:rsid w:val="00EA78FF"/>
    <w:rsid w:val="00EB208B"/>
    <w:rsid w:val="00EB2ABE"/>
    <w:rsid w:val="00EB3287"/>
    <w:rsid w:val="00EB5255"/>
    <w:rsid w:val="00EB5C47"/>
    <w:rsid w:val="00EC20AA"/>
    <w:rsid w:val="00EC33A5"/>
    <w:rsid w:val="00ED0639"/>
    <w:rsid w:val="00ED36AF"/>
    <w:rsid w:val="00ED7BE5"/>
    <w:rsid w:val="00ED7E69"/>
    <w:rsid w:val="00EF1741"/>
    <w:rsid w:val="00EF2A13"/>
    <w:rsid w:val="00EF44C2"/>
    <w:rsid w:val="00EF4755"/>
    <w:rsid w:val="00EF4FBB"/>
    <w:rsid w:val="00EF7135"/>
    <w:rsid w:val="00EF79A0"/>
    <w:rsid w:val="00F0154B"/>
    <w:rsid w:val="00F02492"/>
    <w:rsid w:val="00F027DB"/>
    <w:rsid w:val="00F04528"/>
    <w:rsid w:val="00F06581"/>
    <w:rsid w:val="00F12046"/>
    <w:rsid w:val="00F14A7A"/>
    <w:rsid w:val="00F14F12"/>
    <w:rsid w:val="00F20A1E"/>
    <w:rsid w:val="00F2102A"/>
    <w:rsid w:val="00F21AE1"/>
    <w:rsid w:val="00F22068"/>
    <w:rsid w:val="00F22985"/>
    <w:rsid w:val="00F23729"/>
    <w:rsid w:val="00F27F32"/>
    <w:rsid w:val="00F3093D"/>
    <w:rsid w:val="00F314C8"/>
    <w:rsid w:val="00F3383E"/>
    <w:rsid w:val="00F40BF0"/>
    <w:rsid w:val="00F437C2"/>
    <w:rsid w:val="00F465A7"/>
    <w:rsid w:val="00F50B7C"/>
    <w:rsid w:val="00F52669"/>
    <w:rsid w:val="00F537D0"/>
    <w:rsid w:val="00F53FC2"/>
    <w:rsid w:val="00F54453"/>
    <w:rsid w:val="00F550E6"/>
    <w:rsid w:val="00F55755"/>
    <w:rsid w:val="00F55D93"/>
    <w:rsid w:val="00F56EDD"/>
    <w:rsid w:val="00F60EEE"/>
    <w:rsid w:val="00F60F76"/>
    <w:rsid w:val="00F61547"/>
    <w:rsid w:val="00F67C15"/>
    <w:rsid w:val="00F73385"/>
    <w:rsid w:val="00F73944"/>
    <w:rsid w:val="00F741A5"/>
    <w:rsid w:val="00F74345"/>
    <w:rsid w:val="00F74368"/>
    <w:rsid w:val="00F75AF7"/>
    <w:rsid w:val="00F76DFF"/>
    <w:rsid w:val="00F77655"/>
    <w:rsid w:val="00F80A0A"/>
    <w:rsid w:val="00F82442"/>
    <w:rsid w:val="00F82B19"/>
    <w:rsid w:val="00F859E2"/>
    <w:rsid w:val="00F85DFA"/>
    <w:rsid w:val="00F9212D"/>
    <w:rsid w:val="00F94190"/>
    <w:rsid w:val="00F94DD4"/>
    <w:rsid w:val="00F965DA"/>
    <w:rsid w:val="00FA08BD"/>
    <w:rsid w:val="00FA1E70"/>
    <w:rsid w:val="00FA2399"/>
    <w:rsid w:val="00FA406A"/>
    <w:rsid w:val="00FA6C1E"/>
    <w:rsid w:val="00FB21E7"/>
    <w:rsid w:val="00FB24D6"/>
    <w:rsid w:val="00FB45B0"/>
    <w:rsid w:val="00FB503A"/>
    <w:rsid w:val="00FB516C"/>
    <w:rsid w:val="00FB5429"/>
    <w:rsid w:val="00FB62E4"/>
    <w:rsid w:val="00FB7E4B"/>
    <w:rsid w:val="00FC0B3D"/>
    <w:rsid w:val="00FC26AF"/>
    <w:rsid w:val="00FC6BE5"/>
    <w:rsid w:val="00FD0236"/>
    <w:rsid w:val="00FD071B"/>
    <w:rsid w:val="00FD18F4"/>
    <w:rsid w:val="00FD1B36"/>
    <w:rsid w:val="00FD23C5"/>
    <w:rsid w:val="00FD2525"/>
    <w:rsid w:val="00FD3BCF"/>
    <w:rsid w:val="00FD3C34"/>
    <w:rsid w:val="00FD4E71"/>
    <w:rsid w:val="00FD54DB"/>
    <w:rsid w:val="00FD619F"/>
    <w:rsid w:val="00FE29AD"/>
    <w:rsid w:val="00FE33FD"/>
    <w:rsid w:val="00FF1BC6"/>
    <w:rsid w:val="00FF3A08"/>
    <w:rsid w:val="00FF6E3C"/>
    <w:rsid w:val="00FF7E83"/>
    <w:rsid w:val="01290F7E"/>
    <w:rsid w:val="015D1E09"/>
    <w:rsid w:val="02697903"/>
    <w:rsid w:val="02F96569"/>
    <w:rsid w:val="03EA7B21"/>
    <w:rsid w:val="05F83EAE"/>
    <w:rsid w:val="063E7D85"/>
    <w:rsid w:val="07293586"/>
    <w:rsid w:val="07295285"/>
    <w:rsid w:val="07636392"/>
    <w:rsid w:val="07770C56"/>
    <w:rsid w:val="092217DD"/>
    <w:rsid w:val="093A7294"/>
    <w:rsid w:val="0A263993"/>
    <w:rsid w:val="0A2D3AC2"/>
    <w:rsid w:val="0AA755DF"/>
    <w:rsid w:val="0B120D44"/>
    <w:rsid w:val="0BD27BF6"/>
    <w:rsid w:val="0C3B3C7D"/>
    <w:rsid w:val="0CAB2EAE"/>
    <w:rsid w:val="0D621C7D"/>
    <w:rsid w:val="0E73034D"/>
    <w:rsid w:val="0F13775A"/>
    <w:rsid w:val="0F5F45FE"/>
    <w:rsid w:val="0F9A112B"/>
    <w:rsid w:val="106D2F64"/>
    <w:rsid w:val="10B63710"/>
    <w:rsid w:val="10F10820"/>
    <w:rsid w:val="111C2F7A"/>
    <w:rsid w:val="11665CA1"/>
    <w:rsid w:val="13951726"/>
    <w:rsid w:val="14396509"/>
    <w:rsid w:val="14DD2C3C"/>
    <w:rsid w:val="16087E1D"/>
    <w:rsid w:val="17701D14"/>
    <w:rsid w:val="17735226"/>
    <w:rsid w:val="189F624C"/>
    <w:rsid w:val="1A1C66C0"/>
    <w:rsid w:val="1A42393B"/>
    <w:rsid w:val="1AAD45DE"/>
    <w:rsid w:val="1B046F80"/>
    <w:rsid w:val="1B3267B5"/>
    <w:rsid w:val="1B40161D"/>
    <w:rsid w:val="1B441859"/>
    <w:rsid w:val="1B6606B1"/>
    <w:rsid w:val="1C5E7925"/>
    <w:rsid w:val="1CFD070F"/>
    <w:rsid w:val="1D5F6196"/>
    <w:rsid w:val="1D6132A5"/>
    <w:rsid w:val="1D8E56D5"/>
    <w:rsid w:val="1E7A43DA"/>
    <w:rsid w:val="1FE7539E"/>
    <w:rsid w:val="20671BE0"/>
    <w:rsid w:val="20963CB8"/>
    <w:rsid w:val="20A81A1B"/>
    <w:rsid w:val="20B07FB6"/>
    <w:rsid w:val="20B646FB"/>
    <w:rsid w:val="213B74B1"/>
    <w:rsid w:val="215A2310"/>
    <w:rsid w:val="21DE318A"/>
    <w:rsid w:val="21EF5B80"/>
    <w:rsid w:val="22576990"/>
    <w:rsid w:val="22F47480"/>
    <w:rsid w:val="23DE1C48"/>
    <w:rsid w:val="240210CD"/>
    <w:rsid w:val="24BF09F7"/>
    <w:rsid w:val="252D53FE"/>
    <w:rsid w:val="25EC2D81"/>
    <w:rsid w:val="277057A2"/>
    <w:rsid w:val="29206EB8"/>
    <w:rsid w:val="29595666"/>
    <w:rsid w:val="29874881"/>
    <w:rsid w:val="29E325E0"/>
    <w:rsid w:val="2A452503"/>
    <w:rsid w:val="2BA936A8"/>
    <w:rsid w:val="2C315A5A"/>
    <w:rsid w:val="2C4B1C25"/>
    <w:rsid w:val="2D9E56F5"/>
    <w:rsid w:val="2E667F96"/>
    <w:rsid w:val="2E8226AB"/>
    <w:rsid w:val="2FD065E6"/>
    <w:rsid w:val="2FD96870"/>
    <w:rsid w:val="30580BC9"/>
    <w:rsid w:val="311E2ED7"/>
    <w:rsid w:val="315619EE"/>
    <w:rsid w:val="315C449C"/>
    <w:rsid w:val="31B82709"/>
    <w:rsid w:val="31D05482"/>
    <w:rsid w:val="32400B34"/>
    <w:rsid w:val="329E6876"/>
    <w:rsid w:val="333015F2"/>
    <w:rsid w:val="334B6320"/>
    <w:rsid w:val="33D934D4"/>
    <w:rsid w:val="33FE2F6A"/>
    <w:rsid w:val="340E07E5"/>
    <w:rsid w:val="34235BF7"/>
    <w:rsid w:val="358C5FA8"/>
    <w:rsid w:val="35C15DF1"/>
    <w:rsid w:val="36074A7F"/>
    <w:rsid w:val="36923549"/>
    <w:rsid w:val="36B75FBF"/>
    <w:rsid w:val="36BD0C45"/>
    <w:rsid w:val="37E00298"/>
    <w:rsid w:val="38B302F9"/>
    <w:rsid w:val="38F12CD3"/>
    <w:rsid w:val="38F94775"/>
    <w:rsid w:val="392971ED"/>
    <w:rsid w:val="39325651"/>
    <w:rsid w:val="3A872856"/>
    <w:rsid w:val="3B3763D1"/>
    <w:rsid w:val="3C2F6E1E"/>
    <w:rsid w:val="3C4F64BA"/>
    <w:rsid w:val="3CDA245A"/>
    <w:rsid w:val="3D1E06B7"/>
    <w:rsid w:val="3EDA0523"/>
    <w:rsid w:val="407A6407"/>
    <w:rsid w:val="4200449D"/>
    <w:rsid w:val="423A3BCC"/>
    <w:rsid w:val="424E57D2"/>
    <w:rsid w:val="42B26C49"/>
    <w:rsid w:val="433A6FE6"/>
    <w:rsid w:val="43480868"/>
    <w:rsid w:val="4350713C"/>
    <w:rsid w:val="436653E0"/>
    <w:rsid w:val="43C4431A"/>
    <w:rsid w:val="44B951CC"/>
    <w:rsid w:val="44CD14E0"/>
    <w:rsid w:val="44F20B0B"/>
    <w:rsid w:val="452E5F4C"/>
    <w:rsid w:val="45612018"/>
    <w:rsid w:val="458946E9"/>
    <w:rsid w:val="45A47C0E"/>
    <w:rsid w:val="46577FD6"/>
    <w:rsid w:val="46D955A7"/>
    <w:rsid w:val="47133957"/>
    <w:rsid w:val="47A07E0C"/>
    <w:rsid w:val="4870272E"/>
    <w:rsid w:val="49DC7715"/>
    <w:rsid w:val="4A023139"/>
    <w:rsid w:val="4A7B576F"/>
    <w:rsid w:val="4AF561A9"/>
    <w:rsid w:val="4C4A0649"/>
    <w:rsid w:val="4C7E5ECA"/>
    <w:rsid w:val="4C876AA5"/>
    <w:rsid w:val="4D0E00FB"/>
    <w:rsid w:val="4D176606"/>
    <w:rsid w:val="4DEC4FB0"/>
    <w:rsid w:val="4E075D8A"/>
    <w:rsid w:val="4EC00FAD"/>
    <w:rsid w:val="4F9843DC"/>
    <w:rsid w:val="4FC62A8C"/>
    <w:rsid w:val="4FE20F0D"/>
    <w:rsid w:val="4FE51552"/>
    <w:rsid w:val="50504C4B"/>
    <w:rsid w:val="509C6E7C"/>
    <w:rsid w:val="5162104E"/>
    <w:rsid w:val="53A039CC"/>
    <w:rsid w:val="53A1505A"/>
    <w:rsid w:val="54063E08"/>
    <w:rsid w:val="543437E8"/>
    <w:rsid w:val="54F73313"/>
    <w:rsid w:val="54F80955"/>
    <w:rsid w:val="555170A7"/>
    <w:rsid w:val="5587536D"/>
    <w:rsid w:val="559B174B"/>
    <w:rsid w:val="55CE0CF4"/>
    <w:rsid w:val="56B22A9C"/>
    <w:rsid w:val="57B72A76"/>
    <w:rsid w:val="57C3426C"/>
    <w:rsid w:val="57CE1F93"/>
    <w:rsid w:val="588743D1"/>
    <w:rsid w:val="5887701A"/>
    <w:rsid w:val="59C0439F"/>
    <w:rsid w:val="5ABE2233"/>
    <w:rsid w:val="5BDF5D95"/>
    <w:rsid w:val="5BFE7528"/>
    <w:rsid w:val="5E2467F1"/>
    <w:rsid w:val="5F1A2B43"/>
    <w:rsid w:val="5FB837BB"/>
    <w:rsid w:val="60CC405A"/>
    <w:rsid w:val="61E215D8"/>
    <w:rsid w:val="621B3775"/>
    <w:rsid w:val="62364782"/>
    <w:rsid w:val="6394356A"/>
    <w:rsid w:val="63C61B2C"/>
    <w:rsid w:val="63D40BE9"/>
    <w:rsid w:val="64102431"/>
    <w:rsid w:val="64A5243A"/>
    <w:rsid w:val="64F531DE"/>
    <w:rsid w:val="65373578"/>
    <w:rsid w:val="671F124A"/>
    <w:rsid w:val="677A33C6"/>
    <w:rsid w:val="681F6961"/>
    <w:rsid w:val="68610A2F"/>
    <w:rsid w:val="68805514"/>
    <w:rsid w:val="69316E2F"/>
    <w:rsid w:val="694E2071"/>
    <w:rsid w:val="69766163"/>
    <w:rsid w:val="697A3B33"/>
    <w:rsid w:val="69D44760"/>
    <w:rsid w:val="6A520EC7"/>
    <w:rsid w:val="6AF87E20"/>
    <w:rsid w:val="6B322639"/>
    <w:rsid w:val="6C636C38"/>
    <w:rsid w:val="6DB34098"/>
    <w:rsid w:val="6DB545B6"/>
    <w:rsid w:val="6DE02FB4"/>
    <w:rsid w:val="6E514CED"/>
    <w:rsid w:val="6EB563D5"/>
    <w:rsid w:val="6ED92677"/>
    <w:rsid w:val="6F225983"/>
    <w:rsid w:val="6FFC5590"/>
    <w:rsid w:val="706D1DD0"/>
    <w:rsid w:val="70856B87"/>
    <w:rsid w:val="70D527EE"/>
    <w:rsid w:val="715B5300"/>
    <w:rsid w:val="71D27F8A"/>
    <w:rsid w:val="72553024"/>
    <w:rsid w:val="73122968"/>
    <w:rsid w:val="731F5D5E"/>
    <w:rsid w:val="73C51AD5"/>
    <w:rsid w:val="741E793C"/>
    <w:rsid w:val="745E3944"/>
    <w:rsid w:val="7635099D"/>
    <w:rsid w:val="77762421"/>
    <w:rsid w:val="77B56B1F"/>
    <w:rsid w:val="780F09F4"/>
    <w:rsid w:val="78A90480"/>
    <w:rsid w:val="7A364017"/>
    <w:rsid w:val="7A8265E1"/>
    <w:rsid w:val="7B686D42"/>
    <w:rsid w:val="7B841746"/>
    <w:rsid w:val="7C19034D"/>
    <w:rsid w:val="7C6C5AC7"/>
    <w:rsid w:val="7CC6544B"/>
    <w:rsid w:val="7D0239FF"/>
    <w:rsid w:val="7D5E40CD"/>
    <w:rsid w:val="7DCD56F2"/>
    <w:rsid w:val="7F001CE7"/>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9" w:semiHidden="0" w:name="heading 2" w:locked="1"/>
    <w:lsdException w:qFormat="1"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unhideWhenUsed="0" w:uiPriority="0" w:name="annotation reference"/>
    <w:lsdException w:unhideWhenUsed="0" w:uiPriority="0" w:semiHidden="0" w:name="line number" w:locked="1"/>
    <w:lsdException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unhideWhenUsed="0" w:uiPriority="0" w:semiHidden="0" w:name="Date"/>
    <w:lsdException w:qFormat="1" w:unhideWhenUsed="0" w:uiPriority="99" w:semiHidden="0" w:name="Body Text First Indent" w:locked="1"/>
    <w:lsdException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22" w:semiHidden="0" w:name="Strong" w:locked="1"/>
    <w:lsdException w:qFormat="1" w:unhideWhenUsed="0" w:uiPriority="0" w:semiHidden="0" w:name="Emphasis" w:locked="1"/>
    <w:lsdException w:unhideWhenUsed="0" w:uiPriority="0" w:semiHidden="0" w:name="Document Map" w:locked="1"/>
    <w:lsdException w:unhideWhenUsed="0" w:uiPriority="0" w:semiHidden="0" w:name="Plain Text" w:locked="1"/>
    <w:lsdException w:unhideWhenUsed="0" w:uiPriority="0" w:semiHidden="0" w:name="E-mail Signature" w:locked="1"/>
    <w:lsdException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uiPriority="99" w:name="Normal Table"/>
    <w:lsdException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unhideWhenUsed="0" w:uiPriority="0" w:name="Balloon Text"/>
    <w:lsdException w:qFormat="1" w:unhideWhenUsed="0" w:uiPriority="39" w:semiHidden="0" w:name="Table Grid"/>
    <w:lsdException w:unhideWhenUsed="0" w:uiPriority="0" w:semiHidden="0" w:name="Table Theme" w:locked="1"/>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qFormat/>
    <w:locked/>
    <w:uiPriority w:val="99"/>
    <w:pPr>
      <w:keepNext/>
      <w:widowControl w:val="0"/>
      <w:overflowPunct w:val="0"/>
      <w:snapToGrid w:val="0"/>
      <w:spacing w:before="120" w:after="160" w:line="259" w:lineRule="auto"/>
      <w:ind w:left="432" w:hanging="432"/>
      <w:jc w:val="both"/>
      <w:outlineLvl w:val="0"/>
    </w:pPr>
    <w:rPr>
      <w:rFonts w:ascii="Times New Roman" w:hAnsi="Times New Roman" w:eastAsia="黑体" w:cs="Times New Roman"/>
      <w:b/>
      <w:bCs/>
      <w:color w:val="000000"/>
      <w:kern w:val="44"/>
      <w:sz w:val="30"/>
      <w:szCs w:val="30"/>
    </w:rPr>
  </w:style>
  <w:style w:type="paragraph" w:styleId="3">
    <w:name w:val="heading 2"/>
    <w:basedOn w:val="1"/>
    <w:next w:val="1"/>
    <w:link w:val="44"/>
    <w:autoRedefine/>
    <w:qFormat/>
    <w:locked/>
    <w:uiPriority w:val="9"/>
    <w:pPr>
      <w:numPr>
        <w:ilvl w:val="1"/>
        <w:numId w:val="1"/>
      </w:numPr>
      <w:overflowPunct w:val="0"/>
      <w:autoSpaceDE w:val="0"/>
      <w:autoSpaceDN w:val="0"/>
      <w:spacing w:line="360" w:lineRule="auto"/>
      <w:ind w:left="0"/>
      <w:jc w:val="both"/>
      <w:textAlignment w:val="baseline"/>
      <w:outlineLvl w:val="1"/>
    </w:pPr>
    <w:rPr>
      <w:rFonts w:ascii="Times New Roman" w:hAnsi="Times New Roman" w:eastAsia="黑体" w:cs="Times New Roman"/>
      <w:b/>
      <w:bCs/>
      <w:sz w:val="30"/>
      <w:szCs w:val="30"/>
    </w:rPr>
  </w:style>
  <w:style w:type="paragraph" w:styleId="4">
    <w:name w:val="heading 3"/>
    <w:basedOn w:val="1"/>
    <w:next w:val="1"/>
    <w:link w:val="70"/>
    <w:unhideWhenUsed/>
    <w:qFormat/>
    <w:locked/>
    <w:uiPriority w:val="0"/>
    <w:pPr>
      <w:keepNext/>
      <w:keepLines/>
      <w:widowControl w:val="0"/>
      <w:spacing w:before="260" w:after="260" w:line="416" w:lineRule="auto"/>
      <w:jc w:val="both"/>
      <w:outlineLvl w:val="2"/>
    </w:pPr>
    <w:rPr>
      <w:rFonts w:ascii="Times New Roman" w:hAnsi="Times New Roman" w:cs="Times New Roman"/>
      <w:b/>
      <w:bCs/>
      <w:kern w:val="2"/>
      <w:sz w:val="32"/>
      <w:szCs w:val="32"/>
    </w:rPr>
  </w:style>
  <w:style w:type="paragraph" w:styleId="5">
    <w:name w:val="heading 4"/>
    <w:basedOn w:val="1"/>
    <w:next w:val="1"/>
    <w:link w:val="50"/>
    <w:semiHidden/>
    <w:unhideWhenUsed/>
    <w:qFormat/>
    <w:locked/>
    <w:uiPriority w:val="0"/>
    <w:pPr>
      <w:keepNext/>
      <w:keepLines/>
      <w:widowControl w:val="0"/>
      <w:spacing w:before="280" w:after="290" w:line="376" w:lineRule="auto"/>
      <w:jc w:val="both"/>
      <w:outlineLvl w:val="3"/>
    </w:pPr>
    <w:rPr>
      <w:rFonts w:ascii="等线 Light" w:hAnsi="等线 Light" w:eastAsia="等线 Light" w:cs="Times New Roman"/>
      <w:b/>
      <w:bCs/>
      <w:kern w:val="2"/>
      <w:sz w:val="28"/>
      <w:szCs w:val="28"/>
    </w:rPr>
  </w:style>
  <w:style w:type="character" w:default="1" w:styleId="19">
    <w:name w:val="Default Paragraph Font"/>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6">
    <w:name w:val="annotation text"/>
    <w:basedOn w:val="1"/>
    <w:link w:val="30"/>
    <w:semiHidden/>
    <w:qFormat/>
    <w:uiPriority w:val="0"/>
    <w:pPr>
      <w:widowControl w:val="0"/>
    </w:pPr>
    <w:rPr>
      <w:rFonts w:ascii="Times New Roman" w:hAnsi="Times New Roman" w:cs="Times New Roman"/>
      <w:szCs w:val="20"/>
    </w:rPr>
  </w:style>
  <w:style w:type="paragraph" w:styleId="7">
    <w:name w:val="Body Text"/>
    <w:basedOn w:val="1"/>
    <w:link w:val="29"/>
    <w:qFormat/>
    <w:uiPriority w:val="0"/>
    <w:pPr>
      <w:snapToGrid w:val="0"/>
      <w:spacing w:before="60" w:after="160" w:line="259" w:lineRule="auto"/>
      <w:ind w:right="113"/>
      <w:jc w:val="both"/>
    </w:pPr>
    <w:rPr>
      <w:rFonts w:ascii="Times New Roman" w:hAnsi="Times New Roman" w:cs="Times New Roman"/>
      <w:sz w:val="18"/>
      <w:szCs w:val="20"/>
    </w:rPr>
  </w:style>
  <w:style w:type="paragraph" w:styleId="8">
    <w:name w:val="Body Text Indent"/>
    <w:basedOn w:val="1"/>
    <w:link w:val="38"/>
    <w:uiPriority w:val="0"/>
    <w:pPr>
      <w:widowControl w:val="0"/>
      <w:spacing w:after="120"/>
      <w:ind w:left="420" w:leftChars="200"/>
      <w:jc w:val="both"/>
    </w:pPr>
    <w:rPr>
      <w:rFonts w:ascii="Times New Roman" w:hAnsi="Times New Roman" w:cs="Times New Roman"/>
      <w:szCs w:val="20"/>
    </w:rPr>
  </w:style>
  <w:style w:type="paragraph" w:styleId="9">
    <w:name w:val="Date"/>
    <w:basedOn w:val="1"/>
    <w:next w:val="1"/>
    <w:link w:val="25"/>
    <w:uiPriority w:val="0"/>
    <w:pPr>
      <w:widowControl w:val="0"/>
      <w:ind w:left="100" w:leftChars="2500"/>
      <w:jc w:val="both"/>
    </w:pPr>
    <w:rPr>
      <w:rFonts w:ascii="Times New Roman" w:hAnsi="Times New Roman" w:cs="Times New Roman"/>
      <w:szCs w:val="20"/>
    </w:rPr>
  </w:style>
  <w:style w:type="paragraph" w:styleId="10">
    <w:name w:val="Balloon Text"/>
    <w:basedOn w:val="1"/>
    <w:link w:val="34"/>
    <w:semiHidden/>
    <w:uiPriority w:val="0"/>
    <w:pPr>
      <w:widowControl w:val="0"/>
      <w:jc w:val="both"/>
    </w:pPr>
    <w:rPr>
      <w:rFonts w:ascii="Times New Roman" w:hAnsi="Times New Roman" w:cs="Times New Roman"/>
      <w:sz w:val="18"/>
      <w:szCs w:val="20"/>
    </w:rPr>
  </w:style>
  <w:style w:type="paragraph" w:styleId="11">
    <w:name w:val="footer"/>
    <w:basedOn w:val="1"/>
    <w:link w:val="24"/>
    <w:uiPriority w:val="99"/>
    <w:pPr>
      <w:widowControl w:val="0"/>
      <w:tabs>
        <w:tab w:val="center" w:pos="4153"/>
        <w:tab w:val="right" w:pos="8306"/>
      </w:tabs>
      <w:snapToGrid w:val="0"/>
    </w:pPr>
    <w:rPr>
      <w:rFonts w:ascii="Times New Roman" w:hAnsi="Times New Roman" w:cs="Times New Roman"/>
      <w:sz w:val="18"/>
      <w:szCs w:val="20"/>
    </w:rPr>
  </w:style>
  <w:style w:type="paragraph" w:styleId="12">
    <w:name w:val="header"/>
    <w:basedOn w:val="1"/>
    <w:link w:val="36"/>
    <w:qFormat/>
    <w:uiPriority w:val="0"/>
    <w:pPr>
      <w:widowControl w:val="0"/>
      <w:pBdr>
        <w:bottom w:val="single" w:color="auto" w:sz="6" w:space="1"/>
      </w:pBdr>
      <w:tabs>
        <w:tab w:val="center" w:pos="4153"/>
        <w:tab w:val="right" w:pos="8306"/>
      </w:tabs>
      <w:snapToGrid w:val="0"/>
      <w:jc w:val="center"/>
    </w:pPr>
    <w:rPr>
      <w:rFonts w:ascii="Times New Roman" w:hAnsi="Times New Roman" w:cs="Times New Roman"/>
      <w:sz w:val="18"/>
      <w:szCs w:val="20"/>
    </w:rPr>
  </w:style>
  <w:style w:type="paragraph" w:styleId="13">
    <w:name w:val="Normal (Web)"/>
    <w:basedOn w:val="1"/>
    <w:link w:val="27"/>
    <w:uiPriority w:val="0"/>
    <w:pPr>
      <w:spacing w:before="100" w:beforeAutospacing="1" w:after="100" w:afterAutospacing="1"/>
    </w:pPr>
    <w:rPr>
      <w:rFonts w:cs="Times New Roman"/>
      <w:szCs w:val="20"/>
    </w:rPr>
  </w:style>
  <w:style w:type="paragraph" w:styleId="14">
    <w:name w:val="annotation subject"/>
    <w:basedOn w:val="6"/>
    <w:next w:val="6"/>
    <w:link w:val="35"/>
    <w:semiHidden/>
    <w:uiPriority w:val="0"/>
    <w:rPr>
      <w:b/>
    </w:rPr>
  </w:style>
  <w:style w:type="paragraph" w:styleId="15">
    <w:name w:val="Body Text First Indent"/>
    <w:basedOn w:val="7"/>
    <w:link w:val="69"/>
    <w:qFormat/>
    <w:locked/>
    <w:uiPriority w:val="99"/>
    <w:pPr>
      <w:widowControl w:val="0"/>
      <w:snapToGrid/>
      <w:spacing w:before="0" w:after="120" w:line="240" w:lineRule="auto"/>
      <w:ind w:right="0" w:firstLine="420" w:firstLineChars="100"/>
    </w:pPr>
    <w:rPr>
      <w:kern w:val="2"/>
      <w:sz w:val="21"/>
      <w:szCs w:val="24"/>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8">
    <w:name w:val="Table Theme"/>
    <w:basedOn w:val="16"/>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locked/>
    <w:uiPriority w:val="22"/>
    <w:rPr>
      <w:b/>
      <w:bCs/>
    </w:rPr>
  </w:style>
  <w:style w:type="character" w:styleId="21">
    <w:name w:val="page number"/>
    <w:basedOn w:val="19"/>
    <w:locked/>
    <w:uiPriority w:val="0"/>
  </w:style>
  <w:style w:type="character" w:styleId="22">
    <w:name w:val="Hyperlink"/>
    <w:basedOn w:val="19"/>
    <w:qFormat/>
    <w:locked/>
    <w:uiPriority w:val="0"/>
    <w:rPr>
      <w:color w:val="0563C1" w:themeColor="hyperlink"/>
      <w:u w:val="single"/>
      <w14:textFill>
        <w14:solidFill>
          <w14:schemeClr w14:val="hlink"/>
        </w14:solidFill>
      </w14:textFill>
    </w:rPr>
  </w:style>
  <w:style w:type="character" w:styleId="23">
    <w:name w:val="annotation reference"/>
    <w:semiHidden/>
    <w:uiPriority w:val="0"/>
    <w:rPr>
      <w:sz w:val="21"/>
    </w:rPr>
  </w:style>
  <w:style w:type="character" w:customStyle="1" w:styleId="24">
    <w:name w:val="页脚 字符1"/>
    <w:link w:val="11"/>
    <w:locked/>
    <w:uiPriority w:val="99"/>
    <w:rPr>
      <w:sz w:val="18"/>
    </w:rPr>
  </w:style>
  <w:style w:type="character" w:customStyle="1" w:styleId="25">
    <w:name w:val="日期 字符1"/>
    <w:link w:val="9"/>
    <w:locked/>
    <w:uiPriority w:val="0"/>
    <w:rPr>
      <w:rFonts w:ascii="Times New Roman" w:hAnsi="Times New Roman" w:eastAsia="宋体"/>
      <w:sz w:val="24"/>
    </w:rPr>
  </w:style>
  <w:style w:type="character" w:customStyle="1" w:styleId="26">
    <w:name w:val="页脚 字符"/>
    <w:basedOn w:val="19"/>
    <w:uiPriority w:val="99"/>
  </w:style>
  <w:style w:type="character" w:customStyle="1" w:styleId="27">
    <w:name w:val="普通(网站) 字符"/>
    <w:link w:val="13"/>
    <w:locked/>
    <w:uiPriority w:val="0"/>
    <w:rPr>
      <w:rFonts w:ascii="宋体" w:hAnsi="宋体" w:eastAsia="宋体"/>
      <w:sz w:val="24"/>
    </w:rPr>
  </w:style>
  <w:style w:type="character" w:customStyle="1" w:styleId="28">
    <w:name w:val="正文文本 字符1"/>
    <w:semiHidden/>
    <w:uiPriority w:val="0"/>
    <w:rPr>
      <w:rFonts w:ascii="Times New Roman" w:hAnsi="Times New Roman" w:eastAsia="宋体"/>
      <w:sz w:val="24"/>
    </w:rPr>
  </w:style>
  <w:style w:type="character" w:customStyle="1" w:styleId="29">
    <w:name w:val="正文文本 字符"/>
    <w:link w:val="7"/>
    <w:locked/>
    <w:uiPriority w:val="0"/>
    <w:rPr>
      <w:sz w:val="18"/>
    </w:rPr>
  </w:style>
  <w:style w:type="character" w:customStyle="1" w:styleId="30">
    <w:name w:val="批注文字 字符"/>
    <w:link w:val="6"/>
    <w:qFormat/>
    <w:locked/>
    <w:uiPriority w:val="0"/>
    <w:rPr>
      <w:rFonts w:ascii="Times New Roman" w:hAnsi="Times New Roman" w:eastAsia="宋体"/>
      <w:sz w:val="24"/>
    </w:rPr>
  </w:style>
  <w:style w:type="character" w:customStyle="1" w:styleId="31">
    <w:name w:val="表格 Char"/>
    <w:link w:val="32"/>
    <w:locked/>
    <w:uiPriority w:val="0"/>
    <w:rPr>
      <w:rFonts w:ascii="宋体"/>
      <w:sz w:val="21"/>
    </w:rPr>
  </w:style>
  <w:style w:type="paragraph" w:customStyle="1" w:styleId="32">
    <w:name w:val="表格"/>
    <w:basedOn w:val="1"/>
    <w:next w:val="1"/>
    <w:link w:val="31"/>
    <w:uiPriority w:val="0"/>
    <w:pPr>
      <w:widowControl w:val="0"/>
      <w:adjustRightInd w:val="0"/>
      <w:snapToGrid w:val="0"/>
      <w:spacing w:beforeLines="10" w:afterLines="10" w:line="259" w:lineRule="auto"/>
      <w:jc w:val="center"/>
    </w:pPr>
    <w:rPr>
      <w:rFonts w:hAnsi="Times New Roman" w:cs="Times New Roman"/>
      <w:sz w:val="21"/>
      <w:szCs w:val="20"/>
    </w:rPr>
  </w:style>
  <w:style w:type="character" w:customStyle="1" w:styleId="33">
    <w:name w:val="日期 字符"/>
    <w:semiHidden/>
    <w:uiPriority w:val="0"/>
    <w:rPr>
      <w:rFonts w:ascii="Times New Roman" w:hAnsi="Times New Roman" w:eastAsia="宋体"/>
      <w:sz w:val="24"/>
    </w:rPr>
  </w:style>
  <w:style w:type="character" w:customStyle="1" w:styleId="34">
    <w:name w:val="批注框文本 字符"/>
    <w:link w:val="10"/>
    <w:semiHidden/>
    <w:locked/>
    <w:uiPriority w:val="0"/>
    <w:rPr>
      <w:rFonts w:ascii="Times New Roman" w:hAnsi="Times New Roman" w:eastAsia="宋体"/>
      <w:sz w:val="18"/>
    </w:rPr>
  </w:style>
  <w:style w:type="character" w:customStyle="1" w:styleId="35">
    <w:name w:val="批注主题 字符"/>
    <w:link w:val="14"/>
    <w:semiHidden/>
    <w:locked/>
    <w:uiPriority w:val="0"/>
    <w:rPr>
      <w:rFonts w:ascii="Times New Roman" w:hAnsi="Times New Roman" w:eastAsia="宋体"/>
      <w:b/>
      <w:kern w:val="2"/>
      <w:sz w:val="24"/>
    </w:rPr>
  </w:style>
  <w:style w:type="character" w:customStyle="1" w:styleId="36">
    <w:name w:val="页眉 字符"/>
    <w:link w:val="12"/>
    <w:qFormat/>
    <w:locked/>
    <w:uiPriority w:val="0"/>
    <w:rPr>
      <w:sz w:val="18"/>
    </w:rPr>
  </w:style>
  <w:style w:type="character" w:customStyle="1" w:styleId="37">
    <w:name w:val="批注文字 字符1"/>
    <w:semiHidden/>
    <w:uiPriority w:val="0"/>
    <w:rPr>
      <w:rFonts w:ascii="Times New Roman" w:hAnsi="Times New Roman" w:eastAsia="宋体"/>
      <w:sz w:val="24"/>
    </w:rPr>
  </w:style>
  <w:style w:type="character" w:customStyle="1" w:styleId="38">
    <w:name w:val="正文文本缩进 字符"/>
    <w:link w:val="8"/>
    <w:semiHidden/>
    <w:locked/>
    <w:uiPriority w:val="0"/>
    <w:rPr>
      <w:rFonts w:ascii="Times New Roman" w:hAnsi="Times New Roman" w:eastAsia="宋体"/>
      <w:sz w:val="24"/>
    </w:rPr>
  </w:style>
  <w:style w:type="paragraph" w:customStyle="1" w:styleId="39">
    <w:name w:val="正文_10"/>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0">
    <w:name w:val="普通(网站)2"/>
    <w:basedOn w:val="1"/>
    <w:qFormat/>
    <w:uiPriority w:val="0"/>
    <w:pPr>
      <w:spacing w:before="100" w:beforeAutospacing="1" w:after="100" w:afterAutospacing="1"/>
    </w:pPr>
    <w:rPr>
      <w:rFonts w:cs="Times New Roman"/>
      <w:kern w:val="2"/>
      <w:szCs w:val="20"/>
    </w:rPr>
  </w:style>
  <w:style w:type="paragraph" w:styleId="41">
    <w:name w:val="List Paragraph"/>
    <w:basedOn w:val="1"/>
    <w:qFormat/>
    <w:uiPriority w:val="34"/>
    <w:pPr>
      <w:widowControl w:val="0"/>
      <w:ind w:firstLine="420" w:firstLineChars="200"/>
      <w:jc w:val="both"/>
    </w:pPr>
    <w:rPr>
      <w:rFonts w:ascii="Times New Roman" w:hAnsi="Times New Roman" w:cs="Times New Roman"/>
      <w:kern w:val="2"/>
      <w:sz w:val="21"/>
      <w:szCs w:val="22"/>
    </w:rPr>
  </w:style>
  <w:style w:type="paragraph" w:customStyle="1" w:styleId="42">
    <w:name w:val="w正文"/>
    <w:basedOn w:val="1"/>
    <w:link w:val="43"/>
    <w:qFormat/>
    <w:uiPriority w:val="0"/>
    <w:pPr>
      <w:widowControl w:val="0"/>
      <w:overflowPunct w:val="0"/>
      <w:spacing w:line="360" w:lineRule="auto"/>
      <w:ind w:firstLine="200" w:firstLineChars="200"/>
      <w:jc w:val="both"/>
    </w:pPr>
    <w:rPr>
      <w:rFonts w:ascii="Times New Roman" w:hAnsi="Times New Roman" w:cs="Times New Roman"/>
      <w:szCs w:val="21"/>
    </w:rPr>
  </w:style>
  <w:style w:type="character" w:customStyle="1" w:styleId="43">
    <w:name w:val="w正文 Char"/>
    <w:link w:val="42"/>
    <w:qFormat/>
    <w:uiPriority w:val="0"/>
    <w:rPr>
      <w:sz w:val="24"/>
      <w:szCs w:val="21"/>
    </w:rPr>
  </w:style>
  <w:style w:type="character" w:customStyle="1" w:styleId="44">
    <w:name w:val="标题 2 字符"/>
    <w:link w:val="3"/>
    <w:uiPriority w:val="9"/>
    <w:rPr>
      <w:rFonts w:eastAsia="黑体"/>
      <w:b/>
      <w:bCs/>
      <w:sz w:val="30"/>
      <w:szCs w:val="30"/>
    </w:rPr>
  </w:style>
  <w:style w:type="paragraph" w:customStyle="1" w:styleId="45">
    <w:name w:val="标题1"/>
    <w:next w:val="1"/>
    <w:autoRedefine/>
    <w:qFormat/>
    <w:uiPriority w:val="99"/>
    <w:pPr>
      <w:numPr>
        <w:ilvl w:val="0"/>
        <w:numId w:val="1"/>
      </w:numPr>
      <w:spacing w:line="360" w:lineRule="auto"/>
      <w:jc w:val="center"/>
      <w:outlineLvl w:val="0"/>
    </w:pPr>
    <w:rPr>
      <w:rFonts w:ascii="Times New Roman" w:hAnsi="Times New Roman" w:eastAsia="黑体" w:cs="Times New Roman"/>
      <w:sz w:val="48"/>
      <w:szCs w:val="48"/>
      <w:lang w:val="en-US" w:eastAsia="zh-CN" w:bidi="ar-SA"/>
    </w:rPr>
  </w:style>
  <w:style w:type="paragraph" w:customStyle="1" w:styleId="46">
    <w:name w:val="w三级标题"/>
    <w:basedOn w:val="1"/>
    <w:next w:val="1"/>
    <w:link w:val="48"/>
    <w:autoRedefine/>
    <w:qFormat/>
    <w:uiPriority w:val="99"/>
    <w:pPr>
      <w:spacing w:line="360" w:lineRule="auto"/>
      <w:jc w:val="both"/>
      <w:outlineLvl w:val="2"/>
    </w:pPr>
    <w:rPr>
      <w:rFonts w:ascii="Times New Roman" w:hAnsi="Times New Roman" w:cs="Times New Roman"/>
      <w:b/>
      <w:szCs w:val="20"/>
    </w:rPr>
  </w:style>
  <w:style w:type="paragraph" w:customStyle="1" w:styleId="47">
    <w:name w:val="w四级标题"/>
    <w:basedOn w:val="5"/>
    <w:next w:val="1"/>
    <w:link w:val="82"/>
    <w:autoRedefine/>
    <w:qFormat/>
    <w:uiPriority w:val="99"/>
    <w:pPr>
      <w:widowControl/>
      <w:numPr>
        <w:ilvl w:val="3"/>
        <w:numId w:val="1"/>
      </w:numPr>
      <w:tabs>
        <w:tab w:val="left" w:pos="360"/>
      </w:tabs>
      <w:spacing w:before="0" w:after="0" w:line="360" w:lineRule="auto"/>
      <w:ind w:left="0"/>
    </w:pPr>
    <w:rPr>
      <w:rFonts w:ascii="黑体" w:hAnsi="黑体" w:eastAsia="黑体"/>
      <w:color w:val="000000"/>
      <w:sz w:val="24"/>
      <w:szCs w:val="24"/>
    </w:rPr>
  </w:style>
  <w:style w:type="character" w:customStyle="1" w:styleId="48">
    <w:name w:val="w三级标题 Char"/>
    <w:link w:val="46"/>
    <w:qFormat/>
    <w:uiPriority w:val="99"/>
    <w:rPr>
      <w:b/>
      <w:sz w:val="24"/>
    </w:rPr>
  </w:style>
  <w:style w:type="paragraph" w:customStyle="1" w:styleId="49">
    <w:name w:val="w五级标题"/>
    <w:basedOn w:val="1"/>
    <w:qFormat/>
    <w:uiPriority w:val="99"/>
    <w:pPr>
      <w:widowControl w:val="0"/>
      <w:numPr>
        <w:ilvl w:val="4"/>
        <w:numId w:val="1"/>
      </w:numPr>
      <w:spacing w:line="360" w:lineRule="auto"/>
      <w:jc w:val="both"/>
    </w:pPr>
    <w:rPr>
      <w:rFonts w:ascii="黑体" w:hAnsi="黑体" w:eastAsia="黑体" w:cs="Times New Roman"/>
      <w:b/>
      <w:kern w:val="2"/>
      <w:szCs w:val="20"/>
    </w:rPr>
  </w:style>
  <w:style w:type="character" w:customStyle="1" w:styleId="50">
    <w:name w:val="标题 4 字符"/>
    <w:link w:val="5"/>
    <w:semiHidden/>
    <w:uiPriority w:val="0"/>
    <w:rPr>
      <w:rFonts w:ascii="等线 Light" w:hAnsi="等线 Light" w:eastAsia="等线 Light" w:cs="Times New Roman"/>
      <w:b/>
      <w:bCs/>
      <w:kern w:val="2"/>
      <w:sz w:val="28"/>
      <w:szCs w:val="28"/>
    </w:rPr>
  </w:style>
  <w:style w:type="paragraph" w:customStyle="1" w:styleId="51">
    <w:name w:val="w表格文字"/>
    <w:basedOn w:val="1"/>
    <w:link w:val="52"/>
    <w:autoRedefine/>
    <w:qFormat/>
    <w:uiPriority w:val="0"/>
    <w:pPr>
      <w:widowControl w:val="0"/>
      <w:autoSpaceDE w:val="0"/>
      <w:autoSpaceDN w:val="0"/>
      <w:adjustRightInd w:val="0"/>
      <w:jc w:val="center"/>
    </w:pPr>
    <w:rPr>
      <w:rFonts w:ascii="Times New Roman" w:hAnsi="Times New Roman" w:cs="Times New Roman"/>
      <w:color w:val="000000"/>
      <w:sz w:val="18"/>
      <w:szCs w:val="18"/>
      <w:u w:color="000000"/>
      <w:lang w:bidi="en-US"/>
    </w:rPr>
  </w:style>
  <w:style w:type="character" w:customStyle="1" w:styleId="52">
    <w:name w:val="w表格文字 Char"/>
    <w:link w:val="51"/>
    <w:qFormat/>
    <w:uiPriority w:val="0"/>
    <w:rPr>
      <w:color w:val="000000"/>
      <w:sz w:val="18"/>
      <w:szCs w:val="18"/>
      <w:u w:color="000000"/>
      <w:lang w:bidi="en-US"/>
    </w:rPr>
  </w:style>
  <w:style w:type="character" w:customStyle="1" w:styleId="53">
    <w:name w:val="正文内容 Char"/>
    <w:link w:val="54"/>
    <w:qFormat/>
    <w:uiPriority w:val="99"/>
    <w:rPr>
      <w:sz w:val="24"/>
      <w:szCs w:val="24"/>
    </w:rPr>
  </w:style>
  <w:style w:type="paragraph" w:customStyle="1" w:styleId="54">
    <w:name w:val="正文内容"/>
    <w:basedOn w:val="1"/>
    <w:link w:val="53"/>
    <w:qFormat/>
    <w:uiPriority w:val="99"/>
    <w:pPr>
      <w:widowControl w:val="0"/>
      <w:tabs>
        <w:tab w:val="left" w:pos="360"/>
      </w:tabs>
      <w:spacing w:line="360" w:lineRule="auto"/>
      <w:ind w:firstLine="480" w:firstLineChars="200"/>
      <w:jc w:val="both"/>
    </w:pPr>
    <w:rPr>
      <w:rFonts w:ascii="Times New Roman" w:hAnsi="Times New Roman" w:cs="Times New Roman"/>
    </w:rPr>
  </w:style>
  <w:style w:type="paragraph" w:customStyle="1" w:styleId="55">
    <w:name w:val="新佑正文"/>
    <w:link w:val="56"/>
    <w:qFormat/>
    <w:uiPriority w:val="99"/>
    <w:pPr>
      <w:spacing w:line="360" w:lineRule="auto"/>
      <w:ind w:firstLine="480" w:firstLineChars="200"/>
    </w:pPr>
    <w:rPr>
      <w:rFonts w:ascii="Times New Roman" w:hAnsi="Times New Roman" w:eastAsia="宋体" w:cs="Times New Roman"/>
      <w:kern w:val="2"/>
      <w:sz w:val="24"/>
      <w:szCs w:val="22"/>
      <w:lang w:val="en-US" w:eastAsia="zh-CN" w:bidi="ar-SA"/>
    </w:rPr>
  </w:style>
  <w:style w:type="character" w:customStyle="1" w:styleId="56">
    <w:name w:val="新佑正文 Char"/>
    <w:link w:val="55"/>
    <w:qFormat/>
    <w:locked/>
    <w:uiPriority w:val="99"/>
    <w:rPr>
      <w:kern w:val="2"/>
      <w:sz w:val="24"/>
      <w:szCs w:val="22"/>
    </w:rPr>
  </w:style>
  <w:style w:type="paragraph" w:customStyle="1" w:styleId="57">
    <w:name w:val="W表头图头"/>
    <w:basedOn w:val="1"/>
    <w:qFormat/>
    <w:uiPriority w:val="99"/>
    <w:pPr>
      <w:spacing w:line="360" w:lineRule="auto"/>
      <w:jc w:val="center"/>
    </w:pPr>
    <w:rPr>
      <w:rFonts w:ascii="黑体" w:hAnsi="黑体" w:eastAsia="黑体"/>
      <w:b/>
    </w:rPr>
  </w:style>
  <w:style w:type="character" w:customStyle="1" w:styleId="58">
    <w:name w:val="正文格式 Char Char"/>
    <w:link w:val="59"/>
    <w:qFormat/>
    <w:uiPriority w:val="0"/>
    <w:rPr>
      <w:rFonts w:ascii="宋体"/>
      <w:spacing w:val="8"/>
      <w:sz w:val="24"/>
      <w:szCs w:val="24"/>
    </w:rPr>
  </w:style>
  <w:style w:type="paragraph" w:customStyle="1" w:styleId="59">
    <w:name w:val="正文格式"/>
    <w:basedOn w:val="1"/>
    <w:next w:val="41"/>
    <w:link w:val="58"/>
    <w:qFormat/>
    <w:uiPriority w:val="0"/>
    <w:pPr>
      <w:widowControl w:val="0"/>
      <w:spacing w:line="360" w:lineRule="auto"/>
      <w:ind w:firstLine="200" w:firstLineChars="200"/>
      <w:jc w:val="both"/>
    </w:pPr>
    <w:rPr>
      <w:rFonts w:hAnsi="Times New Roman" w:cs="Times New Roman"/>
      <w:spacing w:val="8"/>
    </w:rPr>
  </w:style>
  <w:style w:type="paragraph" w:customStyle="1" w:styleId="60">
    <w:name w:val="A正文"/>
    <w:basedOn w:val="59"/>
    <w:link w:val="61"/>
    <w:qFormat/>
    <w:uiPriority w:val="0"/>
    <w:pPr>
      <w:widowControl/>
      <w:ind w:firstLine="480"/>
    </w:pPr>
    <w:rPr>
      <w:rFonts w:ascii="Times New Roman"/>
      <w:spacing w:val="0"/>
    </w:rPr>
  </w:style>
  <w:style w:type="character" w:customStyle="1" w:styleId="61">
    <w:name w:val="A正文 Char"/>
    <w:link w:val="60"/>
    <w:qFormat/>
    <w:uiPriority w:val="0"/>
    <w:rPr>
      <w:sz w:val="24"/>
      <w:szCs w:val="24"/>
    </w:rPr>
  </w:style>
  <w:style w:type="paragraph" w:customStyle="1" w:styleId="62">
    <w:name w:val="B正文"/>
    <w:basedOn w:val="1"/>
    <w:link w:val="63"/>
    <w:qFormat/>
    <w:uiPriority w:val="0"/>
    <w:pPr>
      <w:spacing w:line="360" w:lineRule="auto"/>
      <w:ind w:firstLine="200" w:firstLineChars="200"/>
    </w:pPr>
    <w:rPr>
      <w:rFonts w:ascii="Times New Roman" w:hAnsi="Times New Roman" w:cs="Times New Roman"/>
    </w:rPr>
  </w:style>
  <w:style w:type="character" w:customStyle="1" w:styleId="63">
    <w:name w:val="B正文 Char"/>
    <w:link w:val="62"/>
    <w:qFormat/>
    <w:uiPriority w:val="0"/>
    <w:rPr>
      <w:sz w:val="24"/>
      <w:szCs w:val="24"/>
    </w:rPr>
  </w:style>
  <w:style w:type="character" w:customStyle="1" w:styleId="64">
    <w:name w:val="B表中文字 字符"/>
    <w:link w:val="65"/>
    <w:locked/>
    <w:uiPriority w:val="0"/>
    <w:rPr>
      <w:rFonts w:ascii="宋体" w:hAnsi="宋体" w:cs="宋体"/>
      <w:kern w:val="2"/>
      <w:sz w:val="21"/>
      <w:szCs w:val="21"/>
    </w:rPr>
  </w:style>
  <w:style w:type="paragraph" w:customStyle="1" w:styleId="65">
    <w:name w:val="B表中文字"/>
    <w:basedOn w:val="1"/>
    <w:link w:val="64"/>
    <w:qFormat/>
    <w:uiPriority w:val="0"/>
    <w:pPr>
      <w:widowControl w:val="0"/>
      <w:tabs>
        <w:tab w:val="center" w:pos="4180"/>
      </w:tabs>
      <w:adjustRightInd w:val="0"/>
      <w:snapToGrid w:val="0"/>
      <w:jc w:val="center"/>
    </w:pPr>
    <w:rPr>
      <w:kern w:val="2"/>
      <w:sz w:val="21"/>
      <w:szCs w:val="21"/>
    </w:rPr>
  </w:style>
  <w:style w:type="paragraph" w:customStyle="1" w:styleId="66">
    <w:name w:val="正文A"/>
    <w:basedOn w:val="1"/>
    <w:link w:val="67"/>
    <w:qFormat/>
    <w:uiPriority w:val="0"/>
    <w:pPr>
      <w:widowControl w:val="0"/>
      <w:spacing w:line="360" w:lineRule="auto"/>
      <w:ind w:firstLine="200" w:firstLineChars="200"/>
      <w:jc w:val="both"/>
    </w:pPr>
    <w:rPr>
      <w:rFonts w:ascii="Times New Roman" w:hAnsi="Times New Roman" w:cs="华文仿宋"/>
      <w:kern w:val="2"/>
    </w:rPr>
  </w:style>
  <w:style w:type="character" w:customStyle="1" w:styleId="67">
    <w:name w:val="正文A Char"/>
    <w:link w:val="66"/>
    <w:qFormat/>
    <w:uiPriority w:val="0"/>
    <w:rPr>
      <w:rFonts w:cs="华文仿宋"/>
      <w:kern w:val="2"/>
      <w:sz w:val="24"/>
      <w:szCs w:val="24"/>
    </w:rPr>
  </w:style>
  <w:style w:type="paragraph" w:customStyle="1" w:styleId="68">
    <w:name w:val="Heading3"/>
    <w:basedOn w:val="1"/>
    <w:next w:val="1"/>
    <w:qFormat/>
    <w:uiPriority w:val="0"/>
    <w:pPr>
      <w:keepNext/>
      <w:keepLines/>
      <w:widowControl w:val="0"/>
      <w:spacing w:line="360" w:lineRule="auto"/>
      <w:jc w:val="both"/>
      <w:textAlignment w:val="baseline"/>
    </w:pPr>
    <w:rPr>
      <w:rFonts w:ascii="Times New Roman" w:hAnsi="Times New Roman" w:cs="Times New Roman"/>
      <w:kern w:val="2"/>
      <w:sz w:val="21"/>
      <w:szCs w:val="32"/>
    </w:rPr>
  </w:style>
  <w:style w:type="character" w:customStyle="1" w:styleId="69">
    <w:name w:val="正文文本首行缩进 字符"/>
    <w:basedOn w:val="29"/>
    <w:link w:val="15"/>
    <w:qFormat/>
    <w:uiPriority w:val="99"/>
    <w:rPr>
      <w:kern w:val="2"/>
      <w:sz w:val="21"/>
      <w:szCs w:val="24"/>
    </w:rPr>
  </w:style>
  <w:style w:type="character" w:customStyle="1" w:styleId="70">
    <w:name w:val="标题 3 字符"/>
    <w:basedOn w:val="19"/>
    <w:link w:val="4"/>
    <w:qFormat/>
    <w:uiPriority w:val="0"/>
    <w:rPr>
      <w:b/>
      <w:bCs/>
      <w:kern w:val="2"/>
      <w:sz w:val="32"/>
      <w:szCs w:val="32"/>
    </w:rPr>
  </w:style>
  <w:style w:type="character" w:customStyle="1" w:styleId="71">
    <w:name w:val="cf01"/>
    <w:qFormat/>
    <w:uiPriority w:val="0"/>
    <w:rPr>
      <w:rFonts w:hint="eastAsia" w:ascii="Microsoft YaHei UI" w:hAnsi="Microsoft YaHei UI" w:eastAsia="Microsoft YaHei UI"/>
      <w:sz w:val="18"/>
      <w:szCs w:val="18"/>
    </w:rPr>
  </w:style>
  <w:style w:type="paragraph" w:customStyle="1" w:styleId="72">
    <w:name w:val="图表后空行"/>
    <w:next w:val="1"/>
    <w:qFormat/>
    <w:uiPriority w:val="0"/>
    <w:pPr>
      <w:ind w:firstLine="200"/>
    </w:pPr>
    <w:rPr>
      <w:rFonts w:ascii="Times New Roman" w:hAnsi="Times New Roman" w:eastAsia="宋体" w:cs="Times New Roman"/>
      <w:kern w:val="2"/>
      <w:sz w:val="18"/>
      <w:szCs w:val="24"/>
      <w:lang w:val="en-US" w:eastAsia="zh-CN" w:bidi="ar-SA"/>
    </w:rPr>
  </w:style>
  <w:style w:type="character" w:styleId="73">
    <w:name w:val="Placeholder Text"/>
    <w:basedOn w:val="19"/>
    <w:semiHidden/>
    <w:qFormat/>
    <w:uiPriority w:val="99"/>
    <w:rPr>
      <w:color w:val="666666"/>
    </w:rPr>
  </w:style>
  <w:style w:type="paragraph" w:customStyle="1" w:styleId="74">
    <w:name w:val="表头"/>
    <w:basedOn w:val="1"/>
    <w:next w:val="1"/>
    <w:link w:val="75"/>
    <w:qFormat/>
    <w:uiPriority w:val="0"/>
    <w:pPr>
      <w:widowControl w:val="0"/>
      <w:autoSpaceDE w:val="0"/>
      <w:autoSpaceDN w:val="0"/>
      <w:adjustRightInd w:val="0"/>
      <w:jc w:val="center"/>
      <w:textAlignment w:val="center"/>
    </w:pPr>
    <w:rPr>
      <w:rFonts w:ascii="Times New Roman" w:hAnsi="Times New Roman" w:cs="Times New Roman"/>
      <w:b/>
      <w:sz w:val="21"/>
      <w:szCs w:val="21"/>
    </w:rPr>
  </w:style>
  <w:style w:type="character" w:customStyle="1" w:styleId="75">
    <w:name w:val="表头 Char"/>
    <w:link w:val="74"/>
    <w:qFormat/>
    <w:uiPriority w:val="0"/>
    <w:rPr>
      <w:b/>
      <w:sz w:val="21"/>
      <w:szCs w:val="21"/>
    </w:rPr>
  </w:style>
  <w:style w:type="paragraph" w:customStyle="1" w:styleId="76">
    <w:name w:val="B表内字"/>
    <w:basedOn w:val="1"/>
    <w:qFormat/>
    <w:uiPriority w:val="0"/>
    <w:pPr>
      <w:spacing w:line="360" w:lineRule="auto"/>
      <w:jc w:val="center"/>
    </w:pPr>
    <w:rPr>
      <w:rFonts w:ascii="Times New Roman" w:hAnsi="Times New Roman"/>
      <w14:ligatures w14:val="standardContextual"/>
    </w:rPr>
  </w:style>
  <w:style w:type="character" w:customStyle="1" w:styleId="77">
    <w:name w:val="Unresolved Mention"/>
    <w:basedOn w:val="19"/>
    <w:semiHidden/>
    <w:unhideWhenUsed/>
    <w:qFormat/>
    <w:uiPriority w:val="99"/>
    <w:rPr>
      <w:color w:val="605E5C"/>
      <w:shd w:val="clear" w:color="auto" w:fill="E1DFDD"/>
    </w:rPr>
  </w:style>
  <w:style w:type="paragraph" w:customStyle="1" w:styleId="78">
    <w:name w:val="表中文字"/>
    <w:link w:val="79"/>
    <w:qFormat/>
    <w:uiPriority w:val="0"/>
    <w:pPr>
      <w:jc w:val="center"/>
    </w:pPr>
    <w:rPr>
      <w:rFonts w:ascii="Times New Roman" w:hAnsi="Times New Roman" w:eastAsia="宋体" w:cstheme="minorBidi"/>
      <w:color w:val="000000"/>
      <w:kern w:val="2"/>
      <w:sz w:val="21"/>
      <w:szCs w:val="24"/>
      <w:lang w:val="en-US" w:eastAsia="zh-CN" w:bidi="ar-SA"/>
    </w:rPr>
  </w:style>
  <w:style w:type="character" w:customStyle="1" w:styleId="79">
    <w:name w:val="表中文字 Char1"/>
    <w:basedOn w:val="19"/>
    <w:link w:val="78"/>
    <w:qFormat/>
    <w:uiPriority w:val="0"/>
    <w:rPr>
      <w:rFonts w:cstheme="minorBidi"/>
      <w:color w:val="000000"/>
      <w:kern w:val="2"/>
      <w:sz w:val="21"/>
      <w:szCs w:val="24"/>
    </w:rPr>
  </w:style>
  <w:style w:type="paragraph" w:customStyle="1" w:styleId="80">
    <w:name w:val="A1表头"/>
    <w:basedOn w:val="1"/>
    <w:qFormat/>
    <w:uiPriority w:val="99"/>
    <w:pPr>
      <w:widowControl w:val="0"/>
      <w:spacing w:line="360" w:lineRule="auto"/>
      <w:jc w:val="center"/>
    </w:pPr>
    <w:rPr>
      <w:rFonts w:ascii="黑体" w:hAnsi="黑体" w:eastAsia="黑体" w:cs="Times New Roman"/>
      <w:b/>
      <w:kern w:val="2"/>
    </w:rPr>
  </w:style>
  <w:style w:type="paragraph" w:customStyle="1" w:styleId="81">
    <w:name w:val="Table Text"/>
    <w:basedOn w:val="1"/>
    <w:semiHidden/>
    <w:qFormat/>
    <w:uiPriority w:val="0"/>
    <w:pPr>
      <w:widowControl w:val="0"/>
      <w:jc w:val="both"/>
    </w:pPr>
    <w:rPr>
      <w:rFonts w:ascii="华文楷体" w:hAnsi="华文楷体" w:eastAsia="华文楷体" w:cs="华文楷体"/>
      <w:kern w:val="2"/>
      <w:lang w:eastAsia="en-US"/>
    </w:rPr>
  </w:style>
  <w:style w:type="character" w:customStyle="1" w:styleId="82">
    <w:name w:val="w四级标题 Char"/>
    <w:link w:val="47"/>
    <w:qFormat/>
    <w:uiPriority w:val="99"/>
    <w:rPr>
      <w:rFonts w:ascii="黑体" w:hAnsi="黑体" w:eastAsia="黑体"/>
      <w:b/>
      <w:bCs/>
      <w:color w:val="000000"/>
      <w:kern w:val="2"/>
      <w:sz w:val="24"/>
      <w:szCs w:val="24"/>
    </w:rPr>
  </w:style>
  <w:style w:type="paragraph" w:customStyle="1" w:styleId="83">
    <w:name w:val="w图标标题"/>
    <w:basedOn w:val="4"/>
    <w:qFormat/>
    <w:uiPriority w:val="99"/>
    <w:pPr>
      <w:keepNext w:val="0"/>
      <w:keepLines w:val="0"/>
      <w:overflowPunct w:val="0"/>
      <w:autoSpaceDE w:val="0"/>
      <w:autoSpaceDN w:val="0"/>
      <w:spacing w:before="0" w:after="0" w:line="360" w:lineRule="auto"/>
      <w:jc w:val="center"/>
      <w:textAlignment w:val="baseline"/>
      <w:outlineLvl w:val="9"/>
    </w:pPr>
    <w:rPr>
      <w:rFonts w:ascii="黑体" w:hAnsi="黑体" w:eastAsia="黑体"/>
      <w:bCs w:val="0"/>
      <w:snapToGrid w:val="0"/>
      <w:color w:val="00000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oleObject" Target="embeddings/oleObject1.bin"/><Relationship Id="rId15" Type="http://schemas.openxmlformats.org/officeDocument/2006/relationships/image" Target="media/image7.png"/><Relationship Id="rId14" Type="http://schemas.openxmlformats.org/officeDocument/2006/relationships/image" Target="media/image6.wmf"/><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wdzx97.dot</Template>
  <Company>微软中国</Company>
  <Pages>162</Pages>
  <Words>110</Words>
  <Characters>114</Characters>
  <Lines>812</Lines>
  <Paragraphs>228</Paragraphs>
  <TotalTime>2</TotalTime>
  <ScaleCrop>false</ScaleCrop>
  <LinksUpToDate>false</LinksUpToDate>
  <CharactersWithSpaces>127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2026-09-23T02:02:00Z</dcterms:created>
  <dc:creator>lhj</dc:creator>
  <cp:lastModifiedBy>小麦啾</cp:lastModifiedBy>
  <cp:lastPrinted>2026-09-14T11:04:00Z</cp:lastPrinted>
  <dcterms:modified xsi:type="dcterms:W3CDTF">2026-09-24T02:45:00Z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eyJoZGlkIjoiZGZmMjg3MDQ2MzExNDk0OWY5M2UwNzBmOWViMDBkMGMiLCJ1c2VySWQiOiIzMjQ5NjUzODcifQ==</vt:lpwstr>
  </property>
  <property fmtid="{D5CDD505-2E9C-101B-9397-08002B2CF9AE}" pid="4" name="ICV">
    <vt:lpwstr>42797E8924134C75933A4575984AEB1C_12</vt:lpwstr>
  </property>
</Properties>
</file>